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Default Extension="png" ContentType="image/png"/>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8.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1.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12.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14.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603383</w:t>
        <w:tab/>
      </w:r>
      <w:r>
        <w:rPr>
          <w:spacing w:val="-2"/>
        </w:rPr>
        <w:t>公司简称：顶点软件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1821"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福建顶点软件股份有限公司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45"/>
        <w:ind w:left="138" w:right="0"/>
        <w:jc w:val="left"/>
        <w:rPr>
          <w:b w:val="0"/>
          <w:bCs w:val="0"/>
        </w:rPr>
      </w:pPr>
      <w:r>
        <w:rPr/>
        <w:t>三、</w:t>
      </w:r>
      <w:r>
        <w:rPr>
          <w:spacing w:val="-14"/>
        </w:rPr>
        <w:t> </w:t>
      </w:r>
      <w:r>
        <w:rPr/>
        <w:t>致同会计师事务所（特殊普通合伙）为本公司出具了标准无保留意见的审计报告。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4"/>
        <w:spacing w:line="355" w:lineRule="auto" w:before="145"/>
        <w:ind w:left="505" w:right="0" w:hanging="368"/>
        <w:jc w:val="left"/>
        <w:rPr>
          <w:b w:val="0"/>
          <w:bCs w:val="0"/>
        </w:rPr>
      </w:pPr>
      <w:r>
        <w:rPr>
          <w:spacing w:val="-1"/>
        </w:rPr>
        <w:t>四、公司负责人严孟宇、主管会计工作负责人董凤良及会计机构负责人（会计主管人员）熊婵静</w:t>
      </w:r>
      <w:r>
        <w:rPr>
          <w:spacing w:val="-88"/>
        </w:rPr>
        <w:t> </w:t>
      </w:r>
      <w:r>
        <w:rPr>
          <w:spacing w:val="-88"/>
        </w:rPr>
      </w:r>
      <w:r>
        <w:rPr/>
        <w:t>声明：保证年度报告中财务报告的真实、准确、完整。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pStyle w:val="Heading4"/>
        <w:spacing w:line="240" w:lineRule="auto"/>
        <w:ind w:left="138" w:right="0"/>
        <w:jc w:val="left"/>
        <w:rPr>
          <w:b w:val="0"/>
          <w:bCs w:val="0"/>
        </w:rPr>
      </w:pPr>
      <w:r>
        <w:rPr/>
        <w:t>五、</w:t>
      </w:r>
      <w:r>
        <w:rPr>
          <w:spacing w:val="-41"/>
        </w:rPr>
        <w:t> </w:t>
      </w:r>
      <w:r>
        <w:rPr/>
        <w:t>经董事会审议的报告期利润分配预案或公积金转增股本预案</w:t>
      </w:r>
      <w:r>
        <w:rPr>
          <w:b w:val="0"/>
          <w:bCs w:val="0"/>
        </w:rPr>
      </w:r>
    </w:p>
    <w:p>
      <w:pPr>
        <w:pStyle w:val="BodyText"/>
        <w:spacing w:line="237" w:lineRule="auto" w:before="135"/>
        <w:ind w:left="138" w:right="127"/>
        <w:jc w:val="both"/>
      </w:pPr>
      <w:r>
        <w:rPr>
          <w:spacing w:val="-4"/>
        </w:rPr>
        <w:t>以公司实施利润分配方案的股权登记日总股本为基数，向全体股东每</w:t>
      </w:r>
      <w:r>
        <w:rPr>
          <w:spacing w:val="-45"/>
        </w:rPr>
        <w:t> </w:t>
      </w:r>
      <w:r>
        <w:rPr>
          <w:rFonts w:ascii="宋体" w:hAnsi="宋体" w:cs="宋体" w:eastAsia="宋体" w:hint="default"/>
        </w:rPr>
        <w:t>10</w:t>
      </w:r>
      <w:r>
        <w:rPr>
          <w:rFonts w:ascii="宋体" w:hAnsi="宋体" w:cs="宋体" w:eastAsia="宋体" w:hint="default"/>
          <w:spacing w:val="16"/>
        </w:rPr>
        <w:t> </w:t>
      </w:r>
      <w:r>
        <w:rPr/>
        <w:t>股派发现金红利</w:t>
      </w:r>
      <w:r>
        <w:rPr>
          <w:spacing w:val="-44"/>
        </w:rPr>
        <w:t> </w:t>
      </w:r>
      <w:r>
        <w:rPr>
          <w:rFonts w:ascii="宋体" w:hAnsi="宋体" w:cs="宋体" w:eastAsia="宋体" w:hint="default"/>
        </w:rPr>
        <w:t>5</w:t>
      </w:r>
      <w:r>
        <w:rPr>
          <w:rFonts w:ascii="宋体" w:hAnsi="宋体" w:cs="宋体" w:eastAsia="宋体" w:hint="default"/>
          <w:spacing w:val="-45"/>
        </w:rPr>
        <w:t> </w:t>
      </w:r>
      <w:r>
        <w:rPr>
          <w:spacing w:val="-26"/>
        </w:rPr>
        <w:t>元（含</w:t>
      </w:r>
      <w:r>
        <w:rPr>
          <w:spacing w:val="-102"/>
        </w:rPr>
        <w:t> </w:t>
      </w:r>
      <w:r>
        <w:rPr>
          <w:spacing w:val="-102"/>
        </w:rPr>
      </w:r>
      <w:r>
        <w:rPr>
          <w:spacing w:val="-9"/>
        </w:rPr>
        <w:t>税），共计</w:t>
      </w:r>
      <w:r>
        <w:rPr>
          <w:spacing w:val="-25"/>
        </w:rPr>
        <w:t> </w:t>
      </w:r>
      <w:r>
        <w:rPr>
          <w:rFonts w:ascii="宋体" w:hAnsi="宋体" w:cs="宋体" w:eastAsia="宋体" w:hint="default"/>
        </w:rPr>
        <w:t>60,106,900</w:t>
      </w:r>
      <w:r>
        <w:rPr>
          <w:rFonts w:ascii="宋体" w:hAnsi="宋体" w:cs="宋体" w:eastAsia="宋体" w:hint="default"/>
          <w:spacing w:val="-23"/>
        </w:rPr>
        <w:t> </w:t>
      </w:r>
      <w:r>
        <w:rPr>
          <w:spacing w:val="-4"/>
        </w:rPr>
        <w:t>元，剩余未分配利润滚存至以后再行分配，不进行资本公积转增股本，不</w:t>
      </w:r>
      <w:r>
        <w:rPr>
          <w:spacing w:val="-93"/>
        </w:rPr>
        <w:t> </w:t>
      </w:r>
      <w:r>
        <w:rPr>
          <w:spacing w:val="-93"/>
        </w:rPr>
      </w:r>
      <w:r>
        <w:rPr/>
        <w:t>送红股。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309" w:lineRule="auto" w:before="135"/>
        <w:ind w:left="138" w:right="0"/>
        <w:jc w:val="left"/>
      </w:pPr>
      <w:r>
        <w:rPr/>
        <w:t>√适用</w:t>
      </w:r>
      <w:r>
        <w:rPr>
          <w:spacing w:val="-2"/>
        </w:rPr>
        <w:t> </w:t>
      </w:r>
      <w:r>
        <w:rPr/>
        <w:t>□不适用</w:t>
      </w:r>
      <w:r>
        <w:rPr>
          <w:w w:val="100"/>
        </w:rPr>
        <w:t> </w:t>
      </w:r>
      <w:r>
        <w:rPr>
          <w:spacing w:val="-2"/>
        </w:rPr>
        <w:t>本报告中所涉及的未来计划、发展战略等前瞻性描述不构成公司对投资者的实质承诺，敬请投资</w:t>
      </w:r>
      <w:r>
        <w:rPr>
          <w:spacing w:val="-25"/>
        </w:rPr>
        <w:t> </w:t>
      </w:r>
      <w:r>
        <w:rPr>
          <w:spacing w:val="-25"/>
        </w:rPr>
      </w:r>
      <w:r>
        <w:rPr/>
        <w:t>者注意投资风险。</w:t>
      </w:r>
    </w:p>
    <w:p>
      <w:pPr>
        <w:spacing w:line="240" w:lineRule="auto" w:before="7"/>
        <w:rPr>
          <w:rFonts w:ascii="宋体" w:hAnsi="宋体" w:cs="宋体" w:eastAsia="宋体" w:hint="default"/>
          <w:sz w:val="23"/>
          <w:szCs w:val="23"/>
        </w:rPr>
      </w:pPr>
    </w:p>
    <w:p>
      <w:pPr>
        <w:pStyle w:val="Heading4"/>
        <w:spacing w:line="422" w:lineRule="auto"/>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4"/>
        <w:tabs>
          <w:tab w:pos="781" w:val="left" w:leader="none"/>
        </w:tabs>
        <w:spacing w:line="357" w:lineRule="auto"/>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4"/>
        <w:tabs>
          <w:tab w:pos="781" w:val="left" w:leader="none"/>
        </w:tabs>
        <w:spacing w:line="240" w:lineRule="auto" w:before="167"/>
        <w:ind w:left="138" w:right="0"/>
        <w:jc w:val="left"/>
        <w:rPr>
          <w:b w:val="0"/>
          <w:bCs w:val="0"/>
        </w:rPr>
      </w:pPr>
      <w:r>
        <w:rPr/>
        <w:t>九、</w:t>
        <w:tab/>
        <w:t>重大风险提示</w:t>
      </w:r>
      <w:r>
        <w:rPr>
          <w:b w:val="0"/>
          <w:bCs w:val="0"/>
        </w:rPr>
      </w:r>
    </w:p>
    <w:p>
      <w:pPr>
        <w:pStyle w:val="BodyText"/>
        <w:spacing w:line="272" w:lineRule="exact" w:before="163"/>
        <w:ind w:left="138" w:right="0"/>
        <w:jc w:val="left"/>
      </w:pPr>
      <w:r>
        <w:rPr>
          <w:spacing w:val="-2"/>
        </w:rPr>
        <w:t>公司已在本报告中详细描述可能存在的相关风险，敬请查阅第四节经营情况讨论与分析中关于公</w:t>
      </w:r>
      <w:r>
        <w:rPr>
          <w:spacing w:val="-25"/>
        </w:rPr>
        <w:t> </w:t>
      </w:r>
      <w:r>
        <w:rPr>
          <w:spacing w:val="-25"/>
        </w:rPr>
      </w:r>
      <w:r>
        <w:rPr/>
        <w:t>司未来发展的讨论与分析中可能面对的风险因素的内容。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4"/>
        <w:spacing w:line="240" w:lineRule="auto" w:before="36"/>
        <w:ind w:left="2" w:right="0"/>
        <w:jc w:val="center"/>
        <w:rPr>
          <w:b w:val="0"/>
          <w:bCs w:val="0"/>
        </w:rPr>
      </w:pPr>
      <w:r>
        <w:rPr/>
        <w:t>目录</w:t>
      </w:r>
      <w:r>
        <w:rPr>
          <w:b w:val="0"/>
          <w:bCs w:val="0"/>
        </w:rPr>
      </w:r>
    </w:p>
    <w:sdt>
      <w:sdtPr>
        <w:docPartObj>
          <w:docPartGallery w:val="Table of Contents"/>
          <w:docPartUnique/>
        </w:docPartObj>
      </w:sdtPr>
      <w:sdtEndPr/>
      <w:sdtContent>
        <w:p>
          <w:pPr>
            <w:pStyle w:val="TOC1"/>
            <w:tabs>
              <w:tab w:pos="1397" w:val="left" w:leader="none"/>
              <w:tab w:pos="8961" w:val="right" w:leader="dot"/>
            </w:tabs>
            <w:spacing w:line="240" w:lineRule="auto" w:before="270"/>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1">
            <w:r>
              <w:rPr/>
              <w:t>第一节</w:t>
              <w:tab/>
              <w:t>释义</w:t>
            </w:r>
            <w:r>
              <w:rPr>
                <w:rFonts w:ascii="宋体" w:hAnsi="宋体" w:cs="宋体" w:eastAsia="宋体" w:hint="default"/>
              </w:rPr>
              <w:tab/>
              <w:t>4</w:t>
            </w:r>
            <w:r>
              <w:rPr>
                <w:rFonts w:ascii="宋体" w:hAnsi="宋体" w:cs="宋体" w:eastAsia="宋体" w:hint="default"/>
                <w:b w:val="0"/>
                <w:bCs w:val="0"/>
              </w:rPr>
            </w:r>
          </w:hyperlink>
        </w:p>
        <w:p>
          <w:pPr>
            <w:pStyle w:val="TOC1"/>
            <w:tabs>
              <w:tab w:pos="1397" w:val="left" w:leader="none"/>
              <w:tab w:pos="8961" w:val="right" w:leader="dot"/>
            </w:tabs>
            <w:spacing w:line="240" w:lineRule="auto" w:before="135"/>
            <w:ind w:right="0"/>
            <w:jc w:val="left"/>
            <w:rPr>
              <w:rFonts w:ascii="宋体" w:hAnsi="宋体" w:cs="宋体" w:eastAsia="宋体" w:hint="default"/>
              <w:b w:val="0"/>
              <w:bCs w:val="0"/>
            </w:rPr>
          </w:pPr>
          <w:hyperlink w:history="true" w:anchor="_TOC_250010">
            <w:r>
              <w:rPr/>
              <w:t>第二节</w:t>
              <w:tab/>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9">
            <w:r>
              <w:rPr/>
              <w:t>第三节</w:t>
              <w:tab/>
              <w:t>公司业务概要</w:t>
            </w:r>
            <w:r>
              <w:rPr>
                <w:rFonts w:ascii="宋体" w:hAnsi="宋体" w:cs="宋体" w:eastAsia="宋体" w:hint="default"/>
              </w:rPr>
              <w:tab/>
              <w:t>8</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8">
            <w:r>
              <w:rPr/>
              <w:t>第四节</w:t>
              <w:tab/>
              <w:t>经营情况讨论与分析</w:t>
            </w:r>
            <w:r>
              <w:rPr>
                <w:rFonts w:ascii="宋体" w:hAnsi="宋体" w:cs="宋体" w:eastAsia="宋体" w:hint="default"/>
              </w:rPr>
              <w:tab/>
              <w:t>10</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7">
            <w:r>
              <w:rPr/>
              <w:t>第五节</w:t>
              <w:tab/>
              <w:t>重要事项</w:t>
            </w:r>
            <w:r>
              <w:rPr>
                <w:rFonts w:ascii="宋体" w:hAnsi="宋体" w:cs="宋体" w:eastAsia="宋体" w:hint="default"/>
              </w:rPr>
              <w:tab/>
              <w:t>21</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6">
            <w:r>
              <w:rPr/>
              <w:t>第六节</w:t>
              <w:tab/>
              <w:t>普通股股份变动及股东情况</w:t>
            </w:r>
            <w:r>
              <w:rPr>
                <w:rFonts w:ascii="宋体" w:hAnsi="宋体" w:cs="宋体" w:eastAsia="宋体" w:hint="default"/>
              </w:rPr>
              <w:tab/>
              <w:t>43</w:t>
            </w:r>
            <w:r>
              <w:rPr>
                <w:rFonts w:ascii="宋体" w:hAnsi="宋体" w:cs="宋体" w:eastAsia="宋体" w:hint="default"/>
                <w:b w:val="0"/>
                <w:bCs w:val="0"/>
              </w:rPr>
            </w:r>
          </w:hyperlink>
        </w:p>
        <w:p>
          <w:pPr>
            <w:pStyle w:val="TOC1"/>
            <w:tabs>
              <w:tab w:pos="1397" w:val="left" w:leader="none"/>
              <w:tab w:pos="8961" w:val="right" w:leader="dot"/>
            </w:tabs>
            <w:spacing w:line="240" w:lineRule="auto" w:before="135"/>
            <w:ind w:right="0"/>
            <w:jc w:val="left"/>
            <w:rPr>
              <w:rFonts w:ascii="宋体" w:hAnsi="宋体" w:cs="宋体" w:eastAsia="宋体" w:hint="default"/>
              <w:b w:val="0"/>
              <w:bCs w:val="0"/>
            </w:rPr>
          </w:pPr>
          <w:hyperlink w:history="true" w:anchor="_TOC_250005">
            <w:r>
              <w:rPr/>
              <w:t>第七节</w:t>
              <w:tab/>
              <w:t>优先股相关情况</w:t>
            </w:r>
            <w:r>
              <w:rPr>
                <w:rFonts w:ascii="宋体" w:hAnsi="宋体" w:cs="宋体" w:eastAsia="宋体" w:hint="default"/>
              </w:rPr>
              <w:tab/>
              <w:t>50</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4">
            <w:r>
              <w:rPr/>
              <w:t>第八节</w:t>
              <w:tab/>
              <w:t>董事、监事、高级管理人员和员工情况</w:t>
            </w:r>
            <w:r>
              <w:rPr>
                <w:rFonts w:ascii="宋体" w:hAnsi="宋体" w:cs="宋体" w:eastAsia="宋体" w:hint="default"/>
              </w:rPr>
              <w:tab/>
              <w:t>51</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3">
            <w:r>
              <w:rPr/>
              <w:t>第九节</w:t>
              <w:tab/>
              <w:t>公司治理</w:t>
            </w:r>
            <w:r>
              <w:rPr>
                <w:rFonts w:ascii="宋体" w:hAnsi="宋体" w:cs="宋体" w:eastAsia="宋体" w:hint="default"/>
              </w:rPr>
              <w:tab/>
              <w:t>55</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2">
            <w:r>
              <w:rPr/>
              <w:t>第十节</w:t>
              <w:tab/>
              <w:t>公司债券相关情况</w:t>
            </w:r>
            <w:r>
              <w:rPr>
                <w:rFonts w:ascii="宋体" w:hAnsi="宋体" w:cs="宋体" w:eastAsia="宋体" w:hint="default"/>
              </w:rPr>
              <w:tab/>
              <w:t>58</w:t>
            </w:r>
            <w:r>
              <w:rPr>
                <w:rFonts w:ascii="宋体" w:hAnsi="宋体" w:cs="宋体" w:eastAsia="宋体" w:hint="default"/>
                <w:b w:val="0"/>
                <w:bCs w:val="0"/>
              </w:rPr>
            </w:r>
          </w:hyperlink>
        </w:p>
        <w:p>
          <w:pPr>
            <w:pStyle w:val="TOC1"/>
            <w:tabs>
              <w:tab w:pos="1397" w:val="left" w:leader="none"/>
              <w:tab w:pos="8961" w:val="right" w:leader="dot"/>
            </w:tabs>
            <w:spacing w:line="240" w:lineRule="auto" w:before="135"/>
            <w:ind w:right="0"/>
            <w:jc w:val="left"/>
            <w:rPr>
              <w:rFonts w:ascii="宋体" w:hAnsi="宋体" w:cs="宋体" w:eastAsia="宋体" w:hint="default"/>
              <w:b w:val="0"/>
              <w:bCs w:val="0"/>
            </w:rPr>
          </w:pPr>
          <w:hyperlink w:history="true" w:anchor="_TOC_250001">
            <w:r>
              <w:rPr/>
              <w:t>第十一节</w:t>
              <w:tab/>
              <w:t>财务报告</w:t>
            </w:r>
            <w:r>
              <w:rPr>
                <w:rFonts w:ascii="宋体" w:hAnsi="宋体" w:cs="宋体" w:eastAsia="宋体" w:hint="default"/>
              </w:rPr>
              <w:tab/>
              <w:t>59</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0">
            <w:r>
              <w:rPr/>
              <w:t>第十二节</w:t>
              <w:tab/>
              <w:t>备查文件目录</w:t>
            </w:r>
            <w:r>
              <w:rPr>
                <w:rFonts w:ascii="宋体" w:hAnsi="宋体" w:cs="宋体" w:eastAsia="宋体" w:hint="default"/>
              </w:rPr>
              <w:tab/>
              <w:t>155</w:t>
            </w:r>
            <w:r>
              <w:rPr>
                <w:rFonts w:ascii="宋体" w:hAnsi="宋体" w:cs="宋体" w:eastAsia="宋体"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341" w:val="left" w:leader="none"/>
        </w:tabs>
        <w:spacing w:line="240" w:lineRule="auto" w:before="686"/>
        <w:ind w:left="80" w:right="0"/>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597"/>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619"/>
        <w:gridCol w:w="1519"/>
        <w:gridCol w:w="4686"/>
      </w:tblGrid>
      <w:tr>
        <w:trPr>
          <w:trHeight w:val="281"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公司、本公司、顶点软件</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福建顶点软件股份有限公司</w:t>
            </w:r>
          </w:p>
        </w:tc>
      </w:tr>
      <w:tr>
        <w:trPr>
          <w:trHeight w:val="283"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1"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交易所、上交所</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爱派克</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福州爱派克电子有限公司</w:t>
            </w:r>
          </w:p>
        </w:tc>
      </w:tr>
      <w:tr>
        <w:trPr>
          <w:trHeight w:val="281"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顶点数码</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福州顶点数码科技有限公司</w:t>
            </w:r>
          </w:p>
        </w:tc>
      </w:tr>
      <w:tr>
        <w:trPr>
          <w:trHeight w:val="283"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顶点信息</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福州顶点信息管理有限公司</w:t>
            </w:r>
          </w:p>
        </w:tc>
      </w:tr>
      <w:tr>
        <w:trPr>
          <w:trHeight w:val="283"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武汉顶点软件有限公司</w:t>
            </w:r>
          </w:p>
        </w:tc>
      </w:tr>
      <w:tr>
        <w:trPr>
          <w:trHeight w:val="281"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北京顶点时代技术有限公司</w:t>
            </w:r>
          </w:p>
        </w:tc>
      </w:tr>
      <w:tr>
        <w:trPr>
          <w:trHeight w:val="283"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上海顶点</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上海顶点软件有限公司</w:t>
            </w:r>
          </w:p>
        </w:tc>
      </w:tr>
      <w:tr>
        <w:trPr>
          <w:trHeight w:val="554"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5"/>
              <w:jc w:val="left"/>
              <w:rPr>
                <w:rFonts w:ascii="宋体" w:hAnsi="宋体" w:cs="宋体" w:eastAsia="宋体" w:hint="default"/>
                <w:sz w:val="21"/>
                <w:szCs w:val="21"/>
              </w:rPr>
            </w:pPr>
            <w:r>
              <w:rPr>
                <w:rFonts w:ascii="宋体" w:hAnsi="宋体" w:cs="宋体" w:eastAsia="宋体" w:hint="default"/>
                <w:spacing w:val="-3"/>
                <w:sz w:val="21"/>
                <w:szCs w:val="21"/>
              </w:rPr>
              <w:t>上海亿维航、亿维航公司、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亿维航</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上海亿维航软件有限公司</w:t>
            </w:r>
          </w:p>
        </w:tc>
      </w:tr>
      <w:tr>
        <w:trPr>
          <w:trHeight w:val="283"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金石投资</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金石投资有限公司</w:t>
            </w:r>
          </w:p>
        </w:tc>
      </w:tr>
      <w:tr>
        <w:trPr>
          <w:trHeight w:val="554"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中信证券及其控股子公司</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中信证券股份有限公司及其定期财务报告中包含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的全资及控股子公司</w:t>
            </w:r>
          </w:p>
        </w:tc>
      </w:tr>
      <w:tr>
        <w:trPr>
          <w:trHeight w:val="281"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1100"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LiveBOS</w:t>
            </w:r>
            <w:r>
              <w:rPr>
                <w:rFonts w:ascii="宋体" w:hAnsi="宋体" w:cs="宋体" w:eastAsia="宋体" w:hint="default"/>
                <w:sz w:val="21"/>
                <w:szCs w:val="21"/>
              </w:rPr>
              <w:t>、</w:t>
            </w:r>
            <w:r>
              <w:rPr>
                <w:rFonts w:ascii="宋体" w:hAnsi="宋体" w:cs="宋体" w:eastAsia="宋体" w:hint="default"/>
                <w:sz w:val="21"/>
                <w:szCs w:val="21"/>
              </w:rPr>
              <w:t>LiveBOS</w:t>
            </w:r>
            <w:r>
              <w:rPr>
                <w:rFonts w:ascii="宋体" w:hAnsi="宋体" w:cs="宋体" w:eastAsia="宋体" w:hint="default"/>
                <w:spacing w:val="-53"/>
                <w:sz w:val="21"/>
                <w:szCs w:val="21"/>
              </w:rPr>
              <w:t> </w:t>
            </w:r>
            <w:r>
              <w:rPr>
                <w:rFonts w:ascii="宋体" w:hAnsi="宋体" w:cs="宋体" w:eastAsia="宋体" w:hint="default"/>
                <w:sz w:val="21"/>
                <w:szCs w:val="21"/>
              </w:rPr>
              <w:t>平台</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both"/>
              <w:rPr>
                <w:rFonts w:ascii="宋体" w:hAnsi="宋体" w:cs="宋体" w:eastAsia="宋体" w:hint="default"/>
                <w:sz w:val="21"/>
                <w:szCs w:val="21"/>
              </w:rPr>
            </w:pPr>
            <w:r>
              <w:rPr>
                <w:rFonts w:ascii="宋体" w:hAnsi="宋体" w:cs="宋体" w:eastAsia="宋体" w:hint="default"/>
                <w:sz w:val="21"/>
                <w:szCs w:val="21"/>
              </w:rPr>
              <w:t>灵动业务架构平台，是公司自主研发的基于</w:t>
            </w:r>
            <w:r>
              <w:rPr>
                <w:rFonts w:ascii="宋体" w:hAnsi="宋体" w:cs="宋体" w:eastAsia="宋体" w:hint="default"/>
                <w:spacing w:val="-47"/>
                <w:sz w:val="21"/>
                <w:szCs w:val="21"/>
              </w:rPr>
              <w:t> </w:t>
            </w:r>
            <w:r>
              <w:rPr>
                <w:rFonts w:ascii="宋体" w:hAnsi="宋体" w:cs="宋体" w:eastAsia="宋体" w:hint="default"/>
                <w:sz w:val="21"/>
                <w:szCs w:val="21"/>
              </w:rPr>
              <w:t>J2EE</w:t>
            </w:r>
          </w:p>
          <w:p>
            <w:pPr>
              <w:pStyle w:val="TableParagraph"/>
              <w:spacing w:line="237" w:lineRule="auto" w:before="1"/>
              <w:ind w:left="100" w:right="106"/>
              <w:jc w:val="both"/>
              <w:rPr>
                <w:rFonts w:ascii="宋体" w:hAnsi="宋体" w:cs="宋体" w:eastAsia="宋体" w:hint="default"/>
                <w:sz w:val="21"/>
                <w:szCs w:val="21"/>
              </w:rPr>
            </w:pPr>
            <w:r>
              <w:rPr>
                <w:rFonts w:ascii="宋体" w:hAnsi="宋体" w:cs="宋体" w:eastAsia="宋体" w:hint="default"/>
                <w:sz w:val="21"/>
                <w:szCs w:val="21"/>
              </w:rPr>
              <w:t>体系实现的业务架构开发平台，由软件集成开发</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环境、运行支持环境与业务运维管理工具三部分</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组成</w:t>
            </w:r>
          </w:p>
        </w:tc>
      </w:tr>
      <w:tr>
        <w:trPr>
          <w:trHeight w:val="1646"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业务架构平台</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both"/>
              <w:rPr>
                <w:rFonts w:ascii="宋体" w:hAnsi="宋体" w:cs="宋体" w:eastAsia="宋体" w:hint="default"/>
                <w:sz w:val="21"/>
                <w:szCs w:val="21"/>
              </w:rPr>
            </w:pPr>
            <w:r>
              <w:rPr>
                <w:rFonts w:ascii="宋体" w:hAnsi="宋体" w:cs="宋体" w:eastAsia="宋体" w:hint="default"/>
                <w:sz w:val="21"/>
                <w:szCs w:val="21"/>
              </w:rPr>
              <w:t>以业务为导向和驱动的，可快速构建应用软件的</w:t>
            </w:r>
          </w:p>
          <w:p>
            <w:pPr>
              <w:pStyle w:val="TableParagraph"/>
              <w:spacing w:line="237" w:lineRule="auto"/>
              <w:ind w:left="100" w:right="55"/>
              <w:jc w:val="both"/>
              <w:rPr>
                <w:rFonts w:ascii="宋体" w:hAnsi="宋体" w:cs="宋体" w:eastAsia="宋体" w:hint="default"/>
                <w:sz w:val="21"/>
                <w:szCs w:val="21"/>
              </w:rPr>
            </w:pPr>
            <w:r>
              <w:rPr>
                <w:rFonts w:ascii="宋体" w:hAnsi="宋体" w:cs="宋体" w:eastAsia="宋体" w:hint="default"/>
                <w:sz w:val="21"/>
                <w:szCs w:val="21"/>
              </w:rPr>
              <w:t>平台包括集成应用平台、开发体系两个部分；是</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一种技术创新，使软件平台又多了一个层次，使</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得应用</w:t>
            </w:r>
            <w:r>
              <w:rPr>
                <w:rFonts w:ascii="宋体" w:hAnsi="宋体" w:cs="宋体" w:eastAsia="宋体" w:hint="default"/>
                <w:spacing w:val="-4"/>
                <w:sz w:val="21"/>
                <w:szCs w:val="21"/>
              </w:rPr>
              <w:t> </w:t>
            </w:r>
            <w:r>
              <w:rPr>
                <w:rFonts w:ascii="宋体" w:hAnsi="宋体" w:cs="宋体" w:eastAsia="宋体" w:hint="default"/>
                <w:sz w:val="21"/>
                <w:szCs w:val="21"/>
              </w:rPr>
              <w:t>软件开发者可以仅关注应用的业务任务，</w:t>
            </w:r>
            <w:r>
              <w:rPr>
                <w:rFonts w:ascii="宋体" w:hAnsi="宋体" w:cs="宋体" w:eastAsia="宋体" w:hint="default"/>
                <w:w w:val="100"/>
                <w:sz w:val="21"/>
                <w:szCs w:val="21"/>
              </w:rPr>
              <w:t> </w:t>
            </w:r>
            <w:r>
              <w:rPr>
                <w:rFonts w:ascii="宋体" w:hAnsi="宋体" w:cs="宋体" w:eastAsia="宋体" w:hint="default"/>
                <w:sz w:val="21"/>
                <w:szCs w:val="21"/>
              </w:rPr>
              <w:t>而不必专注其技术的实现，这使管理与业务人员</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参与应用软件的开发成为可能</w:t>
            </w:r>
          </w:p>
        </w:tc>
      </w:tr>
      <w:tr>
        <w:trPr>
          <w:trHeight w:val="826"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电子交易市场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采用电子化交易手段的各类要素市场，包含股权、</w:t>
            </w:r>
          </w:p>
          <w:p>
            <w:pPr>
              <w:pStyle w:val="TableParagraph"/>
              <w:spacing w:line="240" w:lineRule="auto"/>
              <w:ind w:left="100" w:right="106"/>
              <w:jc w:val="left"/>
              <w:rPr>
                <w:rFonts w:ascii="宋体" w:hAnsi="宋体" w:cs="宋体" w:eastAsia="宋体" w:hint="default"/>
                <w:sz w:val="21"/>
                <w:szCs w:val="21"/>
              </w:rPr>
            </w:pPr>
            <w:r>
              <w:rPr>
                <w:rFonts w:ascii="宋体" w:hAnsi="宋体" w:cs="宋体" w:eastAsia="宋体" w:hint="default"/>
                <w:sz w:val="21"/>
                <w:szCs w:val="21"/>
              </w:rPr>
              <w:t>金融资产、产权、现货及大宗商品等各类交易中</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心或交易所</w:t>
            </w:r>
          </w:p>
        </w:tc>
      </w:tr>
      <w:tr>
        <w:trPr>
          <w:trHeight w:val="828"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Fintech</w:t>
            </w:r>
            <w:r>
              <w:rPr>
                <w:rFonts w:ascii="宋体" w:hAnsi="宋体" w:cs="宋体" w:eastAsia="宋体" w:hint="default"/>
                <w:sz w:val="21"/>
                <w:szCs w:val="21"/>
              </w:rPr>
              <w:t>、金融科技</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技术带来的金融创新，能创造新的模式、业务、</w:t>
            </w:r>
          </w:p>
          <w:p>
            <w:pPr>
              <w:pStyle w:val="TableParagraph"/>
              <w:spacing w:line="272" w:lineRule="exact" w:before="27"/>
              <w:ind w:left="100" w:right="106"/>
              <w:jc w:val="left"/>
              <w:rPr>
                <w:rFonts w:ascii="宋体" w:hAnsi="宋体" w:cs="宋体" w:eastAsia="宋体" w:hint="default"/>
                <w:sz w:val="21"/>
                <w:szCs w:val="21"/>
              </w:rPr>
            </w:pPr>
            <w:r>
              <w:rPr>
                <w:rFonts w:ascii="宋体" w:hAnsi="宋体" w:cs="宋体" w:eastAsia="宋体" w:hint="default"/>
                <w:sz w:val="21"/>
                <w:szCs w:val="21"/>
              </w:rPr>
              <w:t>流程与产品，从而对金融市场提供的服务和模式</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产生影响</w:t>
            </w:r>
          </w:p>
        </w:tc>
      </w:tr>
      <w:tr>
        <w:trPr>
          <w:trHeight w:val="826"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tabs>
                <w:tab w:pos="1859" w:val="left" w:leader="none"/>
              </w:tabs>
              <w:spacing w:line="241" w:lineRule="exact"/>
              <w:ind w:left="103" w:right="0"/>
              <w:jc w:val="left"/>
              <w:rPr>
                <w:rFonts w:ascii="Calibri" w:hAnsi="Calibri" w:cs="Calibri" w:eastAsia="Calibri" w:hint="default"/>
                <w:sz w:val="21"/>
                <w:szCs w:val="21"/>
              </w:rPr>
            </w:pPr>
            <w:r>
              <w:rPr>
                <w:rFonts w:ascii="Calibri" w:hAnsi="Calibri" w:cs="Calibri" w:eastAsia="Calibri" w:hint="default"/>
                <w:spacing w:val="-5"/>
                <w:sz w:val="21"/>
                <w:szCs w:val="21"/>
              </w:rPr>
              <w:t>RPA    </w:t>
            </w:r>
            <w:r>
              <w:rPr>
                <w:rFonts w:ascii="宋体" w:hAnsi="宋体" w:cs="宋体" w:eastAsia="宋体" w:hint="default"/>
                <w:sz w:val="21"/>
                <w:szCs w:val="21"/>
              </w:rPr>
              <w:t>（</w:t>
            </w:r>
            <w:r>
              <w:rPr>
                <w:rFonts w:ascii="宋体" w:hAnsi="宋体" w:cs="宋体" w:eastAsia="宋体" w:hint="default"/>
                <w:spacing w:val="27"/>
                <w:sz w:val="21"/>
                <w:szCs w:val="21"/>
              </w:rPr>
              <w:t> </w:t>
            </w:r>
            <w:r>
              <w:rPr>
                <w:rFonts w:ascii="Calibri" w:hAnsi="Calibri" w:cs="Calibri" w:eastAsia="Calibri" w:hint="default"/>
                <w:sz w:val="21"/>
                <w:szCs w:val="21"/>
              </w:rPr>
              <w:t>Robotic</w:t>
              <w:tab/>
              <w:t>Process</w:t>
            </w:r>
          </w:p>
          <w:p>
            <w:pPr>
              <w:pStyle w:val="TableParagraph"/>
              <w:spacing w:line="274" w:lineRule="exact" w:before="11"/>
              <w:ind w:left="103" w:right="99"/>
              <w:jc w:val="left"/>
              <w:rPr>
                <w:rFonts w:ascii="宋体" w:hAnsi="宋体" w:cs="宋体" w:eastAsia="宋体" w:hint="default"/>
                <w:sz w:val="21"/>
                <w:szCs w:val="21"/>
              </w:rPr>
            </w:pPr>
            <w:r>
              <w:rPr>
                <w:rFonts w:ascii="Calibri" w:hAnsi="Calibri" w:cs="Calibri" w:eastAsia="Calibri" w:hint="default"/>
                <w:spacing w:val="-7"/>
                <w:w w:val="100"/>
                <w:sz w:val="21"/>
                <w:szCs w:val="21"/>
              </w:rPr>
              <w:t>Automation</w:t>
            </w:r>
            <w:r>
              <w:rPr>
                <w:rFonts w:ascii="宋体" w:hAnsi="宋体" w:cs="宋体" w:eastAsia="宋体" w:hint="default"/>
                <w:spacing w:val="-7"/>
                <w:w w:val="100"/>
                <w:sz w:val="21"/>
                <w:szCs w:val="21"/>
              </w:rPr>
              <w:t>，流程自动化机</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器人）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z w:val="21"/>
                <w:szCs w:val="21"/>
              </w:rPr>
              <w:t>一种智能化软件，依据预先设定的程序与现有用</w:t>
            </w:r>
          </w:p>
          <w:p>
            <w:pPr>
              <w:pStyle w:val="TableParagraph"/>
              <w:spacing w:line="240" w:lineRule="auto"/>
              <w:ind w:left="100" w:right="106"/>
              <w:jc w:val="left"/>
              <w:rPr>
                <w:rFonts w:ascii="宋体" w:hAnsi="宋体" w:cs="宋体" w:eastAsia="宋体" w:hint="default"/>
                <w:sz w:val="21"/>
                <w:szCs w:val="21"/>
              </w:rPr>
            </w:pPr>
            <w:r>
              <w:rPr>
                <w:rFonts w:ascii="宋体" w:hAnsi="宋体" w:cs="宋体" w:eastAsia="宋体" w:hint="default"/>
                <w:sz w:val="21"/>
                <w:szCs w:val="21"/>
              </w:rPr>
              <w:t>户系统进行交互并完成预期的任务，实现工作流</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程中的自动化。</w:t>
            </w:r>
          </w:p>
        </w:tc>
      </w:tr>
      <w:tr>
        <w:trPr>
          <w:trHeight w:val="828"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tabs>
                <w:tab w:pos="537" w:val="left" w:leader="none"/>
              </w:tabs>
              <w:spacing w:line="242" w:lineRule="exact"/>
              <w:ind w:left="103" w:right="0"/>
              <w:jc w:val="left"/>
              <w:rPr>
                <w:rFonts w:ascii="宋体" w:hAnsi="宋体" w:cs="宋体" w:eastAsia="宋体" w:hint="default"/>
                <w:sz w:val="21"/>
                <w:szCs w:val="21"/>
              </w:rPr>
            </w:pPr>
            <w:r>
              <w:rPr>
                <w:rFonts w:ascii="Calibri" w:hAnsi="Calibri" w:cs="Calibri" w:eastAsia="Calibri" w:hint="default"/>
                <w:spacing w:val="-1"/>
                <w:sz w:val="21"/>
                <w:szCs w:val="21"/>
              </w:rPr>
              <w:t>PB</w:t>
              <w:tab/>
              <w:t>(Prime</w:t>
            </w:r>
            <w:r>
              <w:rPr>
                <w:rFonts w:ascii="Calibri" w:hAnsi="Calibri" w:cs="Calibri" w:eastAsia="Calibri" w:hint="default"/>
                <w:spacing w:val="16"/>
                <w:sz w:val="21"/>
                <w:szCs w:val="21"/>
              </w:rPr>
              <w:t> </w:t>
            </w:r>
            <w:r>
              <w:rPr>
                <w:rFonts w:ascii="Calibri" w:hAnsi="Calibri" w:cs="Calibri" w:eastAsia="Calibri" w:hint="default"/>
                <w:spacing w:val="-7"/>
                <w:sz w:val="21"/>
                <w:szCs w:val="21"/>
              </w:rPr>
              <w:t>Broker</w:t>
            </w:r>
            <w:r>
              <w:rPr>
                <w:rFonts w:ascii="宋体" w:hAnsi="宋体" w:cs="宋体" w:eastAsia="宋体" w:hint="default"/>
                <w:spacing w:val="-7"/>
                <w:sz w:val="21"/>
                <w:szCs w:val="21"/>
              </w:rPr>
              <w:t>，主经纪</w:t>
            </w:r>
          </w:p>
          <w:p>
            <w:pPr>
              <w:pStyle w:val="TableParagraph"/>
              <w:spacing w:line="28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商业务</w:t>
            </w:r>
            <w:r>
              <w:rPr>
                <w:rFonts w:ascii="Calibri" w:hAnsi="Calibri" w:cs="Calibri" w:eastAsia="Calibri" w:hint="default"/>
                <w:sz w:val="21"/>
                <w:szCs w:val="21"/>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向高端机构客户提供集中托管清算、后台运营、</w:t>
            </w:r>
          </w:p>
          <w:p>
            <w:pPr>
              <w:pStyle w:val="TableParagraph"/>
              <w:spacing w:line="272" w:lineRule="exact" w:before="27"/>
              <w:ind w:left="100" w:right="106"/>
              <w:jc w:val="left"/>
              <w:rPr>
                <w:rFonts w:ascii="宋体" w:hAnsi="宋体" w:cs="宋体" w:eastAsia="宋体" w:hint="default"/>
                <w:sz w:val="21"/>
                <w:szCs w:val="21"/>
              </w:rPr>
            </w:pPr>
            <w:r>
              <w:rPr>
                <w:rFonts w:ascii="宋体" w:hAnsi="宋体" w:cs="宋体" w:eastAsia="宋体" w:hint="default"/>
                <w:sz w:val="21"/>
                <w:szCs w:val="21"/>
              </w:rPr>
              <w:t>研究支持、杠杆融资、证券拆借、资金募集等一</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站式综合金融服务的统称。</w:t>
            </w:r>
          </w:p>
        </w:tc>
      </w:tr>
      <w:tr>
        <w:trPr>
          <w:trHeight w:val="1100"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7"/>
              <w:ind w:left="103" w:right="99"/>
              <w:jc w:val="both"/>
              <w:rPr>
                <w:rFonts w:ascii="Calibri" w:hAnsi="Calibri" w:cs="Calibri" w:eastAsia="Calibri" w:hint="default"/>
                <w:sz w:val="21"/>
                <w:szCs w:val="21"/>
              </w:rPr>
            </w:pPr>
            <w:r>
              <w:rPr>
                <w:rFonts w:ascii="Calibri" w:hAnsi="Calibri" w:cs="Calibri" w:eastAsia="Calibri" w:hint="default"/>
                <w:sz w:val="21"/>
                <w:szCs w:val="21"/>
              </w:rPr>
              <w:t>ECIF(Enterprise</w:t>
            </w:r>
            <w:r>
              <w:rPr>
                <w:rFonts w:ascii="Calibri" w:hAnsi="Calibri" w:cs="Calibri" w:eastAsia="Calibri" w:hint="default"/>
                <w:spacing w:val="18"/>
                <w:sz w:val="21"/>
                <w:szCs w:val="21"/>
              </w:rPr>
              <w:t> </w:t>
            </w:r>
            <w:r>
              <w:rPr>
                <w:rFonts w:ascii="Calibri" w:hAnsi="Calibri" w:cs="Calibri" w:eastAsia="Calibri" w:hint="default"/>
                <w:sz w:val="21"/>
                <w:szCs w:val="21"/>
              </w:rPr>
              <w:t>Customer</w:t>
            </w:r>
            <w:r>
              <w:rPr>
                <w:rFonts w:ascii="Calibri" w:hAnsi="Calibri" w:cs="Calibri" w:eastAsia="Calibri" w:hint="default"/>
                <w:w w:val="100"/>
                <w:sz w:val="21"/>
                <w:szCs w:val="21"/>
              </w:rPr>
              <w:t> </w:t>
            </w:r>
            <w:r>
              <w:rPr>
                <w:rFonts w:ascii="Calibri" w:hAnsi="Calibri" w:cs="Calibri" w:eastAsia="Calibri" w:hint="default"/>
                <w:spacing w:val="-2"/>
                <w:w w:val="100"/>
                <w:sz w:val="21"/>
                <w:szCs w:val="21"/>
              </w:rPr>
              <w:t>Information</w:t>
            </w:r>
            <w:r>
              <w:rPr>
                <w:rFonts w:ascii="Calibri" w:hAnsi="Calibri" w:cs="Calibri" w:eastAsia="Calibri" w:hint="default"/>
                <w:spacing w:val="8"/>
                <w:w w:val="100"/>
                <w:sz w:val="21"/>
                <w:szCs w:val="21"/>
              </w:rPr>
              <w:t> </w:t>
            </w:r>
            <w:r>
              <w:rPr>
                <w:rFonts w:ascii="Calibri" w:hAnsi="Calibri" w:cs="Calibri" w:eastAsia="Calibri" w:hint="default"/>
                <w:spacing w:val="-9"/>
                <w:w w:val="100"/>
                <w:sz w:val="21"/>
                <w:szCs w:val="21"/>
              </w:rPr>
              <w:t>Facility</w:t>
            </w:r>
            <w:r>
              <w:rPr>
                <w:rFonts w:ascii="宋体" w:hAnsi="宋体" w:cs="宋体" w:eastAsia="宋体" w:hint="default"/>
                <w:spacing w:val="-9"/>
                <w:w w:val="100"/>
                <w:sz w:val="21"/>
                <w:szCs w:val="21"/>
              </w:rPr>
              <w:t>，企业级</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客户信息工厂</w:t>
            </w:r>
            <w:r>
              <w:rPr>
                <w:rFonts w:ascii="Calibri" w:hAnsi="Calibri" w:cs="Calibri" w:eastAsia="Calibri" w:hint="default"/>
                <w:sz w:val="21"/>
                <w:szCs w:val="21"/>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both"/>
              <w:rPr>
                <w:rFonts w:ascii="宋体" w:hAnsi="宋体" w:cs="宋体" w:eastAsia="宋体" w:hint="default"/>
                <w:sz w:val="21"/>
                <w:szCs w:val="21"/>
              </w:rPr>
            </w:pPr>
            <w:r>
              <w:rPr>
                <w:rFonts w:ascii="宋体" w:hAnsi="宋体" w:cs="宋体" w:eastAsia="宋体" w:hint="default"/>
                <w:sz w:val="21"/>
                <w:szCs w:val="21"/>
              </w:rPr>
              <w:t>对企业将分散在各个系统当中的信息进行归纳和</w:t>
            </w:r>
          </w:p>
          <w:p>
            <w:pPr>
              <w:pStyle w:val="TableParagraph"/>
              <w:spacing w:line="237" w:lineRule="auto" w:before="2"/>
              <w:ind w:left="100" w:right="106"/>
              <w:jc w:val="both"/>
              <w:rPr>
                <w:rFonts w:ascii="宋体" w:hAnsi="宋体" w:cs="宋体" w:eastAsia="宋体" w:hint="default"/>
                <w:sz w:val="21"/>
                <w:szCs w:val="21"/>
              </w:rPr>
            </w:pPr>
            <w:r>
              <w:rPr>
                <w:rFonts w:ascii="宋体" w:hAnsi="宋体" w:cs="宋体" w:eastAsia="宋体" w:hint="default"/>
                <w:sz w:val="21"/>
                <w:szCs w:val="21"/>
              </w:rPr>
              <w:t>整理，对客户信息进行整合、规范、统一存储，</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形成集中、全面的客户信息，并在企业范围内共</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享的基础系统。</w:t>
            </w:r>
          </w:p>
        </w:tc>
      </w:tr>
    </w:tbl>
    <w:p>
      <w:pPr>
        <w:spacing w:after="0" w:line="237" w:lineRule="auto"/>
        <w:jc w:val="both"/>
        <w:rPr>
          <w:rFonts w:ascii="宋体" w:hAnsi="宋体" w:cs="宋体" w:eastAsia="宋体" w:hint="default"/>
          <w:sz w:val="21"/>
          <w:szCs w:val="21"/>
        </w:rPr>
        <w:sectPr>
          <w:pgSz w:w="11910" w:h="16840"/>
          <w:pgMar w:header="880"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717" w:val="left" w:leader="none"/>
        </w:tabs>
        <w:spacing w:line="240" w:lineRule="auto" w:before="184"/>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4"/>
        <w:spacing w:line="240" w:lineRule="auto" w:before="36"/>
        <w:ind w:right="227"/>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福建顶点软件股份有限公司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顶点软件</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Fujian Apex Software</w:t>
            </w:r>
            <w:r>
              <w:rPr>
                <w:rFonts w:ascii="宋体"/>
                <w:spacing w:val="-2"/>
                <w:sz w:val="21"/>
              </w:rPr>
              <w:t> </w:t>
            </w:r>
            <w:r>
              <w:rPr>
                <w:rFonts w:ascii="宋体"/>
                <w:sz w:val="21"/>
              </w:rPr>
              <w:t>Co.,LTD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Apex</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严孟宇</w:t>
            </w:r>
          </w:p>
        </w:tc>
      </w:tr>
    </w:tbl>
    <w:p>
      <w:pPr>
        <w:spacing w:line="240" w:lineRule="auto" w:before="13"/>
        <w:rPr>
          <w:rFonts w:ascii="宋体" w:hAnsi="宋体" w:cs="宋体" w:eastAsia="宋体" w:hint="default"/>
          <w:b/>
          <w:bCs/>
          <w:sz w:val="19"/>
          <w:szCs w:val="19"/>
        </w:rPr>
      </w:pPr>
    </w:p>
    <w:p>
      <w:pPr>
        <w:pStyle w:val="Heading4"/>
        <w:spacing w:line="240" w:lineRule="auto" w:before="36"/>
        <w:ind w:right="227"/>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赵伟</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吴晶晶</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福州市软件大道</w:t>
            </w:r>
            <w:r>
              <w:rPr>
                <w:rFonts w:ascii="宋体" w:hAnsi="宋体" w:cs="宋体" w:eastAsia="宋体" w:hint="default"/>
                <w:sz w:val="21"/>
                <w:szCs w:val="21"/>
              </w:rPr>
              <w:t>89</w:t>
            </w:r>
            <w:r>
              <w:rPr>
                <w:rFonts w:ascii="宋体" w:hAnsi="宋体" w:cs="宋体" w:eastAsia="宋体" w:hint="default"/>
                <w:sz w:val="21"/>
                <w:szCs w:val="21"/>
              </w:rPr>
              <w:t>号软件园</w:t>
            </w:r>
            <w:r>
              <w:rPr>
                <w:rFonts w:ascii="宋体" w:hAnsi="宋体" w:cs="宋体" w:eastAsia="宋体" w:hint="default"/>
                <w:sz w:val="21"/>
                <w:szCs w:val="21"/>
              </w:rPr>
              <w:t>13</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号楼</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福州市软件大道</w:t>
            </w:r>
            <w:r>
              <w:rPr>
                <w:rFonts w:ascii="宋体" w:hAnsi="宋体" w:cs="宋体" w:eastAsia="宋体" w:hint="default"/>
                <w:sz w:val="21"/>
                <w:szCs w:val="21"/>
              </w:rPr>
              <w:t>89</w:t>
            </w:r>
            <w:r>
              <w:rPr>
                <w:rFonts w:ascii="宋体" w:hAnsi="宋体" w:cs="宋体" w:eastAsia="宋体" w:hint="default"/>
                <w:sz w:val="21"/>
                <w:szCs w:val="21"/>
              </w:rPr>
              <w:t>号软件园</w:t>
            </w:r>
            <w:r>
              <w:rPr>
                <w:rFonts w:ascii="宋体" w:hAnsi="宋体" w:cs="宋体" w:eastAsia="宋体" w:hint="default"/>
                <w:sz w:val="21"/>
                <w:szCs w:val="21"/>
              </w:rPr>
              <w:t>13</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号楼</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0591-88267679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0591-88267679</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0591-87861155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0591-87861155</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7">
              <w:r>
                <w:rPr>
                  <w:rFonts w:ascii="宋体"/>
                  <w:sz w:val="21"/>
                </w:rPr>
                <w:t>apex@apexsoft.com.cn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7">
              <w:r>
                <w:rPr>
                  <w:rFonts w:ascii="宋体"/>
                  <w:sz w:val="21"/>
                </w:rPr>
                <w:t>apex@apexsoft.com.cn</w:t>
              </w:r>
            </w:hyperlink>
          </w:p>
        </w:tc>
      </w:tr>
    </w:tbl>
    <w:p>
      <w:pPr>
        <w:spacing w:line="240" w:lineRule="auto" w:before="2"/>
        <w:rPr>
          <w:rFonts w:ascii="宋体" w:hAnsi="宋体" w:cs="宋体" w:eastAsia="宋体" w:hint="default"/>
          <w:b/>
          <w:bCs/>
          <w:sz w:val="20"/>
          <w:szCs w:val="20"/>
        </w:rPr>
      </w:pPr>
    </w:p>
    <w:p>
      <w:pPr>
        <w:pStyle w:val="Heading4"/>
        <w:spacing w:line="240" w:lineRule="auto" w:before="36"/>
        <w:ind w:right="227"/>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福建省福州市鼓楼区铜盘路软件大道</w:t>
            </w:r>
            <w:r>
              <w:rPr>
                <w:rFonts w:ascii="宋体" w:hAnsi="宋体" w:cs="宋体" w:eastAsia="宋体" w:hint="default"/>
                <w:sz w:val="21"/>
                <w:szCs w:val="21"/>
              </w:rPr>
              <w:t>89</w:t>
            </w:r>
            <w:r>
              <w:rPr>
                <w:rFonts w:ascii="宋体" w:hAnsi="宋体" w:cs="宋体" w:eastAsia="宋体" w:hint="default"/>
                <w:sz w:val="21"/>
                <w:szCs w:val="21"/>
              </w:rPr>
              <w:t>号</w:t>
            </w:r>
            <w:r>
              <w:rPr>
                <w:rFonts w:ascii="宋体" w:hAnsi="宋体" w:cs="宋体" w:eastAsia="宋体" w:hint="default"/>
                <w:sz w:val="21"/>
                <w:szCs w:val="21"/>
              </w:rPr>
              <w:t>A</w:t>
            </w:r>
            <w:r>
              <w:rPr>
                <w:rFonts w:ascii="宋体" w:hAnsi="宋体" w:cs="宋体" w:eastAsia="宋体" w:hint="default"/>
                <w:sz w:val="21"/>
                <w:szCs w:val="21"/>
              </w:rPr>
              <w:t>区</w:t>
            </w:r>
            <w:r>
              <w:rPr>
                <w:rFonts w:ascii="宋体" w:hAnsi="宋体" w:cs="宋体" w:eastAsia="宋体" w:hint="default"/>
                <w:sz w:val="21"/>
                <w:szCs w:val="21"/>
              </w:rPr>
              <w:t>13</w:t>
            </w:r>
            <w:r>
              <w:rPr>
                <w:rFonts w:ascii="宋体" w:hAnsi="宋体" w:cs="宋体" w:eastAsia="宋体" w:hint="default"/>
                <w:sz w:val="21"/>
                <w:szCs w:val="21"/>
              </w:rPr>
              <w:t>号楼</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350003</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福建省福州市鼓楼区铜盘路软件大道</w:t>
            </w:r>
            <w:r>
              <w:rPr>
                <w:rFonts w:ascii="宋体" w:hAnsi="宋体" w:cs="宋体" w:eastAsia="宋体" w:hint="default"/>
                <w:sz w:val="21"/>
                <w:szCs w:val="21"/>
              </w:rPr>
              <w:t>89</w:t>
            </w:r>
            <w:r>
              <w:rPr>
                <w:rFonts w:ascii="宋体" w:hAnsi="宋体" w:cs="宋体" w:eastAsia="宋体" w:hint="default"/>
                <w:sz w:val="21"/>
                <w:szCs w:val="21"/>
              </w:rPr>
              <w:t>号</w:t>
            </w:r>
            <w:r>
              <w:rPr>
                <w:rFonts w:ascii="宋体" w:hAnsi="宋体" w:cs="宋体" w:eastAsia="宋体" w:hint="default"/>
                <w:sz w:val="21"/>
                <w:szCs w:val="21"/>
              </w:rPr>
              <w:t>A</w:t>
            </w:r>
            <w:r>
              <w:rPr>
                <w:rFonts w:ascii="宋体" w:hAnsi="宋体" w:cs="宋体" w:eastAsia="宋体" w:hint="default"/>
                <w:sz w:val="21"/>
                <w:szCs w:val="21"/>
              </w:rPr>
              <w:t>区</w:t>
            </w:r>
            <w:r>
              <w:rPr>
                <w:rFonts w:ascii="宋体" w:hAnsi="宋体" w:cs="宋体" w:eastAsia="宋体" w:hint="default"/>
                <w:sz w:val="21"/>
                <w:szCs w:val="21"/>
              </w:rPr>
              <w:t>13</w:t>
            </w:r>
            <w:r>
              <w:rPr>
                <w:rFonts w:ascii="宋体" w:hAnsi="宋体" w:cs="宋体" w:eastAsia="宋体" w:hint="default"/>
                <w:sz w:val="21"/>
                <w:szCs w:val="21"/>
              </w:rPr>
              <w:t>号楼</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350003</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https:</w:t>
            </w:r>
            <w:hyperlink r:id="rId8">
              <w:r>
                <w:rPr>
                  <w:rFonts w:ascii="宋体"/>
                  <w:sz w:val="21"/>
                </w:rPr>
                <w:t>//www.apexsoft.c</w:t>
              </w:r>
            </w:hyperlink>
            <w:r>
              <w:rPr>
                <w:rFonts w:ascii="宋体"/>
                <w:sz w:val="21"/>
              </w:rPr>
              <w:t>o</w:t>
            </w:r>
            <w:hyperlink r:id="rId8">
              <w:r>
                <w:rPr>
                  <w:rFonts w:ascii="宋体"/>
                  <w:sz w:val="21"/>
                </w:rPr>
                <w:t>m.cn</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7">
              <w:r>
                <w:rPr>
                  <w:rFonts w:ascii="宋体"/>
                  <w:sz w:val="21"/>
                </w:rPr>
                <w:t>apex@apexsoft.com.cn</w:t>
              </w:r>
            </w:hyperlink>
          </w:p>
        </w:tc>
      </w:tr>
    </w:tbl>
    <w:p>
      <w:pPr>
        <w:spacing w:line="240" w:lineRule="auto" w:before="12"/>
        <w:rPr>
          <w:rFonts w:ascii="宋体" w:hAnsi="宋体" w:cs="宋体" w:eastAsia="宋体" w:hint="default"/>
          <w:b/>
          <w:bCs/>
          <w:sz w:val="19"/>
          <w:szCs w:val="19"/>
        </w:rPr>
      </w:pPr>
    </w:p>
    <w:p>
      <w:pPr>
        <w:pStyle w:val="Heading4"/>
        <w:spacing w:line="240" w:lineRule="auto" w:before="36"/>
        <w:ind w:right="227"/>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9">
              <w:r>
                <w:rPr>
                  <w:rFonts w:ascii="宋体" w:hAnsi="宋体" w:cs="宋体" w:eastAsia="宋体" w:hint="default"/>
                  <w:sz w:val="21"/>
                  <w:szCs w:val="21"/>
                </w:rPr>
                <w:t>www.sse.com.cn</w:t>
              </w:r>
            </w:hyperlink>
          </w:p>
        </w:tc>
      </w:tr>
      <w:tr>
        <w:trPr>
          <w:trHeight w:val="55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福建省福州市软件大道</w:t>
            </w:r>
            <w:r>
              <w:rPr>
                <w:rFonts w:ascii="宋体" w:hAnsi="宋体" w:cs="宋体" w:eastAsia="宋体" w:hint="default"/>
                <w:sz w:val="21"/>
                <w:szCs w:val="21"/>
              </w:rPr>
              <w:t>89</w:t>
            </w:r>
            <w:r>
              <w:rPr>
                <w:rFonts w:ascii="宋体" w:hAnsi="宋体" w:cs="宋体" w:eastAsia="宋体" w:hint="default"/>
                <w:sz w:val="21"/>
                <w:szCs w:val="21"/>
              </w:rPr>
              <w:t>号软件园</w:t>
            </w:r>
            <w:r>
              <w:rPr>
                <w:rFonts w:ascii="宋体" w:hAnsi="宋体" w:cs="宋体" w:eastAsia="宋体" w:hint="default"/>
                <w:sz w:val="21"/>
                <w:szCs w:val="21"/>
              </w:rPr>
              <w:t>13</w:t>
            </w:r>
            <w:r>
              <w:rPr>
                <w:rFonts w:ascii="宋体" w:hAnsi="宋体" w:cs="宋体" w:eastAsia="宋体" w:hint="default"/>
                <w:sz w:val="21"/>
                <w:szCs w:val="21"/>
              </w:rPr>
              <w:t>号楼顶点软件</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董事会办公室</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before="36"/>
        <w:ind w:right="227"/>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顶点软件</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603383</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2"/>
        <w:rPr>
          <w:rFonts w:ascii="宋体" w:hAnsi="宋体" w:cs="宋体" w:eastAsia="宋体" w:hint="default"/>
          <w:b/>
          <w:bCs/>
          <w:sz w:val="19"/>
          <w:szCs w:val="19"/>
        </w:rPr>
      </w:pPr>
    </w:p>
    <w:p>
      <w:pPr>
        <w:pStyle w:val="Heading4"/>
        <w:spacing w:line="240" w:lineRule="auto" w:before="36"/>
        <w:ind w:right="227"/>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35"/>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557"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福建省福州市台江区祥板路口阳光城时代广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场</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楼</w:t>
            </w:r>
          </w:p>
        </w:tc>
      </w:tr>
    </w:tbl>
    <w:p>
      <w:pPr>
        <w:spacing w:after="0" w:line="273"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4" w:hRule="exact"/>
        </w:trPr>
        <w:tc>
          <w:tcPr>
            <w:tcW w:w="2993"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殷雪芳、孙风华</w:t>
            </w: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东方花旗证券有限公司</w:t>
            </w:r>
          </w:p>
        </w:tc>
      </w:tr>
      <w:tr>
        <w:trPr>
          <w:trHeight w:val="281"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上海市黄浦区中山南路</w:t>
            </w:r>
            <w:r>
              <w:rPr>
                <w:rFonts w:ascii="宋体" w:hAnsi="宋体" w:cs="宋体" w:eastAsia="宋体" w:hint="default"/>
                <w:spacing w:val="-54"/>
                <w:sz w:val="21"/>
                <w:szCs w:val="21"/>
              </w:rPr>
              <w:t> </w:t>
            </w:r>
            <w:r>
              <w:rPr>
                <w:rFonts w:ascii="宋体" w:hAnsi="宋体" w:cs="宋体" w:eastAsia="宋体" w:hint="default"/>
                <w:sz w:val="21"/>
                <w:szCs w:val="21"/>
              </w:rPr>
              <w:t>318</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郑睿、郝智明</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2017.5.22-2019.12.31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80" w:footer="1195" w:top="1120" w:bottom="1380" w:left="1580" w:right="1040"/>
        </w:sectPr>
      </w:pPr>
    </w:p>
    <w:p>
      <w:pPr>
        <w:pStyle w:val="Heading4"/>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56"/>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5"/>
        <w:gridCol w:w="1896"/>
        <w:gridCol w:w="1896"/>
        <w:gridCol w:w="848"/>
        <w:gridCol w:w="1685"/>
      </w:tblGrid>
      <w:tr>
        <w:trPr>
          <w:trHeight w:val="1099"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727"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before="2"/>
              <w:ind w:left="103" w:right="99"/>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295,522,213.41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243,776,725.70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204,692,488.71</w:t>
            </w:r>
          </w:p>
        </w:tc>
      </w:tr>
      <w:tr>
        <w:trPr>
          <w:trHeight w:val="5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119,777,157.54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101,908,339.29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17.53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70,481,586.16</w:t>
            </w:r>
          </w:p>
        </w:tc>
      </w:tr>
      <w:tr>
        <w:trPr>
          <w:trHeight w:val="5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归属于上市公司股东的扣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95,349,207.94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87,646,870.42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69,789,385.59</w:t>
            </w:r>
          </w:p>
        </w:tc>
      </w:tr>
      <w:tr>
        <w:trPr>
          <w:trHeight w:val="5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92,652,549.41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103,665,536.19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-10.62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95,193,528.98</w:t>
            </w:r>
          </w:p>
        </w:tc>
      </w:tr>
      <w:tr>
        <w:trPr>
          <w:trHeight w:val="1373" w:hRule="exact"/>
        </w:trPr>
        <w:tc>
          <w:tcPr>
            <w:tcW w:w="272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增减（</w:t>
            </w:r>
            <w:r>
              <w:rPr>
                <w:rFonts w:ascii="宋体" w:hAnsi="宋体" w:cs="宋体" w:eastAsia="宋体" w:hint="default"/>
                <w:spacing w:val="-27"/>
                <w:w w:val="100"/>
                <w:sz w:val="21"/>
                <w:szCs w:val="21"/>
              </w:rPr>
              <w:t>%</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5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1,037,172,799.13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937,731,287.09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471,932,078.73</w:t>
            </w:r>
          </w:p>
        </w:tc>
      </w:tr>
      <w:tr>
        <w:trPr>
          <w:trHeight w:val="295"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1,237,667,044.24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1,158,203,046.86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631,376,776.26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1057" w:val="left" w:leader="none"/>
        </w:tabs>
        <w:spacing w:line="240" w:lineRule="auto" w:before="36"/>
        <w:ind w:right="22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-10.62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0.80</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0.96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4.17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0.80</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-17.53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13.63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1.45</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16.14</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2.02</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15.98</w:t>
            </w:r>
          </w:p>
        </w:tc>
      </w:tr>
    </w:tbl>
    <w:p>
      <w:pPr>
        <w:spacing w:line="240" w:lineRule="auto" w:before="5"/>
        <w:rPr>
          <w:rFonts w:ascii="宋体" w:hAnsi="宋体" w:cs="宋体" w:eastAsia="宋体" w:hint="default"/>
          <w:b/>
          <w:bCs/>
          <w:sz w:val="15"/>
          <w:szCs w:val="15"/>
        </w:rPr>
      </w:pPr>
    </w:p>
    <w:p>
      <w:pPr>
        <w:pStyle w:val="BodyText"/>
        <w:spacing w:line="274" w:lineRule="exact" w:before="36"/>
        <w:ind w:right="227"/>
        <w:jc w:val="left"/>
      </w:pPr>
      <w:r>
        <w:rPr/>
        <w:t>报告期末公司前三年主要会计数据和财务指标的说明</w:t>
      </w:r>
    </w:p>
    <w:p>
      <w:pPr>
        <w:pStyle w:val="BodyText"/>
        <w:spacing w:line="274" w:lineRule="exact"/>
        <w:ind w:right="227"/>
        <w:jc w:val="left"/>
      </w:pPr>
      <w:r>
        <w:rPr/>
        <w:t>□适用</w:t>
      </w:r>
      <w:r>
        <w:rPr>
          <w:spacing w:val="-1"/>
        </w:rPr>
        <w:t> </w:t>
      </w:r>
      <w:r>
        <w:rPr/>
        <w:t>√不适用</w:t>
      </w:r>
    </w:p>
    <w:p>
      <w:pPr>
        <w:spacing w:after="0" w:line="274"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4"/>
        <w:spacing w:line="240" w:lineRule="auto" w:before="36"/>
        <w:ind w:right="227"/>
        <w:jc w:val="left"/>
        <w:rPr>
          <w:b w:val="0"/>
          <w:bCs w:val="0"/>
        </w:rPr>
      </w:pPr>
      <w:r>
        <w:rPr/>
        <w:t>八、</w:t>
      </w:r>
      <w:r>
        <w:rPr>
          <w:spacing w:val="-32"/>
        </w:rPr>
        <w:t> </w:t>
      </w:r>
      <w:r>
        <w:rPr/>
        <w:t>境内外会计准则下会计数据差异</w:t>
      </w:r>
      <w:r>
        <w:rPr>
          <w:b w:val="0"/>
          <w:bCs w:val="0"/>
        </w:rPr>
      </w:r>
    </w:p>
    <w:p>
      <w:pPr>
        <w:pStyle w:val="Heading4"/>
        <w:spacing w:line="272" w:lineRule="exact" w:before="86"/>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right="227"/>
        <w:jc w:val="left"/>
      </w:pPr>
      <w:r>
        <w:rPr/>
        <w:t>□适用</w:t>
      </w:r>
      <w:r>
        <w:rPr>
          <w:spacing w:val="-1"/>
        </w:rPr>
        <w:t> </w:t>
      </w:r>
      <w:r>
        <w:rPr/>
        <w:t>√不适用</w:t>
      </w:r>
    </w:p>
    <w:p>
      <w:pPr>
        <w:pStyle w:val="Heading4"/>
        <w:spacing w:line="274" w:lineRule="exact" w:before="82"/>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right="227"/>
        <w:jc w:val="left"/>
      </w:pPr>
      <w:r>
        <w:rPr/>
        <w:t>□适用</w:t>
      </w:r>
      <w:r>
        <w:rPr>
          <w:spacing w:val="-1"/>
        </w:rPr>
        <w:t> </w:t>
      </w:r>
      <w:r>
        <w:rPr/>
        <w:t>√不适用</w:t>
      </w:r>
    </w:p>
    <w:p>
      <w:pPr>
        <w:pStyle w:val="Heading4"/>
        <w:spacing w:line="240" w:lineRule="auto" w:before="58"/>
        <w:ind w:right="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29"/>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before="36"/>
        <w:ind w:right="227"/>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702"/>
        <w:gridCol w:w="1702"/>
        <w:gridCol w:w="1702"/>
        <w:gridCol w:w="1709"/>
      </w:tblGrid>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8" w:right="0"/>
              <w:jc w:val="left"/>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left="38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29,065,193.90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80,327,772.48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58,100,047.21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128,029,199.82</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2,996,597.40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33,287,348.46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19,689,572.82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63,803,638.86</w:t>
            </w:r>
          </w:p>
        </w:tc>
      </w:tr>
      <w:tr>
        <w:trPr>
          <w:trHeight w:val="82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2"/>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后的净利润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-3,027,515.84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27,340,463.80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13,627,467.14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57,408,792.84</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-38,549,809.91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-4,293,423.16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2,780,674.37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132,715,108.11</w:t>
            </w:r>
          </w:p>
        </w:tc>
      </w:tr>
    </w:tbl>
    <w:p>
      <w:pPr>
        <w:spacing w:line="240" w:lineRule="auto" w:before="5"/>
        <w:rPr>
          <w:rFonts w:ascii="宋体" w:hAnsi="宋体" w:cs="宋体" w:eastAsia="宋体" w:hint="default"/>
          <w:sz w:val="15"/>
          <w:szCs w:val="15"/>
        </w:rPr>
      </w:pPr>
    </w:p>
    <w:p>
      <w:pPr>
        <w:pStyle w:val="BodyText"/>
        <w:spacing w:line="274" w:lineRule="exact" w:before="36"/>
        <w:ind w:right="227"/>
        <w:jc w:val="left"/>
      </w:pPr>
      <w:r>
        <w:rPr/>
        <w:t>季度数据与已披露定期报告数据差异说明</w:t>
      </w:r>
    </w:p>
    <w:p>
      <w:pPr>
        <w:pStyle w:val="BodyText"/>
        <w:tabs>
          <w:tab w:pos="1060" w:val="left" w:leader="none"/>
        </w:tabs>
        <w:spacing w:line="274" w:lineRule="exact"/>
        <w:ind w:right="2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4"/>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87"/>
        <w:gridCol w:w="1582"/>
        <w:gridCol w:w="1128"/>
        <w:gridCol w:w="1582"/>
        <w:gridCol w:w="1370"/>
      </w:tblGrid>
      <w:tr>
        <w:trPr>
          <w:trHeight w:val="55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18,482.77</w:t>
            </w: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4,217.94</w:t>
            </w:r>
          </w:p>
        </w:tc>
      </w:tr>
      <w:tr>
        <w:trPr>
          <w:trHeight w:val="555"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w:t>
            </w:r>
          </w:p>
          <w:p>
            <w:pPr>
              <w:pStyle w:val="TableParagraph"/>
              <w:spacing w:line="237" w:lineRule="auto" w:before="2"/>
              <w:ind w:left="103" w:right="118"/>
              <w:jc w:val="both"/>
              <w:rPr>
                <w:rFonts w:ascii="宋体" w:hAnsi="宋体" w:cs="宋体" w:eastAsia="宋体" w:hint="default"/>
                <w:sz w:val="21"/>
                <w:szCs w:val="21"/>
              </w:rPr>
            </w:pPr>
            <w:r>
              <w:rPr>
                <w:rFonts w:ascii="宋体" w:hAnsi="宋体" w:cs="宋体" w:eastAsia="宋体" w:hint="default"/>
                <w:spacing w:val="-2"/>
                <w:sz w:val="21"/>
                <w:szCs w:val="21"/>
              </w:rPr>
              <w:t>司正常经营业务密切相关，符合国</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家政策规定、按照一定标准定额或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定量持续享受的政府补助除外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3,659,082.00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3,418,575.00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943,365.00</w:t>
            </w:r>
          </w:p>
        </w:tc>
      </w:tr>
      <w:tr>
        <w:trPr>
          <w:trHeight w:val="55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的资金占用费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w:t>
            </w:r>
          </w:p>
          <w:p>
            <w:pPr>
              <w:pStyle w:val="TableParagraph"/>
              <w:spacing w:line="237" w:lineRule="auto" w:before="2"/>
              <w:ind w:left="103" w:right="118"/>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享有被投资单位可辨认净资产公允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价值产生的收益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87"/>
        <w:gridCol w:w="1582"/>
        <w:gridCol w:w="1128"/>
        <w:gridCol w:w="1582"/>
        <w:gridCol w:w="1370"/>
      </w:tblGrid>
      <w:tr>
        <w:trPr>
          <w:trHeight w:val="28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重</w:t>
            </w:r>
            <w:r>
              <w:rPr>
                <w:rFonts w:ascii="宋体" w:hAnsi="宋体" w:cs="宋体" w:eastAsia="宋体" w:hint="default"/>
                <w:w w:val="100"/>
                <w:sz w:val="21"/>
                <w:szCs w:val="21"/>
              </w:rPr>
              <w:t>组</w:t>
            </w:r>
            <w:r>
              <w:rPr>
                <w:rFonts w:ascii="宋体" w:hAnsi="宋体" w:cs="宋体" w:eastAsia="宋体" w:hint="default"/>
                <w:spacing w:val="-3"/>
                <w:w w:val="100"/>
                <w:sz w:val="21"/>
                <w:szCs w:val="21"/>
              </w:rPr>
              <w:t>费</w:t>
            </w:r>
            <w:r>
              <w:rPr>
                <w:rFonts w:ascii="宋体" w:hAnsi="宋体" w:cs="宋体" w:eastAsia="宋体" w:hint="default"/>
                <w:w w:val="100"/>
                <w:sz w:val="21"/>
                <w:szCs w:val="21"/>
              </w:rPr>
              <w:t>用</w:t>
            </w:r>
            <w:r>
              <w:rPr>
                <w:rFonts w:ascii="宋体" w:hAnsi="宋体" w:cs="宋体" w:eastAsia="宋体" w:hint="default"/>
                <w:spacing w:val="-87"/>
                <w:w w:val="100"/>
                <w:sz w:val="21"/>
                <w:szCs w:val="21"/>
              </w:rPr>
              <w:t>，</w:t>
            </w:r>
            <w:r>
              <w:rPr>
                <w:rFonts w:ascii="宋体" w:hAnsi="宋体" w:cs="宋体" w:eastAsia="宋体" w:hint="default"/>
                <w:w w:val="100"/>
                <w:sz w:val="21"/>
                <w:szCs w:val="21"/>
              </w:rPr>
              <w:t>如</w:t>
            </w:r>
            <w:r>
              <w:rPr>
                <w:rFonts w:ascii="宋体" w:hAnsi="宋体" w:cs="宋体" w:eastAsia="宋体" w:hint="default"/>
                <w:spacing w:val="-3"/>
                <w:w w:val="100"/>
                <w:sz w:val="21"/>
                <w:szCs w:val="21"/>
              </w:rPr>
              <w:t>安</w:t>
            </w:r>
            <w:r>
              <w:rPr>
                <w:rFonts w:ascii="宋体" w:hAnsi="宋体" w:cs="宋体" w:eastAsia="宋体" w:hint="default"/>
                <w:w w:val="100"/>
                <w:sz w:val="21"/>
                <w:szCs w:val="21"/>
              </w:rPr>
              <w:t>置</w:t>
            </w:r>
            <w:r>
              <w:rPr>
                <w:rFonts w:ascii="宋体" w:hAnsi="宋体" w:cs="宋体" w:eastAsia="宋体" w:hint="default"/>
                <w:spacing w:val="-3"/>
                <w:w w:val="100"/>
                <w:sz w:val="21"/>
                <w:szCs w:val="21"/>
              </w:rPr>
              <w:t>职工</w:t>
            </w:r>
            <w:r>
              <w:rPr>
                <w:rFonts w:ascii="宋体" w:hAnsi="宋体" w:cs="宋体" w:eastAsia="宋体" w:hint="default"/>
                <w:w w:val="100"/>
                <w:sz w:val="21"/>
                <w:szCs w:val="21"/>
              </w:rPr>
              <w:t>的支</w:t>
            </w:r>
            <w:r>
              <w:rPr>
                <w:rFonts w:ascii="宋体" w:hAnsi="宋体" w:cs="宋体" w:eastAsia="宋体" w:hint="default"/>
                <w:spacing w:val="-3"/>
                <w:w w:val="100"/>
                <w:sz w:val="21"/>
                <w:szCs w:val="21"/>
              </w:rPr>
              <w:t>出</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整合费用等</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过公允价值部分的损益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期初至合并日的当期净损益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项产生的损益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w:t>
            </w:r>
          </w:p>
          <w:p>
            <w:pPr>
              <w:pStyle w:val="TableParagraph"/>
              <w:spacing w:line="237" w:lineRule="auto"/>
              <w:ind w:left="103" w:right="118"/>
              <w:jc w:val="both"/>
              <w:rPr>
                <w:rFonts w:ascii="宋体" w:hAnsi="宋体" w:cs="宋体" w:eastAsia="宋体" w:hint="default"/>
                <w:sz w:val="21"/>
                <w:szCs w:val="21"/>
              </w:rPr>
            </w:pPr>
            <w:r>
              <w:rPr>
                <w:rFonts w:ascii="宋体" w:hAnsi="宋体" w:cs="宋体" w:eastAsia="宋体" w:hint="default"/>
                <w:spacing w:val="-2"/>
                <w:sz w:val="21"/>
                <w:szCs w:val="21"/>
              </w:rPr>
              <w:t>套期保值业务外，持有交易性金融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资产、交易性金融负债产生的公允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融资产、交易性金融负债和可供出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售金融资产取得的投资收益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准备转回</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w:t>
            </w:r>
          </w:p>
          <w:p>
            <w:pPr>
              <w:pStyle w:val="TableParagraph"/>
              <w:spacing w:line="272" w:lineRule="exact" w:before="27"/>
              <w:ind w:left="103" w:right="118"/>
              <w:jc w:val="left"/>
              <w:rPr>
                <w:rFonts w:ascii="宋体" w:hAnsi="宋体" w:cs="宋体" w:eastAsia="宋体" w:hint="default"/>
                <w:sz w:val="21"/>
                <w:szCs w:val="21"/>
              </w:rPr>
            </w:pPr>
            <w:r>
              <w:rPr>
                <w:rFonts w:ascii="宋体" w:hAnsi="宋体" w:cs="宋体" w:eastAsia="宋体" w:hint="default"/>
                <w:spacing w:val="-2"/>
                <w:sz w:val="21"/>
                <w:szCs w:val="21"/>
              </w:rPr>
              <w:t>投资性房地产公允价值变动产生的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w:t>
            </w:r>
          </w:p>
          <w:p>
            <w:pPr>
              <w:pStyle w:val="TableParagraph"/>
              <w:spacing w:line="272" w:lineRule="exact" w:before="27"/>
              <w:ind w:left="103" w:right="118"/>
              <w:jc w:val="left"/>
              <w:rPr>
                <w:rFonts w:ascii="宋体" w:hAnsi="宋体" w:cs="宋体" w:eastAsia="宋体" w:hint="default"/>
                <w:sz w:val="21"/>
                <w:szCs w:val="21"/>
              </w:rPr>
            </w:pPr>
            <w:r>
              <w:rPr>
                <w:rFonts w:ascii="宋体" w:hAnsi="宋体" w:cs="宋体" w:eastAsia="宋体" w:hint="default"/>
                <w:spacing w:val="-2"/>
                <w:sz w:val="21"/>
                <w:szCs w:val="21"/>
              </w:rPr>
              <w:t>求对当期损益进行一次性调整对当</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期损益的影响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-405,000.00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-539,679.41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-125,007.30</w:t>
            </w:r>
          </w:p>
        </w:tc>
      </w:tr>
      <w:tr>
        <w:trPr>
          <w:trHeight w:val="554"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24,144,042.40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13,066,725.74</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-105,368.75</w:t>
            </w: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-20,499.91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-31,875.00</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-2,883,288.82</w:t>
            </w: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-1,663,652.55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-98,500.07</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24,427,949.60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14,261,468.87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692,200.57</w:t>
            </w:r>
          </w:p>
        </w:tc>
      </w:tr>
    </w:tbl>
    <w:p>
      <w:pPr>
        <w:spacing w:line="240" w:lineRule="auto" w:before="12"/>
        <w:rPr>
          <w:rFonts w:ascii="宋体" w:hAnsi="宋体" w:cs="宋体" w:eastAsia="宋体" w:hint="default"/>
          <w:sz w:val="19"/>
          <w:szCs w:val="19"/>
        </w:rPr>
      </w:pPr>
    </w:p>
    <w:p>
      <w:pPr>
        <w:pStyle w:val="Heading4"/>
        <w:tabs>
          <w:tab w:pos="1057" w:val="left" w:leader="none"/>
        </w:tabs>
        <w:spacing w:line="240" w:lineRule="auto" w:before="36"/>
        <w:ind w:right="227"/>
        <w:jc w:val="left"/>
        <w:rPr>
          <w:b w:val="0"/>
          <w:bCs w:val="0"/>
        </w:rPr>
      </w:pPr>
      <w:r>
        <w:rPr/>
        <w:t>十一、</w:t>
        <w:tab/>
        <w:t>采用公允价值计量的项目</w:t>
      </w:r>
      <w:r>
        <w:rPr>
          <w:b w:val="0"/>
          <w:bCs w:val="0"/>
        </w:rPr>
      </w:r>
    </w:p>
    <w:p>
      <w:pPr>
        <w:tabs>
          <w:tab w:pos="1057" w:val="left" w:leader="none"/>
        </w:tabs>
        <w:spacing w:line="292" w:lineRule="auto" w:before="56"/>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0"/>
        <w:ind w:right="227"/>
        <w:jc w:val="left"/>
      </w:pPr>
      <w:r>
        <w:rPr/>
        <w:t>□适用</w:t>
      </w:r>
      <w:r>
        <w:rPr>
          <w:spacing w:val="-1"/>
        </w:rPr>
        <w:t> </w:t>
      </w:r>
      <w:r>
        <w:rPr/>
        <w:t>√不适用</w:t>
      </w:r>
    </w:p>
    <w:p>
      <w:pPr>
        <w:pStyle w:val="Heading1"/>
        <w:tabs>
          <w:tab w:pos="1259" w:val="left" w:leader="none"/>
        </w:tabs>
        <w:spacing w:line="240" w:lineRule="auto" w:before="44"/>
        <w:ind w:right="1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4"/>
        <w:spacing w:line="240" w:lineRule="auto"/>
        <w:ind w:right="0"/>
        <w:jc w:val="both"/>
        <w:rPr>
          <w:b w:val="0"/>
          <w:bCs w:val="0"/>
        </w:rPr>
      </w:pPr>
      <w:r>
        <w:rPr/>
        <w:t>一、报告期内公司所从事的主要业务、经营模式及行业情况说明</w:t>
      </w:r>
      <w:r>
        <w:rPr>
          <w:b w:val="0"/>
          <w:bCs w:val="0"/>
        </w:rPr>
      </w:r>
    </w:p>
    <w:p>
      <w:pPr>
        <w:pStyle w:val="BodyText"/>
        <w:spacing w:line="240" w:lineRule="auto" w:before="56"/>
        <w:ind w:left="638" w:right="227"/>
        <w:jc w:val="left"/>
      </w:pPr>
      <w:r>
        <w:rPr/>
        <w:t>（一）主要业务及经营模式</w:t>
      </w:r>
      <w:r>
        <w:rPr>
          <w:w w:val="100"/>
        </w:rPr>
        <w:t> </w:t>
      </w:r>
      <w:r>
        <w:rPr>
          <w:spacing w:val="-2"/>
        </w:rPr>
        <w:t>公司是一家国内领先的专业化平台型软件及信息化服务提供商，致力于利用自主研发的“灵</w:t>
      </w:r>
    </w:p>
    <w:p>
      <w:pPr>
        <w:pStyle w:val="BodyText"/>
        <w:spacing w:line="237" w:lineRule="auto"/>
        <w:ind w:right="240"/>
        <w:jc w:val="both"/>
      </w:pPr>
      <w:r>
        <w:rPr>
          <w:spacing w:val="-2"/>
        </w:rPr>
        <w:t>动业务架构平台（</w:t>
      </w:r>
      <w:r>
        <w:rPr>
          <w:rFonts w:ascii="宋体" w:hAnsi="宋体" w:cs="宋体" w:eastAsia="宋体" w:hint="default"/>
          <w:spacing w:val="-2"/>
        </w:rPr>
        <w:t>LiveBOS</w:t>
      </w:r>
      <w:r>
        <w:rPr>
          <w:spacing w:val="-2"/>
        </w:rPr>
        <w:t>）”，为包括证券、期货、银行、电子交易市场、信托、资管</w:t>
      </w:r>
      <w:r>
        <w:rPr>
          <w:rFonts w:ascii="宋体" w:hAnsi="宋体" w:cs="宋体" w:eastAsia="宋体" w:hint="default"/>
          <w:spacing w:val="-2"/>
        </w:rPr>
        <w:t>/</w:t>
      </w:r>
      <w:r>
        <w:rPr>
          <w:spacing w:val="-2"/>
        </w:rPr>
        <w:t>基金等</w:t>
      </w:r>
      <w:r>
        <w:rPr>
          <w:spacing w:val="-21"/>
        </w:rPr>
        <w:t> </w:t>
      </w:r>
      <w:r>
        <w:rPr>
          <w:spacing w:val="-21"/>
        </w:rPr>
      </w:r>
      <w:r>
        <w:rPr>
          <w:spacing w:val="-2"/>
        </w:rPr>
        <w:t>在内的金融行业及其他行业提供以业务流程管理（</w:t>
      </w:r>
      <w:r>
        <w:rPr>
          <w:rFonts w:ascii="宋体" w:hAnsi="宋体" w:cs="宋体" w:eastAsia="宋体" w:hint="default"/>
          <w:spacing w:val="-2"/>
        </w:rPr>
        <w:t>BPM</w:t>
      </w:r>
      <w:r>
        <w:rPr>
          <w:spacing w:val="-2"/>
        </w:rPr>
        <w:t>）为核心、以“互联网+”应用为重点方向</w:t>
      </w:r>
      <w:r>
        <w:rPr>
          <w:spacing w:val="-32"/>
        </w:rPr>
        <w:t> </w:t>
      </w:r>
      <w:r>
        <w:rPr>
          <w:spacing w:val="-32"/>
        </w:rPr>
      </w:r>
      <w:r>
        <w:rPr/>
        <w:t>的信息化解决方案。</w:t>
      </w:r>
    </w:p>
    <w:p>
      <w:pPr>
        <w:pStyle w:val="BodyText"/>
        <w:spacing w:line="272" w:lineRule="exact" w:before="26"/>
        <w:ind w:right="99" w:firstLine="419"/>
        <w:jc w:val="left"/>
      </w:pPr>
      <w:r>
        <w:rPr/>
        <w:t>公司的业务主要为金融行业信息化业务，同时也开展非金融行业信息化业务。公司的金融行</w:t>
      </w:r>
      <w:r>
        <w:rPr>
          <w:w w:val="100"/>
        </w:rPr>
        <w:t> </w:t>
      </w:r>
      <w:r>
        <w:rPr>
          <w:spacing w:val="-2"/>
        </w:rPr>
        <w:t>业信息化业务主要包括证券、期货、电子交易市场、银行、信托、资管</w:t>
      </w:r>
      <w:r>
        <w:rPr>
          <w:rFonts w:ascii="宋体" w:hAnsi="宋体" w:cs="宋体" w:eastAsia="宋体" w:hint="default"/>
          <w:spacing w:val="-2"/>
        </w:rPr>
        <w:t>/</w:t>
      </w:r>
      <w:r>
        <w:rPr>
          <w:spacing w:val="-2"/>
        </w:rPr>
        <w:t>基金等行业信息化业务。</w:t>
      </w:r>
    </w:p>
    <w:p>
      <w:pPr>
        <w:spacing w:after="0" w:line="272"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138" w:right="137" w:firstLine="419"/>
        <w:jc w:val="both"/>
      </w:pPr>
      <w:r>
        <w:rPr>
          <w:spacing w:val="-2"/>
        </w:rPr>
        <w:t>公司在证券金融行业拥有广泛的客户基础，与客户建立了良好的合作关系。公司主要通过商</w:t>
      </w:r>
      <w:r>
        <w:rPr>
          <w:w w:val="100"/>
        </w:rPr>
        <w:t> </w:t>
      </w:r>
      <w:r>
        <w:rPr/>
        <w:t>业谈判的方式获取业务，在稳固既有客户的基础上，持续拓展新业务、发展新客户。</w:t>
      </w:r>
    </w:p>
    <w:p>
      <w:pPr>
        <w:pStyle w:val="BodyText"/>
        <w:spacing w:line="271" w:lineRule="exact"/>
        <w:ind w:left="558" w:right="0"/>
        <w:jc w:val="left"/>
      </w:pPr>
      <w:r>
        <w:rPr/>
        <w:t>（二）行业情况说明</w:t>
      </w:r>
    </w:p>
    <w:p>
      <w:pPr>
        <w:pStyle w:val="BodyText"/>
        <w:spacing w:line="237" w:lineRule="auto" w:before="2"/>
        <w:ind w:left="138" w:right="130" w:firstLine="419"/>
        <w:jc w:val="both"/>
      </w:pPr>
      <w:r>
        <w:rPr>
          <w:rFonts w:ascii="宋体" w:hAnsi="宋体" w:cs="宋体" w:eastAsia="宋体" w:hint="default"/>
        </w:rPr>
        <w:t>2018</w:t>
      </w:r>
      <w:r>
        <w:rPr>
          <w:rFonts w:ascii="宋体" w:hAnsi="宋体" w:cs="宋体" w:eastAsia="宋体" w:hint="default"/>
          <w:spacing w:val="-11"/>
        </w:rPr>
        <w:t> </w:t>
      </w:r>
      <w:r>
        <w:rPr>
          <w:spacing w:val="-3"/>
        </w:rPr>
        <w:t>年是金融行业监管落地较为密集的年份，十九大报告指出，要健全金融监管体系，守住</w:t>
      </w:r>
      <w:r>
        <w:rPr>
          <w:w w:val="100"/>
        </w:rPr>
        <w:t> </w:t>
      </w:r>
      <w:r>
        <w:rPr>
          <w:spacing w:val="-2"/>
        </w:rPr>
        <w:t>不发生系统性金融风险的底线，“引入源头活水、服务实体经济”，“控杠杆、防风险”，“进</w:t>
      </w:r>
      <w:r>
        <w:rPr>
          <w:spacing w:val="-25"/>
        </w:rPr>
        <w:t> </w:t>
      </w:r>
      <w:r>
        <w:rPr>
          <w:spacing w:val="-25"/>
        </w:rPr>
      </w:r>
      <w:r>
        <w:rPr>
          <w:spacing w:val="-2"/>
        </w:rPr>
        <w:t>一步推进资本市场国际化”是金融业发展主旋律。在严格监管的前提下，监管机构也在进一步推</w:t>
      </w:r>
      <w:r>
        <w:rPr>
          <w:spacing w:val="-25"/>
        </w:rPr>
        <w:t> </w:t>
      </w:r>
      <w:r>
        <w:rPr>
          <w:spacing w:val="-25"/>
        </w:rPr>
      </w:r>
      <w:r>
        <w:rPr/>
        <w:t>进资本市场国际化，引导行业发展。</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5</w:t>
      </w:r>
      <w:r>
        <w:rPr>
          <w:rFonts w:ascii="宋体" w:hAnsi="宋体" w:cs="宋体" w:eastAsia="宋体" w:hint="default"/>
          <w:spacing w:val="-54"/>
        </w:rPr>
        <w:t> </w:t>
      </w:r>
      <w:r>
        <w:rPr/>
        <w:t>日，国家主席习近平出席首届中国国际进口</w:t>
      </w:r>
      <w:r>
        <w:rPr>
          <w:w w:val="100"/>
        </w:rPr>
        <w:t> </w:t>
      </w:r>
      <w:r>
        <w:rPr>
          <w:spacing w:val="-2"/>
        </w:rPr>
        <w:t>博览会开幕式并发表题为《共建创新包容的开放型世界经济》的主旨演讲，宣布增设中国上海自</w:t>
      </w:r>
      <w:r>
        <w:rPr>
          <w:spacing w:val="-25"/>
        </w:rPr>
        <w:t> </w:t>
      </w:r>
      <w:r>
        <w:rPr>
          <w:spacing w:val="-25"/>
        </w:rPr>
      </w:r>
      <w:r>
        <w:rPr>
          <w:spacing w:val="-2"/>
        </w:rPr>
        <w:t>由贸易试验区的新片区，在上海证券交易所设立科创板并试点注册制。科创板旨在补齐资本市场</w:t>
      </w:r>
      <w:r>
        <w:rPr>
          <w:spacing w:val="-25"/>
        </w:rPr>
        <w:t> </w:t>
      </w:r>
      <w:r>
        <w:rPr>
          <w:spacing w:val="-25"/>
        </w:rPr>
      </w:r>
      <w:r>
        <w:rPr>
          <w:spacing w:val="-2"/>
        </w:rPr>
        <w:t>服务科技创新的短板，是资本市场的增量改革，是完善资本市场基础制度、激发市场活力和保护</w:t>
      </w:r>
      <w:r>
        <w:rPr>
          <w:spacing w:val="-26"/>
        </w:rPr>
        <w:t> </w:t>
      </w:r>
      <w:r>
        <w:rPr>
          <w:spacing w:val="-26"/>
        </w:rPr>
      </w:r>
      <w:r>
        <w:rPr/>
        <w:t>投资者合法权益的重要安排。</w:t>
      </w:r>
    </w:p>
    <w:p>
      <w:pPr>
        <w:spacing w:line="240" w:lineRule="auto" w:before="9"/>
        <w:rPr>
          <w:rFonts w:ascii="宋体" w:hAnsi="宋体" w:cs="宋体" w:eastAsia="宋体" w:hint="default"/>
          <w:sz w:val="20"/>
          <w:szCs w:val="20"/>
        </w:rPr>
      </w:pPr>
    </w:p>
    <w:p>
      <w:pPr>
        <w:pStyle w:val="BodyText"/>
        <w:spacing w:line="274" w:lineRule="exact"/>
        <w:ind w:left="558" w:right="0"/>
        <w:jc w:val="left"/>
      </w:pPr>
      <w:r>
        <w:rPr>
          <w:rFonts w:ascii="宋体" w:hAnsi="宋体" w:cs="宋体" w:eastAsia="宋体" w:hint="default"/>
        </w:rPr>
        <w:t>2018</w:t>
      </w:r>
      <w:r>
        <w:rPr>
          <w:rFonts w:ascii="宋体" w:hAnsi="宋体" w:cs="宋体" w:eastAsia="宋体" w:hint="default"/>
          <w:spacing w:val="-56"/>
        </w:rPr>
        <w:t> </w:t>
      </w:r>
      <w:r>
        <w:rPr/>
        <w:t>年我公司主营业务涉及的主要金融行业的情况概述如下：</w:t>
      </w:r>
    </w:p>
    <w:p>
      <w:pPr>
        <w:pStyle w:val="BodyText"/>
        <w:spacing w:line="237" w:lineRule="auto" w:before="2"/>
        <w:ind w:left="138" w:right="137" w:firstLine="419"/>
        <w:jc w:val="both"/>
      </w:pPr>
      <w:r>
        <w:rPr>
          <w:rFonts w:ascii="宋体" w:hAnsi="宋体" w:cs="宋体" w:eastAsia="宋体" w:hint="default"/>
        </w:rPr>
        <w:t>1</w:t>
      </w:r>
      <w:r>
        <w:rPr/>
        <w:t>、证券期货行业市场情况。受贸易战、宏观环境及股市下跌等因素影响，</w:t>
      </w:r>
      <w:r>
        <w:rPr>
          <w:rFonts w:ascii="宋体" w:hAnsi="宋体" w:cs="宋体" w:eastAsia="宋体" w:hint="default"/>
        </w:rPr>
        <w:t>2018</w:t>
      </w:r>
      <w:r>
        <w:rPr>
          <w:rFonts w:ascii="宋体" w:hAnsi="宋体" w:cs="宋体" w:eastAsia="宋体" w:hint="default"/>
          <w:spacing w:val="-57"/>
        </w:rPr>
        <w:t> </w:t>
      </w:r>
      <w:r>
        <w:rPr/>
        <w:t>年证券市场</w:t>
      </w:r>
      <w:r>
        <w:rPr>
          <w:w w:val="100"/>
        </w:rPr>
        <w:t> </w:t>
      </w:r>
      <w:r>
        <w:rPr/>
        <w:t>出现大幅调整，出现明显波动和下滑，开户数也继续下滑。</w:t>
      </w:r>
      <w:r>
        <w:rPr>
          <w:rFonts w:ascii="宋体" w:hAnsi="宋体" w:cs="宋体" w:eastAsia="宋体" w:hint="default"/>
        </w:rPr>
        <w:t>2018</w:t>
      </w:r>
      <w:r>
        <w:rPr>
          <w:rFonts w:ascii="宋体" w:hAnsi="宋体" w:cs="宋体" w:eastAsia="宋体" w:hint="default"/>
          <w:spacing w:val="-56"/>
        </w:rPr>
        <w:t> </w:t>
      </w:r>
      <w:r>
        <w:rPr/>
        <w:t>年日均交易额</w:t>
      </w:r>
      <w:r>
        <w:rPr>
          <w:spacing w:val="-54"/>
        </w:rPr>
        <w:t> </w:t>
      </w:r>
      <w:r>
        <w:rPr>
          <w:rFonts w:ascii="宋体" w:hAnsi="宋体" w:cs="宋体" w:eastAsia="宋体" w:hint="default"/>
        </w:rPr>
        <w:t>3987</w:t>
      </w:r>
      <w:r>
        <w:rPr>
          <w:rFonts w:ascii="宋体" w:hAnsi="宋体" w:cs="宋体" w:eastAsia="宋体" w:hint="default"/>
          <w:spacing w:val="-55"/>
        </w:rPr>
        <w:t> </w:t>
      </w:r>
      <w:r>
        <w:rPr/>
        <w:t>亿元，同比</w:t>
      </w:r>
      <w:r>
        <w:rPr>
          <w:w w:val="100"/>
        </w:rPr>
        <w:t> </w:t>
      </w:r>
      <w:r>
        <w:rPr/>
        <w:t>下滑</w:t>
      </w:r>
      <w:r>
        <w:rPr>
          <w:spacing w:val="-55"/>
        </w:rPr>
        <w:t> </w:t>
      </w:r>
      <w:r>
        <w:rPr>
          <w:rFonts w:ascii="宋体" w:hAnsi="宋体" w:cs="宋体" w:eastAsia="宋体" w:hint="default"/>
        </w:rPr>
        <w:t>19%</w:t>
      </w:r>
      <w:r>
        <w:rPr/>
        <w:t>；</w:t>
      </w:r>
      <w:r>
        <w:rPr>
          <w:rFonts w:ascii="宋体" w:hAnsi="宋体" w:cs="宋体" w:eastAsia="宋体" w:hint="default"/>
        </w:rPr>
        <w:t>2018</w:t>
      </w:r>
      <w:r>
        <w:rPr>
          <w:rFonts w:ascii="宋体" w:hAnsi="宋体" w:cs="宋体" w:eastAsia="宋体" w:hint="default"/>
          <w:spacing w:val="-57"/>
        </w:rPr>
        <w:t> </w:t>
      </w:r>
      <w:r>
        <w:rPr/>
        <w:t>年平均每周新增投资者</w:t>
      </w:r>
      <w:r>
        <w:rPr>
          <w:spacing w:val="-54"/>
        </w:rPr>
        <w:t> </w:t>
      </w:r>
      <w:r>
        <w:rPr>
          <w:rFonts w:ascii="宋体" w:hAnsi="宋体" w:cs="宋体" w:eastAsia="宋体" w:hint="default"/>
        </w:rPr>
        <w:t>25</w:t>
      </w:r>
      <w:r>
        <w:rPr>
          <w:rFonts w:ascii="宋体" w:hAnsi="宋体" w:cs="宋体" w:eastAsia="宋体" w:hint="default"/>
          <w:spacing w:val="-55"/>
        </w:rPr>
        <w:t> </w:t>
      </w:r>
      <w:r>
        <w:rPr/>
        <w:t>万人，同比下滑</w:t>
      </w:r>
      <w:r>
        <w:rPr>
          <w:spacing w:val="-55"/>
        </w:rPr>
        <w:t> </w:t>
      </w:r>
      <w:r>
        <w:rPr>
          <w:rFonts w:ascii="宋体" w:hAnsi="宋体" w:cs="宋体" w:eastAsia="宋体" w:hint="default"/>
        </w:rPr>
        <w:t>21%</w:t>
      </w:r>
      <w:r>
        <w:rPr/>
        <w:t>。</w:t>
      </w:r>
      <w:r>
        <w:rPr>
          <w:rFonts w:ascii="宋体" w:hAnsi="宋体" w:cs="宋体" w:eastAsia="宋体" w:hint="default"/>
        </w:rPr>
        <w:t>IPO</w:t>
      </w:r>
      <w:r>
        <w:rPr>
          <w:rFonts w:ascii="宋体" w:hAnsi="宋体" w:cs="宋体" w:eastAsia="宋体" w:hint="default"/>
          <w:spacing w:val="-55"/>
        </w:rPr>
        <w:t> </w:t>
      </w:r>
      <w:r>
        <w:rPr/>
        <w:t>发行节奏显著减缓，审核力</w:t>
      </w:r>
      <w:r>
        <w:rPr>
          <w:w w:val="100"/>
        </w:rPr>
        <w:t> </w:t>
      </w:r>
      <w:r>
        <w:rPr/>
        <w:t>度继续加强，</w:t>
      </w:r>
      <w:r>
        <w:rPr>
          <w:rFonts w:ascii="宋体" w:hAnsi="宋体" w:cs="宋体" w:eastAsia="宋体" w:hint="default"/>
        </w:rPr>
        <w:t>IPO</w:t>
      </w:r>
      <w:r>
        <w:rPr>
          <w:rFonts w:ascii="宋体" w:hAnsi="宋体" w:cs="宋体" w:eastAsia="宋体" w:hint="default"/>
          <w:spacing w:val="-56"/>
        </w:rPr>
        <w:t> </w:t>
      </w:r>
      <w:r>
        <w:rPr/>
        <w:t>被否率保持高位。国务院金融稳定发展委员会多次召开会议，对经济金融形势</w:t>
      </w:r>
      <w:r>
        <w:rPr>
          <w:w w:val="100"/>
        </w:rPr>
        <w:t> </w:t>
      </w:r>
      <w:r>
        <w:rPr>
          <w:spacing w:val="-2"/>
        </w:rPr>
        <w:t>进行分析。央行、银保监会、证监会以及其他相关部门研究出台一系列改革措施提振市场信心，</w:t>
      </w:r>
      <w:r>
        <w:rPr>
          <w:spacing w:val="-25"/>
        </w:rPr>
        <w:t> </w:t>
      </w:r>
      <w:r>
        <w:rPr>
          <w:spacing w:val="-25"/>
        </w:rPr>
      </w:r>
      <w:r>
        <w:rPr/>
        <w:t>形成新的制度安排和政策工具。</w:t>
      </w:r>
    </w:p>
    <w:p>
      <w:pPr>
        <w:pStyle w:val="BodyText"/>
        <w:spacing w:line="237" w:lineRule="auto"/>
        <w:ind w:left="138" w:right="127" w:firstLine="419"/>
        <w:jc w:val="both"/>
      </w:pPr>
      <w:r>
        <w:rPr>
          <w:rFonts w:ascii="宋体" w:hAnsi="宋体" w:cs="宋体" w:eastAsia="宋体" w:hint="default"/>
        </w:rPr>
        <w:t>2018</w:t>
      </w:r>
      <w:r>
        <w:rPr>
          <w:rFonts w:ascii="宋体" w:hAnsi="宋体" w:cs="宋体" w:eastAsia="宋体" w:hint="default"/>
          <w:spacing w:val="-11"/>
        </w:rPr>
        <w:t> </w:t>
      </w:r>
      <w:r>
        <w:rPr>
          <w:spacing w:val="-3"/>
        </w:rPr>
        <w:t>年，中国期货和衍生品市场国际化迈出了坚实步伐，同时也带动了期货市场改革、发展</w:t>
      </w:r>
      <w:r>
        <w:rPr>
          <w:w w:val="100"/>
        </w:rPr>
        <w:t> </w:t>
      </w:r>
      <w:r>
        <w:rPr>
          <w:spacing w:val="-3"/>
        </w:rPr>
        <w:t>和创新的提速。国际化方面，</w:t>
      </w:r>
      <w:r>
        <w:rPr>
          <w:rFonts w:ascii="宋体" w:hAnsi="宋体" w:cs="宋体" w:eastAsia="宋体" w:hint="default"/>
          <w:spacing w:val="-3"/>
        </w:rPr>
        <w:t>3</w:t>
      </w:r>
      <w:r>
        <w:rPr>
          <w:rFonts w:ascii="宋体" w:hAnsi="宋体" w:cs="宋体" w:eastAsia="宋体" w:hint="default"/>
          <w:spacing w:val="-36"/>
        </w:rPr>
        <w:t> </w:t>
      </w:r>
      <w:r>
        <w:rPr/>
        <w:t>月</w:t>
      </w:r>
      <w:r>
        <w:rPr>
          <w:spacing w:val="-33"/>
        </w:rPr>
        <w:t> </w:t>
      </w:r>
      <w:r>
        <w:rPr>
          <w:rFonts w:ascii="宋体" w:hAnsi="宋体" w:cs="宋体" w:eastAsia="宋体" w:hint="default"/>
        </w:rPr>
        <w:t>26</w:t>
      </w:r>
      <w:r>
        <w:rPr>
          <w:rFonts w:ascii="宋体" w:hAnsi="宋体" w:cs="宋体" w:eastAsia="宋体" w:hint="default"/>
          <w:spacing w:val="-33"/>
        </w:rPr>
        <w:t> </w:t>
      </w:r>
      <w:r>
        <w:rPr>
          <w:spacing w:val="-3"/>
        </w:rPr>
        <w:t>日，原油期货在上海国际能源交易中心挂牌上市，这是中国</w:t>
      </w:r>
      <w:r>
        <w:rPr>
          <w:spacing w:val="-95"/>
        </w:rPr>
        <w:t> </w:t>
      </w:r>
      <w:r>
        <w:rPr>
          <w:spacing w:val="-95"/>
        </w:rPr>
      </w:r>
      <w:r>
        <w:rPr/>
        <w:t>首个国际化期货品种。</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3"/>
        </w:rPr>
        <w:t> </w:t>
      </w:r>
      <w:r>
        <w:rPr/>
        <w:t>日和</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日，铁矿石期货和</w:t>
      </w:r>
      <w:r>
        <w:rPr>
          <w:spacing w:val="-53"/>
        </w:rPr>
        <w:t> </w:t>
      </w:r>
      <w:r>
        <w:rPr>
          <w:rFonts w:ascii="宋体" w:hAnsi="宋体" w:cs="宋体" w:eastAsia="宋体" w:hint="default"/>
        </w:rPr>
        <w:t>PTA</w:t>
      </w:r>
      <w:r>
        <w:rPr>
          <w:rFonts w:ascii="宋体" w:hAnsi="宋体" w:cs="宋体" w:eastAsia="宋体" w:hint="default"/>
          <w:spacing w:val="-55"/>
        </w:rPr>
        <w:t> </w:t>
      </w:r>
      <w:r>
        <w:rPr/>
        <w:t>期货两大特定品种分别实施引</w:t>
      </w:r>
      <w:r>
        <w:rPr>
          <w:w w:val="100"/>
        </w:rPr>
        <w:t> </w:t>
      </w:r>
      <w:r>
        <w:rPr>
          <w:spacing w:val="-8"/>
        </w:rPr>
        <w:t>入境外交易者业务，开启期货市场对外开放的新时代。创新方面，除原油期货外，</w:t>
      </w:r>
      <w:r>
        <w:rPr>
          <w:rFonts w:ascii="宋体" w:hAnsi="宋体" w:cs="宋体" w:eastAsia="宋体" w:hint="default"/>
          <w:spacing w:val="-8"/>
        </w:rPr>
        <w:t>2018 </w:t>
      </w:r>
      <w:r>
        <w:rPr/>
        <w:t>年下半年，</w:t>
      </w:r>
      <w:r>
        <w:rPr>
          <w:spacing w:val="-87"/>
        </w:rPr>
        <w:t> </w:t>
      </w:r>
      <w:r>
        <w:rPr>
          <w:spacing w:val="-87"/>
        </w:rPr>
      </w:r>
      <w:r>
        <w:rPr>
          <w:rFonts w:ascii="宋体" w:hAnsi="宋体" w:cs="宋体" w:eastAsia="宋体" w:hint="default"/>
        </w:rPr>
        <w:t>2</w:t>
      </w:r>
      <w:r>
        <w:rPr>
          <w:rFonts w:ascii="宋体" w:hAnsi="宋体" w:cs="宋体" w:eastAsia="宋体" w:hint="default"/>
          <w:spacing w:val="15"/>
        </w:rPr>
        <w:t> </w:t>
      </w:r>
      <w:r>
        <w:rPr>
          <w:spacing w:val="-2"/>
        </w:rPr>
        <w:t>年期国债期货、纸浆期货、乙二醇期货分别在中金所、上期所和大商所上市交易。</w:t>
      </w:r>
    </w:p>
    <w:p>
      <w:pPr>
        <w:pStyle w:val="BodyText"/>
        <w:spacing w:line="237" w:lineRule="auto" w:before="2"/>
        <w:ind w:left="138" w:right="127" w:firstLine="419"/>
        <w:jc w:val="right"/>
      </w:pPr>
      <w:r>
        <w:rPr>
          <w:spacing w:val="-8"/>
          <w:w w:val="100"/>
        </w:rPr>
        <w:t>证监会发布的《证券基金经营机构信息技术管理办法》，信息系统建设投入指标首次纳入</w:t>
      </w:r>
      <w:r>
        <w:rPr>
          <w:spacing w:val="-51"/>
          <w:w w:val="100"/>
        </w:rPr>
        <w:t> </w:t>
      </w:r>
      <w:r>
        <w:rPr>
          <w:rFonts w:ascii="宋体" w:hAnsi="宋体" w:cs="宋体" w:eastAsia="宋体" w:hint="default"/>
          <w:spacing w:val="-1"/>
          <w:w w:val="100"/>
        </w:rPr>
        <w:t>2018</w:t>
      </w:r>
      <w:r>
        <w:rPr>
          <w:rFonts w:ascii="宋体" w:hAnsi="宋体" w:cs="宋体" w:eastAsia="宋体" w:hint="default"/>
          <w:w w:val="100"/>
        </w:rPr>
        <w:t> </w:t>
      </w:r>
      <w:r>
        <w:rPr>
          <w:spacing w:val="-2"/>
        </w:rPr>
        <w:t>年度证券公司分类评价。首先，明确信息技术监管安排，推动行业加大信息技术投入，提升竞争</w:t>
      </w:r>
      <w:r>
        <w:rPr>
          <w:spacing w:val="-53"/>
        </w:rPr>
        <w:t> </w:t>
      </w:r>
      <w:r>
        <w:rPr>
          <w:spacing w:val="-53"/>
        </w:rPr>
      </w:r>
      <w:r>
        <w:rPr>
          <w:spacing w:val="-2"/>
        </w:rPr>
        <w:t>力。其次，明确治理、安全、合规三条主线。在传统信息安全监管基础上，针对信息技术治理、</w:t>
      </w:r>
      <w:r>
        <w:rPr>
          <w:spacing w:val="-53"/>
        </w:rPr>
        <w:t> </w:t>
      </w:r>
      <w:r>
        <w:rPr>
          <w:spacing w:val="-53"/>
        </w:rPr>
      </w:r>
      <w:r>
        <w:rPr>
          <w:spacing w:val="-2"/>
        </w:rPr>
        <w:t>数据治理、业务合规提出监管要求，促进信息技术与业务、风控及合规管理深度融合。同时，支</w:t>
      </w:r>
      <w:r>
        <w:rPr>
          <w:spacing w:val="-53"/>
        </w:rPr>
        <w:t> </w:t>
      </w:r>
      <w:r>
        <w:rPr>
          <w:spacing w:val="-53"/>
        </w:rPr>
      </w:r>
      <w:r>
        <w:rPr>
          <w:spacing w:val="-7"/>
        </w:rPr>
        <w:t>持经营机构应用信息技术提升服务效能。针对信息技术应用领域新情况、新问题，明确监管要求。</w:t>
      </w:r>
      <w:r>
        <w:rPr>
          <w:spacing w:val="-38"/>
        </w:rPr>
        <w:t> </w:t>
      </w:r>
      <w:r>
        <w:rPr>
          <w:spacing w:val="-38"/>
        </w:rPr>
      </w:r>
      <w:r>
        <w:rPr>
          <w:rFonts w:ascii="宋体" w:hAnsi="宋体" w:cs="宋体" w:eastAsia="宋体" w:hint="default"/>
        </w:rPr>
        <w:t>2018</w:t>
      </w:r>
      <w:r>
        <w:rPr>
          <w:rFonts w:ascii="宋体" w:hAnsi="宋体" w:cs="宋体" w:eastAsia="宋体" w:hint="default"/>
          <w:spacing w:val="13"/>
        </w:rPr>
        <w:t> </w:t>
      </w:r>
      <w:r>
        <w:rPr>
          <w:spacing w:val="-3"/>
        </w:rPr>
        <w:t>年，证券期货公司对信息系统建设重视度、信息化投入意愿不断提高，通过建立自身独</w:t>
      </w:r>
      <w:r>
        <w:rPr>
          <w:w w:val="100"/>
        </w:rPr>
        <w:t> </w:t>
      </w:r>
      <w:r>
        <w:rPr>
          <w:spacing w:val="-2"/>
        </w:rPr>
        <w:t>有的信息技术体系，形成差异化的竞争优势已在经营机构之间形成共识。经营机构在夯实现有业</w:t>
      </w:r>
    </w:p>
    <w:p>
      <w:pPr>
        <w:pStyle w:val="BodyText"/>
        <w:spacing w:line="274" w:lineRule="exact" w:before="22"/>
        <w:ind w:left="558" w:right="0" w:hanging="420"/>
        <w:jc w:val="left"/>
      </w:pPr>
      <w:r>
        <w:rPr>
          <w:spacing w:val="-2"/>
        </w:rPr>
        <w:t>务的基础上，努力落实业务转型。当前阶段主要的业务发展形式包括：</w:t>
      </w:r>
      <w:r>
        <w:rPr>
          <w:spacing w:val="-45"/>
        </w:rPr>
        <w:t> </w:t>
      </w:r>
      <w:r>
        <w:rPr>
          <w:spacing w:val="-45"/>
        </w:rPr>
      </w:r>
      <w:r>
        <w:rPr>
          <w:rFonts w:ascii="宋体" w:hAnsi="宋体" w:cs="宋体" w:eastAsia="宋体" w:hint="default"/>
        </w:rPr>
        <w:t>1</w:t>
      </w:r>
      <w:r>
        <w:rPr/>
        <w:t>）加大客户服务投入，建设个性化客户服务模式；</w:t>
      </w:r>
    </w:p>
    <w:p>
      <w:pPr>
        <w:pStyle w:val="BodyText"/>
        <w:spacing w:line="245" w:lineRule="exact"/>
        <w:ind w:left="558" w:right="0"/>
        <w:jc w:val="left"/>
      </w:pPr>
      <w:r>
        <w:rPr>
          <w:rFonts w:ascii="宋体" w:hAnsi="宋体" w:cs="宋体" w:eastAsia="宋体" w:hint="default"/>
          <w:spacing w:val="-4"/>
        </w:rPr>
        <w:t>2</w:t>
      </w:r>
      <w:r>
        <w:rPr>
          <w:spacing w:val="-4"/>
        </w:rPr>
        <w:t>）强化中台体系建设，建设业务运营中台、营销服务中台、数据中台，提升运营效率、改善</w:t>
      </w:r>
    </w:p>
    <w:p>
      <w:pPr>
        <w:pStyle w:val="BodyText"/>
        <w:spacing w:line="272" w:lineRule="exact" w:before="27"/>
        <w:ind w:left="558" w:right="1821" w:hanging="420"/>
        <w:jc w:val="left"/>
      </w:pPr>
      <w:r>
        <w:rPr/>
        <w:t>客户服务、降低经营风险；</w:t>
      </w:r>
      <w:r>
        <w:rPr>
          <w:w w:val="100"/>
        </w:rPr>
        <w:t> </w:t>
      </w:r>
      <w:r>
        <w:rPr>
          <w:rFonts w:ascii="宋体" w:hAnsi="宋体" w:cs="宋体" w:eastAsia="宋体" w:hint="default"/>
          <w:spacing w:val="-2"/>
        </w:rPr>
        <w:t>3</w:t>
      </w:r>
      <w:r>
        <w:rPr>
          <w:spacing w:val="-2"/>
        </w:rPr>
        <w:t>）不断丰富新金融服务与产品，不断规范场外期权等交易服务；</w:t>
      </w:r>
    </w:p>
    <w:p>
      <w:pPr>
        <w:pStyle w:val="BodyText"/>
        <w:spacing w:line="248" w:lineRule="exact"/>
        <w:ind w:left="558" w:right="0"/>
        <w:jc w:val="left"/>
      </w:pPr>
      <w:r>
        <w:rPr>
          <w:rFonts w:ascii="宋体" w:hAnsi="宋体" w:cs="宋体" w:eastAsia="宋体" w:hint="default"/>
        </w:rPr>
        <w:t>4</w:t>
      </w:r>
      <w:r>
        <w:rPr/>
        <w:t>）资管业务转型进入大资管时代，在去通道的同时，继续大力发展主动型资管；</w:t>
      </w:r>
    </w:p>
    <w:p>
      <w:pPr>
        <w:pStyle w:val="BodyText"/>
        <w:spacing w:line="272" w:lineRule="exact"/>
        <w:ind w:left="558" w:right="0"/>
        <w:jc w:val="left"/>
      </w:pPr>
      <w:r>
        <w:rPr>
          <w:rFonts w:ascii="宋体" w:hAnsi="宋体" w:cs="宋体" w:eastAsia="宋体" w:hint="default"/>
        </w:rPr>
        <w:t>5</w:t>
      </w:r>
      <w:r>
        <w:rPr/>
        <w:t>）自营向投资交易转型，向非方向型自营发展；</w:t>
      </w:r>
    </w:p>
    <w:p>
      <w:pPr>
        <w:pStyle w:val="BodyText"/>
        <w:spacing w:line="272" w:lineRule="exact" w:before="27"/>
        <w:ind w:left="138" w:right="128" w:firstLine="419"/>
        <w:jc w:val="both"/>
      </w:pPr>
      <w:r>
        <w:rPr>
          <w:rFonts w:ascii="宋体" w:hAnsi="宋体" w:cs="宋体" w:eastAsia="宋体" w:hint="default"/>
          <w:spacing w:val="-4"/>
        </w:rPr>
        <w:t>6</w:t>
      </w:r>
      <w:r>
        <w:rPr>
          <w:spacing w:val="-4"/>
        </w:rPr>
        <w:t>）顺应资本市场逐步开放，打造境内境外联动的服务模式，形成零售、机构、财富、资本业</w:t>
      </w:r>
      <w:r>
        <w:rPr>
          <w:w w:val="100"/>
        </w:rPr>
        <w:t> </w:t>
      </w:r>
      <w:r>
        <w:rPr/>
        <w:t>务齐头并进的发展模式。</w:t>
      </w:r>
    </w:p>
    <w:p>
      <w:pPr>
        <w:spacing w:line="240" w:lineRule="auto" w:before="12"/>
        <w:rPr>
          <w:rFonts w:ascii="宋体" w:hAnsi="宋体" w:cs="宋体" w:eastAsia="宋体" w:hint="default"/>
          <w:sz w:val="18"/>
          <w:szCs w:val="18"/>
        </w:rPr>
      </w:pPr>
    </w:p>
    <w:p>
      <w:pPr>
        <w:pStyle w:val="BodyText"/>
        <w:spacing w:line="237" w:lineRule="auto"/>
        <w:ind w:left="138" w:right="127" w:firstLine="419"/>
        <w:jc w:val="both"/>
      </w:pPr>
      <w:r>
        <w:rPr>
          <w:rFonts w:ascii="宋体" w:hAnsi="宋体" w:cs="宋体" w:eastAsia="宋体" w:hint="default"/>
        </w:rPr>
        <w:t>2</w:t>
      </w:r>
      <w:r>
        <w:rPr/>
        <w:t>、电子交易市场情况。自</w:t>
      </w:r>
      <w:r>
        <w:rPr>
          <w:spacing w:val="-55"/>
        </w:rPr>
        <w:t> </w:t>
      </w:r>
      <w:r>
        <w:rPr>
          <w:rFonts w:ascii="宋体" w:hAnsi="宋体" w:cs="宋体" w:eastAsia="宋体" w:hint="default"/>
        </w:rPr>
        <w:t>2017</w:t>
      </w:r>
      <w:r>
        <w:rPr>
          <w:rFonts w:ascii="宋体" w:hAnsi="宋体" w:cs="宋体" w:eastAsia="宋体" w:hint="default"/>
          <w:spacing w:val="-56"/>
        </w:rPr>
        <w:t> </w:t>
      </w:r>
      <w:r>
        <w:rPr/>
        <w:t>年国务院清理整顿各类交易场所联席会议办公室开展清理整</w:t>
      </w:r>
      <w:r>
        <w:rPr>
          <w:w w:val="100"/>
        </w:rPr>
        <w:t> </w:t>
      </w:r>
      <w:r>
        <w:rPr>
          <w:spacing w:val="-3"/>
        </w:rPr>
        <w:t>顿各类交易场所“回头看”工作以来已近两年，</w:t>
      </w:r>
      <w:r>
        <w:rPr>
          <w:rFonts w:ascii="宋体" w:hAnsi="宋体" w:cs="宋体" w:eastAsia="宋体" w:hint="default"/>
          <w:spacing w:val="-3"/>
        </w:rPr>
        <w:t>2018</w:t>
      </w:r>
      <w:r>
        <w:rPr>
          <w:rFonts w:ascii="宋体" w:hAnsi="宋体" w:cs="宋体" w:eastAsia="宋体" w:hint="default"/>
          <w:spacing w:val="-32"/>
        </w:rPr>
        <w:t> </w:t>
      </w:r>
      <w:r>
        <w:rPr/>
        <w:t>年是完成国务院金融稳定发展委员会提出的</w:t>
      </w:r>
      <w:r>
        <w:rPr>
          <w:spacing w:val="-98"/>
        </w:rPr>
        <w:t> </w:t>
      </w:r>
      <w:r>
        <w:rPr>
          <w:spacing w:val="-98"/>
        </w:rPr>
      </w:r>
      <w:r>
        <w:rPr>
          <w:spacing w:val="-2"/>
        </w:rPr>
        <w:t>打好防范化解重大金融风险攻坚战三年行动方案关键的一年。在从严监管的大背景下，交易机构</w:t>
      </w:r>
      <w:r>
        <w:rPr>
          <w:spacing w:val="-25"/>
        </w:rPr>
        <w:t> </w:t>
      </w:r>
      <w:r>
        <w:rPr>
          <w:spacing w:val="-25"/>
        </w:rPr>
      </w:r>
      <w:r>
        <w:rPr>
          <w:spacing w:val="-2"/>
        </w:rPr>
        <w:t>在合规的前提下，业务得以稳定并逐渐发展。分布在各个地区的电子交易市场是国家多层次资本</w:t>
      </w:r>
      <w:r>
        <w:rPr>
          <w:spacing w:val="-25"/>
        </w:rPr>
        <w:t> </w:t>
      </w:r>
      <w:r>
        <w:rPr>
          <w:spacing w:val="-25"/>
        </w:rPr>
      </w:r>
      <w:r>
        <w:rPr>
          <w:spacing w:val="-2"/>
        </w:rPr>
        <w:t>市场的组成部分。电子交易市场一方面有助于盘活存量金融资产，提升资产效能；另一方面有助</w:t>
      </w:r>
      <w:r>
        <w:rPr>
          <w:spacing w:val="-24"/>
        </w:rPr>
        <w:t> </w:t>
      </w:r>
      <w:r>
        <w:rPr>
          <w:spacing w:val="-24"/>
        </w:rPr>
      </w:r>
      <w:r>
        <w:rPr>
          <w:spacing w:val="-2"/>
        </w:rPr>
        <w:t>于发掘实体企业中可被金融化、货币化的有效资产，通过交易方式来解决企业融资需求，服务实</w:t>
      </w:r>
      <w:r>
        <w:rPr>
          <w:spacing w:val="-25"/>
        </w:rPr>
        <w:t> </w:t>
      </w:r>
      <w:r>
        <w:rPr>
          <w:spacing w:val="-25"/>
        </w:rPr>
      </w:r>
      <w:r>
        <w:rPr>
          <w:spacing w:val="-2"/>
        </w:rPr>
        <w:t>体经济。随着监管规则的逐渐明朗和行业的理性发展，今后电子交易市场必将获得良性增长，各</w:t>
      </w:r>
      <w:r>
        <w:rPr>
          <w:spacing w:val="-25"/>
        </w:rPr>
        <w:t> </w:t>
      </w:r>
      <w:r>
        <w:rPr>
          <w:spacing w:val="-25"/>
        </w:rPr>
      </w:r>
      <w:r>
        <w:rPr/>
        <w:t>从业机构也将进一步形成差异化定位。</w:t>
      </w:r>
    </w:p>
    <w:p>
      <w:pPr>
        <w:spacing w:after="0" w:line="23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37" w:lineRule="auto" w:before="38"/>
        <w:ind w:left="138" w:right="208" w:firstLine="419"/>
        <w:jc w:val="both"/>
      </w:pPr>
      <w:r>
        <w:rPr>
          <w:rFonts w:ascii="宋体" w:hAnsi="宋体" w:cs="宋体" w:eastAsia="宋体" w:hint="default"/>
          <w:spacing w:val="-3"/>
        </w:rPr>
        <w:t>3</w:t>
      </w:r>
      <w:r>
        <w:rPr>
          <w:spacing w:val="-3"/>
        </w:rPr>
        <w:t>、资管</w:t>
      </w:r>
      <w:r>
        <w:rPr>
          <w:rFonts w:ascii="宋体" w:hAnsi="宋体" w:cs="宋体" w:eastAsia="宋体" w:hint="default"/>
          <w:spacing w:val="-3"/>
        </w:rPr>
        <w:t>/</w:t>
      </w:r>
      <w:r>
        <w:rPr>
          <w:spacing w:val="-3"/>
        </w:rPr>
        <w:t>基金行业市场情况。</w:t>
      </w:r>
      <w:r>
        <w:rPr>
          <w:rFonts w:ascii="宋体" w:hAnsi="宋体" w:cs="宋体" w:eastAsia="宋体" w:hint="default"/>
          <w:spacing w:val="-3"/>
        </w:rPr>
        <w:t>2018</w:t>
      </w:r>
      <w:r>
        <w:rPr>
          <w:rFonts w:ascii="宋体" w:hAnsi="宋体" w:cs="宋体" w:eastAsia="宋体" w:hint="default"/>
          <w:spacing w:val="-50"/>
        </w:rPr>
        <w:t> </w:t>
      </w:r>
      <w:r>
        <w:rPr/>
        <w:t>年资管行业监管政策密集出台，对整个资管行业的未来发</w:t>
      </w:r>
      <w:r>
        <w:rPr>
          <w:w w:val="100"/>
        </w:rPr>
        <w:t> </w:t>
      </w:r>
      <w:r>
        <w:rPr>
          <w:spacing w:val="-2"/>
        </w:rPr>
        <w:t>展产生了深刻的影响，不仅对私募投资和产品结构等方面进行了规定与调整，也分别从私募基金</w:t>
      </w:r>
      <w:r>
        <w:rPr>
          <w:spacing w:val="-25"/>
        </w:rPr>
        <w:t> </w:t>
      </w:r>
      <w:r>
        <w:rPr>
          <w:spacing w:val="-25"/>
        </w:rPr>
      </w:r>
      <w:r>
        <w:rPr>
          <w:spacing w:val="-2"/>
        </w:rPr>
        <w:t>管理人、托管人的职责、资金募集、投资运作、信息提供、行业自律、监督管理、法律责任等多</w:t>
      </w:r>
      <w:r>
        <w:rPr>
          <w:spacing w:val="-25"/>
        </w:rPr>
        <w:t> </w:t>
      </w:r>
      <w:r>
        <w:rPr>
          <w:spacing w:val="-25"/>
        </w:rPr>
      </w:r>
      <w:r>
        <w:rPr/>
        <w:t>个方面确立了监管规则</w:t>
      </w:r>
      <w:r>
        <w:rPr>
          <w:rFonts w:ascii="宋体" w:hAnsi="宋体" w:cs="宋体" w:eastAsia="宋体" w:hint="default"/>
        </w:rPr>
        <w:t>,</w:t>
      </w:r>
      <w:r>
        <w:rPr/>
        <w:t>在私募备案、产品命名等方面进行了进一步规范。截至</w:t>
      </w:r>
      <w:r>
        <w:rPr>
          <w:spacing w:val="-57"/>
        </w:rPr>
        <w:t> </w:t>
      </w:r>
      <w:r>
        <w:rPr>
          <w:rFonts w:ascii="宋体" w:hAnsi="宋体" w:cs="宋体" w:eastAsia="宋体" w:hint="default"/>
        </w:rPr>
        <w:t>2018</w:t>
      </w:r>
      <w:r>
        <w:rPr>
          <w:rFonts w:ascii="宋体" w:hAnsi="宋体" w:cs="宋体" w:eastAsia="宋体" w:hint="default"/>
          <w:spacing w:val="-57"/>
        </w:rPr>
        <w:t> </w:t>
      </w:r>
      <w:r>
        <w:rPr/>
        <w:t>年底，协会</w:t>
      </w:r>
    </w:p>
    <w:p>
      <w:pPr>
        <w:pStyle w:val="BodyText"/>
        <w:spacing w:line="271" w:lineRule="exact"/>
        <w:ind w:left="138" w:right="100"/>
        <w:jc w:val="left"/>
      </w:pPr>
      <w:r>
        <w:rPr/>
        <w:t>已登记私募基金管理人</w:t>
      </w:r>
      <w:r>
        <w:rPr>
          <w:spacing w:val="-49"/>
        </w:rPr>
        <w:t> </w:t>
      </w:r>
      <w:r>
        <w:rPr>
          <w:rFonts w:ascii="宋体" w:hAnsi="宋体" w:cs="宋体" w:eastAsia="宋体" w:hint="default"/>
        </w:rPr>
        <w:t>2.44</w:t>
      </w:r>
      <w:r>
        <w:rPr>
          <w:rFonts w:ascii="宋体" w:hAnsi="宋体" w:cs="宋体" w:eastAsia="宋体" w:hint="default"/>
          <w:spacing w:val="-50"/>
        </w:rPr>
        <w:t> </w:t>
      </w:r>
      <w:r>
        <w:rPr>
          <w:spacing w:val="-5"/>
        </w:rPr>
        <w:t>万家，较</w:t>
      </w:r>
      <w:r>
        <w:rPr>
          <w:spacing w:val="-50"/>
        </w:rPr>
        <w:t> </w:t>
      </w:r>
      <w:r>
        <w:rPr>
          <w:rFonts w:ascii="宋体" w:hAnsi="宋体" w:cs="宋体" w:eastAsia="宋体" w:hint="default"/>
        </w:rPr>
        <w:t>2017</w:t>
      </w:r>
      <w:r>
        <w:rPr>
          <w:rFonts w:ascii="宋体" w:hAnsi="宋体" w:cs="宋体" w:eastAsia="宋体" w:hint="default"/>
          <w:spacing w:val="-52"/>
        </w:rPr>
        <w:t> </w:t>
      </w:r>
      <w:r>
        <w:rPr/>
        <w:t>年末存量机构增加</w:t>
      </w:r>
      <w:r>
        <w:rPr>
          <w:spacing w:val="-50"/>
        </w:rPr>
        <w:t> </w:t>
      </w:r>
      <w:r>
        <w:rPr>
          <w:rFonts w:ascii="宋体" w:hAnsi="宋体" w:cs="宋体" w:eastAsia="宋体" w:hint="default"/>
        </w:rPr>
        <w:t>2002</w:t>
      </w:r>
      <w:r>
        <w:rPr>
          <w:rFonts w:ascii="宋体" w:hAnsi="宋体" w:cs="宋体" w:eastAsia="宋体" w:hint="default"/>
          <w:spacing w:val="-52"/>
        </w:rPr>
        <w:t> </w:t>
      </w:r>
      <w:r>
        <w:rPr>
          <w:spacing w:val="-4"/>
        </w:rPr>
        <w:t>家，同比增长</w:t>
      </w:r>
      <w:r>
        <w:rPr>
          <w:spacing w:val="-49"/>
        </w:rPr>
        <w:t> </w:t>
      </w:r>
      <w:r>
        <w:rPr>
          <w:rFonts w:ascii="宋体" w:hAnsi="宋体" w:cs="宋体" w:eastAsia="宋体" w:hint="default"/>
          <w:spacing w:val="-3"/>
        </w:rPr>
        <w:t>8.92%</w:t>
      </w:r>
      <w:r>
        <w:rPr>
          <w:spacing w:val="-3"/>
        </w:rPr>
        <w:t>；已备案</w:t>
      </w:r>
    </w:p>
    <w:p>
      <w:pPr>
        <w:pStyle w:val="BodyText"/>
        <w:spacing w:line="272" w:lineRule="exact"/>
        <w:ind w:left="138" w:right="100"/>
        <w:jc w:val="left"/>
      </w:pPr>
      <w:r>
        <w:rPr/>
        <w:t>私募基金</w:t>
      </w:r>
      <w:r>
        <w:rPr>
          <w:spacing w:val="-54"/>
        </w:rPr>
        <w:t> </w:t>
      </w:r>
      <w:r>
        <w:rPr>
          <w:rFonts w:ascii="宋体" w:hAnsi="宋体" w:cs="宋体" w:eastAsia="宋体" w:hint="default"/>
        </w:rPr>
        <w:t>7.46</w:t>
      </w:r>
      <w:r>
        <w:rPr>
          <w:rFonts w:ascii="宋体" w:hAnsi="宋体" w:cs="宋体" w:eastAsia="宋体" w:hint="default"/>
          <w:spacing w:val="-56"/>
        </w:rPr>
        <w:t> </w:t>
      </w:r>
      <w:r>
        <w:rPr/>
        <w:t>万只，较</w:t>
      </w:r>
      <w:r>
        <w:rPr>
          <w:spacing w:val="-56"/>
        </w:rPr>
        <w:t> </w:t>
      </w:r>
      <w:r>
        <w:rPr>
          <w:rFonts w:ascii="宋体" w:hAnsi="宋体" w:cs="宋体" w:eastAsia="宋体" w:hint="default"/>
        </w:rPr>
        <w:t>2017</w:t>
      </w:r>
      <w:r>
        <w:rPr>
          <w:rFonts w:ascii="宋体" w:hAnsi="宋体" w:cs="宋体" w:eastAsia="宋体" w:hint="default"/>
          <w:spacing w:val="-54"/>
        </w:rPr>
        <w:t> </w:t>
      </w:r>
      <w:r>
        <w:rPr/>
        <w:t>年末增长</w:t>
      </w:r>
      <w:r>
        <w:rPr>
          <w:spacing w:val="-54"/>
        </w:rPr>
        <w:t> </w:t>
      </w:r>
      <w:r>
        <w:rPr>
          <w:rFonts w:ascii="宋体" w:hAnsi="宋体" w:cs="宋体" w:eastAsia="宋体" w:hint="default"/>
        </w:rPr>
        <w:t>12.38%</w:t>
      </w:r>
      <w:r>
        <w:rPr/>
        <w:t>；管理基金规模</w:t>
      </w:r>
      <w:r>
        <w:rPr>
          <w:spacing w:val="-54"/>
        </w:rPr>
        <w:t> </w:t>
      </w:r>
      <w:r>
        <w:rPr>
          <w:rFonts w:ascii="宋体" w:hAnsi="宋体" w:cs="宋体" w:eastAsia="宋体" w:hint="default"/>
        </w:rPr>
        <w:t>12.78</w:t>
      </w:r>
      <w:r>
        <w:rPr>
          <w:rFonts w:ascii="宋体" w:hAnsi="宋体" w:cs="宋体" w:eastAsia="宋体" w:hint="default"/>
          <w:spacing w:val="-54"/>
        </w:rPr>
        <w:t> </w:t>
      </w:r>
      <w:r>
        <w:rPr/>
        <w:t>万亿元，较</w:t>
      </w:r>
      <w:r>
        <w:rPr>
          <w:spacing w:val="-53"/>
        </w:rPr>
        <w:t> </w:t>
      </w:r>
      <w:r>
        <w:rPr>
          <w:rFonts w:ascii="宋体" w:hAnsi="宋体" w:cs="宋体" w:eastAsia="宋体" w:hint="default"/>
        </w:rPr>
        <w:t>2017</w:t>
      </w:r>
      <w:r>
        <w:rPr>
          <w:rFonts w:ascii="宋体" w:hAnsi="宋体" w:cs="宋体" w:eastAsia="宋体" w:hint="default"/>
          <w:spacing w:val="-56"/>
        </w:rPr>
        <w:t> </w:t>
      </w:r>
      <w:r>
        <w:rPr/>
        <w:t>年末增加</w:t>
      </w:r>
    </w:p>
    <w:p>
      <w:pPr>
        <w:pStyle w:val="BodyText"/>
        <w:spacing w:line="273" w:lineRule="exact"/>
        <w:ind w:left="138" w:right="2597"/>
        <w:jc w:val="left"/>
      </w:pPr>
      <w:r>
        <w:rPr>
          <w:rFonts w:ascii="宋体" w:hAnsi="宋体" w:cs="宋体" w:eastAsia="宋体" w:hint="default"/>
        </w:rPr>
        <w:t>1.68</w:t>
      </w:r>
      <w:r>
        <w:rPr>
          <w:rFonts w:ascii="宋体" w:hAnsi="宋体" w:cs="宋体" w:eastAsia="宋体" w:hint="default"/>
          <w:spacing w:val="-55"/>
        </w:rPr>
        <w:t> </w:t>
      </w:r>
      <w:r>
        <w:rPr/>
        <w:t>万亿元，同比增长</w:t>
      </w:r>
      <w:r>
        <w:rPr>
          <w:spacing w:val="-52"/>
        </w:rPr>
        <w:t> </w:t>
      </w:r>
      <w:r>
        <w:rPr>
          <w:rFonts w:ascii="宋体" w:hAnsi="宋体" w:cs="宋体" w:eastAsia="宋体" w:hint="default"/>
        </w:rPr>
        <w:t>15.12%</w:t>
      </w:r>
      <w:r>
        <w:rPr/>
        <w:t>。</w:t>
      </w:r>
    </w:p>
    <w:p>
      <w:pPr>
        <w:spacing w:line="240" w:lineRule="auto" w:before="11"/>
        <w:rPr>
          <w:rFonts w:ascii="宋体" w:hAnsi="宋体" w:cs="宋体" w:eastAsia="宋体" w:hint="default"/>
          <w:sz w:val="20"/>
          <w:szCs w:val="20"/>
        </w:rPr>
      </w:pPr>
    </w:p>
    <w:p>
      <w:pPr>
        <w:pStyle w:val="BodyText"/>
        <w:spacing w:line="237" w:lineRule="auto"/>
        <w:ind w:left="138" w:right="100" w:firstLine="419"/>
        <w:jc w:val="left"/>
      </w:pPr>
      <w:r>
        <w:rPr>
          <w:rFonts w:ascii="宋体" w:hAnsi="宋体" w:cs="宋体" w:eastAsia="宋体" w:hint="default"/>
        </w:rPr>
        <w:t>4</w:t>
      </w:r>
      <w:r>
        <w:rPr/>
        <w:t>、信托行业市场情况。</w:t>
      </w:r>
      <w:r>
        <w:rPr>
          <w:rFonts w:ascii="宋体" w:hAnsi="宋体" w:cs="宋体" w:eastAsia="宋体" w:hint="default"/>
        </w:rPr>
        <w:t>2018</w:t>
      </w:r>
      <w:r>
        <w:rPr>
          <w:rFonts w:ascii="宋体" w:hAnsi="宋体" w:cs="宋体" w:eastAsia="宋体" w:hint="default"/>
          <w:spacing w:val="-55"/>
        </w:rPr>
        <w:t> </w:t>
      </w:r>
      <w:r>
        <w:rPr/>
        <w:t>年在诸多监管新政中，在降杠杆、去通道的大背景下，彻底打</w:t>
      </w:r>
      <w:r>
        <w:rPr>
          <w:w w:val="100"/>
        </w:rPr>
        <w:t> </w:t>
      </w:r>
      <w:r>
        <w:rPr>
          <w:spacing w:val="-6"/>
        </w:rPr>
        <w:t>破刚性兑付、禁止产品嵌套、资金池管理、合格投资者门槛上升等等，让信托公司经营压力倍增，</w:t>
      </w:r>
      <w:r>
        <w:rPr>
          <w:spacing w:val="-52"/>
        </w:rPr>
        <w:t> </w:t>
      </w:r>
      <w:r>
        <w:rPr>
          <w:spacing w:val="-52"/>
        </w:rPr>
      </w:r>
      <w:r>
        <w:rPr>
          <w:spacing w:val="-13"/>
          <w:w w:val="100"/>
        </w:rPr>
        <w:t>数据显示，</w:t>
      </w:r>
      <w:r>
        <w:rPr>
          <w:rFonts w:ascii="宋体" w:hAnsi="宋体" w:cs="宋体" w:eastAsia="宋体" w:hint="default"/>
          <w:spacing w:val="-13"/>
          <w:w w:val="100"/>
        </w:rPr>
        <w:t>2018</w:t>
      </w:r>
      <w:r>
        <w:rPr>
          <w:rFonts w:ascii="宋体" w:hAnsi="宋体" w:cs="宋体" w:eastAsia="宋体" w:hint="default"/>
          <w:spacing w:val="-67"/>
          <w:w w:val="100"/>
        </w:rPr>
        <w:t> </w:t>
      </w:r>
      <w:r>
        <w:rPr>
          <w:spacing w:val="-2"/>
          <w:w w:val="100"/>
        </w:rPr>
        <w:t>年四季末全国</w:t>
      </w:r>
      <w:r>
        <w:rPr>
          <w:spacing w:val="-66"/>
          <w:w w:val="100"/>
        </w:rPr>
        <w:t> </w:t>
      </w:r>
      <w:r>
        <w:rPr>
          <w:rFonts w:ascii="宋体" w:hAnsi="宋体" w:cs="宋体" w:eastAsia="宋体" w:hint="default"/>
          <w:w w:val="100"/>
        </w:rPr>
        <w:t>68</w:t>
      </w:r>
      <w:r>
        <w:rPr>
          <w:rFonts w:ascii="宋体" w:hAnsi="宋体" w:cs="宋体" w:eastAsia="宋体" w:hint="default"/>
          <w:spacing w:val="-66"/>
          <w:w w:val="100"/>
        </w:rPr>
        <w:t> </w:t>
      </w:r>
      <w:r>
        <w:rPr>
          <w:spacing w:val="-2"/>
          <w:w w:val="100"/>
        </w:rPr>
        <w:t>家信托公司受托资产规模减少至</w:t>
      </w:r>
      <w:r>
        <w:rPr>
          <w:spacing w:val="-66"/>
          <w:w w:val="100"/>
        </w:rPr>
        <w:t> </w:t>
      </w:r>
      <w:r>
        <w:rPr>
          <w:rFonts w:ascii="宋体" w:hAnsi="宋体" w:cs="宋体" w:eastAsia="宋体" w:hint="default"/>
          <w:spacing w:val="-1"/>
          <w:w w:val="100"/>
        </w:rPr>
        <w:t>22.70</w:t>
      </w:r>
      <w:r>
        <w:rPr>
          <w:rFonts w:ascii="宋体" w:hAnsi="宋体" w:cs="宋体" w:eastAsia="宋体" w:hint="default"/>
          <w:spacing w:val="-67"/>
          <w:w w:val="100"/>
        </w:rPr>
        <w:t> </w:t>
      </w:r>
      <w:r>
        <w:rPr>
          <w:spacing w:val="-14"/>
          <w:w w:val="100"/>
        </w:rPr>
        <w:t>万亿元，同比下降</w:t>
      </w:r>
      <w:r>
        <w:rPr>
          <w:spacing w:val="-69"/>
          <w:w w:val="100"/>
        </w:rPr>
        <w:t> </w:t>
      </w:r>
      <w:r>
        <w:rPr>
          <w:rFonts w:ascii="宋体" w:hAnsi="宋体" w:cs="宋体" w:eastAsia="宋体" w:hint="default"/>
          <w:spacing w:val="-1"/>
          <w:w w:val="100"/>
        </w:rPr>
        <w:t>13.50%</w:t>
      </w:r>
      <w:r>
        <w:rPr>
          <w:spacing w:val="-1"/>
          <w:w w:val="100"/>
        </w:rPr>
        <w:t>。</w:t>
      </w:r>
      <w:r>
        <w:rPr>
          <w:w w:val="100"/>
        </w:rPr>
        <w:t> </w:t>
      </w:r>
      <w:r>
        <w:rPr/>
        <w:t>同时，银行纷纷成立理财子公司，将对信托公司业务形成分流。面对新形势，各家信托公司纷纷</w:t>
      </w:r>
      <w:r>
        <w:rPr>
          <w:w w:val="100"/>
        </w:rPr>
        <w:t> </w:t>
      </w:r>
      <w:r>
        <w:rPr/>
        <w:t>加大财富中心直销系统的建设，增强销售能力，并且在家族信托、慈善信托、消费信托等零售业</w:t>
      </w:r>
      <w:r>
        <w:rPr>
          <w:w w:val="100"/>
        </w:rPr>
        <w:t> </w:t>
      </w:r>
      <w:r>
        <w:rPr/>
        <w:t>务开始发力。</w:t>
      </w:r>
    </w:p>
    <w:p>
      <w:pPr>
        <w:spacing w:line="240" w:lineRule="auto" w:before="11"/>
        <w:rPr>
          <w:rFonts w:ascii="宋体" w:hAnsi="宋体" w:cs="宋体" w:eastAsia="宋体" w:hint="default"/>
          <w:sz w:val="20"/>
          <w:szCs w:val="20"/>
        </w:rPr>
      </w:pPr>
    </w:p>
    <w:p>
      <w:pPr>
        <w:pStyle w:val="BodyText"/>
        <w:spacing w:line="237" w:lineRule="auto"/>
        <w:ind w:left="138" w:right="217" w:firstLine="419"/>
        <w:jc w:val="both"/>
      </w:pPr>
      <w:r>
        <w:rPr>
          <w:spacing w:val="-2"/>
        </w:rPr>
        <w:t>在“强监管，去杠杆”的监管背景下，金融行业业务创新较为困难，各行业更多的是在夯实</w:t>
      </w:r>
      <w:r>
        <w:rPr>
          <w:w w:val="100"/>
        </w:rPr>
        <w:t> </w:t>
      </w:r>
      <w:r>
        <w:rPr>
          <w:spacing w:val="-2"/>
        </w:rPr>
        <w:t>现有业务的基础上，努力落实业务转型。行业环境将引导盈利模式从监管套利、简单通道模式逐</w:t>
      </w:r>
      <w:r>
        <w:rPr>
          <w:spacing w:val="-25"/>
        </w:rPr>
        <w:t> </w:t>
      </w:r>
      <w:r>
        <w:rPr>
          <w:spacing w:val="-25"/>
        </w:rPr>
      </w:r>
      <w:r>
        <w:rPr>
          <w:spacing w:val="-2"/>
        </w:rPr>
        <w:t>步转向为资本中介、资产配置、资产定价模式发展。行业竞争逐步从同质化转向差异化，行业总</w:t>
      </w:r>
      <w:r>
        <w:rPr>
          <w:spacing w:val="-25"/>
        </w:rPr>
        <w:t> </w:t>
      </w:r>
      <w:r>
        <w:rPr>
          <w:spacing w:val="-25"/>
        </w:rPr>
      </w:r>
      <w:r>
        <w:rPr/>
        <w:t>体发展面临着巨大机遇和挑战。</w:t>
      </w:r>
    </w:p>
    <w:p>
      <w:pPr>
        <w:pStyle w:val="BodyText"/>
        <w:spacing w:line="237" w:lineRule="auto"/>
        <w:ind w:left="138" w:right="217" w:firstLine="419"/>
        <w:jc w:val="both"/>
      </w:pPr>
      <w:r>
        <w:rPr>
          <w:spacing w:val="-2"/>
        </w:rPr>
        <w:t>金融业的发展历史就是运用科技不断创新发展的历史。科技是金融发展的加速器，新兴科技</w:t>
      </w:r>
      <w:r>
        <w:rPr>
          <w:w w:val="100"/>
        </w:rPr>
        <w:t> </w:t>
      </w:r>
      <w:r>
        <w:rPr>
          <w:spacing w:val="-2"/>
        </w:rPr>
        <w:t>改变甚至颠覆金融服务模式。科技的运用突破了传统的地域、时空限制，拓展了金融服务的广度</w:t>
      </w:r>
      <w:r>
        <w:rPr>
          <w:spacing w:val="-25"/>
        </w:rPr>
        <w:t> </w:t>
      </w:r>
      <w:r>
        <w:rPr>
          <w:spacing w:val="-25"/>
        </w:rPr>
      </w:r>
      <w:r>
        <w:rPr/>
        <w:t>和深度，提高了金融产品的供给能力，极大地提升了金融服务的效率，降低了交易成本。</w:t>
      </w:r>
    </w:p>
    <w:p>
      <w:pPr>
        <w:pStyle w:val="BodyText"/>
        <w:spacing w:line="237" w:lineRule="auto" w:before="1"/>
        <w:ind w:left="138" w:right="217" w:firstLine="419"/>
        <w:jc w:val="both"/>
      </w:pPr>
      <w:r>
        <w:rPr>
          <w:spacing w:val="-2"/>
        </w:rPr>
        <w:t>金融科技应用在推动金融行业转型发展的同时，金融业务发展变革也在不断衍生出新的技术</w:t>
      </w:r>
      <w:r>
        <w:rPr>
          <w:w w:val="100"/>
        </w:rPr>
        <w:t> </w:t>
      </w:r>
      <w:r>
        <w:rPr>
          <w:spacing w:val="-2"/>
        </w:rPr>
        <w:t>应用需求，将实现对金融科技创新发展的反向驱动。这种驱动可以从发展和监管两条主线上得到</w:t>
      </w:r>
      <w:r>
        <w:rPr>
          <w:spacing w:val="-25"/>
        </w:rPr>
        <w:t> </w:t>
      </w:r>
      <w:r>
        <w:rPr>
          <w:spacing w:val="-25"/>
        </w:rPr>
      </w:r>
      <w:r>
        <w:rPr>
          <w:spacing w:val="-2"/>
        </w:rPr>
        <w:t>显著体现：一方面新技术的应用将衍生出新的业务发展模式，而新的业务模式必然对业务支撑平</w:t>
      </w:r>
      <w:r>
        <w:rPr>
          <w:spacing w:val="-26"/>
        </w:rPr>
        <w:t> </w:t>
      </w:r>
      <w:r>
        <w:rPr>
          <w:spacing w:val="-26"/>
        </w:rPr>
      </w:r>
      <w:r>
        <w:rPr>
          <w:spacing w:val="-2"/>
        </w:rPr>
        <w:t>台、客户管理、营销服务、风控合规等多个领域信息系统提出一系列新需求。另一方面监管的要</w:t>
      </w:r>
      <w:r>
        <w:rPr>
          <w:spacing w:val="-25"/>
        </w:rPr>
        <w:t> </w:t>
      </w:r>
      <w:r>
        <w:rPr>
          <w:spacing w:val="-25"/>
        </w:rPr>
      </w:r>
      <w:r>
        <w:rPr>
          <w:spacing w:val="-2"/>
        </w:rPr>
        <w:t>求诞生新的需求，监管新规的出台，必然伴随着与之对应的业务体系和技术体系进行针对性的梳</w:t>
      </w:r>
      <w:r>
        <w:rPr>
          <w:spacing w:val="-25"/>
        </w:rPr>
        <w:t> </w:t>
      </w:r>
      <w:r>
        <w:rPr>
          <w:spacing w:val="-25"/>
        </w:rPr>
      </w:r>
      <w:r>
        <w:rPr/>
        <w:t>理、改造和系统建设工作，调整数据报表、业务流程和风险控制等方面满足监管要求。</w:t>
      </w:r>
    </w:p>
    <w:p>
      <w:pPr>
        <w:pStyle w:val="BodyText"/>
        <w:spacing w:line="237" w:lineRule="auto" w:before="1"/>
        <w:ind w:left="138" w:right="210" w:firstLine="419"/>
        <w:jc w:val="both"/>
      </w:pPr>
      <w:r>
        <w:rPr>
          <w:spacing w:val="-2"/>
        </w:rPr>
        <w:t>金融科技将推动金融机构从传统的通道业务，向信用业务、机构业务与资产管理、财富管理</w:t>
      </w:r>
      <w:r>
        <w:rPr>
          <w:w w:val="100"/>
        </w:rPr>
        <w:t> </w:t>
      </w:r>
      <w:r>
        <w:rPr>
          <w:spacing w:val="-2"/>
        </w:rPr>
        <w:t>业务的综合发展的服务商转型，积极利用大数据、云计算、人工智能等新技术，推动传统业务转</w:t>
      </w:r>
      <w:r>
        <w:rPr>
          <w:spacing w:val="-25"/>
        </w:rPr>
        <w:t> </w:t>
      </w:r>
      <w:r>
        <w:rPr>
          <w:spacing w:val="-25"/>
        </w:rPr>
      </w:r>
      <w:r>
        <w:rPr>
          <w:spacing w:val="-2"/>
        </w:rPr>
        <w:t>型，创新业务模式，提高管理效率，促进合规、风控智能化，在客户服务、市场分析、风险定价</w:t>
      </w:r>
      <w:r>
        <w:rPr>
          <w:spacing w:val="-25"/>
        </w:rPr>
        <w:t> </w:t>
      </w:r>
      <w:r>
        <w:rPr>
          <w:spacing w:val="-25"/>
        </w:rPr>
      </w:r>
      <w:r>
        <w:rPr>
          <w:spacing w:val="-7"/>
        </w:rPr>
        <w:t>方面开展创新尝试，为客户提供智能客服、客户画像，个性化资讯、智能投顾、智能交易等服务，</w:t>
      </w:r>
      <w:r>
        <w:rPr>
          <w:spacing w:val="-15"/>
        </w:rPr>
        <w:t> </w:t>
      </w:r>
      <w:r>
        <w:rPr>
          <w:spacing w:val="-15"/>
        </w:rPr>
      </w:r>
      <w:r>
        <w:rPr>
          <w:spacing w:val="-2"/>
        </w:rPr>
        <w:t>寻求从投资顾问端、财富管理端、客户服务端等全方位向智能化转型以提升服务效能。利用人工</w:t>
      </w:r>
      <w:r>
        <w:rPr>
          <w:spacing w:val="-25"/>
        </w:rPr>
        <w:t> </w:t>
      </w:r>
      <w:r>
        <w:rPr>
          <w:spacing w:val="-25"/>
        </w:rPr>
      </w:r>
      <w:r>
        <w:rPr>
          <w:spacing w:val="-2"/>
        </w:rPr>
        <w:t>智能和大数据还可以更好地解决信息获取中维度不足、效率不高的问题，利用区块链技术可以探</w:t>
      </w:r>
      <w:r>
        <w:rPr>
          <w:spacing w:val="-25"/>
        </w:rPr>
        <w:t> </w:t>
      </w:r>
      <w:r>
        <w:rPr>
          <w:spacing w:val="-25"/>
        </w:rPr>
      </w:r>
      <w:r>
        <w:rPr>
          <w:spacing w:val="-2"/>
        </w:rPr>
        <w:t>索证券结算、发行、内部合规管理等方面的运用。科技与证券业的结合已从简单的“拼接”转变</w:t>
      </w:r>
      <w:r>
        <w:rPr>
          <w:spacing w:val="-25"/>
        </w:rPr>
        <w:t> </w:t>
      </w:r>
      <w:r>
        <w:rPr>
          <w:spacing w:val="-25"/>
        </w:rPr>
      </w:r>
      <w:r>
        <w:rPr/>
        <w:t>为深度的“融合”。 科技赋予金融更多数字化、智能化特征，</w:t>
      </w:r>
      <w:r>
        <w:rPr>
          <w:rFonts w:ascii="宋体" w:hAnsi="宋体" w:cs="宋体" w:eastAsia="宋体" w:hint="default"/>
        </w:rPr>
        <w:t>2019</w:t>
      </w:r>
      <w:r>
        <w:rPr>
          <w:rFonts w:ascii="宋体" w:hAnsi="宋体" w:cs="宋体" w:eastAsia="宋体" w:hint="default"/>
          <w:spacing w:val="-62"/>
        </w:rPr>
        <w:t> </w:t>
      </w:r>
      <w:r>
        <w:rPr/>
        <w:t>年这种趋势还将继续。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ind w:left="138" w:right="2597"/>
        <w:jc w:val="left"/>
        <w:rPr>
          <w:b w:val="0"/>
          <w:bCs w:val="0"/>
        </w:rPr>
      </w:pPr>
      <w:r>
        <w:rPr/>
        <w:t>二、报告期内公司主要资产发生重大变化情况的说明</w:t>
      </w:r>
      <w:r>
        <w:rPr>
          <w:b w:val="0"/>
          <w:bCs w:val="0"/>
        </w:rPr>
      </w:r>
    </w:p>
    <w:p>
      <w:pPr>
        <w:pStyle w:val="BodyText"/>
        <w:spacing w:line="240" w:lineRule="auto" w:before="56"/>
        <w:ind w:left="138" w:right="2597"/>
        <w:jc w:val="left"/>
      </w:pPr>
      <w:r>
        <w:rPr/>
        <w:t>□适用</w:t>
      </w:r>
      <w:r>
        <w:rPr>
          <w:spacing w:val="-1"/>
        </w:rPr>
        <w:t> </w:t>
      </w:r>
      <w:r>
        <w:rPr/>
        <w:t>√不适用</w:t>
      </w:r>
    </w:p>
    <w:p>
      <w:pPr>
        <w:pStyle w:val="Heading1"/>
        <w:tabs>
          <w:tab w:pos="3918" w:val="left" w:leader="none"/>
        </w:tabs>
        <w:spacing w:line="240" w:lineRule="auto" w:before="44"/>
        <w:ind w:left="2658" w:right="2597"/>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138" w:right="0"/>
        <w:jc w:val="both"/>
        <w:rPr>
          <w:b w:val="0"/>
          <w:bCs w:val="0"/>
        </w:rPr>
      </w:pPr>
      <w:r>
        <w:rPr/>
        <w:t>一、经营情况讨论与分析</w:t>
      </w:r>
      <w:r>
        <w:rPr>
          <w:b w:val="0"/>
          <w:bCs w:val="0"/>
        </w:rPr>
      </w:r>
    </w:p>
    <w:p>
      <w:pPr>
        <w:pStyle w:val="BodyText"/>
        <w:spacing w:line="237" w:lineRule="auto" w:before="59"/>
        <w:ind w:left="138" w:right="217"/>
        <w:jc w:val="both"/>
      </w:pPr>
      <w:r>
        <w:rPr>
          <w:spacing w:val="-2"/>
        </w:rPr>
        <w:t>报告期内，在国内经济增速放缓的背景下，公司管理层在公司董事会的积极领导下，紧绕年初既</w:t>
      </w:r>
      <w:r>
        <w:rPr>
          <w:spacing w:val="-25"/>
        </w:rPr>
        <w:t> </w:t>
      </w:r>
      <w:r>
        <w:rPr>
          <w:spacing w:val="-25"/>
        </w:rPr>
      </w:r>
      <w:r>
        <w:rPr>
          <w:spacing w:val="-2"/>
        </w:rPr>
        <w:t>定的发展战略，凭借行业积累、技术及管理优势，稳步拓展市场份额，大力拓展创新业务，积极</w:t>
      </w:r>
      <w:r>
        <w:rPr>
          <w:spacing w:val="-25"/>
        </w:rPr>
        <w:t> </w:t>
      </w:r>
      <w:r>
        <w:rPr>
          <w:spacing w:val="-25"/>
        </w:rPr>
      </w:r>
      <w:r>
        <w:rPr/>
        <w:t>进行新的发展布局。</w:t>
      </w:r>
    </w:p>
    <w:p>
      <w:pPr>
        <w:spacing w:after="0" w:line="237" w:lineRule="auto"/>
        <w:jc w:val="both"/>
        <w:sectPr>
          <w:footerReference w:type="default" r:id="rId10"/>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left="138" w:right="0"/>
        <w:jc w:val="left"/>
      </w:pPr>
      <w:r>
        <w:rPr/>
        <w:t>报告期，公司实现营业收入</w:t>
      </w:r>
      <w:r>
        <w:rPr>
          <w:spacing w:val="-55"/>
        </w:rPr>
        <w:t> </w:t>
      </w:r>
      <w:r>
        <w:rPr>
          <w:rFonts w:ascii="宋体" w:hAnsi="宋体" w:cs="宋体" w:eastAsia="宋体" w:hint="default"/>
        </w:rPr>
        <w:t>29,552.22</w:t>
      </w:r>
      <w:r>
        <w:rPr>
          <w:rFonts w:ascii="宋体" w:hAnsi="宋体" w:cs="宋体" w:eastAsia="宋体" w:hint="default"/>
          <w:spacing w:val="-55"/>
        </w:rPr>
        <w:t> </w:t>
      </w:r>
      <w:r>
        <w:rPr/>
        <w:t>万元，同比增长</w:t>
      </w:r>
      <w:r>
        <w:rPr>
          <w:spacing w:val="-55"/>
        </w:rPr>
        <w:t> </w:t>
      </w:r>
      <w:r>
        <w:rPr>
          <w:rFonts w:ascii="宋体" w:hAnsi="宋体" w:cs="宋体" w:eastAsia="宋体" w:hint="default"/>
        </w:rPr>
        <w:t>21.23%</w:t>
      </w:r>
      <w:r>
        <w:rPr/>
        <w:t>；归属于上市公司股东的净利润</w:t>
      </w:r>
      <w:r>
        <w:rPr>
          <w:w w:val="100"/>
        </w:rPr>
        <w:t> </w:t>
      </w:r>
      <w:r>
        <w:rPr>
          <w:rFonts w:ascii="宋体" w:hAnsi="宋体" w:cs="宋体" w:eastAsia="宋体" w:hint="default"/>
        </w:rPr>
        <w:t>11,977.72</w:t>
      </w:r>
      <w:r>
        <w:rPr>
          <w:rFonts w:ascii="宋体" w:hAnsi="宋体" w:cs="宋体" w:eastAsia="宋体" w:hint="default"/>
          <w:spacing w:val="-57"/>
        </w:rPr>
        <w:t> </w:t>
      </w:r>
      <w:r>
        <w:rPr/>
        <w:t>万元，同比增长</w:t>
      </w:r>
      <w:r>
        <w:rPr>
          <w:spacing w:val="-54"/>
        </w:rPr>
        <w:t> </w:t>
      </w:r>
      <w:r>
        <w:rPr>
          <w:rFonts w:ascii="宋体" w:hAnsi="宋体" w:cs="宋体" w:eastAsia="宋体" w:hint="default"/>
        </w:rPr>
        <w:t>17.53%</w:t>
      </w:r>
      <w:r>
        <w:rPr/>
        <w:t>；归属于上市公司股东的扣除非经常性损益净利润</w:t>
      </w:r>
      <w:r>
        <w:rPr>
          <w:spacing w:val="-54"/>
        </w:rPr>
        <w:t> </w:t>
      </w:r>
      <w:r>
        <w:rPr>
          <w:rFonts w:ascii="宋体" w:hAnsi="宋体" w:cs="宋体" w:eastAsia="宋体" w:hint="default"/>
        </w:rPr>
        <w:t>9,534.92</w:t>
      </w:r>
      <w:r>
        <w:rPr>
          <w:rFonts w:ascii="宋体" w:hAnsi="宋体" w:cs="宋体" w:eastAsia="宋体" w:hint="default"/>
          <w:w w:val="100"/>
        </w:rPr>
        <w:t> </w:t>
      </w:r>
      <w:r>
        <w:rPr/>
        <w:t>万元，同比增长</w:t>
      </w:r>
      <w:r>
        <w:rPr>
          <w:spacing w:val="-53"/>
        </w:rPr>
        <w:t> </w:t>
      </w:r>
      <w:r>
        <w:rPr>
          <w:rFonts w:ascii="宋体" w:hAnsi="宋体" w:cs="宋体" w:eastAsia="宋体" w:hint="default"/>
        </w:rPr>
        <w:t>8.79%</w:t>
      </w:r>
      <w:r>
        <w:rPr/>
        <w:t>。</w:t>
      </w:r>
    </w:p>
    <w:p>
      <w:pPr>
        <w:spacing w:line="240" w:lineRule="auto" w:before="9"/>
        <w:rPr>
          <w:rFonts w:ascii="宋体" w:hAnsi="宋体" w:cs="宋体" w:eastAsia="宋体" w:hint="default"/>
          <w:sz w:val="20"/>
          <w:szCs w:val="20"/>
        </w:rPr>
      </w:pPr>
    </w:p>
    <w:p>
      <w:pPr>
        <w:pStyle w:val="BodyText"/>
        <w:spacing w:line="240" w:lineRule="auto"/>
        <w:ind w:left="138" w:right="137"/>
        <w:jc w:val="both"/>
      </w:pPr>
      <w:r>
        <w:rPr>
          <w:spacing w:val="-2"/>
        </w:rPr>
        <w:t>公司的业务主要为金融行业信息化业务，同时也开展非金融行业信息化业务。公司的金融行业信</w:t>
      </w:r>
      <w:r>
        <w:rPr>
          <w:spacing w:val="-25"/>
        </w:rPr>
        <w:t> </w:t>
      </w:r>
      <w:r>
        <w:rPr>
          <w:spacing w:val="-25"/>
        </w:rPr>
      </w:r>
      <w:r>
        <w:rPr/>
        <w:t>息化业务主要包括证券、期货、电子交易市场、银行、信托、资管</w:t>
      </w:r>
      <w:r>
        <w:rPr>
          <w:rFonts w:ascii="宋体" w:hAnsi="宋体" w:cs="宋体" w:eastAsia="宋体" w:hint="default"/>
        </w:rPr>
        <w:t>/</w:t>
      </w:r>
      <w:r>
        <w:rPr/>
        <w:t>基金等行业信息化业务。</w:t>
      </w:r>
    </w:p>
    <w:p>
      <w:pPr>
        <w:spacing w:line="240" w:lineRule="auto" w:before="10"/>
        <w:rPr>
          <w:rFonts w:ascii="宋体" w:hAnsi="宋体" w:cs="宋体" w:eastAsia="宋体" w:hint="default"/>
          <w:sz w:val="22"/>
          <w:szCs w:val="22"/>
        </w:rPr>
      </w:pPr>
    </w:p>
    <w:p>
      <w:pPr>
        <w:pStyle w:val="BodyText"/>
        <w:tabs>
          <w:tab w:pos="557" w:val="left" w:leader="none"/>
        </w:tabs>
        <w:spacing w:line="272" w:lineRule="exact"/>
        <w:ind w:left="138" w:right="6443"/>
        <w:jc w:val="left"/>
      </w:pPr>
      <w:r>
        <w:rPr/>
        <w:t>报告期内具体经营情况：</w:t>
      </w:r>
      <w:r>
        <w:rPr>
          <w:w w:val="100"/>
        </w:rPr>
        <w:t> </w:t>
      </w:r>
      <w:r>
        <w:rPr>
          <w:rFonts w:ascii="宋体" w:hAnsi="宋体" w:cs="宋体" w:eastAsia="宋体" w:hint="default"/>
        </w:rPr>
        <w:t>1)</w:t>
        <w:tab/>
      </w:r>
      <w:r>
        <w:rPr>
          <w:spacing w:val="-2"/>
        </w:rPr>
        <w:t>证券行业信息化业务：</w:t>
      </w:r>
    </w:p>
    <w:p>
      <w:pPr>
        <w:pStyle w:val="BodyText"/>
        <w:spacing w:line="272" w:lineRule="exact" w:before="1"/>
        <w:ind w:left="138" w:right="137"/>
        <w:jc w:val="both"/>
      </w:pPr>
      <w:r>
        <w:rPr>
          <w:spacing w:val="-2"/>
        </w:rPr>
        <w:t>公司在证券行业信息化业务方面主要有基础支撑、业务运营、营销服务等系列产品及解决方案。</w:t>
      </w:r>
      <w:r>
        <w:rPr>
          <w:spacing w:val="-25"/>
        </w:rPr>
        <w:t> </w:t>
      </w:r>
      <w:r>
        <w:rPr>
          <w:spacing w:val="-25"/>
        </w:rPr>
      </w:r>
      <w:r>
        <w:rPr>
          <w:spacing w:val="-2"/>
        </w:rPr>
        <w:t>报告期内，在证券行业不断拓宽服务领域，做精产品和服务，所提供的产品与服务已经贯穿证券</w:t>
      </w:r>
    </w:p>
    <w:p>
      <w:pPr>
        <w:pStyle w:val="BodyText"/>
        <w:spacing w:line="272" w:lineRule="exact" w:before="1"/>
        <w:ind w:left="138" w:right="137"/>
        <w:jc w:val="both"/>
      </w:pPr>
      <w:r>
        <w:rPr>
          <w:spacing w:val="-2"/>
        </w:rPr>
        <w:t>行业零售、网金、投顾、财富、机构、资管、场外等领域。报告期内面向市场推出“移动应用开</w:t>
      </w:r>
      <w:r>
        <w:rPr>
          <w:spacing w:val="-25"/>
        </w:rPr>
        <w:t> </w:t>
      </w:r>
      <w:r>
        <w:rPr>
          <w:spacing w:val="-25"/>
        </w:rPr>
      </w:r>
      <w:r>
        <w:rPr>
          <w:spacing w:val="-2"/>
        </w:rPr>
        <w:t>发平台”、“微服务平台”、“大数据服务平台”、“人工智能整合平台”等技术架构平台，为</w:t>
      </w:r>
    </w:p>
    <w:p>
      <w:pPr>
        <w:pStyle w:val="BodyText"/>
        <w:spacing w:line="272" w:lineRule="exact" w:before="1"/>
        <w:ind w:left="138" w:right="137"/>
        <w:jc w:val="both"/>
      </w:pPr>
      <w:r>
        <w:rPr>
          <w:spacing w:val="-2"/>
        </w:rPr>
        <w:t>金融机构、大中型企业等机构自主研发提供平台和工具支持。产品和解决方案方面，内存交易、</w:t>
      </w:r>
      <w:r>
        <w:rPr>
          <w:spacing w:val="-25"/>
        </w:rPr>
        <w:t> </w:t>
      </w:r>
      <w:r>
        <w:rPr>
          <w:spacing w:val="-25"/>
        </w:rPr>
      </w:r>
      <w:r>
        <w:rPr/>
        <w:t>集中运营、营销服务、机构业务支持、产品中心、大数据、金融互联网化应用发展态势良好。</w:t>
      </w:r>
    </w:p>
    <w:p>
      <w:pPr>
        <w:spacing w:line="240" w:lineRule="auto" w:before="12"/>
        <w:rPr>
          <w:rFonts w:ascii="宋体" w:hAnsi="宋体" w:cs="宋体" w:eastAsia="宋体" w:hint="default"/>
          <w:sz w:val="18"/>
          <w:szCs w:val="18"/>
        </w:rPr>
      </w:pPr>
    </w:p>
    <w:p>
      <w:pPr>
        <w:pStyle w:val="BodyText"/>
        <w:spacing w:line="237" w:lineRule="auto"/>
        <w:ind w:left="138" w:right="128"/>
        <w:jc w:val="both"/>
      </w:pPr>
      <w:r>
        <w:rPr>
          <w:rFonts w:ascii="宋体" w:hAnsi="宋体" w:cs="宋体" w:eastAsia="宋体" w:hint="default"/>
        </w:rPr>
        <w:t>a.</w:t>
      </w:r>
      <w:r>
        <w:rPr>
          <w:rFonts w:ascii="宋体" w:hAnsi="宋体" w:cs="宋体" w:eastAsia="宋体" w:hint="default"/>
          <w:spacing w:val="101"/>
        </w:rPr>
        <w:t> </w:t>
      </w:r>
      <w:r>
        <w:rPr/>
        <w:t>基础支撑类产品：基础支撑类产品包括集中交易、内存快速交易、资金支付、理财账户、托</w:t>
      </w:r>
      <w:r>
        <w:rPr>
          <w:w w:val="100"/>
        </w:rPr>
        <w:t> </w:t>
      </w:r>
      <w:r>
        <w:rPr>
          <w:spacing w:val="-2"/>
        </w:rPr>
        <w:t>管清算、场外业务支持等系统。报告期完成沪伦通交易系统、深沪三方回购业务系统等新业务支</w:t>
      </w:r>
      <w:r>
        <w:rPr>
          <w:spacing w:val="-25"/>
        </w:rPr>
        <w:t> </w:t>
      </w:r>
      <w:r>
        <w:rPr>
          <w:spacing w:val="-25"/>
        </w:rPr>
      </w:r>
      <w:r>
        <w:rPr>
          <w:spacing w:val="-2"/>
        </w:rPr>
        <w:t>持和系统改造工作。新一代分布式交易系统和快速交易系统节点产品不断成熟，实现从纯粹的交</w:t>
      </w:r>
      <w:r>
        <w:rPr>
          <w:spacing w:val="-25"/>
        </w:rPr>
        <w:t> </w:t>
      </w:r>
      <w:r>
        <w:rPr>
          <w:spacing w:val="-25"/>
        </w:rPr>
      </w:r>
      <w:r>
        <w:rPr>
          <w:spacing w:val="-2"/>
        </w:rPr>
        <w:t>易通道向满足不同类型专业投资者的个性化交易平台的转变升级，将“交易”、“数据”和“开</w:t>
      </w:r>
      <w:r>
        <w:rPr>
          <w:spacing w:val="-26"/>
        </w:rPr>
        <w:t> </w:t>
      </w:r>
      <w:r>
        <w:rPr>
          <w:spacing w:val="-26"/>
        </w:rPr>
      </w:r>
      <w:r>
        <w:rPr>
          <w:spacing w:val="-2"/>
        </w:rPr>
        <w:t>发服务”紧密结合，为券商在专业投资者服务、机构业务接入、零售客户分流等方面提供支持，</w:t>
      </w:r>
      <w:r>
        <w:rPr>
          <w:spacing w:val="-25"/>
        </w:rPr>
        <w:t> </w:t>
      </w:r>
      <w:r>
        <w:rPr>
          <w:spacing w:val="-25"/>
        </w:rPr>
      </w:r>
      <w:r>
        <w:rPr/>
        <w:t>面向机构提供公募基金托管柜台、</w:t>
      </w:r>
      <w:r>
        <w:rPr>
          <w:rFonts w:ascii="宋体" w:hAnsi="宋体" w:cs="宋体" w:eastAsia="宋体" w:hint="default"/>
        </w:rPr>
        <w:t>PB</w:t>
      </w:r>
      <w:r>
        <w:rPr>
          <w:rFonts w:ascii="宋体" w:hAnsi="宋体" w:cs="宋体" w:eastAsia="宋体" w:hint="default"/>
          <w:spacing w:val="-34"/>
        </w:rPr>
        <w:t> </w:t>
      </w:r>
      <w:r>
        <w:rPr>
          <w:spacing w:val="-3"/>
        </w:rPr>
        <w:t>等系统。内存快速交易系统新增国元证券等客户，保持该细</w:t>
      </w:r>
      <w:r>
        <w:rPr>
          <w:spacing w:val="-96"/>
        </w:rPr>
        <w:t> </w:t>
      </w:r>
      <w:r>
        <w:rPr>
          <w:spacing w:val="-96"/>
        </w:rPr>
      </w:r>
      <w:r>
        <w:rPr/>
        <w:t>分市场的领先地位。</w:t>
      </w:r>
    </w:p>
    <w:p>
      <w:pPr>
        <w:spacing w:line="240" w:lineRule="auto" w:before="11"/>
        <w:rPr>
          <w:rFonts w:ascii="宋体" w:hAnsi="宋体" w:cs="宋体" w:eastAsia="宋体" w:hint="default"/>
          <w:sz w:val="20"/>
          <w:szCs w:val="20"/>
        </w:rPr>
      </w:pPr>
    </w:p>
    <w:p>
      <w:pPr>
        <w:pStyle w:val="BodyText"/>
        <w:spacing w:line="237" w:lineRule="auto"/>
        <w:ind w:left="138" w:right="127"/>
        <w:jc w:val="both"/>
      </w:pPr>
      <w:r>
        <w:rPr>
          <w:rFonts w:ascii="宋体" w:hAnsi="宋体" w:cs="宋体" w:eastAsia="宋体" w:hint="default"/>
        </w:rPr>
        <w:t>b.</w:t>
      </w:r>
      <w:r>
        <w:rPr>
          <w:rFonts w:ascii="宋体" w:hAnsi="宋体" w:cs="宋体" w:eastAsia="宋体" w:hint="default"/>
          <w:spacing w:val="101"/>
        </w:rPr>
        <w:t> </w:t>
      </w:r>
      <w:r>
        <w:rPr/>
        <w:t>业务运营中台：业务运营类产品包括业务受理终端、运营流程信息化、智慧网点、数字化运</w:t>
      </w:r>
      <w:r>
        <w:rPr>
          <w:w w:val="100"/>
        </w:rPr>
        <w:t> </w:t>
      </w:r>
      <w:r>
        <w:rPr>
          <w:spacing w:val="-2"/>
        </w:rPr>
        <w:t>营以及非现场双录、视频影像支持、电子合同、无纸化等周边系统。报告期集中完成了客户适当</w:t>
      </w:r>
      <w:r>
        <w:rPr>
          <w:spacing w:val="-25"/>
        </w:rPr>
        <w:t> </w:t>
      </w:r>
      <w:r>
        <w:rPr>
          <w:spacing w:val="-25"/>
        </w:rPr>
      </w:r>
      <w:r>
        <w:rPr>
          <w:spacing w:val="-10"/>
        </w:rPr>
        <w:t>性深化建设、微服务平台的迁移对接等工作，通过优化流程、迭代开发，新推出</w:t>
      </w:r>
      <w:r>
        <w:rPr>
          <w:spacing w:val="-39"/>
        </w:rPr>
        <w:t> </w:t>
      </w:r>
      <w:r>
        <w:rPr>
          <w:rFonts w:ascii="宋体" w:hAnsi="宋体" w:cs="宋体" w:eastAsia="宋体" w:hint="default"/>
        </w:rPr>
        <w:t>iPAD</w:t>
      </w:r>
      <w:r>
        <w:rPr>
          <w:rFonts w:ascii="宋体" w:hAnsi="宋体" w:cs="宋体" w:eastAsia="宋体" w:hint="default"/>
          <w:spacing w:val="-36"/>
        </w:rPr>
        <w:t> </w:t>
      </w:r>
      <w:r>
        <w:rPr/>
        <w:t>受理端产品、</w:t>
      </w:r>
      <w:r>
        <w:rPr>
          <w:spacing w:val="-98"/>
        </w:rPr>
        <w:t> </w:t>
      </w:r>
      <w:r>
        <w:rPr>
          <w:spacing w:val="-98"/>
        </w:rPr>
      </w:r>
      <w:r>
        <w:rPr/>
        <w:t>智慧柜员机、运营监控平台、智能助审等产品。通过</w:t>
      </w:r>
      <w:r>
        <w:rPr>
          <w:spacing w:val="-54"/>
        </w:rPr>
        <w:t> </w:t>
      </w:r>
      <w:r>
        <w:rPr>
          <w:rFonts w:ascii="宋体" w:hAnsi="宋体" w:cs="宋体" w:eastAsia="宋体" w:hint="default"/>
        </w:rPr>
        <w:t>OCR</w:t>
      </w:r>
      <w:r>
        <w:rPr>
          <w:rFonts w:ascii="宋体" w:hAnsi="宋体" w:cs="宋体" w:eastAsia="宋体" w:hint="default"/>
          <w:spacing w:val="-56"/>
        </w:rPr>
        <w:t> </w:t>
      </w:r>
      <w:r>
        <w:rPr/>
        <w:t>识别、人脸识别、</w:t>
      </w:r>
      <w:r>
        <w:rPr>
          <w:rFonts w:ascii="宋体" w:hAnsi="宋体" w:cs="宋体" w:eastAsia="宋体" w:hint="default"/>
        </w:rPr>
        <w:t>RPA</w:t>
      </w:r>
      <w:r>
        <w:rPr>
          <w:rFonts w:ascii="宋体" w:hAnsi="宋体" w:cs="宋体" w:eastAsia="宋体" w:hint="default"/>
          <w:spacing w:val="-53"/>
        </w:rPr>
        <w:t> </w:t>
      </w:r>
      <w:r>
        <w:rPr/>
        <w:t>流程机器人等信</w:t>
      </w:r>
      <w:r>
        <w:rPr>
          <w:w w:val="100"/>
        </w:rPr>
        <w:t> </w:t>
      </w:r>
      <w:r>
        <w:rPr>
          <w:spacing w:val="-2"/>
        </w:rPr>
        <w:t>息化和自动化技术，实现业务的自动化处理，将员工从重复的事务性操作中脱离出来。报告期内</w:t>
      </w:r>
      <w:r>
        <w:rPr>
          <w:spacing w:val="-25"/>
        </w:rPr>
        <w:t> </w:t>
      </w:r>
      <w:r>
        <w:rPr>
          <w:spacing w:val="-25"/>
        </w:rPr>
      </w:r>
      <w:r>
        <w:rPr>
          <w:spacing w:val="-2"/>
        </w:rPr>
        <w:t>进一步落实数字化运营的研发工作，配合经营机构完成从集中运营到精益运营，从精益运营到智</w:t>
      </w:r>
      <w:r>
        <w:rPr>
          <w:spacing w:val="-25"/>
        </w:rPr>
        <w:t> </w:t>
      </w:r>
      <w:r>
        <w:rPr>
          <w:spacing w:val="-25"/>
        </w:rPr>
      </w:r>
      <w:r>
        <w:rPr/>
        <w:t>慧运营的三次运营转型，市场优势地位得到巩固，有利于未来业务的拓展。</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ind w:left="138" w:right="137"/>
        <w:jc w:val="both"/>
      </w:pPr>
      <w:r>
        <w:rPr>
          <w:rFonts w:ascii="宋体" w:hAnsi="宋体" w:cs="宋体" w:eastAsia="宋体" w:hint="default"/>
        </w:rPr>
        <w:t>c. </w:t>
      </w:r>
      <w:r>
        <w:rPr/>
        <w:t>营销服务类产品：</w:t>
      </w:r>
      <w:r>
        <w:rPr>
          <w:rFonts w:ascii="宋体" w:hAnsi="宋体" w:cs="宋体" w:eastAsia="宋体" w:hint="default"/>
        </w:rPr>
        <w:t>2018 </w:t>
      </w:r>
      <w:r>
        <w:rPr/>
        <w:t>年发布 </w:t>
      </w:r>
      <w:r>
        <w:rPr>
          <w:rFonts w:ascii="宋体" w:hAnsi="宋体" w:cs="宋体" w:eastAsia="宋体" w:hint="default"/>
        </w:rPr>
        <w:t>C5</w:t>
      </w:r>
      <w:r>
        <w:rPr>
          <w:rFonts w:ascii="宋体" w:hAnsi="宋体" w:cs="宋体" w:eastAsia="宋体" w:hint="default"/>
          <w:spacing w:val="-63"/>
        </w:rPr>
        <w:t> </w:t>
      </w:r>
      <w:r>
        <w:rPr/>
        <w:t>客户经营平台系列产品，在营销服务领域基础上进一步拓</w:t>
      </w:r>
      <w:r>
        <w:rPr>
          <w:w w:val="100"/>
        </w:rPr>
        <w:t> </w:t>
      </w:r>
      <w:r>
        <w:rPr>
          <w:spacing w:val="-2"/>
        </w:rPr>
        <w:t>展，围绕客户分类经营的数字化营销系列、财富管理系列以及业务线精细管理系列应用。在产品</w:t>
      </w:r>
      <w:r>
        <w:rPr>
          <w:spacing w:val="-25"/>
        </w:rPr>
        <w:t> </w:t>
      </w:r>
      <w:r>
        <w:rPr>
          <w:spacing w:val="-25"/>
        </w:rPr>
      </w:r>
      <w:r>
        <w:rPr>
          <w:spacing w:val="-2"/>
        </w:rPr>
        <w:t>先进性上继续保持领先优势，同时在技术上结合大数据等多元数据类型，以微服务架构结合移动</w:t>
      </w:r>
      <w:r>
        <w:rPr>
          <w:spacing w:val="-25"/>
        </w:rPr>
        <w:t> </w:t>
      </w:r>
      <w:r>
        <w:rPr>
          <w:spacing w:val="-25"/>
        </w:rPr>
      </w:r>
      <w:r>
        <w:rPr>
          <w:spacing w:val="-2"/>
        </w:rPr>
        <w:t>架构逐步成为金融企业中台体系应用，重要性大大增强。市场占有率进一步扩大，特别在财富管</w:t>
      </w:r>
      <w:r>
        <w:rPr>
          <w:spacing w:val="-25"/>
        </w:rPr>
        <w:t> </w:t>
      </w:r>
      <w:r>
        <w:rPr>
          <w:spacing w:val="-25"/>
        </w:rPr>
      </w:r>
      <w:r>
        <w:rPr/>
        <w:t>理领域增加如海通证券、国信证券、华西证券等重要客户案例。</w:t>
      </w:r>
    </w:p>
    <w:p>
      <w:pPr>
        <w:spacing w:line="240" w:lineRule="auto" w:before="11"/>
        <w:rPr>
          <w:rFonts w:ascii="宋体" w:hAnsi="宋体" w:cs="宋体" w:eastAsia="宋体" w:hint="default"/>
          <w:sz w:val="20"/>
          <w:szCs w:val="20"/>
        </w:rPr>
      </w:pPr>
    </w:p>
    <w:p>
      <w:pPr>
        <w:pStyle w:val="BodyText"/>
        <w:spacing w:line="237" w:lineRule="auto"/>
        <w:ind w:left="138" w:right="127"/>
        <w:jc w:val="both"/>
      </w:pPr>
      <w:r>
        <w:rPr>
          <w:rFonts w:ascii="宋体" w:hAnsi="宋体" w:cs="宋体" w:eastAsia="宋体" w:hint="default"/>
        </w:rPr>
        <w:t>d.</w:t>
      </w:r>
      <w:r>
        <w:rPr>
          <w:rFonts w:ascii="宋体" w:hAnsi="宋体" w:cs="宋体" w:eastAsia="宋体" w:hint="default"/>
          <w:spacing w:val="101"/>
        </w:rPr>
        <w:t> </w:t>
      </w:r>
      <w:r>
        <w:rPr/>
        <w:t>机构产品线：主要开发和实施券商的机构业务支撑系统，包括大投行业务、证券金融业务、</w:t>
      </w:r>
      <w:r>
        <w:rPr>
          <w:w w:val="100"/>
        </w:rPr>
        <w:t> </w:t>
      </w:r>
      <w:r>
        <w:rPr>
          <w:spacing w:val="-7"/>
          <w:w w:val="100"/>
        </w:rPr>
        <w:t>股票销售业务、固定收益业务、私募托管业务以及对公司机构客户多元化经营的机构</w:t>
      </w:r>
      <w:r>
        <w:rPr>
          <w:spacing w:val="-47"/>
          <w:w w:val="100"/>
        </w:rPr>
        <w:t> </w:t>
      </w:r>
      <w:r>
        <w:rPr>
          <w:rFonts w:ascii="宋体" w:hAnsi="宋体" w:cs="宋体" w:eastAsia="宋体" w:hint="default"/>
          <w:spacing w:val="-1"/>
          <w:w w:val="100"/>
        </w:rPr>
        <w:t>CRM</w:t>
      </w:r>
      <w:r>
        <w:rPr>
          <w:rFonts w:ascii="宋体" w:hAnsi="宋体" w:cs="宋体" w:eastAsia="宋体" w:hint="default"/>
          <w:spacing w:val="-48"/>
          <w:w w:val="100"/>
        </w:rPr>
        <w:t> </w:t>
      </w:r>
      <w:r>
        <w:rPr>
          <w:spacing w:val="-2"/>
          <w:w w:val="100"/>
        </w:rPr>
        <w:t>系统等。</w:t>
      </w:r>
      <w:r>
        <w:rPr>
          <w:spacing w:val="-104"/>
          <w:w w:val="100"/>
        </w:rPr>
        <w:t> </w:t>
      </w:r>
      <w:r>
        <w:rPr>
          <w:spacing w:val="-104"/>
          <w:w w:val="100"/>
        </w:rPr>
      </w:r>
      <w:r>
        <w:rPr>
          <w:spacing w:val="-2"/>
        </w:rPr>
        <w:t>产品管理业务支撑系统主要围绕证券公司各产品的生产、引入、销售、运营、投后等业务，提供</w:t>
      </w:r>
      <w:r>
        <w:rPr>
          <w:spacing w:val="-25"/>
        </w:rPr>
        <w:t> </w:t>
      </w:r>
      <w:r>
        <w:rPr>
          <w:spacing w:val="-25"/>
        </w:rPr>
      </w:r>
      <w:r>
        <w:rPr/>
        <w:t>产品全生命周期的精细化管理，打造券商的产品中台，服务于客户端相关系统（客户</w:t>
      </w:r>
      <w:r>
        <w:rPr>
          <w:spacing w:val="-54"/>
        </w:rPr>
        <w:t> </w:t>
      </w:r>
      <w:r>
        <w:rPr>
          <w:rFonts w:ascii="宋体" w:hAnsi="宋体" w:cs="宋体" w:eastAsia="宋体" w:hint="default"/>
        </w:rPr>
        <w:t>APP</w:t>
      </w:r>
      <w:r>
        <w:rPr/>
        <w:t>、金融</w:t>
      </w:r>
      <w:r>
        <w:rPr>
          <w:w w:val="100"/>
        </w:rPr>
        <w:t> </w:t>
      </w:r>
      <w:r>
        <w:rPr>
          <w:spacing w:val="-2"/>
        </w:rPr>
        <w:t>商城等）、员工端相关系统以及核心产品销售系统，为券商的财富管理提供产品供应链管理等。</w:t>
      </w:r>
      <w:r>
        <w:rPr>
          <w:spacing w:val="-25"/>
        </w:rPr>
        <w:t> </w:t>
      </w:r>
      <w:r>
        <w:rPr>
          <w:spacing w:val="-25"/>
        </w:rPr>
      </w:r>
      <w:r>
        <w:rPr>
          <w:rFonts w:ascii="宋体" w:hAnsi="宋体" w:cs="宋体" w:eastAsia="宋体" w:hint="default"/>
        </w:rPr>
        <w:t>2018</w:t>
      </w:r>
      <w:r>
        <w:rPr>
          <w:rFonts w:ascii="宋体" w:hAnsi="宋体" w:cs="宋体" w:eastAsia="宋体" w:hint="default"/>
          <w:spacing w:val="-57"/>
        </w:rPr>
        <w:t> </w:t>
      </w:r>
      <w:r>
        <w:rPr/>
        <w:t>年，机构产品线新增客户案例</w:t>
      </w:r>
      <w:r>
        <w:rPr>
          <w:spacing w:val="-55"/>
        </w:rPr>
        <w:t> </w:t>
      </w:r>
      <w:r>
        <w:rPr>
          <w:rFonts w:ascii="宋体" w:hAnsi="宋体" w:cs="宋体" w:eastAsia="宋体" w:hint="default"/>
        </w:rPr>
        <w:t>20</w:t>
      </w:r>
      <w:r>
        <w:rPr>
          <w:rFonts w:ascii="宋体" w:hAnsi="宋体" w:cs="宋体" w:eastAsia="宋体" w:hint="default"/>
          <w:spacing w:val="-55"/>
        </w:rPr>
        <w:t> </w:t>
      </w:r>
      <w:r>
        <w:rPr/>
        <w:t>多个，产品管理等业务支撑系统在券商应用案例具有市场</w:t>
      </w:r>
      <w:r>
        <w:rPr>
          <w:w w:val="100"/>
        </w:rPr>
        <w:t> </w:t>
      </w:r>
      <w:r>
        <w:rPr/>
        <w:t>领先优势。</w:t>
      </w:r>
    </w:p>
    <w:p>
      <w:pPr>
        <w:spacing w:line="240" w:lineRule="auto" w:before="11"/>
        <w:rPr>
          <w:rFonts w:ascii="宋体" w:hAnsi="宋体" w:cs="宋体" w:eastAsia="宋体" w:hint="default"/>
          <w:sz w:val="20"/>
          <w:szCs w:val="20"/>
        </w:rPr>
      </w:pPr>
    </w:p>
    <w:p>
      <w:pPr>
        <w:pStyle w:val="BodyText"/>
        <w:spacing w:line="237" w:lineRule="auto"/>
        <w:ind w:left="138" w:right="137"/>
        <w:jc w:val="both"/>
      </w:pPr>
      <w:r>
        <w:rPr>
          <w:rFonts w:ascii="宋体" w:hAnsi="宋体" w:cs="宋体" w:eastAsia="宋体" w:hint="default"/>
        </w:rPr>
        <w:t>e.</w:t>
      </w:r>
      <w:r>
        <w:rPr>
          <w:rFonts w:ascii="宋体" w:hAnsi="宋体" w:cs="宋体" w:eastAsia="宋体" w:hint="default"/>
          <w:spacing w:val="101"/>
        </w:rPr>
        <w:t> </w:t>
      </w:r>
      <w:r>
        <w:rPr/>
        <w:t>大数据类产品：包括从大数据基础平台、数据处理、数据治理、数据服务、到数据应用的系</w:t>
      </w:r>
      <w:r>
        <w:rPr>
          <w:w w:val="100"/>
        </w:rPr>
        <w:t> </w:t>
      </w:r>
      <w:r>
        <w:rPr>
          <w:spacing w:val="-2"/>
        </w:rPr>
        <w:t>列产品。提供投资者数据中心、智能账单等数据服务。结合金融数据运营经验，以投资者为中心</w:t>
      </w:r>
      <w:r>
        <w:rPr>
          <w:spacing w:val="-26"/>
        </w:rPr>
        <w:t> </w:t>
      </w:r>
      <w:r>
        <w:rPr>
          <w:spacing w:val="-26"/>
        </w:rPr>
      </w:r>
      <w:r>
        <w:rPr>
          <w:spacing w:val="-2"/>
        </w:rPr>
        <w:t>完成主数据加工，提供完整的客户资产、实时估值和盈亏核算，为广大投资者提供丰富的资产、</w:t>
      </w:r>
    </w:p>
    <w:p>
      <w:pPr>
        <w:spacing w:after="0" w:line="237" w:lineRule="auto"/>
        <w:jc w:val="both"/>
        <w:sectPr>
          <w:footerReference w:type="default" r:id="rId11"/>
          <w:pgSz w:w="11910" w:h="16840"/>
          <w:pgMar w:footer="1195" w:header="880" w:top="1120" w:bottom="1380" w:left="1660" w:right="1140"/>
          <w:pgNumType w:start="11"/>
        </w:sectPr>
      </w:pPr>
    </w:p>
    <w:p>
      <w:pPr>
        <w:spacing w:line="240" w:lineRule="auto" w:before="4"/>
        <w:rPr>
          <w:rFonts w:ascii="宋体" w:hAnsi="宋体" w:cs="宋体" w:eastAsia="宋体" w:hint="default"/>
          <w:sz w:val="25"/>
          <w:szCs w:val="25"/>
        </w:rPr>
      </w:pPr>
    </w:p>
    <w:p>
      <w:pPr>
        <w:pStyle w:val="BodyText"/>
        <w:spacing w:line="237" w:lineRule="auto" w:before="38"/>
        <w:ind w:left="138" w:right="210"/>
        <w:jc w:val="both"/>
      </w:pPr>
      <w:r>
        <w:rPr>
          <w:spacing w:val="-7"/>
        </w:rPr>
        <w:t>交易、投资绩效等深度数据服务。提供客户行为分析、客户预测模型，客户智搜、客户标签体系、</w:t>
      </w:r>
      <w:r>
        <w:rPr>
          <w:spacing w:val="-13"/>
        </w:rPr>
        <w:t> </w:t>
      </w:r>
      <w:r>
        <w:rPr>
          <w:spacing w:val="-13"/>
        </w:rPr>
      </w:r>
      <w:r>
        <w:rPr>
          <w:spacing w:val="-9"/>
          <w:w w:val="100"/>
        </w:rPr>
        <w:t>客户</w:t>
      </w:r>
      <w:r>
        <w:rPr>
          <w:rFonts w:ascii="宋体" w:hAnsi="宋体" w:cs="宋体" w:eastAsia="宋体" w:hint="default"/>
          <w:spacing w:val="-9"/>
          <w:w w:val="100"/>
        </w:rPr>
        <w:t>/</w:t>
      </w:r>
      <w:r>
        <w:rPr>
          <w:spacing w:val="-9"/>
          <w:w w:val="100"/>
        </w:rPr>
        <w:t>客户群画像、报表中心、管理驾驶舱等系列应用，实现个性化服务和产品营销等场景化支持，</w:t>
      </w:r>
      <w:r>
        <w:rPr>
          <w:spacing w:val="-77"/>
          <w:w w:val="100"/>
        </w:rPr>
        <w:t> </w:t>
      </w:r>
      <w:r>
        <w:rPr>
          <w:spacing w:val="-77"/>
          <w:w w:val="100"/>
        </w:rPr>
      </w:r>
      <w:r>
        <w:rPr/>
        <w:t>完成从目标客户生成到推送执行、跟踪反馈和效果分析等数据处理的闭环。</w:t>
      </w:r>
    </w:p>
    <w:p>
      <w:pPr>
        <w:spacing w:line="240" w:lineRule="auto" w:before="11"/>
        <w:rPr>
          <w:rFonts w:ascii="宋体" w:hAnsi="宋体" w:cs="宋体" w:eastAsia="宋体" w:hint="default"/>
          <w:sz w:val="20"/>
          <w:szCs w:val="20"/>
        </w:rPr>
      </w:pPr>
    </w:p>
    <w:p>
      <w:pPr>
        <w:pStyle w:val="BodyText"/>
        <w:spacing w:line="237" w:lineRule="auto"/>
        <w:ind w:left="138" w:right="208"/>
        <w:jc w:val="both"/>
      </w:pPr>
      <w:r>
        <w:rPr>
          <w:rFonts w:ascii="宋体" w:hAnsi="宋体" w:cs="宋体" w:eastAsia="宋体" w:hint="default"/>
        </w:rPr>
        <w:t>f.</w:t>
      </w:r>
      <w:r>
        <w:rPr>
          <w:rFonts w:ascii="宋体" w:hAnsi="宋体" w:cs="宋体" w:eastAsia="宋体" w:hint="default"/>
          <w:spacing w:val="101"/>
        </w:rPr>
        <w:t> </w:t>
      </w:r>
      <w:r>
        <w:rPr/>
        <w:t>金融互联网化应用：主要包括各类角色人员的移动终端、金融产品商城、各类业务自助受理</w:t>
      </w:r>
      <w:r>
        <w:rPr>
          <w:w w:val="100"/>
        </w:rPr>
        <w:t> </w:t>
      </w:r>
      <w:r>
        <w:rPr>
          <w:spacing w:val="-2"/>
        </w:rPr>
        <w:t>终端、基于大数据的客户画像和投资者数据服务、在线客服、智能投顾等系统。部分产品在安信</w:t>
      </w:r>
      <w:r>
        <w:rPr>
          <w:spacing w:val="-25"/>
        </w:rPr>
        <w:t> </w:t>
      </w:r>
      <w:r>
        <w:rPr>
          <w:spacing w:val="-25"/>
        </w:rPr>
      </w:r>
      <w:r>
        <w:rPr>
          <w:spacing w:val="-2"/>
        </w:rPr>
        <w:t>证券、长江证券、华鑫证券、申万宏源证券、信达证券、财通证券投入运行，为将来业务增长奠</w:t>
      </w:r>
      <w:r>
        <w:rPr>
          <w:spacing w:val="-25"/>
        </w:rPr>
        <w:t> </w:t>
      </w:r>
      <w:r>
        <w:rPr>
          <w:spacing w:val="-25"/>
        </w:rPr>
      </w:r>
      <w:r>
        <w:rPr/>
        <w:t>定基础。</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ind w:left="138" w:right="208"/>
        <w:jc w:val="both"/>
      </w:pPr>
      <w:r>
        <w:rPr>
          <w:rFonts w:ascii="宋体" w:hAnsi="宋体" w:cs="宋体" w:eastAsia="宋体" w:hint="default"/>
          <w:spacing w:val="-9"/>
        </w:rPr>
        <w:t>2</w:t>
      </w:r>
      <w:r>
        <w:rPr>
          <w:spacing w:val="-9"/>
        </w:rPr>
        <w:t>）期货行业信息化业务：在期货交易方面，报告期内完成原油、铁矿石等国际化品种的上线工作，</w:t>
      </w:r>
      <w:r>
        <w:rPr>
          <w:spacing w:val="-20"/>
        </w:rPr>
        <w:t> </w:t>
      </w:r>
      <w:r>
        <w:rPr>
          <w:spacing w:val="-20"/>
        </w:rPr>
      </w:r>
      <w:r>
        <w:rPr>
          <w:spacing w:val="-6"/>
        </w:rPr>
        <w:t>完善期货交易系统的国际化支持，完善境内外客户开户、交易、结算，支持境外客户换汇等功能。</w:t>
      </w:r>
      <w:r>
        <w:rPr>
          <w:spacing w:val="-53"/>
        </w:rPr>
        <w:t> </w:t>
      </w:r>
      <w:r>
        <w:rPr>
          <w:spacing w:val="-53"/>
        </w:rPr>
      </w:r>
      <w:r>
        <w:rPr/>
        <w:t>期货营销服务类产品平稳推进，报告期内针对原油期货、反洗钱</w:t>
      </w:r>
      <w:r>
        <w:rPr>
          <w:spacing w:val="-55"/>
        </w:rPr>
        <w:t> </w:t>
      </w:r>
      <w:r>
        <w:rPr>
          <w:rFonts w:ascii="宋体" w:hAnsi="宋体" w:cs="宋体" w:eastAsia="宋体" w:hint="default"/>
        </w:rPr>
        <w:t>235</w:t>
      </w:r>
      <w:r>
        <w:rPr>
          <w:rFonts w:ascii="宋体" w:hAnsi="宋体" w:cs="宋体" w:eastAsia="宋体" w:hint="default"/>
          <w:spacing w:val="-55"/>
        </w:rPr>
        <w:t> </w:t>
      </w:r>
      <w:r>
        <w:rPr/>
        <w:t>号文等新业务或监管新要求</w:t>
      </w:r>
      <w:r>
        <w:rPr>
          <w:w w:val="100"/>
        </w:rPr>
        <w:t> </w:t>
      </w:r>
      <w:r>
        <w:rPr>
          <w:spacing w:val="-2"/>
        </w:rPr>
        <w:t>推出了升级产品，并随着移动营销服务平台、掌上营业厅等新产品推出，营收有所增加，行业地</w:t>
      </w:r>
      <w:r>
        <w:rPr>
          <w:spacing w:val="-25"/>
        </w:rPr>
        <w:t> </w:t>
      </w:r>
      <w:r>
        <w:rPr>
          <w:spacing w:val="-25"/>
        </w:rPr>
      </w:r>
      <w:r>
        <w:rPr/>
        <w:t>位稳步增长。</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72" w:lineRule="exact"/>
        <w:ind w:left="138" w:right="100"/>
        <w:jc w:val="left"/>
      </w:pPr>
      <w:r>
        <w:rPr>
          <w:rFonts w:ascii="宋体" w:hAnsi="宋体" w:cs="宋体" w:eastAsia="宋体" w:hint="default"/>
        </w:rPr>
        <w:t>(2) </w:t>
      </w:r>
      <w:r>
        <w:rPr/>
        <w:t>非证券金融信息化业务：</w:t>
      </w:r>
      <w:r>
        <w:rPr>
          <w:w w:val="100"/>
        </w:rPr>
        <w:t> </w:t>
      </w:r>
      <w:r>
        <w:rPr>
          <w:spacing w:val="-2"/>
        </w:rPr>
        <w:t>在更广阔的多层次资本市场，公司在信托、中小银行、资管</w:t>
      </w:r>
      <w:r>
        <w:rPr>
          <w:rFonts w:ascii="宋体" w:hAnsi="宋体" w:cs="宋体" w:eastAsia="宋体" w:hint="default"/>
          <w:spacing w:val="-2"/>
        </w:rPr>
        <w:t>/</w:t>
      </w:r>
      <w:r>
        <w:rPr>
          <w:spacing w:val="-2"/>
        </w:rPr>
        <w:t>基金等行业继续保持增长。</w:t>
      </w:r>
    </w:p>
    <w:p>
      <w:pPr>
        <w:spacing w:line="240" w:lineRule="auto" w:before="12"/>
        <w:rPr>
          <w:rFonts w:ascii="宋体" w:hAnsi="宋体" w:cs="宋体" w:eastAsia="宋体" w:hint="default"/>
          <w:sz w:val="18"/>
          <w:szCs w:val="18"/>
        </w:rPr>
      </w:pPr>
    </w:p>
    <w:p>
      <w:pPr>
        <w:pStyle w:val="BodyText"/>
        <w:spacing w:line="237" w:lineRule="auto"/>
        <w:ind w:left="138" w:right="208"/>
        <w:jc w:val="both"/>
      </w:pPr>
      <w:r>
        <w:rPr>
          <w:rFonts w:ascii="宋体" w:hAnsi="宋体" w:cs="宋体" w:eastAsia="宋体" w:hint="default"/>
        </w:rPr>
        <w:t>a</w:t>
      </w:r>
      <w:r>
        <w:rPr>
          <w:rFonts w:ascii="宋体" w:hAnsi="宋体" w:cs="宋体" w:eastAsia="宋体" w:hint="default"/>
          <w:spacing w:val="-55"/>
        </w:rPr>
        <w:t> </w:t>
      </w:r>
      <w:r>
        <w:rPr/>
        <w:t>电子交易市场：报告期内公司充分重视今年以来交易行业监管和发展并重的双需求，对区域股</w:t>
      </w:r>
      <w:r>
        <w:rPr>
          <w:w w:val="100"/>
        </w:rPr>
        <w:t> </w:t>
      </w:r>
      <w:r>
        <w:rPr>
          <w:spacing w:val="-2"/>
        </w:rPr>
        <w:t>权、产权等行业的电子交易系统进行了基于监管要求的升级改造，也同步开发了支持创新业务的</w:t>
      </w:r>
      <w:r>
        <w:rPr>
          <w:spacing w:val="-25"/>
        </w:rPr>
        <w:t> </w:t>
      </w:r>
      <w:r>
        <w:rPr>
          <w:spacing w:val="-25"/>
        </w:rPr>
      </w:r>
      <w:r>
        <w:rPr>
          <w:spacing w:val="-2"/>
        </w:rPr>
        <w:t>新系统和新模块。报告期内，继续与北京产权交易所和天津产权交易中心保持紧密合作，积极开</w:t>
      </w:r>
      <w:r>
        <w:rPr>
          <w:spacing w:val="-25"/>
        </w:rPr>
        <w:t> </w:t>
      </w:r>
      <w:r>
        <w:rPr>
          <w:spacing w:val="-25"/>
        </w:rPr>
      </w:r>
      <w:r>
        <w:rPr>
          <w:spacing w:val="-2"/>
        </w:rPr>
        <w:t>拓产权、区域股权、文化产权、知识产权交易行业新市场。承建了北京产权交易所、广东交易控</w:t>
      </w:r>
      <w:r>
        <w:rPr>
          <w:spacing w:val="-25"/>
        </w:rPr>
        <w:t> </w:t>
      </w:r>
      <w:r>
        <w:rPr>
          <w:spacing w:val="-25"/>
        </w:rPr>
      </w:r>
      <w:r>
        <w:rPr>
          <w:spacing w:val="-6"/>
        </w:rPr>
        <w:t>股集团、山西省产权交易中心、重庆股份转让中心、武汉股权托管交易中心、贵州股权交易中心、</w:t>
      </w:r>
      <w:r>
        <w:rPr>
          <w:spacing w:val="-51"/>
        </w:rPr>
        <w:t> </w:t>
      </w:r>
      <w:r>
        <w:rPr>
          <w:spacing w:val="-51"/>
        </w:rPr>
      </w:r>
      <w:r>
        <w:rPr/>
        <w:t>内蒙古股权交易中心等客户的交易系统开发或新增需求升级项目。</w:t>
      </w:r>
    </w:p>
    <w:p>
      <w:pPr>
        <w:spacing w:line="240" w:lineRule="auto" w:before="11"/>
        <w:rPr>
          <w:rFonts w:ascii="宋体" w:hAnsi="宋体" w:cs="宋体" w:eastAsia="宋体" w:hint="default"/>
          <w:sz w:val="20"/>
          <w:szCs w:val="20"/>
        </w:rPr>
      </w:pPr>
    </w:p>
    <w:p>
      <w:pPr>
        <w:pStyle w:val="BodyText"/>
        <w:spacing w:line="237" w:lineRule="auto"/>
        <w:ind w:left="138" w:right="217"/>
        <w:jc w:val="both"/>
      </w:pPr>
      <w:r>
        <w:rPr>
          <w:rFonts w:ascii="宋体" w:hAnsi="宋体" w:cs="宋体" w:eastAsia="宋体" w:hint="default"/>
        </w:rPr>
        <w:t>b</w:t>
      </w:r>
      <w:r>
        <w:rPr>
          <w:rFonts w:ascii="宋体" w:hAnsi="宋体" w:cs="宋体" w:eastAsia="宋体" w:hint="default"/>
          <w:spacing w:val="-55"/>
        </w:rPr>
        <w:t> </w:t>
      </w:r>
      <w:r>
        <w:rPr/>
        <w:t>中小银行信息化业务：报告期内，中小银行信息化业务保持较好增长，新拓展了安徽和江苏区</w:t>
      </w:r>
      <w:r>
        <w:rPr>
          <w:w w:val="100"/>
        </w:rPr>
        <w:t> </w:t>
      </w:r>
      <w:r>
        <w:rPr>
          <w:spacing w:val="-2"/>
        </w:rPr>
        <w:t>域，客户新增了路桥农商银行、瑞安农商银行、亳州药都农商银行、扬州农商银行等。产品的解</w:t>
      </w:r>
      <w:r>
        <w:rPr>
          <w:spacing w:val="-25"/>
        </w:rPr>
        <w:t> </w:t>
      </w:r>
      <w:r>
        <w:rPr>
          <w:spacing w:val="-25"/>
        </w:rPr>
      </w:r>
      <w:r>
        <w:rPr>
          <w:spacing w:val="-2"/>
        </w:rPr>
        <w:t>决方案不断丰富，除小银行综合平台外，在智能风控、运营管理、风险管理、大数据服务等方面</w:t>
      </w:r>
      <w:r>
        <w:rPr>
          <w:spacing w:val="-25"/>
        </w:rPr>
        <w:t> </w:t>
      </w:r>
      <w:r>
        <w:rPr>
          <w:spacing w:val="-25"/>
        </w:rPr>
      </w:r>
      <w:r>
        <w:rPr>
          <w:spacing w:val="-2"/>
        </w:rPr>
        <w:t>均有较好拓展。德清农商银行、亳州药都农商银行均持续进行“小银行综合管理平台”多期项目</w:t>
      </w:r>
      <w:r>
        <w:rPr>
          <w:spacing w:val="-25"/>
        </w:rPr>
        <w:t> </w:t>
      </w:r>
      <w:r>
        <w:rPr>
          <w:spacing w:val="-25"/>
        </w:rPr>
      </w:r>
      <w:r>
        <w:rPr/>
        <w:t>的建设。</w:t>
      </w:r>
    </w:p>
    <w:p>
      <w:pPr>
        <w:spacing w:line="240" w:lineRule="auto" w:before="11"/>
        <w:rPr>
          <w:rFonts w:ascii="宋体" w:hAnsi="宋体" w:cs="宋体" w:eastAsia="宋体" w:hint="default"/>
          <w:sz w:val="20"/>
          <w:szCs w:val="20"/>
        </w:rPr>
      </w:pPr>
    </w:p>
    <w:p>
      <w:pPr>
        <w:pStyle w:val="BodyText"/>
        <w:spacing w:line="237" w:lineRule="auto"/>
        <w:ind w:left="138" w:right="100"/>
        <w:jc w:val="left"/>
      </w:pPr>
      <w:r>
        <w:rPr>
          <w:rFonts w:ascii="宋体" w:hAnsi="宋体" w:cs="宋体" w:eastAsia="宋体" w:hint="default"/>
          <w:w w:val="100"/>
        </w:rPr>
        <w:t>c </w:t>
      </w:r>
      <w:r>
        <w:rPr>
          <w:spacing w:val="-7"/>
          <w:w w:val="100"/>
        </w:rPr>
        <w:t>信托行业信息化业务：公司持续关注信托行业动态，为信托公司提供全方位的及时的解决方案，</w:t>
      </w:r>
      <w:r>
        <w:rPr>
          <w:spacing w:val="-67"/>
          <w:w w:val="100"/>
        </w:rPr>
        <w:t> </w:t>
      </w:r>
      <w:r>
        <w:rPr>
          <w:spacing w:val="-67"/>
          <w:w w:val="100"/>
        </w:rPr>
      </w:r>
      <w:r>
        <w:rPr>
          <w:spacing w:val="-4"/>
        </w:rPr>
        <w:t>分别面向资金端和资产端，覆盖前、中、后台。其中，资金端系统是以</w:t>
      </w:r>
      <w:r>
        <w:rPr>
          <w:spacing w:val="-42"/>
        </w:rPr>
        <w:t> </w:t>
      </w:r>
      <w:r>
        <w:rPr>
          <w:rFonts w:ascii="宋体" w:hAnsi="宋体" w:cs="宋体" w:eastAsia="宋体" w:hint="default"/>
        </w:rPr>
        <w:t>EICF</w:t>
      </w:r>
      <w:r>
        <w:rPr>
          <w:rFonts w:ascii="宋体" w:hAnsi="宋体" w:cs="宋体" w:eastAsia="宋体" w:hint="default"/>
          <w:spacing w:val="-44"/>
        </w:rPr>
        <w:t> </w:t>
      </w:r>
      <w:r>
        <w:rPr>
          <w:spacing w:val="-3"/>
        </w:rPr>
        <w:t>系统、营销服务一体</w:t>
      </w:r>
      <w:r>
        <w:rPr>
          <w:spacing w:val="-77"/>
        </w:rPr>
        <w:t> </w:t>
      </w:r>
      <w:r>
        <w:rPr>
          <w:spacing w:val="-77"/>
        </w:rPr>
      </w:r>
      <w:r>
        <w:rPr>
          <w:spacing w:val="-3"/>
        </w:rPr>
        <w:t>化平台为核心基础平台，结合财富客户</w:t>
      </w:r>
      <w:r>
        <w:rPr>
          <w:spacing w:val="-43"/>
        </w:rPr>
        <w:t> </w:t>
      </w:r>
      <w:r>
        <w:rPr>
          <w:rFonts w:ascii="宋体" w:hAnsi="宋体" w:cs="宋体" w:eastAsia="宋体" w:hint="default"/>
          <w:spacing w:val="-6"/>
        </w:rPr>
        <w:t>APP</w:t>
      </w:r>
      <w:r>
        <w:rPr>
          <w:spacing w:val="-6"/>
        </w:rPr>
        <w:t>、网上信托、微信、员工</w:t>
      </w:r>
      <w:r>
        <w:rPr>
          <w:spacing w:val="-43"/>
        </w:rPr>
        <w:t> </w:t>
      </w:r>
      <w:r>
        <w:rPr>
          <w:rFonts w:ascii="宋体" w:hAnsi="宋体" w:cs="宋体" w:eastAsia="宋体" w:hint="default"/>
        </w:rPr>
        <w:t>PAD</w:t>
      </w:r>
      <w:r>
        <w:rPr>
          <w:rFonts w:ascii="宋体" w:hAnsi="宋体" w:cs="宋体" w:eastAsia="宋体" w:hint="default"/>
          <w:spacing w:val="-43"/>
        </w:rPr>
        <w:t> </w:t>
      </w:r>
      <w:r>
        <w:rPr>
          <w:spacing w:val="-4"/>
        </w:rPr>
        <w:t>展业平台、员工手机</w:t>
      </w:r>
      <w:r>
        <w:rPr>
          <w:spacing w:val="-42"/>
        </w:rPr>
        <w:t> </w:t>
      </w:r>
      <w:r>
        <w:rPr>
          <w:rFonts w:ascii="宋体" w:hAnsi="宋体" w:cs="宋体" w:eastAsia="宋体" w:hint="default"/>
        </w:rPr>
        <w:t>CRM</w:t>
      </w:r>
      <w:r>
        <w:rPr>
          <w:rFonts w:ascii="宋体" w:hAnsi="宋体" w:cs="宋体" w:eastAsia="宋体" w:hint="default"/>
          <w:spacing w:val="-80"/>
        </w:rPr>
        <w:t> </w:t>
      </w:r>
      <w:r>
        <w:rPr>
          <w:rFonts w:ascii="宋体" w:hAnsi="宋体" w:cs="宋体" w:eastAsia="宋体" w:hint="default"/>
          <w:spacing w:val="-80"/>
        </w:rPr>
      </w:r>
      <w:r>
        <w:rPr>
          <w:spacing w:val="-8"/>
          <w:w w:val="100"/>
        </w:rPr>
        <w:t>等互联网渠道端，为信托客户提供</w:t>
      </w:r>
      <w:r>
        <w:rPr>
          <w:spacing w:val="-46"/>
          <w:w w:val="100"/>
        </w:rPr>
        <w:t> </w:t>
      </w:r>
      <w:r>
        <w:rPr>
          <w:rFonts w:ascii="宋体" w:hAnsi="宋体" w:cs="宋体" w:eastAsia="宋体" w:hint="default"/>
          <w:spacing w:val="-1"/>
          <w:w w:val="100"/>
        </w:rPr>
        <w:t>7*24</w:t>
      </w:r>
      <w:r>
        <w:rPr>
          <w:rFonts w:ascii="宋体" w:hAnsi="宋体" w:cs="宋体" w:eastAsia="宋体" w:hint="default"/>
          <w:spacing w:val="-46"/>
          <w:w w:val="100"/>
        </w:rPr>
        <w:t> </w:t>
      </w:r>
      <w:r>
        <w:rPr>
          <w:spacing w:val="-6"/>
          <w:w w:val="100"/>
        </w:rPr>
        <w:t>小时的在线营销服务平台，满足信托公司线下和线上直销、</w:t>
      </w:r>
      <w:r>
        <w:rPr>
          <w:spacing w:val="-103"/>
          <w:w w:val="100"/>
        </w:rPr>
        <w:t> </w:t>
      </w:r>
      <w:r>
        <w:rPr>
          <w:spacing w:val="-103"/>
          <w:w w:val="100"/>
        </w:rPr>
      </w:r>
      <w:r>
        <w:rPr/>
        <w:t>多渠道代销等多种销售模式。资产端系统为信托公司资产端提供交易对手管理、舆情分析、运营</w:t>
      </w:r>
      <w:r>
        <w:rPr>
          <w:w w:val="100"/>
        </w:rPr>
        <w:t> </w:t>
      </w:r>
      <w:r>
        <w:rPr/>
        <w:t>见证等业务支持。公司还将陆续推出家族信托管理系统、商机管理系统、统一交易中心、资金账</w:t>
      </w:r>
      <w:r>
        <w:rPr>
          <w:w w:val="100"/>
        </w:rPr>
        <w:t> </w:t>
      </w:r>
      <w:r>
        <w:rPr/>
        <w:t>户系统等产品，为信托公司转型提供科技支持。</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ind w:left="138" w:right="100"/>
        <w:jc w:val="left"/>
      </w:pPr>
      <w:r>
        <w:rPr>
          <w:rFonts w:ascii="宋体" w:hAnsi="宋体" w:cs="宋体" w:eastAsia="宋体" w:hint="default"/>
        </w:rPr>
        <w:t>d</w:t>
      </w:r>
      <w:r>
        <w:rPr/>
        <w:t>、资管</w:t>
      </w:r>
      <w:r>
        <w:rPr>
          <w:rFonts w:ascii="宋体" w:hAnsi="宋体" w:cs="宋体" w:eastAsia="宋体" w:hint="default"/>
        </w:rPr>
        <w:t>/</w:t>
      </w:r>
      <w:r>
        <w:rPr/>
        <w:t>基金行业信息化业务：报告期内，公司面向基金、证券资管、保险资管、银行资管等持</w:t>
      </w:r>
      <w:r>
        <w:rPr>
          <w:w w:val="100"/>
        </w:rPr>
        <w:t> </w:t>
      </w:r>
      <w:r>
        <w:rPr>
          <w:spacing w:val="-2"/>
        </w:rPr>
        <w:t>续提供大资管信息化产品和服务，研发了包括资产管理、</w:t>
      </w:r>
      <w:r>
        <w:rPr>
          <w:rFonts w:ascii="宋体" w:hAnsi="宋体" w:cs="宋体" w:eastAsia="宋体" w:hint="default"/>
          <w:spacing w:val="-2"/>
        </w:rPr>
        <w:t>CRM</w:t>
      </w:r>
      <w:r>
        <w:rPr>
          <w:spacing w:val="-2"/>
        </w:rPr>
        <w:t>、产品管理、数据报送等相关产品，</w:t>
      </w:r>
      <w:r>
        <w:rPr>
          <w:spacing w:val="-16"/>
        </w:rPr>
        <w:t> </w:t>
      </w:r>
      <w:r>
        <w:rPr>
          <w:spacing w:val="-16"/>
        </w:rPr>
      </w:r>
      <w:r>
        <w:rPr/>
        <w:t>拥有南方基金、国君君安证券资管、长江证券资管等典型客户，新增了嘉实基金、安信基金、太</w:t>
      </w:r>
      <w:r>
        <w:rPr>
          <w:w w:val="100"/>
        </w:rPr>
        <w:t> </w:t>
      </w:r>
      <w:r>
        <w:rPr/>
        <w:t>平资管等客户，整体业务保持较好增长势头。</w:t>
      </w:r>
    </w:p>
    <w:p>
      <w:pPr>
        <w:pStyle w:val="BodyText"/>
        <w:spacing w:line="271" w:lineRule="exact"/>
        <w:ind w:left="138" w:right="0"/>
        <w:jc w:val="both"/>
      </w:pPr>
      <w:r>
        <w:rPr>
          <w:rFonts w:ascii="宋体" w:hAnsi="宋体" w:cs="宋体" w:eastAsia="宋体" w:hint="default"/>
        </w:rPr>
        <w:t>(3)</w:t>
      </w:r>
      <w:r>
        <w:rPr/>
        <w:t>金融行业外的信息化业务</w:t>
      </w:r>
    </w:p>
    <w:p>
      <w:pPr>
        <w:pStyle w:val="BodyText"/>
        <w:spacing w:line="272" w:lineRule="exact" w:before="27"/>
        <w:ind w:left="138" w:right="208"/>
        <w:jc w:val="both"/>
      </w:pPr>
      <w:r>
        <w:rPr>
          <w:spacing w:val="-7"/>
          <w:w w:val="100"/>
        </w:rPr>
        <w:t>在金融行业外的信息化业务，公司通过</w:t>
      </w:r>
      <w:r>
        <w:rPr>
          <w:spacing w:val="-47"/>
          <w:w w:val="100"/>
        </w:rPr>
        <w:t> </w:t>
      </w:r>
      <w:r>
        <w:rPr>
          <w:rFonts w:ascii="宋体" w:hAnsi="宋体" w:cs="宋体" w:eastAsia="宋体" w:hint="default"/>
          <w:w w:val="100"/>
        </w:rPr>
        <w:t>2</w:t>
      </w:r>
      <w:r>
        <w:rPr>
          <w:rFonts w:ascii="宋体" w:hAnsi="宋体" w:cs="宋体" w:eastAsia="宋体" w:hint="default"/>
          <w:spacing w:val="-49"/>
          <w:w w:val="100"/>
        </w:rPr>
        <w:t> </w:t>
      </w:r>
      <w:r>
        <w:rPr>
          <w:spacing w:val="-6"/>
          <w:w w:val="100"/>
        </w:rPr>
        <w:t>个控股子公司，分别专注企业信息化与教育信息化业务。</w:t>
      </w:r>
      <w:r>
        <w:rPr>
          <w:spacing w:val="-104"/>
          <w:w w:val="100"/>
        </w:rPr>
        <w:t> </w:t>
      </w:r>
      <w:r>
        <w:rPr>
          <w:spacing w:val="-104"/>
          <w:w w:val="100"/>
        </w:rPr>
      </w:r>
      <w:r>
        <w:rPr/>
        <w:t>采取“平台型应用软件”的积极扩张发展战略，在各自的市场积极拓展。</w:t>
      </w:r>
    </w:p>
    <w:p>
      <w:pPr>
        <w:spacing w:after="0" w:line="272" w:lineRule="exact"/>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right="99"/>
        <w:jc w:val="left"/>
      </w:pPr>
      <w:r>
        <w:rPr>
          <w:spacing w:val="-10"/>
          <w:w w:val="100"/>
        </w:rPr>
        <w:t>报告期内，在教育领域，上海亿维航业务保持平稳略有增长。</w:t>
      </w:r>
      <w:r>
        <w:rPr>
          <w:rFonts w:ascii="宋体" w:hAnsi="宋体" w:cs="宋体" w:eastAsia="宋体" w:hint="default"/>
          <w:spacing w:val="-10"/>
          <w:w w:val="100"/>
        </w:rPr>
        <w:t>2018</w:t>
      </w:r>
      <w:r>
        <w:rPr>
          <w:rFonts w:ascii="宋体" w:hAnsi="宋体" w:cs="宋体" w:eastAsia="宋体" w:hint="default"/>
          <w:spacing w:val="-45"/>
          <w:w w:val="100"/>
        </w:rPr>
        <w:t> </w:t>
      </w:r>
      <w:r>
        <w:rPr>
          <w:spacing w:val="-2"/>
          <w:w w:val="100"/>
        </w:rPr>
        <w:t>年新增山东药品食品职业学院</w:t>
      </w:r>
      <w:r>
        <w:rPr>
          <w:spacing w:val="14"/>
          <w:w w:val="100"/>
        </w:rPr>
        <w:t> </w:t>
      </w:r>
      <w:r>
        <w:rPr>
          <w:w w:val="100"/>
        </w:rPr>
        <w:t>、</w:t>
      </w:r>
      <w:r>
        <w:rPr>
          <w:spacing w:val="-103"/>
          <w:w w:val="100"/>
        </w:rPr>
        <w:t> </w:t>
      </w:r>
      <w:r>
        <w:rPr>
          <w:spacing w:val="-103"/>
          <w:w w:val="100"/>
        </w:rPr>
      </w:r>
      <w:r>
        <w:rPr/>
        <w:t>滨州职业学院、菏泽职业学院等多家客户。</w:t>
      </w:r>
      <w:r>
        <w:rPr>
          <w:w w:val="100"/>
        </w:rPr>
        <w:t> </w:t>
      </w:r>
      <w:r>
        <w:rPr/>
        <w:t>报告期内，在企业信息化领域，业务取得了较快的增长。新增上海上蔬永辉生鲜食品有限公司、</w:t>
      </w:r>
      <w:r>
        <w:rPr>
          <w:w w:val="100"/>
        </w:rPr>
        <w:t> </w:t>
      </w:r>
      <w:r>
        <w:rPr/>
        <w:t>福建联合石油化工有限公司、福建省船舶工业集团有限公司、福建省鸿山热电有限责任公司等多</w:t>
      </w:r>
      <w:r>
        <w:rPr>
          <w:w w:val="100"/>
        </w:rPr>
        <w:t> </w:t>
      </w:r>
      <w:r>
        <w:rPr/>
        <w:t>家客户。同时在智慧政务方面进行积极探索，有了一定成效。</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t>二、报告期内主要经营情况</w:t>
      </w:r>
      <w:r>
        <w:rPr>
          <w:b w:val="0"/>
          <w:bCs w:val="0"/>
        </w:rPr>
      </w:r>
    </w:p>
    <w:p>
      <w:pPr>
        <w:pStyle w:val="BodyText"/>
        <w:spacing w:line="237" w:lineRule="auto" w:before="61"/>
        <w:ind w:right="227" w:firstLine="419"/>
        <w:jc w:val="both"/>
      </w:pPr>
      <w:r>
        <w:rPr>
          <w:rFonts w:ascii="宋体" w:hAnsi="宋体" w:cs="宋体" w:eastAsia="宋体" w:hint="default"/>
        </w:rPr>
        <w:t>2018</w:t>
      </w:r>
      <w:r>
        <w:rPr>
          <w:rFonts w:ascii="宋体" w:hAnsi="宋体" w:cs="宋体" w:eastAsia="宋体" w:hint="default"/>
          <w:spacing w:val="-43"/>
        </w:rPr>
        <w:t> </w:t>
      </w:r>
      <w:r>
        <w:rPr>
          <w:spacing w:val="-4"/>
        </w:rPr>
        <w:t>年度，公司实现营业总收入</w:t>
      </w:r>
      <w:r>
        <w:rPr>
          <w:spacing w:val="-39"/>
        </w:rPr>
        <w:t> </w:t>
      </w:r>
      <w:r>
        <w:rPr>
          <w:rFonts w:ascii="宋体" w:hAnsi="宋体" w:cs="宋体" w:eastAsia="宋体" w:hint="default"/>
        </w:rPr>
        <w:t>29,552.22</w:t>
      </w:r>
      <w:r>
        <w:rPr>
          <w:rFonts w:ascii="宋体" w:hAnsi="宋体" w:cs="宋体" w:eastAsia="宋体" w:hint="default"/>
          <w:spacing w:val="-40"/>
        </w:rPr>
        <w:t> </w:t>
      </w:r>
      <w:r>
        <w:rPr>
          <w:spacing w:val="-5"/>
        </w:rPr>
        <w:t>万元，比上年同期增长</w:t>
      </w:r>
      <w:r>
        <w:rPr>
          <w:spacing w:val="-40"/>
        </w:rPr>
        <w:t> </w:t>
      </w:r>
      <w:r>
        <w:rPr>
          <w:rFonts w:ascii="宋体" w:hAnsi="宋体" w:cs="宋体" w:eastAsia="宋体" w:hint="default"/>
          <w:spacing w:val="-4"/>
        </w:rPr>
        <w:t>21.23%</w:t>
      </w:r>
      <w:r>
        <w:rPr>
          <w:spacing w:val="-4"/>
        </w:rPr>
        <w:t>；实现归属于母公</w:t>
      </w:r>
      <w:r>
        <w:rPr>
          <w:w w:val="100"/>
        </w:rPr>
        <w:t> </w:t>
      </w:r>
      <w:r>
        <w:rPr/>
        <w:t>司股东净利润</w:t>
      </w:r>
      <w:r>
        <w:rPr>
          <w:spacing w:val="-33"/>
        </w:rPr>
        <w:t> </w:t>
      </w:r>
      <w:r>
        <w:rPr>
          <w:rFonts w:ascii="宋体" w:hAnsi="宋体" w:cs="宋体" w:eastAsia="宋体" w:hint="default"/>
        </w:rPr>
        <w:t>11,977.72</w:t>
      </w:r>
      <w:r>
        <w:rPr>
          <w:rFonts w:ascii="宋体" w:hAnsi="宋体" w:cs="宋体" w:eastAsia="宋体" w:hint="default"/>
          <w:spacing w:val="-36"/>
        </w:rPr>
        <w:t> </w:t>
      </w:r>
      <w:r>
        <w:rPr>
          <w:spacing w:val="-4"/>
        </w:rPr>
        <w:t>万元，比上年同期增长</w:t>
      </w:r>
      <w:r>
        <w:rPr>
          <w:spacing w:val="-36"/>
        </w:rPr>
        <w:t> </w:t>
      </w:r>
      <w:r>
        <w:rPr>
          <w:rFonts w:ascii="宋体" w:hAnsi="宋体" w:cs="宋体" w:eastAsia="宋体" w:hint="default"/>
          <w:spacing w:val="-3"/>
        </w:rPr>
        <w:t>17.53%</w:t>
      </w:r>
      <w:r>
        <w:rPr>
          <w:spacing w:val="-3"/>
        </w:rPr>
        <w:t>，实现扣除非经常性损益后归属于母公司</w:t>
      </w:r>
      <w:r>
        <w:rPr>
          <w:spacing w:val="-97"/>
        </w:rPr>
        <w:t> </w:t>
      </w:r>
      <w:r>
        <w:rPr>
          <w:spacing w:val="-97"/>
        </w:rPr>
      </w:r>
      <w:r>
        <w:rPr/>
        <w:t>股东净利润</w:t>
      </w:r>
      <w:r>
        <w:rPr>
          <w:spacing w:val="-55"/>
        </w:rPr>
        <w:t> </w:t>
      </w:r>
      <w:r>
        <w:rPr>
          <w:rFonts w:ascii="宋体" w:hAnsi="宋体" w:cs="宋体" w:eastAsia="宋体" w:hint="default"/>
        </w:rPr>
        <w:t>9,534.92</w:t>
      </w:r>
      <w:r>
        <w:rPr>
          <w:rFonts w:ascii="宋体" w:hAnsi="宋体" w:cs="宋体" w:eastAsia="宋体" w:hint="default"/>
          <w:spacing w:val="-55"/>
        </w:rPr>
        <w:t> </w:t>
      </w:r>
      <w:r>
        <w:rPr/>
        <w:t>万元，比上年同期增长</w:t>
      </w:r>
      <w:r>
        <w:rPr>
          <w:spacing w:val="-54"/>
        </w:rPr>
        <w:t> </w:t>
      </w:r>
      <w:r>
        <w:rPr>
          <w:rFonts w:ascii="宋体" w:hAnsi="宋体" w:cs="宋体" w:eastAsia="宋体" w:hint="default"/>
        </w:rPr>
        <w:t>8.79%</w:t>
      </w:r>
      <w:r>
        <w:rPr/>
        <w:t>。</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4"/>
        <w:tabs>
          <w:tab w:pos="1057" w:val="left" w:leader="none"/>
        </w:tabs>
        <w:spacing w:line="240" w:lineRule="auto" w:before="36"/>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4"/>
        <w:tabs>
          <w:tab w:pos="637" w:val="left" w:leader="none"/>
        </w:tabs>
        <w:spacing w:line="240" w:lineRule="auto" w:before="56"/>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4" w:val="left" w:leader="none"/>
        </w:tabs>
        <w:spacing w:line="240" w:lineRule="auto" w:before="177"/>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69"/>
        <w:gridCol w:w="1779"/>
        <w:gridCol w:w="1793"/>
        <w:gridCol w:w="2009"/>
      </w:tblGrid>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295,522,213.41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243,776,725.70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21.23</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76,152,585.29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51,728,254.04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47.22</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32,768,149.47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29,197,043.35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12.23</w:t>
            </w:r>
          </w:p>
        </w:tc>
      </w:tr>
      <w:tr>
        <w:trPr>
          <w:trHeight w:val="28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44,609,808.80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35,343,398.72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26.22</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61,369,666.35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49,771,599.02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23.30</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-5,161,466.61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-4,607,679.58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92,652,549.41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103,665,536.19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-10.62</w:t>
            </w:r>
          </w:p>
        </w:tc>
      </w:tr>
      <w:tr>
        <w:trPr>
          <w:trHeight w:val="284"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39,065,793.24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-651,470,656.34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-40,973,500.00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401,542,195.00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-110.20</w:t>
            </w:r>
          </w:p>
        </w:tc>
      </w:tr>
      <w:tr>
        <w:trPr>
          <w:trHeight w:val="28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21,994,019.61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15,800,979.82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39.19</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24,578,992.93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13,066,725.74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88.10</w:t>
            </w:r>
          </w:p>
        </w:tc>
      </w:tr>
    </w:tbl>
    <w:p>
      <w:pPr>
        <w:pStyle w:val="BodyText"/>
        <w:spacing w:line="237" w:lineRule="auto" w:before="88"/>
        <w:ind w:right="227"/>
        <w:jc w:val="left"/>
      </w:pPr>
      <w:r>
        <w:rPr/>
        <w:t>营业收入变动原因说明</w:t>
      </w:r>
      <w:r>
        <w:rPr>
          <w:rFonts w:ascii="宋体" w:hAnsi="宋体" w:cs="宋体" w:eastAsia="宋体" w:hint="default"/>
        </w:rPr>
        <w:t>:</w:t>
      </w:r>
      <w:r>
        <w:rPr/>
        <w:t>本期公司经营业绩趋势向好，收入较上年同期有所增加；</w:t>
      </w:r>
      <w:r>
        <w:rPr>
          <w:w w:val="100"/>
        </w:rPr>
        <w:t> </w:t>
      </w:r>
      <w:r>
        <w:rPr/>
        <w:t>营业成本变动原因说明</w:t>
      </w:r>
      <w:r>
        <w:rPr>
          <w:rFonts w:ascii="宋体" w:hAnsi="宋体" w:cs="宋体" w:eastAsia="宋体" w:hint="default"/>
        </w:rPr>
        <w:t>:</w:t>
      </w:r>
      <w:r>
        <w:rPr/>
        <w:t>本期公司人工成本增加，项目毛利率有所下降；</w:t>
      </w:r>
      <w:r>
        <w:rPr>
          <w:w w:val="100"/>
        </w:rPr>
        <w:t> </w:t>
      </w:r>
      <w:r>
        <w:rPr/>
        <w:t>销售费用变动原因说明</w:t>
      </w:r>
      <w:r>
        <w:rPr>
          <w:rFonts w:ascii="宋体" w:hAnsi="宋体" w:cs="宋体" w:eastAsia="宋体" w:hint="default"/>
        </w:rPr>
        <w:t>:</w:t>
      </w:r>
      <w:r>
        <w:rPr/>
        <w:t>未发生重大变化；</w:t>
      </w:r>
      <w:r>
        <w:rPr>
          <w:w w:val="100"/>
        </w:rPr>
        <w:t> </w:t>
      </w:r>
      <w:r>
        <w:rPr/>
        <w:t>管理费用变动原因说明</w:t>
      </w:r>
      <w:r>
        <w:rPr>
          <w:rFonts w:ascii="宋体" w:hAnsi="宋体" w:cs="宋体" w:eastAsia="宋体" w:hint="default"/>
        </w:rPr>
        <w:t>:</w:t>
      </w:r>
      <w:r>
        <w:rPr/>
        <w:t>本期公司人员薪酬增加，管理费用较上年同期有所增长；</w:t>
      </w:r>
      <w:r>
        <w:rPr>
          <w:w w:val="100"/>
        </w:rPr>
        <w:t> </w:t>
      </w:r>
      <w:r>
        <w:rPr/>
        <w:t>研发费用变动原因说明</w:t>
      </w:r>
      <w:r>
        <w:rPr>
          <w:rFonts w:ascii="宋体" w:hAnsi="宋体" w:cs="宋体" w:eastAsia="宋体" w:hint="default"/>
        </w:rPr>
        <w:t>:</w:t>
      </w:r>
      <w:r>
        <w:rPr/>
        <w:t>本期公司持续加大对研发项目的投入，研发支出较上年同期增加；</w:t>
      </w:r>
      <w:r>
        <w:rPr>
          <w:w w:val="100"/>
        </w:rPr>
        <w:t> </w:t>
      </w:r>
      <w:r>
        <w:rPr/>
        <w:t>财务费用变动原因说明</w:t>
      </w:r>
      <w:r>
        <w:rPr>
          <w:rFonts w:ascii="宋体" w:hAnsi="宋体" w:cs="宋体" w:eastAsia="宋体" w:hint="default"/>
        </w:rPr>
        <w:t>:</w:t>
      </w:r>
      <w:r>
        <w:rPr>
          <w:rFonts w:ascii="宋体" w:hAnsi="宋体" w:cs="宋体" w:eastAsia="宋体" w:hint="default"/>
          <w:spacing w:val="-2"/>
        </w:rPr>
        <w:t> </w:t>
      </w:r>
      <w:r>
        <w:rPr/>
        <w:t>未发生重大变化；</w:t>
      </w:r>
      <w:r>
        <w:rPr>
          <w:w w:val="100"/>
        </w:rPr>
        <w:t> </w:t>
      </w:r>
      <w:r>
        <w:rPr/>
        <w:t>经营活动产生的现金流量净额变动原因说明</w:t>
      </w:r>
      <w:r>
        <w:rPr>
          <w:rFonts w:ascii="宋体" w:hAnsi="宋体" w:cs="宋体" w:eastAsia="宋体" w:hint="default"/>
        </w:rPr>
        <w:t>:</w:t>
      </w:r>
      <w:r>
        <w:rPr/>
        <w:t>本期支付的薪酬费用增加；</w:t>
      </w:r>
      <w:r>
        <w:rPr>
          <w:w w:val="100"/>
        </w:rPr>
        <w:t> </w:t>
      </w:r>
      <w:r>
        <w:rPr>
          <w:spacing w:val="-4"/>
          <w:w w:val="100"/>
        </w:rPr>
        <w:t>投资活动产生的现金流量净额变动原因说明</w:t>
      </w:r>
      <w:r>
        <w:rPr>
          <w:rFonts w:ascii="宋体" w:hAnsi="宋体" w:cs="宋体" w:eastAsia="宋体" w:hint="default"/>
          <w:spacing w:val="-4"/>
          <w:w w:val="100"/>
        </w:rPr>
        <w:t>:</w:t>
      </w:r>
      <w:r>
        <w:rPr>
          <w:spacing w:val="-4"/>
          <w:w w:val="100"/>
        </w:rPr>
        <w:t>本期公司收回上期购买保本型理财产品，收回投资收</w:t>
      </w:r>
      <w:r>
        <w:rPr>
          <w:spacing w:val="-86"/>
          <w:w w:val="100"/>
        </w:rPr>
        <w:t> </w:t>
      </w:r>
      <w:r>
        <w:rPr>
          <w:spacing w:val="-86"/>
          <w:w w:val="100"/>
        </w:rPr>
      </w:r>
      <w:r>
        <w:rPr/>
        <w:t>到的现金增加；</w:t>
      </w:r>
    </w:p>
    <w:p>
      <w:pPr>
        <w:pStyle w:val="BodyText"/>
        <w:spacing w:line="274" w:lineRule="exact" w:before="22"/>
        <w:ind w:right="232"/>
        <w:jc w:val="left"/>
      </w:pPr>
      <w:r>
        <w:rPr/>
        <w:t>筹资活动产生的现金流量净额变动原因说明</w:t>
      </w:r>
      <w:r>
        <w:rPr>
          <w:rFonts w:ascii="宋体" w:hAnsi="宋体" w:cs="宋体" w:eastAsia="宋体" w:hint="default"/>
        </w:rPr>
        <w:t>:</w:t>
      </w:r>
      <w:r>
        <w:rPr>
          <w:rFonts w:ascii="宋体" w:hAnsi="宋体" w:cs="宋体" w:eastAsia="宋体" w:hint="default"/>
          <w:spacing w:val="-4"/>
        </w:rPr>
        <w:t> </w:t>
      </w:r>
      <w:r>
        <w:rPr/>
        <w:t>公司上期收到首次公开发行股票募集资金，本期向</w:t>
      </w:r>
      <w:r>
        <w:rPr>
          <w:w w:val="100"/>
        </w:rPr>
        <w:t> </w:t>
      </w:r>
      <w:r>
        <w:rPr/>
        <w:t>股东分配现金股利；</w:t>
      </w:r>
    </w:p>
    <w:p>
      <w:pPr>
        <w:pStyle w:val="BodyText"/>
        <w:spacing w:line="245" w:lineRule="exact"/>
        <w:ind w:right="227"/>
        <w:jc w:val="left"/>
      </w:pPr>
      <w:r>
        <w:rPr/>
        <w:t>其他收益变动原因说明：公司收到的增值税退税增加；</w:t>
      </w:r>
    </w:p>
    <w:p>
      <w:pPr>
        <w:pStyle w:val="BodyText"/>
        <w:spacing w:line="274" w:lineRule="exact"/>
        <w:ind w:right="227"/>
        <w:jc w:val="left"/>
      </w:pPr>
      <w:r>
        <w:rPr/>
        <w:t>投资收益变动原因说明</w:t>
      </w:r>
      <w:r>
        <w:rPr>
          <w:rFonts w:ascii="宋体" w:hAnsi="宋体" w:cs="宋体" w:eastAsia="宋体" w:hint="default"/>
        </w:rPr>
        <w:t>: </w:t>
      </w:r>
      <w:r>
        <w:rPr/>
        <w:t>公司投资购买保本型理财产品。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4"/>
        <w:tabs>
          <w:tab w:pos="637" w:val="left" w:leader="none"/>
        </w:tabs>
        <w:spacing w:line="240" w:lineRule="auto"/>
        <w:ind w:right="227"/>
        <w:jc w:val="left"/>
        <w:rPr>
          <w:b w:val="0"/>
          <w:bCs w:val="0"/>
        </w:rPr>
      </w:pPr>
      <w:r>
        <w:rPr>
          <w:rFonts w:ascii="宋体" w:hAnsi="宋体" w:cs="宋体" w:eastAsia="宋体" w:hint="default"/>
          <w:w w:val="95"/>
        </w:rPr>
        <w:t>2.</w:t>
        <w:tab/>
      </w:r>
      <w:r>
        <w:rPr/>
        <w:t>收入和成本分析</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3689" w:right="-8"/>
        <w:jc w:val="left"/>
      </w:pPr>
      <w:r>
        <w:rPr/>
        <w:pict>
          <v:group style="position:absolute;margin-left:84.264pt;margin-top:.983628pt;width:453pt;height:15.15pt;mso-position-horizontal-relative:page;mso-position-vertical-relative:paragraph;z-index:-729592" coordorigin="1685,20" coordsize="9060,303">
            <v:group style="position:absolute;left:1695;top:29;width:9040;height:2" coordorigin="1695,29" coordsize="9040,2">
              <v:shape style="position:absolute;left:1695;top:29;width:9040;height:2" coordorigin="1695,29" coordsize="9040,0" path="m1695,29l10735,29e" filled="false" stroked="true" strokeweight=".48004pt" strokecolor="#000000">
                <v:path arrowok="t"/>
              </v:shape>
            </v:group>
            <v:group style="position:absolute;left:1690;top:24;width:2;height:293" coordorigin="1690,24" coordsize="2,293">
              <v:shape style="position:absolute;left:1690;top:24;width:2;height:293" coordorigin="1690,24" coordsize="0,293" path="m1690,24l1690,317e" filled="false" stroked="true" strokeweight=".48pt" strokecolor="#000000">
                <v:path arrowok="t"/>
              </v:shape>
            </v:group>
            <v:group style="position:absolute;left:1695;top:312;width:9040;height:2" coordorigin="1695,312" coordsize="9040,2">
              <v:shape style="position:absolute;left:1695;top:312;width:9040;height:2" coordorigin="1695,312" coordsize="9040,0" path="m1695,312l10735,312e" filled="false" stroked="true" strokeweight=".47998pt" strokecolor="#000000">
                <v:path arrowok="t"/>
              </v:shape>
            </v:group>
            <v:group style="position:absolute;left:10740;top:24;width:2;height:293" coordorigin="10740,24" coordsize="2,293">
              <v:shape style="position:absolute;left:10740;top:24;width:2;height:293" coordorigin="10740,24" coordsize="0,293" path="m10740,24l10740,317e" filled="false" stroked="true" strokeweight=".47998pt" strokecolor="#000000">
                <v:path arrowok="t"/>
              </v:shape>
            </v:group>
            <w10:wrap type="none"/>
          </v:group>
        </w:pict>
      </w:r>
      <w:r>
        <w:rPr>
          <w:spacing w:val="-1"/>
        </w:rPr>
        <w:t>主营业务分行业情况</w:t>
      </w:r>
    </w:p>
    <w:p>
      <w:pPr>
        <w:spacing w:line="240" w:lineRule="auto" w:before="3"/>
        <w:rPr>
          <w:rFonts w:ascii="宋体" w:hAnsi="宋体" w:cs="宋体" w:eastAsia="宋体" w:hint="default"/>
          <w:sz w:val="28"/>
          <w:szCs w:val="28"/>
        </w:rPr>
      </w:pPr>
      <w:r>
        <w:rPr/>
        <w:br w:type="column"/>
      </w:r>
      <w:r>
        <w:rPr>
          <w:rFonts w:ascii="宋体"/>
          <w:sz w:val="28"/>
        </w:rPr>
      </w: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583" w:space="1150"/>
            <w:col w:w="2557"/>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92"/>
        <w:gridCol w:w="1688"/>
        <w:gridCol w:w="1582"/>
        <w:gridCol w:w="992"/>
        <w:gridCol w:w="1279"/>
        <w:gridCol w:w="1273"/>
        <w:gridCol w:w="1145"/>
      </w:tblGrid>
      <w:tr>
        <w:trPr>
          <w:trHeight w:val="82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295,522,213.41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76,152,585.29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74.23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47.22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4.55</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6"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定制软件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213,922,564.00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66,999,215.46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68.68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40.21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62.30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4.26</w:t>
            </w: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产品化软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30,679,867.85</w:t>
            </w:r>
          </w:p>
        </w:tc>
        <w:tc>
          <w:tcPr>
            <w:tcW w:w="158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-27.15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45,297,471.20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4,857,427.48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89.28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32.98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1.36</w:t>
            </w: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5,622,310.36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4,295,942.35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23.59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-36.93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-36.78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0.18</w:t>
            </w: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19,409,386.15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1,286,266.14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93.37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-60.30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5.31</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76,075,246.31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21,388,160.07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71.89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49.87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60.80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1.91</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142,954,792.79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38,365,892.58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73.16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19.36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46.56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4.98</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39,731,329.50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11,137,995.16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71.97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17.27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58.15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7.24</w:t>
            </w: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8,427,192.40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1,910,228.28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77.33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40.18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6.51</w:t>
            </w: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7,815,749.76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1,559,357.88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105.91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157.70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4.01</w:t>
            </w: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1,108,516.50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504,685.18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54.47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5"/>
        <w:rPr>
          <w:rFonts w:ascii="宋体" w:hAnsi="宋体" w:cs="宋体" w:eastAsia="宋体" w:hint="default"/>
          <w:sz w:val="15"/>
          <w:szCs w:val="15"/>
        </w:rPr>
      </w:pPr>
    </w:p>
    <w:p>
      <w:pPr>
        <w:pStyle w:val="BodyText"/>
        <w:spacing w:line="274" w:lineRule="exact" w:before="36"/>
        <w:ind w:right="227"/>
        <w:jc w:val="left"/>
      </w:pPr>
      <w:r>
        <w:rPr/>
        <w:t>主营业务分行业、分产品、分地区情况的说明</w:t>
      </w:r>
    </w:p>
    <w:p>
      <w:pPr>
        <w:pStyle w:val="BodyText"/>
        <w:spacing w:line="237" w:lineRule="auto" w:before="2"/>
        <w:ind w:right="227"/>
        <w:jc w:val="left"/>
      </w:pPr>
      <w:r>
        <w:rPr/>
        <w:t>√适用</w:t>
      </w:r>
      <w:r>
        <w:rPr>
          <w:spacing w:val="-2"/>
        </w:rPr>
        <w:t> </w:t>
      </w:r>
      <w:r>
        <w:rPr/>
        <w:t>□不适用</w:t>
      </w:r>
      <w:r>
        <w:rPr>
          <w:w w:val="100"/>
        </w:rPr>
        <w:t> </w:t>
      </w:r>
      <w:r>
        <w:rPr>
          <w:spacing w:val="-2"/>
        </w:rPr>
        <w:t>本期公司业务发展态势良好，各项业务及重点经营区域收入均实现持续增长，各软件开发类业务</w:t>
      </w:r>
      <w:r>
        <w:rPr>
          <w:spacing w:val="-25"/>
        </w:rPr>
        <w:t> </w:t>
      </w:r>
      <w:r>
        <w:rPr>
          <w:spacing w:val="-25"/>
        </w:rPr>
      </w:r>
      <w:r>
        <w:rPr/>
        <w:t>毛利率变化有所下降是因为人工成本增加所致。</w:t>
      </w:r>
    </w:p>
    <w:p>
      <w:pPr>
        <w:spacing w:line="240" w:lineRule="auto" w:before="1"/>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spacing w:line="240" w:lineRule="auto" w:before="36"/>
        <w:ind w:right="227"/>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6"/>
        <w:gridCol w:w="1150"/>
        <w:gridCol w:w="1579"/>
        <w:gridCol w:w="1066"/>
        <w:gridCol w:w="1582"/>
        <w:gridCol w:w="997"/>
        <w:gridCol w:w="1025"/>
        <w:gridCol w:w="425"/>
      </w:tblGrid>
      <w:tr>
        <w:trPr>
          <w:trHeight w:val="28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554"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2"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成本构成</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成本比例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期占总</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74" w:lineRule="exact"/>
              <w:ind w:left="192" w:right="0"/>
              <w:jc w:val="left"/>
              <w:rPr>
                <w:rFonts w:ascii="宋体" w:hAnsi="宋体" w:cs="宋体" w:eastAsia="宋体" w:hint="default"/>
                <w:sz w:val="21"/>
                <w:szCs w:val="21"/>
              </w:rPr>
            </w:pPr>
            <w:r>
              <w:rPr>
                <w:rFonts w:ascii="宋体" w:hAnsi="宋体" w:cs="宋体" w:eastAsia="宋体" w:hint="default"/>
                <w:sz w:val="21"/>
                <w:szCs w:val="21"/>
              </w:rPr>
              <w:t>额较上</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r>
    </w:tbl>
    <w:p>
      <w:pPr>
        <w:spacing w:after="0" w:line="274"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26"/>
        <w:gridCol w:w="1150"/>
        <w:gridCol w:w="1579"/>
        <w:gridCol w:w="1066"/>
        <w:gridCol w:w="1582"/>
        <w:gridCol w:w="997"/>
        <w:gridCol w:w="1025"/>
        <w:gridCol w:w="425"/>
      </w:tblGrid>
      <w:tr>
        <w:trPr>
          <w:trHeight w:val="828" w:hRule="exact"/>
        </w:trPr>
        <w:tc>
          <w:tcPr>
            <w:tcW w:w="122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w:t>
            </w:r>
          </w:p>
        </w:tc>
        <w:tc>
          <w:tcPr>
            <w:tcW w:w="158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0" w:right="0" w:hanging="53"/>
              <w:jc w:val="left"/>
              <w:rPr>
                <w:rFonts w:ascii="宋体" w:hAnsi="宋体" w:cs="宋体" w:eastAsia="宋体" w:hint="default"/>
                <w:sz w:val="21"/>
                <w:szCs w:val="21"/>
              </w:rPr>
            </w:pPr>
            <w:r>
              <w:rPr>
                <w:rFonts w:ascii="宋体" w:hAnsi="宋体" w:cs="宋体" w:eastAsia="宋体" w:hint="default"/>
                <w:sz w:val="21"/>
                <w:szCs w:val="21"/>
              </w:rPr>
              <w:t>成本比</w:t>
            </w:r>
          </w:p>
          <w:p>
            <w:pPr>
              <w:pStyle w:val="TableParagraph"/>
              <w:spacing w:line="273" w:lineRule="exact"/>
              <w:ind w:left="230"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2" w:right="0"/>
              <w:jc w:val="left"/>
              <w:rPr>
                <w:rFonts w:ascii="宋体" w:hAnsi="宋体" w:cs="宋体" w:eastAsia="宋体" w:hint="default"/>
                <w:sz w:val="21"/>
                <w:szCs w:val="21"/>
              </w:rPr>
            </w:pPr>
            <w:r>
              <w:rPr>
                <w:rFonts w:ascii="宋体" w:hAnsi="宋体" w:cs="宋体" w:eastAsia="宋体" w:hint="default"/>
                <w:sz w:val="21"/>
                <w:szCs w:val="21"/>
              </w:rPr>
              <w:t>年同期</w:t>
            </w:r>
          </w:p>
          <w:p>
            <w:pPr>
              <w:pStyle w:val="TableParagraph"/>
              <w:spacing w:line="240" w:lineRule="auto"/>
              <w:ind w:left="244" w:right="187" w:hanging="53"/>
              <w:jc w:val="left"/>
              <w:rPr>
                <w:rFonts w:ascii="宋体" w:hAnsi="宋体" w:cs="宋体" w:eastAsia="宋体" w:hint="default"/>
                <w:sz w:val="21"/>
                <w:szCs w:val="21"/>
              </w:rPr>
            </w:pP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明</w:t>
            </w:r>
          </w:p>
        </w:tc>
      </w:tr>
      <w:tr>
        <w:trPr>
          <w:trHeight w:val="828"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47"/>
                <w:sz w:val="21"/>
                <w:szCs w:val="21"/>
              </w:rPr>
              <w:t> </w:t>
            </w:r>
            <w:r>
              <w:rPr>
                <w:rFonts w:ascii="宋体" w:hAnsi="宋体" w:cs="宋体" w:eastAsia="宋体" w:hint="default"/>
                <w:sz w:val="21"/>
                <w:szCs w:val="21"/>
              </w:rPr>
              <w:t>用</w:t>
            </w:r>
            <w:r>
              <w:rPr>
                <w:rFonts w:ascii="宋体" w:hAnsi="宋体" w:cs="宋体" w:eastAsia="宋体" w:hint="default"/>
                <w:spacing w:val="-50"/>
                <w:sz w:val="21"/>
                <w:szCs w:val="21"/>
              </w:rPr>
              <w:t> </w:t>
            </w:r>
            <w:r>
              <w:rPr>
                <w:rFonts w:ascii="宋体" w:hAnsi="宋体" w:cs="宋体" w:eastAsia="宋体" w:hint="default"/>
                <w:sz w:val="21"/>
                <w:szCs w:val="21"/>
              </w:rPr>
              <w:t>软</w:t>
            </w:r>
            <w:r>
              <w:rPr>
                <w:rFonts w:ascii="宋体" w:hAnsi="宋体" w:cs="宋体" w:eastAsia="宋体" w:hint="default"/>
                <w:spacing w:val="-50"/>
                <w:sz w:val="21"/>
                <w:szCs w:val="21"/>
              </w:rPr>
              <w:t> </w:t>
            </w:r>
            <w:r>
              <w:rPr>
                <w:rFonts w:ascii="宋体" w:hAnsi="宋体" w:cs="宋体" w:eastAsia="宋体" w:hint="default"/>
                <w:sz w:val="21"/>
                <w:szCs w:val="21"/>
              </w:rPr>
              <w:t>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工</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差</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z w:val="21"/>
                <w:szCs w:val="21"/>
              </w:rPr>
              <w:t>旅</w:t>
            </w:r>
            <w:r>
              <w:rPr>
                <w:rFonts w:ascii="宋体" w:hAnsi="宋体" w:cs="宋体" w:eastAsia="宋体" w:hint="default"/>
                <w:spacing w:val="-73"/>
                <w:sz w:val="21"/>
                <w:szCs w:val="21"/>
              </w:rPr>
              <w:t> </w:t>
            </w:r>
            <w:r>
              <w:rPr>
                <w:rFonts w:ascii="宋体" w:hAnsi="宋体" w:cs="宋体" w:eastAsia="宋体" w:hint="default"/>
                <w:sz w:val="21"/>
                <w:szCs w:val="21"/>
              </w:rPr>
              <w:t>费</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硬件</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76,152,585.29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51,728,254.04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47.22</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57" w:right="147"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7" w:right="103"/>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1"/>
                <w:sz w:val="21"/>
                <w:szCs w:val="21"/>
              </w:rPr>
              <w:t>上年同期金额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7" w:right="173"/>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2"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92" w:right="187"/>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281" w:hRule="exact"/>
        </w:trPr>
        <w:tc>
          <w:tcPr>
            <w:tcW w:w="12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47"/>
                <w:sz w:val="21"/>
                <w:szCs w:val="21"/>
              </w:rPr>
              <w:t> </w:t>
            </w:r>
            <w:r>
              <w:rPr>
                <w:rFonts w:ascii="宋体" w:hAnsi="宋体" w:cs="宋体" w:eastAsia="宋体" w:hint="default"/>
                <w:sz w:val="21"/>
                <w:szCs w:val="21"/>
              </w:rPr>
              <w:t>品</w:t>
            </w:r>
            <w:r>
              <w:rPr>
                <w:rFonts w:ascii="宋体" w:hAnsi="宋体" w:cs="宋体" w:eastAsia="宋体" w:hint="default"/>
                <w:spacing w:val="-50"/>
                <w:sz w:val="21"/>
                <w:szCs w:val="21"/>
              </w:rPr>
              <w:t> </w:t>
            </w:r>
            <w:r>
              <w:rPr>
                <w:rFonts w:ascii="宋体" w:hAnsi="宋体" w:cs="宋体" w:eastAsia="宋体" w:hint="default"/>
                <w:sz w:val="21"/>
                <w:szCs w:val="21"/>
              </w:rPr>
              <w:t>化</w:t>
            </w:r>
            <w:r>
              <w:rPr>
                <w:rFonts w:ascii="宋体" w:hAnsi="宋体" w:cs="宋体" w:eastAsia="宋体" w:hint="default"/>
                <w:spacing w:val="-50"/>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件</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26" w:type="dxa"/>
            <w:vMerge/>
            <w:tcBorders>
              <w:left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26" w:type="dxa"/>
            <w:vMerge/>
            <w:tcBorders>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硬</w:t>
            </w:r>
            <w:r>
              <w:rPr>
                <w:rFonts w:ascii="宋体" w:hAnsi="宋体" w:cs="宋体" w:eastAsia="宋体" w:hint="default"/>
                <w:spacing w:val="-76"/>
                <w:sz w:val="21"/>
                <w:szCs w:val="21"/>
              </w:rPr>
              <w:t> </w:t>
            </w:r>
            <w:r>
              <w:rPr>
                <w:rFonts w:ascii="宋体" w:hAnsi="宋体" w:cs="宋体" w:eastAsia="宋体" w:hint="default"/>
                <w:sz w:val="21"/>
                <w:szCs w:val="21"/>
              </w:rPr>
              <w:t>件</w:t>
            </w:r>
            <w:r>
              <w:rPr>
                <w:rFonts w:ascii="宋体" w:hAnsi="宋体" w:cs="宋体" w:eastAsia="宋体" w:hint="default"/>
                <w:spacing w:val="-76"/>
                <w:sz w:val="21"/>
                <w:szCs w:val="21"/>
              </w:rPr>
              <w:t> </w:t>
            </w:r>
            <w:r>
              <w:rPr>
                <w:rFonts w:ascii="宋体" w:hAnsi="宋体" w:cs="宋体" w:eastAsia="宋体" w:hint="default"/>
                <w:sz w:val="21"/>
                <w:szCs w:val="21"/>
              </w:rPr>
              <w:t>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定制软件</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52,209,718.50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32,373,813.41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62.58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61.27</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26" w:type="dxa"/>
            <w:vMerge/>
            <w:tcBorders>
              <w:left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9,668,173.80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12.70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7,762,103.01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24.56</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26" w:type="dxa"/>
            <w:vMerge/>
            <w:tcBorders>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硬</w:t>
            </w:r>
            <w:r>
              <w:rPr>
                <w:rFonts w:ascii="宋体" w:hAnsi="宋体" w:cs="宋体" w:eastAsia="宋体" w:hint="default"/>
                <w:spacing w:val="-76"/>
                <w:sz w:val="21"/>
                <w:szCs w:val="21"/>
              </w:rPr>
              <w:t> </w:t>
            </w:r>
            <w:r>
              <w:rPr>
                <w:rFonts w:ascii="宋体" w:hAnsi="宋体" w:cs="宋体" w:eastAsia="宋体" w:hint="default"/>
                <w:sz w:val="21"/>
                <w:szCs w:val="21"/>
              </w:rPr>
              <w:t>件</w:t>
            </w:r>
            <w:r>
              <w:rPr>
                <w:rFonts w:ascii="宋体" w:hAnsi="宋体" w:cs="宋体" w:eastAsia="宋体" w:hint="default"/>
                <w:spacing w:val="-76"/>
                <w:sz w:val="21"/>
                <w:szCs w:val="21"/>
              </w:rPr>
              <w:t> </w:t>
            </w:r>
            <w:r>
              <w:rPr>
                <w:rFonts w:ascii="宋体" w:hAnsi="宋体" w:cs="宋体" w:eastAsia="宋体" w:hint="default"/>
                <w:sz w:val="21"/>
                <w:szCs w:val="21"/>
              </w:rPr>
              <w:t>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5,121,323.16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1,144,350.72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2.21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347.53</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3,900,955.29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3,097,926.81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25.92</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26" w:type="dxa"/>
            <w:vMerge/>
            <w:tcBorders>
              <w:left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604,319.31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0.79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184,833.63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0.36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226.95</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26" w:type="dxa"/>
            <w:vMerge/>
            <w:tcBorders>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硬</w:t>
            </w:r>
            <w:r>
              <w:rPr>
                <w:rFonts w:ascii="宋体" w:hAnsi="宋体" w:cs="宋体" w:eastAsia="宋体" w:hint="default"/>
                <w:spacing w:val="-76"/>
                <w:sz w:val="21"/>
                <w:szCs w:val="21"/>
              </w:rPr>
              <w:t> </w:t>
            </w:r>
            <w:r>
              <w:rPr>
                <w:rFonts w:ascii="宋体" w:hAnsi="宋体" w:cs="宋体" w:eastAsia="宋体" w:hint="default"/>
                <w:sz w:val="21"/>
                <w:szCs w:val="21"/>
              </w:rPr>
              <w:t>件</w:t>
            </w:r>
            <w:r>
              <w:rPr>
                <w:rFonts w:ascii="宋体" w:hAnsi="宋体" w:cs="宋体" w:eastAsia="宋体" w:hint="default"/>
                <w:spacing w:val="-76"/>
                <w:sz w:val="21"/>
                <w:szCs w:val="21"/>
              </w:rPr>
              <w:t> </w:t>
            </w:r>
            <w:r>
              <w:rPr>
                <w:rFonts w:ascii="宋体" w:hAnsi="宋体" w:cs="宋体" w:eastAsia="宋体" w:hint="default"/>
                <w:sz w:val="21"/>
                <w:szCs w:val="21"/>
              </w:rPr>
              <w:t>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352,152.88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369,894.94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0.72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-4.80</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26" w:type="dxa"/>
            <w:vMerge/>
            <w:tcBorders>
              <w:left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26" w:type="dxa"/>
            <w:vMerge/>
            <w:tcBorders>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硬</w:t>
            </w:r>
            <w:r>
              <w:rPr>
                <w:rFonts w:ascii="宋体" w:hAnsi="宋体" w:cs="宋体" w:eastAsia="宋体" w:hint="default"/>
                <w:spacing w:val="-76"/>
                <w:sz w:val="21"/>
                <w:szCs w:val="21"/>
              </w:rPr>
              <w:t> </w:t>
            </w:r>
            <w:r>
              <w:rPr>
                <w:rFonts w:ascii="宋体" w:hAnsi="宋体" w:cs="宋体" w:eastAsia="宋体" w:hint="default"/>
                <w:sz w:val="21"/>
                <w:szCs w:val="21"/>
              </w:rPr>
              <w:t>件</w:t>
            </w:r>
            <w:r>
              <w:rPr>
                <w:rFonts w:ascii="宋体" w:hAnsi="宋体" w:cs="宋体" w:eastAsia="宋体" w:hint="default"/>
                <w:spacing w:val="-76"/>
                <w:sz w:val="21"/>
                <w:szCs w:val="21"/>
              </w:rPr>
              <w:t> </w:t>
            </w:r>
            <w:r>
              <w:rPr>
                <w:rFonts w:ascii="宋体" w:hAnsi="宋体" w:cs="宋体" w:eastAsia="宋体" w:hint="default"/>
                <w:sz w:val="21"/>
                <w:szCs w:val="21"/>
              </w:rPr>
              <w:t>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4,295,942.35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6,795,331.52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13.14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-36.78</w:t>
            </w: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227"/>
        <w:jc w:val="left"/>
      </w:pPr>
      <w:r>
        <w:rPr/>
        <w:t>成本分析其他情况说明</w:t>
      </w:r>
    </w:p>
    <w:p>
      <w:pPr>
        <w:pStyle w:val="BodyText"/>
        <w:spacing w:line="272" w:lineRule="exact" w:before="27"/>
        <w:ind w:right="227"/>
        <w:jc w:val="left"/>
      </w:pPr>
      <w:r>
        <w:rPr/>
        <w:t>√适用</w:t>
      </w:r>
      <w:r>
        <w:rPr>
          <w:spacing w:val="-2"/>
        </w:rPr>
        <w:t> </w:t>
      </w:r>
      <w:r>
        <w:rPr/>
        <w:t>□不适用</w:t>
      </w:r>
      <w:r>
        <w:rPr>
          <w:w w:val="100"/>
        </w:rPr>
        <w:t> </w:t>
      </w:r>
      <w:r>
        <w:rPr>
          <w:spacing w:val="-2"/>
        </w:rPr>
        <w:t>公司本期发生成本较上期增加幅度大于同期收入增加幅度，主要是公司项目人工成本增加所致。</w:t>
      </w:r>
    </w:p>
    <w:p>
      <w:pPr>
        <w:spacing w:line="240" w:lineRule="auto" w:before="4"/>
        <w:rPr>
          <w:rFonts w:ascii="宋体" w:hAnsi="宋体" w:cs="宋体" w:eastAsia="宋体" w:hint="default"/>
          <w:sz w:val="23"/>
          <w:szCs w:val="23"/>
        </w:rPr>
      </w:pPr>
    </w:p>
    <w:p>
      <w:pPr>
        <w:pStyle w:val="Heading4"/>
        <w:spacing w:line="240" w:lineRule="auto"/>
        <w:ind w:right="227"/>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5" w:lineRule="exact" w:before="56"/>
        <w:ind w:right="227"/>
        <w:jc w:val="left"/>
      </w:pPr>
      <w:r>
        <w:rPr/>
        <w:t>√适用</w:t>
      </w:r>
      <w:r>
        <w:rPr>
          <w:spacing w:val="-1"/>
        </w:rPr>
        <w:t> </w:t>
      </w:r>
      <w:r>
        <w:rPr/>
        <w:t>□不适用</w:t>
      </w:r>
    </w:p>
    <w:p>
      <w:pPr>
        <w:pStyle w:val="BodyText"/>
        <w:spacing w:line="272" w:lineRule="exact" w:before="27"/>
        <w:ind w:right="292"/>
        <w:jc w:val="left"/>
      </w:pPr>
      <w:r>
        <w:rPr/>
        <w:t>前五名客户销售额</w:t>
      </w:r>
      <w:r>
        <w:rPr>
          <w:spacing w:val="-56"/>
        </w:rPr>
        <w:t> </w:t>
      </w:r>
      <w:r>
        <w:rPr>
          <w:rFonts w:ascii="宋体" w:hAnsi="宋体" w:cs="宋体" w:eastAsia="宋体" w:hint="default"/>
        </w:rPr>
        <w:t>5,170.90</w:t>
      </w:r>
      <w:r>
        <w:rPr>
          <w:rFonts w:ascii="宋体" w:hAnsi="宋体" w:cs="宋体" w:eastAsia="宋体" w:hint="default"/>
          <w:spacing w:val="-55"/>
        </w:rPr>
        <w:t> </w:t>
      </w:r>
      <w:r>
        <w:rPr/>
        <w:t>万元，占年度销售总额</w:t>
      </w:r>
      <w:r>
        <w:rPr>
          <w:spacing w:val="-58"/>
        </w:rPr>
        <w:t> </w:t>
      </w:r>
      <w:r>
        <w:rPr>
          <w:rFonts w:ascii="宋体" w:hAnsi="宋体" w:cs="宋体" w:eastAsia="宋体" w:hint="default"/>
        </w:rPr>
        <w:t>17.50%</w:t>
      </w:r>
      <w:r>
        <w:rPr/>
        <w:t>；其中前五名客户销售额中关联方销</w:t>
      </w:r>
      <w:r>
        <w:rPr>
          <w:w w:val="100"/>
        </w:rPr>
        <w:t> </w:t>
      </w:r>
      <w:r>
        <w:rPr/>
        <w:t>售额</w:t>
      </w:r>
      <w:r>
        <w:rPr>
          <w:spacing w:val="-54"/>
        </w:rPr>
        <w:t> </w:t>
      </w:r>
      <w:r>
        <w:rPr>
          <w:rFonts w:ascii="宋体" w:hAnsi="宋体" w:cs="宋体" w:eastAsia="宋体" w:hint="default"/>
        </w:rPr>
        <w:t>1,427.46</w:t>
      </w:r>
      <w:r>
        <w:rPr>
          <w:rFonts w:ascii="宋体" w:hAnsi="宋体" w:cs="宋体" w:eastAsia="宋体" w:hint="default"/>
          <w:spacing w:val="-56"/>
        </w:rPr>
        <w:t> </w:t>
      </w:r>
      <w:r>
        <w:rPr/>
        <w:t>万元，占年度销售总额</w:t>
      </w:r>
      <w:r>
        <w:rPr>
          <w:spacing w:val="-53"/>
        </w:rPr>
        <w:t> </w:t>
      </w:r>
      <w:r>
        <w:rPr>
          <w:rFonts w:ascii="宋体" w:hAnsi="宋体" w:cs="宋体" w:eastAsia="宋体" w:hint="default"/>
        </w:rPr>
        <w:t>4.83</w:t>
      </w:r>
      <w:r>
        <w:rPr>
          <w:rFonts w:ascii="宋体" w:hAnsi="宋体" w:cs="宋体" w:eastAsia="宋体" w:hint="default"/>
          <w:spacing w:val="-2"/>
        </w:rPr>
        <w:t> </w:t>
      </w:r>
      <w:r>
        <w:rPr>
          <w:rFonts w:ascii="宋体" w:hAnsi="宋体" w:cs="宋体" w:eastAsia="宋体" w:hint="default"/>
        </w:rPr>
        <w:t>%</w:t>
      </w:r>
      <w:r>
        <w:rPr/>
        <w:t>。</w:t>
      </w:r>
    </w:p>
    <w:p>
      <w:pPr>
        <w:spacing w:line="240" w:lineRule="auto" w:before="10"/>
        <w:rPr>
          <w:rFonts w:ascii="宋体" w:hAnsi="宋体" w:cs="宋体" w:eastAsia="宋体" w:hint="default"/>
          <w:sz w:val="18"/>
          <w:szCs w:val="18"/>
        </w:rPr>
      </w:pPr>
    </w:p>
    <w:p>
      <w:pPr>
        <w:pStyle w:val="BodyText"/>
        <w:spacing w:line="240" w:lineRule="auto"/>
        <w:ind w:right="292"/>
        <w:jc w:val="left"/>
      </w:pPr>
      <w:r>
        <w:rPr/>
        <w:t>前五名供应商采购额</w:t>
      </w:r>
      <w:r>
        <w:rPr>
          <w:spacing w:val="-56"/>
        </w:rPr>
        <w:t> </w:t>
      </w:r>
      <w:r>
        <w:rPr>
          <w:rFonts w:ascii="宋体" w:hAnsi="宋体" w:cs="宋体" w:eastAsia="宋体" w:hint="default"/>
        </w:rPr>
        <w:t>494.11</w:t>
      </w:r>
      <w:r>
        <w:rPr>
          <w:rFonts w:ascii="宋体" w:hAnsi="宋体" w:cs="宋体" w:eastAsia="宋体" w:hint="default"/>
          <w:spacing w:val="-55"/>
        </w:rPr>
        <w:t> </w:t>
      </w:r>
      <w:r>
        <w:rPr/>
        <w:t>万元，占年度采购总额</w:t>
      </w:r>
      <w:r>
        <w:rPr>
          <w:spacing w:val="-58"/>
        </w:rPr>
        <w:t> </w:t>
      </w:r>
      <w:r>
        <w:rPr>
          <w:rFonts w:ascii="宋体" w:hAnsi="宋体" w:cs="宋体" w:eastAsia="宋体" w:hint="default"/>
        </w:rPr>
        <w:t>58.91%</w:t>
      </w:r>
      <w:r>
        <w:rPr/>
        <w:t>；其中前五名供应商采购额中关联方</w:t>
      </w:r>
      <w:r>
        <w:rPr>
          <w:w w:val="100"/>
        </w:rPr>
        <w:t> </w:t>
      </w:r>
      <w:r>
        <w:rPr/>
        <w:t>采购额</w:t>
      </w:r>
      <w:r>
        <w:rPr>
          <w:spacing w:val="-54"/>
        </w:rPr>
        <w:t> </w:t>
      </w:r>
      <w:r>
        <w:rPr>
          <w:rFonts w:ascii="宋体" w:hAnsi="宋体" w:cs="宋体" w:eastAsia="宋体" w:hint="default"/>
        </w:rPr>
        <w:t>0</w:t>
      </w:r>
      <w:r>
        <w:rPr>
          <w:rFonts w:ascii="宋体" w:hAnsi="宋体" w:cs="宋体" w:eastAsia="宋体" w:hint="default"/>
          <w:spacing w:val="-54"/>
        </w:rPr>
        <w:t> </w:t>
      </w:r>
      <w:r>
        <w:rPr/>
        <w:t>万元，占年度采购总额</w:t>
      </w:r>
      <w:r>
        <w:rPr>
          <w:spacing w:val="-53"/>
        </w:rPr>
        <w:t> </w:t>
      </w:r>
      <w:r>
        <w:rPr>
          <w:rFonts w:ascii="宋体" w:hAnsi="宋体" w:cs="宋体" w:eastAsia="宋体" w:hint="default"/>
        </w:rPr>
        <w:t>0%</w:t>
      </w:r>
      <w:r>
        <w:rPr/>
        <w:t>。</w:t>
      </w:r>
    </w:p>
    <w:p>
      <w:pPr>
        <w:spacing w:line="240" w:lineRule="auto" w:before="10"/>
        <w:rPr>
          <w:rFonts w:ascii="宋体" w:hAnsi="宋体" w:cs="宋体" w:eastAsia="宋体" w:hint="default"/>
          <w:sz w:val="22"/>
          <w:szCs w:val="22"/>
        </w:rPr>
      </w:pPr>
    </w:p>
    <w:p>
      <w:pPr>
        <w:pStyle w:val="BodyText"/>
        <w:spacing w:line="272" w:lineRule="exact"/>
        <w:ind w:right="8208"/>
        <w:jc w:val="left"/>
      </w:pPr>
      <w:r>
        <w:rPr/>
        <w:t>其他说明</w:t>
      </w:r>
      <w:r>
        <w:rPr>
          <w:w w:val="100"/>
        </w:rPr>
        <w:t> </w:t>
      </w:r>
      <w:r>
        <w:rPr/>
        <w:t>无</w:t>
      </w:r>
    </w:p>
    <w:p>
      <w:pPr>
        <w:spacing w:line="240" w:lineRule="auto" w:before="4"/>
        <w:rPr>
          <w:rFonts w:ascii="宋体" w:hAnsi="宋体" w:cs="宋体" w:eastAsia="宋体" w:hint="default"/>
          <w:sz w:val="23"/>
          <w:szCs w:val="23"/>
        </w:rPr>
      </w:pPr>
    </w:p>
    <w:p>
      <w:pPr>
        <w:pStyle w:val="Heading4"/>
        <w:tabs>
          <w:tab w:pos="637" w:val="left" w:leader="none"/>
        </w:tabs>
        <w:spacing w:line="240" w:lineRule="auto"/>
        <w:ind w:right="227"/>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增幅变动比率（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sz w:val="21"/>
              </w:rPr>
              <w:t>32,768,149.47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5" w:right="0"/>
              <w:jc w:val="left"/>
              <w:rPr>
                <w:rFonts w:ascii="宋体" w:hAnsi="宋体" w:cs="宋体" w:eastAsia="宋体" w:hint="default"/>
                <w:sz w:val="21"/>
                <w:szCs w:val="21"/>
              </w:rPr>
            </w:pPr>
            <w:r>
              <w:rPr>
                <w:rFonts w:ascii="宋体"/>
                <w:sz w:val="21"/>
              </w:rPr>
              <w:t>29,197,043.35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12.23</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44,609,808.80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35,343,398.72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26.22</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61,369,666.35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49,771,599.02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-5,161,466.61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-4,607,679.58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tabs>
          <w:tab w:pos="637" w:val="left" w:leader="none"/>
        </w:tabs>
        <w:spacing w:line="290" w:lineRule="auto" w:before="36"/>
        <w:ind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060" w:val="left" w:leader="none"/>
        </w:tabs>
        <w:spacing w:line="240" w:lineRule="auto" w:before="12"/>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901" w:space="6093"/>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61,369,666.35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61,369,666.35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36.29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bl>
    <w:p>
      <w:pPr>
        <w:spacing w:line="240" w:lineRule="auto" w:before="2"/>
        <w:rPr>
          <w:rFonts w:ascii="宋体" w:hAnsi="宋体" w:cs="宋体" w:eastAsia="宋体" w:hint="default"/>
          <w:sz w:val="20"/>
          <w:szCs w:val="20"/>
        </w:rPr>
      </w:pPr>
    </w:p>
    <w:p>
      <w:pPr>
        <w:pStyle w:val="Heading4"/>
        <w:spacing w:line="240" w:lineRule="auto" w:before="36"/>
        <w:ind w:right="0"/>
        <w:jc w:val="both"/>
        <w:rPr>
          <w:b w:val="0"/>
          <w:bCs w:val="0"/>
        </w:rPr>
      </w:pPr>
      <w:r>
        <w:rPr/>
        <w:t>情况说明</w:t>
      </w:r>
      <w:r>
        <w:rPr>
          <w:b w:val="0"/>
          <w:bCs w:val="0"/>
        </w:rPr>
      </w:r>
    </w:p>
    <w:p>
      <w:pPr>
        <w:pStyle w:val="BodyText"/>
        <w:spacing w:line="240" w:lineRule="auto" w:before="56"/>
        <w:ind w:right="0"/>
        <w:jc w:val="both"/>
      </w:pPr>
      <w:r>
        <w:rPr/>
        <w:t>√适用</w:t>
      </w:r>
      <w:r>
        <w:rPr>
          <w:spacing w:val="-1"/>
        </w:rPr>
        <w:t> </w:t>
      </w:r>
      <w:r>
        <w:rPr/>
        <w:t>□不适用</w:t>
      </w:r>
    </w:p>
    <w:p>
      <w:pPr>
        <w:pStyle w:val="BodyText"/>
        <w:spacing w:line="237" w:lineRule="auto" w:before="59"/>
        <w:ind w:right="228"/>
        <w:jc w:val="both"/>
      </w:pPr>
      <w:r>
        <w:rPr>
          <w:spacing w:val="-2"/>
        </w:rPr>
        <w:t>报告期内，公司持续加大对金融互联网业务，大数据服务平台、内存快速交易、数字运营等技术</w:t>
      </w:r>
      <w:r>
        <w:rPr>
          <w:spacing w:val="-25"/>
        </w:rPr>
        <w:t> </w:t>
      </w:r>
      <w:r>
        <w:rPr>
          <w:spacing w:val="-25"/>
        </w:rPr>
      </w:r>
      <w:r>
        <w:rPr>
          <w:spacing w:val="-6"/>
          <w:w w:val="100"/>
        </w:rPr>
        <w:t>领域的投入，推进相关技术在公司各业务线的应用。研发投入主要为研究开发过程中人员薪酬、差</w:t>
      </w:r>
      <w:r>
        <w:rPr>
          <w:w w:val="100"/>
        </w:rPr>
        <w:t> </w:t>
      </w:r>
      <w:r>
        <w:rPr/>
        <w:t>旅费用等相关支出。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right="0"/>
        <w:jc w:val="both"/>
        <w:rPr>
          <w:b w:val="0"/>
          <w:bCs w:val="0"/>
        </w:rPr>
      </w:pPr>
      <w:r>
        <w:rPr>
          <w:rFonts w:ascii="宋体" w:hAnsi="宋体" w:cs="宋体" w:eastAsia="宋体" w:hint="default"/>
        </w:rPr>
        <w:t>5.</w:t>
      </w:r>
      <w:r>
        <w:rPr>
          <w:rFonts w:ascii="宋体" w:hAnsi="宋体" w:cs="宋体" w:eastAsia="宋体" w:hint="default"/>
          <w:spacing w:val="103"/>
        </w:rPr>
        <w:t> </w:t>
      </w:r>
      <w:r>
        <w:rPr/>
        <w:t>现金流</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370"/>
        <w:gridCol w:w="1983"/>
        <w:gridCol w:w="1844"/>
        <w:gridCol w:w="1853"/>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6"/>
                <w:sz w:val="21"/>
                <w:szCs w:val="21"/>
              </w:rPr>
              <w:t>增幅变动比率（</w:t>
            </w:r>
            <w:r>
              <w:rPr>
                <w:rFonts w:ascii="宋体" w:hAnsi="宋体" w:cs="宋体" w:eastAsia="宋体" w:hint="default"/>
                <w:spacing w:val="-6"/>
                <w:sz w:val="21"/>
                <w:szCs w:val="21"/>
              </w:rPr>
              <w:t>%</w:t>
            </w:r>
            <w:r>
              <w:rPr>
                <w:rFonts w:ascii="宋体" w:hAnsi="宋体" w:cs="宋体" w:eastAsia="宋体" w:hint="default"/>
                <w:spacing w:val="-6"/>
                <w:sz w:val="21"/>
                <w:szCs w:val="21"/>
              </w:rPr>
              <w:t>）</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92,652,549.41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103,665,536.19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-10.62</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39,065,793.24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-651,470,656.34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-40,973,500.00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401,542,195.00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-110.20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4"/>
        <w:tabs>
          <w:tab w:pos="1057" w:val="left" w:leader="none"/>
        </w:tabs>
        <w:spacing w:line="240" w:lineRule="auto" w:before="36"/>
        <w:ind w:right="22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8"/>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tabs>
          <w:tab w:pos="1057" w:val="left" w:leader="none"/>
        </w:tabs>
        <w:spacing w:line="240" w:lineRule="auto" w:before="36"/>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060" w:val="left" w:leader="none"/>
        </w:tabs>
        <w:spacing w:line="240" w:lineRule="auto" w:before="56"/>
        <w:ind w:right="-16"/>
        <w:jc w:val="left"/>
      </w:pPr>
      <w:r>
        <w:rPr>
          <w:spacing w:val="-1"/>
        </w:rPr>
        <w:t>√适用</w:t>
        <w:tab/>
      </w:r>
      <w:r>
        <w:rPr>
          <w:spacing w:val="-2"/>
        </w:rPr>
        <w:t>□不适用</w:t>
      </w:r>
    </w:p>
    <w:p>
      <w:pPr>
        <w:pStyle w:val="Heading4"/>
        <w:tabs>
          <w:tab w:pos="642" w:val="left" w:leader="none"/>
        </w:tabs>
        <w:spacing w:line="240" w:lineRule="auto" w:before="58"/>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959" w:space="5034"/>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41"/>
        <w:gridCol w:w="1714"/>
        <w:gridCol w:w="746"/>
        <w:gridCol w:w="1714"/>
        <w:gridCol w:w="746"/>
        <w:gridCol w:w="845"/>
        <w:gridCol w:w="2643"/>
      </w:tblGrid>
      <w:tr>
        <w:trPr>
          <w:trHeight w:val="1373"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101"/>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数占</w:t>
            </w:r>
            <w:r>
              <w:rPr>
                <w:rFonts w:ascii="宋体" w:hAnsi="宋体" w:cs="宋体" w:eastAsia="宋体" w:hint="default"/>
                <w:spacing w:val="-103"/>
                <w:sz w:val="21"/>
                <w:szCs w:val="21"/>
              </w:rPr>
              <w:t> </w:t>
            </w:r>
            <w:r>
              <w:rPr>
                <w:rFonts w:ascii="宋体" w:hAnsi="宋体" w:cs="宋体" w:eastAsia="宋体" w:hint="default"/>
                <w:sz w:val="21"/>
                <w:szCs w:val="21"/>
              </w:rPr>
              <w:t>总资</w:t>
            </w:r>
            <w:r>
              <w:rPr>
                <w:rFonts w:ascii="宋体" w:hAnsi="宋体" w:cs="宋体" w:eastAsia="宋体" w:hint="default"/>
                <w:spacing w:val="-103"/>
                <w:sz w:val="21"/>
                <w:szCs w:val="21"/>
              </w:rPr>
              <w:t> </w:t>
            </w:r>
            <w:r>
              <w:rPr>
                <w:rFonts w:ascii="宋体" w:hAnsi="宋体" w:cs="宋体" w:eastAsia="宋体" w:hint="default"/>
                <w:sz w:val="21"/>
                <w:szCs w:val="21"/>
              </w:rPr>
              <w:t>产的</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sz w:val="21"/>
                <w:szCs w:val="21"/>
              </w:rPr>
              <w:t>上期</w:t>
            </w: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数占</w:t>
            </w:r>
            <w:r>
              <w:rPr>
                <w:rFonts w:ascii="宋体" w:hAnsi="宋体" w:cs="宋体" w:eastAsia="宋体" w:hint="default"/>
                <w:spacing w:val="-103"/>
                <w:sz w:val="21"/>
                <w:szCs w:val="21"/>
              </w:rPr>
              <w:t> </w:t>
            </w:r>
            <w:r>
              <w:rPr>
                <w:rFonts w:ascii="宋体" w:hAnsi="宋体" w:cs="宋体" w:eastAsia="宋体" w:hint="default"/>
                <w:sz w:val="21"/>
                <w:szCs w:val="21"/>
              </w:rPr>
              <w:t>总资</w:t>
            </w:r>
            <w:r>
              <w:rPr>
                <w:rFonts w:ascii="宋体" w:hAnsi="宋体" w:cs="宋体" w:eastAsia="宋体" w:hint="default"/>
                <w:spacing w:val="-103"/>
                <w:sz w:val="21"/>
                <w:szCs w:val="21"/>
              </w:rPr>
              <w:t> </w:t>
            </w:r>
            <w:r>
              <w:rPr>
                <w:rFonts w:ascii="宋体" w:hAnsi="宋体" w:cs="宋体" w:eastAsia="宋体" w:hint="default"/>
                <w:sz w:val="21"/>
                <w:szCs w:val="21"/>
              </w:rPr>
              <w:t>产的</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r>
              <w:rPr>
                <w:rFonts w:ascii="宋体" w:hAnsi="宋体" w:cs="宋体" w:eastAsia="宋体" w:hint="default"/>
                <w:spacing w:val="-102"/>
                <w:sz w:val="21"/>
                <w:szCs w:val="21"/>
              </w:rPr>
              <w:t> </w:t>
            </w:r>
            <w:r>
              <w:rPr>
                <w:rFonts w:ascii="宋体" w:hAnsi="宋体" w:cs="宋体" w:eastAsia="宋体" w:hint="default"/>
                <w:sz w:val="21"/>
                <w:szCs w:val="21"/>
              </w:rPr>
              <w:t>期末变</w:t>
            </w:r>
            <w:r>
              <w:rPr>
                <w:rFonts w:ascii="宋体" w:hAnsi="宋体" w:cs="宋体" w:eastAsia="宋体" w:hint="default"/>
                <w:spacing w:val="-102"/>
                <w:sz w:val="21"/>
                <w:szCs w:val="21"/>
              </w:rPr>
              <w:t> </w:t>
            </w:r>
            <w:r>
              <w:rPr>
                <w:rFonts w:ascii="宋体" w:hAnsi="宋体" w:cs="宋体" w:eastAsia="宋体" w:hint="default"/>
                <w:sz w:val="21"/>
                <w:szCs w:val="21"/>
              </w:rPr>
              <w:t>动比例</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bl>
    <w:p>
      <w:pPr>
        <w:spacing w:after="0" w:line="240" w:lineRule="auto"/>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41"/>
        <w:gridCol w:w="1714"/>
        <w:gridCol w:w="746"/>
        <w:gridCol w:w="1714"/>
        <w:gridCol w:w="746"/>
        <w:gridCol w:w="845"/>
        <w:gridCol w:w="2643"/>
      </w:tblGrid>
      <w:tr>
        <w:trPr>
          <w:trHeight w:val="557" w:hRule="exact"/>
        </w:trPr>
        <w:tc>
          <w:tcPr>
            <w:tcW w:w="641"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1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51"/>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64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预付</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3,714,506.37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2,450,002.82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51.61</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期末外购软硬件较上年期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末增加。</w:t>
            </w:r>
          </w:p>
        </w:tc>
      </w:tr>
      <w:tr>
        <w:trPr>
          <w:trHeight w:val="55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应收</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4,536,920.09</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6,723,842.57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-32.52</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期末未到期理财产品所属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收益较上年期末减少。</w:t>
            </w:r>
          </w:p>
        </w:tc>
      </w:tr>
      <w:tr>
        <w:trPr>
          <w:trHeight w:val="826"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固定</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54,719,235.65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38,782,885.33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41.09</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本期公司所购办公楼部分</w:t>
            </w:r>
            <w:r>
              <w:rPr>
                <w:rFonts w:ascii="宋体" w:hAnsi="宋体" w:cs="宋体" w:eastAsia="宋体" w:hint="default"/>
                <w:sz w:val="21"/>
                <w:szCs w:val="21"/>
              </w:rPr>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由期初其他非流动资产转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入固定资产。</w:t>
            </w:r>
          </w:p>
        </w:tc>
      </w:tr>
      <w:tr>
        <w:trPr>
          <w:trHeight w:val="828"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在建</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39,028,538.69</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3.15</w:t>
            </w:r>
          </w:p>
        </w:tc>
        <w:tc>
          <w:tcPr>
            <w:tcW w:w="171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本期公司所购办公楼部分</w:t>
            </w:r>
            <w:r>
              <w:rPr>
                <w:rFonts w:ascii="宋体" w:hAnsi="宋体" w:cs="宋体" w:eastAsia="宋体" w:hint="default"/>
                <w:sz w:val="21"/>
                <w:szCs w:val="21"/>
              </w:rPr>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8"/>
                <w:sz w:val="21"/>
                <w:szCs w:val="21"/>
              </w:rPr>
              <w:t>由期初其他非流动资产转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入在建工程。</w:t>
            </w:r>
          </w:p>
        </w:tc>
      </w:tr>
      <w:tr>
        <w:trPr>
          <w:trHeight w:val="555"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应付</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1,594,734.59</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1,103,508.23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44.51</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期末外购软硬件未到付款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期较上年期末增加。</w:t>
            </w:r>
          </w:p>
        </w:tc>
      </w:tr>
      <w:tr>
        <w:trPr>
          <w:trHeight w:val="283"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120,213,800.00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85,867,000.00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本期资本公积转增股本。</w:t>
            </w:r>
          </w:p>
        </w:tc>
      </w:tr>
      <w:tr>
        <w:trPr>
          <w:trHeight w:val="55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库存</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22,599,252.00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38,503,920.00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-41.31</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本期公司限制性股票部分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解禁。</w:t>
            </w:r>
          </w:p>
        </w:tc>
      </w:tr>
    </w:tbl>
    <w:p>
      <w:pPr>
        <w:spacing w:line="240" w:lineRule="auto" w:before="5"/>
        <w:rPr>
          <w:rFonts w:ascii="宋体" w:hAnsi="宋体" w:cs="宋体" w:eastAsia="宋体" w:hint="default"/>
          <w:sz w:val="15"/>
          <w:szCs w:val="15"/>
        </w:rPr>
      </w:pPr>
    </w:p>
    <w:p>
      <w:pPr>
        <w:pStyle w:val="BodyText"/>
        <w:spacing w:line="240" w:lineRule="auto" w:before="36"/>
        <w:ind w:right="8208"/>
        <w:jc w:val="left"/>
      </w:pPr>
      <w:r>
        <w:rPr/>
        <w:t>其他说明</w:t>
      </w:r>
      <w:r>
        <w:rPr>
          <w:w w:val="100"/>
        </w:rPr>
        <w:t> </w:t>
      </w:r>
      <w:r>
        <w:rPr/>
        <w:t>无</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left="138" w:right="0"/>
        <w:jc w:val="both"/>
        <w:rPr>
          <w:b w:val="0"/>
          <w:bCs w:val="0"/>
        </w:rPr>
      </w:pPr>
      <w:r>
        <w:rPr>
          <w:rFonts w:ascii="宋体" w:hAnsi="宋体" w:cs="宋体" w:eastAsia="宋体" w:hint="default"/>
        </w:rPr>
        <w:t>2.</w:t>
      </w:r>
      <w:r>
        <w:rPr>
          <w:rFonts w:ascii="宋体" w:hAnsi="宋体" w:cs="宋体" w:eastAsia="宋体" w:hint="default"/>
          <w:spacing w:val="105"/>
        </w:rPr>
        <w:t> </w:t>
      </w:r>
      <w:r>
        <w:rPr/>
        <w:t>截至报告期末主要资产受限情况</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其他说明</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行业经营性信息分析</w:t>
      </w:r>
      <w:r>
        <w:rPr>
          <w:b w:val="0"/>
          <w:bCs w:val="0"/>
        </w:rPr>
      </w:r>
    </w:p>
    <w:p>
      <w:pPr>
        <w:pStyle w:val="BodyText"/>
        <w:tabs>
          <w:tab w:pos="980" w:val="left" w:leader="none"/>
        </w:tabs>
        <w:spacing w:line="240" w:lineRule="auto" w:before="56"/>
        <w:ind w:left="138" w:right="4972"/>
        <w:jc w:val="left"/>
      </w:pPr>
      <w:r>
        <w:rPr>
          <w:spacing w:val="-1"/>
        </w:rPr>
        <w:t>√适用</w:t>
        <w:tab/>
      </w:r>
      <w:r>
        <w:rPr>
          <w:spacing w:val="-2"/>
        </w:rPr>
        <w:t>□不适用</w:t>
      </w:r>
      <w:r>
        <w:rPr>
          <w:spacing w:val="-99"/>
        </w:rPr>
        <w:t> </w:t>
      </w:r>
      <w:r>
        <w:rPr>
          <w:spacing w:val="-99"/>
        </w:rPr>
      </w:r>
      <w:r>
        <w:rPr>
          <w:spacing w:val="-2"/>
        </w:rPr>
        <w:t>详见第三节公司业务概要中行业情况说明。</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1"/>
        </w:rPr>
        <w:t> </w:t>
      </w:r>
      <w:r>
        <w:rPr/>
        <w:t>投资状况分析</w:t>
      </w:r>
      <w:r>
        <w:rPr>
          <w:b w:val="0"/>
          <w:bCs w:val="0"/>
        </w:rPr>
      </w:r>
    </w:p>
    <w:p>
      <w:pPr>
        <w:pStyle w:val="Heading4"/>
        <w:spacing w:line="240" w:lineRule="auto" w:before="58"/>
        <w:ind w:left="138" w:right="0"/>
        <w:jc w:val="both"/>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4" w:lineRule="exact" w:before="56"/>
        <w:ind w:left="138" w:right="0"/>
        <w:jc w:val="both"/>
      </w:pPr>
      <w:r>
        <w:rPr/>
        <w:t>√适用</w:t>
      </w:r>
      <w:r>
        <w:rPr>
          <w:spacing w:val="-1"/>
        </w:rPr>
        <w:t> </w:t>
      </w:r>
      <w:r>
        <w:rPr/>
        <w:t>□不适用</w:t>
      </w:r>
    </w:p>
    <w:p>
      <w:pPr>
        <w:pStyle w:val="BodyText"/>
        <w:spacing w:line="272" w:lineRule="exact" w:before="27"/>
        <w:ind w:left="138" w:right="129"/>
        <w:jc w:val="left"/>
      </w:pPr>
      <w:r>
        <w:rPr/>
        <w:t>报告期内，公司对控股子公司亿维航增资</w:t>
      </w:r>
      <w:r>
        <w:rPr>
          <w:spacing w:val="-54"/>
        </w:rPr>
        <w:t> </w:t>
      </w:r>
      <w:r>
        <w:rPr>
          <w:rFonts w:ascii="宋体" w:hAnsi="宋体" w:cs="宋体" w:eastAsia="宋体" w:hint="default"/>
        </w:rPr>
        <w:t>204</w:t>
      </w:r>
      <w:r>
        <w:rPr>
          <w:rFonts w:ascii="宋体" w:hAnsi="宋体" w:cs="宋体" w:eastAsia="宋体" w:hint="default"/>
          <w:spacing w:val="-56"/>
        </w:rPr>
        <w:t> </w:t>
      </w:r>
      <w:r>
        <w:rPr/>
        <w:t>万元，增资完成后，公司持股比例仍为</w:t>
      </w:r>
      <w:r>
        <w:rPr>
          <w:spacing w:val="-53"/>
        </w:rPr>
        <w:t> </w:t>
      </w:r>
      <w:r>
        <w:rPr>
          <w:rFonts w:ascii="宋体" w:hAnsi="宋体" w:cs="宋体" w:eastAsia="宋体" w:hint="default"/>
        </w:rPr>
        <w:t>51%</w:t>
      </w:r>
      <w:r>
        <w:rPr/>
        <w:t>；公司</w:t>
      </w:r>
      <w:r>
        <w:rPr>
          <w:w w:val="100"/>
        </w:rPr>
        <w:t> </w:t>
      </w:r>
      <w:r>
        <w:rPr>
          <w:spacing w:val="-11"/>
          <w:w w:val="100"/>
        </w:rPr>
        <w:t>参股东吴软件技术（北京）有限责任公司，受让其持有认缴出资额</w:t>
      </w:r>
      <w:r>
        <w:rPr>
          <w:spacing w:val="-48"/>
          <w:w w:val="100"/>
        </w:rPr>
        <w:t> </w:t>
      </w:r>
      <w:r>
        <w:rPr>
          <w:rFonts w:ascii="宋体" w:hAnsi="宋体" w:cs="宋体" w:eastAsia="宋体" w:hint="default"/>
          <w:w w:val="100"/>
        </w:rPr>
        <w:t>363</w:t>
      </w:r>
      <w:r>
        <w:rPr>
          <w:rFonts w:ascii="宋体" w:hAnsi="宋体" w:cs="宋体" w:eastAsia="宋体" w:hint="default"/>
          <w:spacing w:val="-50"/>
          <w:w w:val="100"/>
        </w:rPr>
        <w:t> </w:t>
      </w:r>
      <w:r>
        <w:rPr>
          <w:spacing w:val="-11"/>
          <w:w w:val="100"/>
        </w:rPr>
        <w:t>万元，占其注册资本的</w:t>
      </w:r>
      <w:r>
        <w:rPr>
          <w:spacing w:val="-48"/>
          <w:w w:val="100"/>
        </w:rPr>
        <w:t> </w:t>
      </w:r>
      <w:r>
        <w:rPr>
          <w:rFonts w:ascii="宋体" w:hAnsi="宋体" w:cs="宋体" w:eastAsia="宋体" w:hint="default"/>
          <w:spacing w:val="-1"/>
          <w:w w:val="100"/>
        </w:rPr>
        <w:t>33%</w:t>
      </w:r>
      <w:r>
        <w:rPr>
          <w:spacing w:val="-1"/>
          <w:w w:val="100"/>
        </w:rPr>
        <w:t>。</w:t>
      </w:r>
    </w:p>
    <w:p>
      <w:pPr>
        <w:spacing w:line="240" w:lineRule="auto" w:before="4"/>
        <w:rPr>
          <w:rFonts w:ascii="宋体" w:hAnsi="宋体" w:cs="宋体" w:eastAsia="宋体" w:hint="default"/>
          <w:sz w:val="23"/>
          <w:szCs w:val="23"/>
        </w:rPr>
      </w:pPr>
    </w:p>
    <w:p>
      <w:pPr>
        <w:pStyle w:val="Heading4"/>
        <w:spacing w:line="240" w:lineRule="auto"/>
        <w:ind w:left="138"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99"/>
        </w:rPr>
        <w:t> </w:t>
      </w:r>
      <w:r>
        <w:rPr/>
        <w:t>主要控股参股公司分析</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90" w:lineRule="auto"/>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40" w:lineRule="auto" w:before="14"/>
        <w:ind w:left="138" w:right="0"/>
        <w:jc w:val="both"/>
      </w:pPr>
      <w:r>
        <w:rPr/>
        <w:t>√适用</w:t>
      </w:r>
      <w:r>
        <w:rPr>
          <w:spacing w:val="104"/>
        </w:rPr>
        <w:t> </w:t>
      </w:r>
      <w:r>
        <w:rPr/>
        <w:t>□不适用</w:t>
      </w:r>
    </w:p>
    <w:p>
      <w:pPr>
        <w:spacing w:line="240" w:lineRule="auto" w:before="8"/>
        <w:rPr>
          <w:rFonts w:ascii="宋体" w:hAnsi="宋体" w:cs="宋体" w:eastAsia="宋体" w:hint="default"/>
          <w:sz w:val="20"/>
          <w:szCs w:val="20"/>
        </w:rPr>
      </w:pPr>
    </w:p>
    <w:p>
      <w:pPr>
        <w:pStyle w:val="BodyText"/>
        <w:spacing w:line="237" w:lineRule="auto"/>
        <w:ind w:left="138" w:right="127"/>
        <w:jc w:val="both"/>
      </w:pPr>
      <w:r>
        <w:rPr>
          <w:rFonts w:ascii="宋体" w:hAnsi="宋体" w:cs="宋体" w:eastAsia="宋体" w:hint="default"/>
        </w:rPr>
        <w:t>2018 </w:t>
      </w:r>
      <w:r>
        <w:rPr>
          <w:spacing w:val="-8"/>
        </w:rPr>
        <w:t>年是金融科技的变革和深化发展之年。在金融科技浪潮下，以移动互联网、云计算、大数据、</w:t>
      </w:r>
      <w:r>
        <w:rPr>
          <w:spacing w:val="-90"/>
        </w:rPr>
        <w:t> </w:t>
      </w:r>
      <w:r>
        <w:rPr>
          <w:spacing w:val="-90"/>
        </w:rPr>
      </w:r>
      <w:r>
        <w:rPr>
          <w:spacing w:val="-2"/>
        </w:rPr>
        <w:t>人工智能和区块链为代表的前沿技术迅速渗透金融机构各个领域。包括证券、期货、电子交易市</w:t>
      </w:r>
      <w:r>
        <w:rPr>
          <w:spacing w:val="-25"/>
        </w:rPr>
        <w:t> </w:t>
      </w:r>
      <w:r>
        <w:rPr>
          <w:spacing w:val="-25"/>
        </w:rPr>
      </w:r>
      <w:r>
        <w:rPr>
          <w:spacing w:val="-4"/>
        </w:rPr>
        <w:t>场、银行、保险、信托、资管</w:t>
      </w:r>
      <w:r>
        <w:rPr>
          <w:rFonts w:ascii="宋体" w:hAnsi="宋体" w:cs="宋体" w:eastAsia="宋体" w:hint="default"/>
          <w:spacing w:val="-4"/>
        </w:rPr>
        <w:t>/</w:t>
      </w:r>
      <w:r>
        <w:rPr>
          <w:spacing w:val="-4"/>
        </w:rPr>
        <w:t>基金等行业在内的金融服务商纷纷将“金融科技”作为战略性业务</w:t>
      </w:r>
      <w:r>
        <w:rPr>
          <w:spacing w:val="-35"/>
        </w:rPr>
        <w:t> </w:t>
      </w:r>
      <w:r>
        <w:rPr>
          <w:spacing w:val="-35"/>
        </w:rPr>
      </w:r>
      <w:r>
        <w:rPr/>
        <w:t>或核心竞争力在公司战略中进行描述。普华永道认为，中国互联网下一个风口将出现在</w:t>
      </w:r>
      <w:r>
        <w:rPr>
          <w:spacing w:val="-54"/>
        </w:rPr>
        <w:t> </w:t>
      </w:r>
      <w:r>
        <w:rPr>
          <w:rFonts w:ascii="宋体" w:hAnsi="宋体" w:cs="宋体" w:eastAsia="宋体" w:hint="default"/>
        </w:rPr>
        <w:t>B</w:t>
      </w:r>
      <w:r>
        <w:rPr>
          <w:rFonts w:ascii="宋体" w:hAnsi="宋体" w:cs="宋体" w:eastAsia="宋体" w:hint="default"/>
          <w:spacing w:val="-55"/>
        </w:rPr>
        <w:t> </w:t>
      </w:r>
      <w:r>
        <w:rPr/>
        <w:t>端，科</w:t>
      </w:r>
    </w:p>
    <w:p>
      <w:pPr>
        <w:spacing w:after="0" w:line="23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37" w:lineRule="auto" w:before="38"/>
        <w:ind w:left="138" w:right="100"/>
        <w:jc w:val="left"/>
      </w:pPr>
      <w:r>
        <w:rPr/>
        <w:t>技企业赋能</w:t>
      </w:r>
      <w:r>
        <w:rPr>
          <w:spacing w:val="-44"/>
        </w:rPr>
        <w:t> </w:t>
      </w:r>
      <w:r>
        <w:rPr>
          <w:rFonts w:ascii="宋体" w:hAnsi="宋体" w:cs="宋体" w:eastAsia="宋体" w:hint="default"/>
        </w:rPr>
        <w:t>B</w:t>
      </w:r>
      <w:r>
        <w:rPr>
          <w:rFonts w:ascii="宋体" w:hAnsi="宋体" w:cs="宋体" w:eastAsia="宋体" w:hint="default"/>
          <w:spacing w:val="-44"/>
        </w:rPr>
        <w:t> </w:t>
      </w:r>
      <w:r>
        <w:rPr/>
        <w:t>端服务</w:t>
      </w:r>
      <w:r>
        <w:rPr>
          <w:spacing w:val="-44"/>
        </w:rPr>
        <w:t> </w:t>
      </w:r>
      <w:r>
        <w:rPr>
          <w:rFonts w:ascii="宋体" w:hAnsi="宋体" w:cs="宋体" w:eastAsia="宋体" w:hint="default"/>
        </w:rPr>
        <w:t>C</w:t>
      </w:r>
      <w:r>
        <w:rPr>
          <w:rFonts w:ascii="宋体" w:hAnsi="宋体" w:cs="宋体" w:eastAsia="宋体" w:hint="default"/>
          <w:spacing w:val="-43"/>
        </w:rPr>
        <w:t> </w:t>
      </w:r>
      <w:r>
        <w:rPr>
          <w:spacing w:val="-6"/>
        </w:rPr>
        <w:t>端将成为主流商业模式，目前</w:t>
      </w:r>
      <w:r>
        <w:rPr>
          <w:spacing w:val="-44"/>
        </w:rPr>
        <w:t> </w:t>
      </w:r>
      <w:r>
        <w:rPr>
          <w:rFonts w:ascii="宋体" w:hAnsi="宋体" w:cs="宋体" w:eastAsia="宋体" w:hint="default"/>
        </w:rPr>
        <w:t>2B2C</w:t>
      </w:r>
      <w:r>
        <w:rPr>
          <w:rFonts w:ascii="宋体" w:hAnsi="宋体" w:cs="宋体" w:eastAsia="宋体" w:hint="default"/>
          <w:spacing w:val="-44"/>
        </w:rPr>
        <w:t> </w:t>
      </w:r>
      <w:r>
        <w:rPr>
          <w:spacing w:val="-5"/>
        </w:rPr>
        <w:t>发展带来的平台生态已初具格局。而毕</w:t>
      </w:r>
      <w:r>
        <w:rPr>
          <w:spacing w:val="-101"/>
        </w:rPr>
        <w:t> </w:t>
      </w:r>
      <w:r>
        <w:rPr>
          <w:spacing w:val="-101"/>
        </w:rPr>
      </w:r>
      <w:r>
        <w:rPr/>
        <w:t>马威预计到</w:t>
      </w:r>
      <w:r>
        <w:rPr>
          <w:spacing w:val="-54"/>
        </w:rPr>
        <w:t> </w:t>
      </w:r>
      <w:r>
        <w:rPr>
          <w:rFonts w:ascii="宋体" w:hAnsi="宋体" w:cs="宋体" w:eastAsia="宋体" w:hint="default"/>
        </w:rPr>
        <w:t>2020</w:t>
      </w:r>
      <w:r>
        <w:rPr>
          <w:rFonts w:ascii="宋体" w:hAnsi="宋体" w:cs="宋体" w:eastAsia="宋体" w:hint="default"/>
          <w:spacing w:val="-54"/>
        </w:rPr>
        <w:t> </w:t>
      </w:r>
      <w:r>
        <w:rPr/>
        <w:t>年，中国相关市场规模将超过</w:t>
      </w:r>
      <w:r>
        <w:rPr>
          <w:spacing w:val="-54"/>
        </w:rPr>
        <w:t> </w:t>
      </w:r>
      <w:r>
        <w:rPr>
          <w:rFonts w:ascii="宋体" w:hAnsi="宋体" w:cs="宋体" w:eastAsia="宋体" w:hint="default"/>
        </w:rPr>
        <w:t>12</w:t>
      </w:r>
      <w:r>
        <w:rPr>
          <w:rFonts w:ascii="宋体" w:hAnsi="宋体" w:cs="宋体" w:eastAsia="宋体" w:hint="default"/>
          <w:spacing w:val="-56"/>
        </w:rPr>
        <w:t> </w:t>
      </w:r>
      <w:r>
        <w:rPr/>
        <w:t>万亿，前景广阔。</w:t>
      </w:r>
      <w:r>
        <w:rPr>
          <w:w w:val="100"/>
        </w:rPr>
        <w:t> </w:t>
      </w:r>
      <w:r>
        <w:rPr>
          <w:spacing w:val="-2"/>
        </w:rPr>
        <w:t>行业实践证明，金融科技的运用可以帮助金融服务商提升核心业务能力、业务效率、用户体验，</w:t>
      </w:r>
      <w:r>
        <w:rPr>
          <w:spacing w:val="-25"/>
        </w:rPr>
        <w:t> </w:t>
      </w:r>
      <w:r>
        <w:rPr>
          <w:spacing w:val="-25"/>
        </w:rPr>
      </w:r>
      <w:r>
        <w:rPr>
          <w:spacing w:val="-2"/>
        </w:rPr>
        <w:t>降低风险与成本。云计算、大数据、人工智能、自然语言处理、知识图谱、人脸识别、内存数据</w:t>
      </w:r>
      <w:r>
        <w:rPr>
          <w:spacing w:val="-25"/>
        </w:rPr>
        <w:t> </w:t>
      </w:r>
      <w:r>
        <w:rPr>
          <w:spacing w:val="-25"/>
        </w:rPr>
      </w:r>
      <w:r>
        <w:rPr>
          <w:spacing w:val="-7"/>
        </w:rPr>
        <w:t>库、低延时技术、金融工程等技术，已经广泛运用于投资者适当性、智能化业务受理、智慧运营、</w:t>
      </w:r>
      <w:r>
        <w:rPr>
          <w:spacing w:val="-15"/>
        </w:rPr>
        <w:t> </w:t>
      </w:r>
      <w:r>
        <w:rPr>
          <w:spacing w:val="-15"/>
        </w:rPr>
      </w:r>
      <w:r>
        <w:rPr/>
        <w:t>投资交易、客户分析、财富管理等领域。</w:t>
      </w:r>
      <w:r>
        <w:rPr>
          <w:w w:val="100"/>
        </w:rPr>
        <w:t> </w:t>
      </w:r>
      <w:r>
        <w:rPr>
          <w:spacing w:val="-2"/>
        </w:rPr>
        <w:t>在零售业务方面，通过大数据等处理技术，可以更好地从多渠道、多来源积累客户信息数据，全</w:t>
      </w:r>
      <w:r>
        <w:rPr>
          <w:spacing w:val="-25"/>
        </w:rPr>
        <w:t> </w:t>
      </w:r>
      <w:r>
        <w:rPr>
          <w:spacing w:val="-25"/>
        </w:rPr>
      </w:r>
      <w:r>
        <w:rPr>
          <w:spacing w:val="-2"/>
        </w:rPr>
        <w:t>面、深入分析和挖掘有效信息，增强了解客户的能力，形成详尽的客户标签和完整客户画像，更</w:t>
      </w:r>
      <w:r>
        <w:rPr>
          <w:spacing w:val="-25"/>
        </w:rPr>
        <w:t> </w:t>
      </w:r>
      <w:r>
        <w:rPr>
          <w:spacing w:val="-25"/>
        </w:rPr>
      </w:r>
      <w:r>
        <w:rPr>
          <w:spacing w:val="-2"/>
        </w:rPr>
        <w:t>加精细化、多维度、动态化分析客户的真实和潜在需求，制定并落实好客户分类分群策略和差异</w:t>
      </w:r>
      <w:r>
        <w:rPr>
          <w:spacing w:val="-25"/>
        </w:rPr>
        <w:t> </w:t>
      </w:r>
      <w:r>
        <w:rPr>
          <w:spacing w:val="-25"/>
        </w:rPr>
      </w:r>
      <w:r>
        <w:rPr>
          <w:spacing w:val="-2"/>
        </w:rPr>
        <w:t>化营销服务体系建设。通过采用新的技术手段，比如机器学习、聚类分析、神经网络等，对目标</w:t>
      </w:r>
      <w:r>
        <w:rPr>
          <w:spacing w:val="-25"/>
        </w:rPr>
        <w:t> </w:t>
      </w:r>
      <w:r>
        <w:rPr>
          <w:spacing w:val="-25"/>
        </w:rPr>
      </w:r>
      <w:r>
        <w:rPr>
          <w:spacing w:val="-2"/>
        </w:rPr>
        <w:t>客户群进行差异化产品和服务设计、推荐和配送。这种技术使金融服务提供者能以更低的成本，</w:t>
      </w:r>
      <w:r>
        <w:rPr>
          <w:spacing w:val="-25"/>
        </w:rPr>
        <w:t> </w:t>
      </w:r>
      <w:r>
        <w:rPr>
          <w:spacing w:val="-25"/>
        </w:rPr>
      </w:r>
      <w:r>
        <w:rPr>
          <w:spacing w:val="-2"/>
        </w:rPr>
        <w:t>更便捷地从广大人群中识别合格的潜在用户，减少了客户遴选的时间成本和资金支出。结合客户</w:t>
      </w:r>
      <w:r>
        <w:rPr>
          <w:spacing w:val="-25"/>
        </w:rPr>
        <w:t> </w:t>
      </w:r>
      <w:r>
        <w:rPr>
          <w:spacing w:val="-25"/>
        </w:rPr>
      </w:r>
      <w:r>
        <w:rPr>
          <w:spacing w:val="-2"/>
        </w:rPr>
        <w:t>风险承受能力、风险偏好、客户行为等数据，用实时高效的技术手段，实现客户的信用评价和征</w:t>
      </w:r>
      <w:r>
        <w:rPr>
          <w:spacing w:val="-26"/>
        </w:rPr>
        <w:t> </w:t>
      </w:r>
      <w:r>
        <w:rPr>
          <w:spacing w:val="-26"/>
        </w:rPr>
      </w:r>
      <w:r>
        <w:rPr>
          <w:spacing w:val="-2"/>
        </w:rPr>
        <w:t>信授信管理，有效减少客户违约风险。此外，基于更为精准化的客户标签分析和行为偏好预测，</w:t>
      </w:r>
      <w:r>
        <w:rPr>
          <w:spacing w:val="-25"/>
        </w:rPr>
        <w:t> </w:t>
      </w:r>
      <w:r>
        <w:rPr>
          <w:spacing w:val="-25"/>
        </w:rPr>
      </w:r>
      <w:r>
        <w:rPr>
          <w:spacing w:val="-2"/>
        </w:rPr>
        <w:t>做好“新客户育成”、“忠诚客户盘活”、“流失客户预警”等完整的客户生命周期管理，优化</w:t>
      </w:r>
      <w:r>
        <w:rPr>
          <w:spacing w:val="-25"/>
        </w:rPr>
        <w:t> </w:t>
      </w:r>
      <w:r>
        <w:rPr>
          <w:spacing w:val="-25"/>
        </w:rPr>
      </w:r>
      <w:r>
        <w:rPr>
          <w:spacing w:val="-2"/>
        </w:rPr>
        <w:t>服务流程，大幅度提升金融机构获客能力、客户价值转化能力，增强客户体验，增强客户黏性，</w:t>
      </w:r>
      <w:r>
        <w:rPr>
          <w:spacing w:val="-25"/>
        </w:rPr>
        <w:t> </w:t>
      </w:r>
      <w:r>
        <w:rPr>
          <w:spacing w:val="-25"/>
        </w:rPr>
      </w:r>
      <w:r>
        <w:rPr/>
        <w:t>降低流失率，优化客户管理工作。</w:t>
      </w:r>
    </w:p>
    <w:p>
      <w:pPr>
        <w:spacing w:line="240" w:lineRule="auto" w:before="11"/>
        <w:rPr>
          <w:rFonts w:ascii="宋体" w:hAnsi="宋体" w:cs="宋体" w:eastAsia="宋体" w:hint="default"/>
          <w:sz w:val="20"/>
          <w:szCs w:val="20"/>
        </w:rPr>
      </w:pPr>
    </w:p>
    <w:p>
      <w:pPr>
        <w:pStyle w:val="BodyText"/>
        <w:spacing w:line="237" w:lineRule="auto"/>
        <w:ind w:left="138" w:right="100"/>
        <w:jc w:val="left"/>
      </w:pPr>
      <w:r>
        <w:rPr/>
        <w:t>在产品管理方面，运用大数据、知识图谱和流程自动化等技术，加强产品的整体创新能力和运营</w:t>
      </w:r>
      <w:r>
        <w:rPr>
          <w:w w:val="100"/>
        </w:rPr>
        <w:t> </w:t>
      </w:r>
      <w:r>
        <w:rPr/>
        <w:t>能力。在细分客户群体、定位分层和有效需求挖掘之后，有针对性地开发或引入产品，做到以客</w:t>
      </w:r>
      <w:r>
        <w:rPr>
          <w:w w:val="100"/>
        </w:rPr>
        <w:t> </w:t>
      </w:r>
      <w:r>
        <w:rPr/>
        <w:t>户真实需求为挖掘目标和指导方向，不断驱动产品的研发创新能力，形成完备的产品体系，提升</w:t>
      </w:r>
      <w:r>
        <w:rPr>
          <w:w w:val="100"/>
        </w:rPr>
        <w:t> </w:t>
      </w:r>
      <w:r>
        <w:rPr/>
        <w:t>产品的核心竞争力。引入标准化产品运营管理，在产品引入、上线、销售、投后服务环节，加强</w:t>
      </w:r>
      <w:r>
        <w:rPr>
          <w:w w:val="100"/>
        </w:rPr>
        <w:t> </w:t>
      </w:r>
      <w:r>
        <w:rPr/>
        <w:t>产品数字化、流程化管理，减少产品引入过程中的风险，降低相关销售成本并提高管理效益。通</w:t>
      </w:r>
      <w:r>
        <w:rPr>
          <w:w w:val="100"/>
        </w:rPr>
        <w:t> </w:t>
      </w:r>
      <w:r>
        <w:rPr/>
        <w:t>过数据分析，实时评估产品的业绩，全面分析产品的相关价值与问题，形成完善的产品评价体系</w:t>
      </w:r>
      <w:r>
        <w:rPr>
          <w:w w:val="100"/>
        </w:rPr>
        <w:t> </w:t>
      </w:r>
      <w:r>
        <w:rPr/>
        <w:t>和销售反馈机制，为产品策略提供优化决策方案。</w:t>
      </w:r>
      <w:r>
        <w:rPr>
          <w:w w:val="100"/>
        </w:rPr>
        <w:t> </w:t>
      </w:r>
      <w:r>
        <w:rPr/>
        <w:t>在机构业务方面，近年来，证券、期货、电子交易市场、银行、保险、信托、私募基金等行业机</w:t>
      </w:r>
      <w:r>
        <w:rPr>
          <w:w w:val="100"/>
        </w:rPr>
        <w:t> </w:t>
      </w:r>
      <w:r>
        <w:rPr/>
        <w:t>构投资者，在投资者中的比例和交易量占比稳步提升。不同类型的投资者在交易机制、信息渠道</w:t>
      </w:r>
      <w:r>
        <w:rPr>
          <w:w w:val="100"/>
        </w:rPr>
        <w:t> </w:t>
      </w:r>
      <w:r>
        <w:rPr>
          <w:spacing w:val="-4"/>
          <w:w w:val="100"/>
        </w:rPr>
        <w:t>以及投研分析能力等方面存在差异。一些服务机构也针对性提出了聚焦机构客户服务的转型方向，</w:t>
      </w:r>
      <w:r>
        <w:rPr>
          <w:spacing w:val="-86"/>
          <w:w w:val="100"/>
        </w:rPr>
        <w:t> </w:t>
      </w:r>
      <w:r>
        <w:rPr>
          <w:spacing w:val="-86"/>
          <w:w w:val="100"/>
        </w:rPr>
      </w:r>
      <w:r>
        <w:rPr/>
        <w:t>充分发挥资本市场中介功能，通过大力发展托管、交易、销售、研究、咨询、投融资需求一条龙</w:t>
      </w:r>
      <w:r>
        <w:rPr>
          <w:w w:val="100"/>
        </w:rPr>
        <w:t> </w:t>
      </w:r>
      <w:r>
        <w:rPr/>
        <w:t>服务等深度挖掘现有客户及吸引新的企业客户。金融科技在机构客户的适当性管理、客户画像、</w:t>
      </w:r>
      <w:r>
        <w:rPr>
          <w:w w:val="100"/>
        </w:rPr>
        <w:t> </w:t>
      </w:r>
      <w:r>
        <w:rPr/>
        <w:t>商机挖掘、电子化签约、需求管理等方面起到重要作用。金融科技还在满足投资者需求的专业化</w:t>
      </w:r>
      <w:r>
        <w:rPr>
          <w:w w:val="100"/>
        </w:rPr>
        <w:t> </w:t>
      </w:r>
      <w:r>
        <w:rPr/>
        <w:t>交易工具、资产管理、投研服务起到关键作用。</w:t>
      </w:r>
      <w:r>
        <w:rPr>
          <w:w w:val="100"/>
        </w:rPr>
        <w:t> </w:t>
      </w:r>
      <w:r>
        <w:rPr/>
        <w:t>在财富管理业务方面，财富管理业务需要加大各个业务板块的联动，整合公司客户资源优势，以</w:t>
      </w:r>
      <w:r>
        <w:rPr>
          <w:w w:val="100"/>
        </w:rPr>
        <w:t> </w:t>
      </w:r>
      <w:r>
        <w:rPr/>
        <w:t>提供更全面、更多样化的服务。在财富客户服务中也需要更加精细的客户识别、全面的资产配置</w:t>
      </w:r>
      <w:r>
        <w:rPr>
          <w:w w:val="100"/>
        </w:rPr>
        <w:t> </w:t>
      </w:r>
      <w:r>
        <w:rPr>
          <w:spacing w:val="-6"/>
        </w:rPr>
        <w:t>与财务规划支持。因此对金融科技的需求也将十分旺盛。综合运用大数据、人工智能算法等技术，</w:t>
      </w:r>
      <w:r>
        <w:rPr>
          <w:spacing w:val="-54"/>
        </w:rPr>
        <w:t> </w:t>
      </w:r>
      <w:r>
        <w:rPr>
          <w:spacing w:val="-54"/>
        </w:rPr>
      </w:r>
      <w:r>
        <w:rPr/>
        <w:t>可以分析投资者的资产规模、风险偏好、收益目标预期、行为偏好、历史投资经验等特性，形成</w:t>
      </w:r>
      <w:r>
        <w:rPr>
          <w:w w:val="100"/>
        </w:rPr>
        <w:t> </w:t>
      </w:r>
      <w:r>
        <w:rPr/>
        <w:t>动态的资产配置方案，为客户提供即时、个性化的投资建议，选择合适的投资组合，交易执行，</w:t>
      </w:r>
      <w:r>
        <w:rPr>
          <w:w w:val="100"/>
        </w:rPr>
        <w:t> </w:t>
      </w:r>
      <w:r>
        <w:rPr/>
        <w:t>组合跟踪与再平衡。通过降低业务运营成本得以降低投资者的进入门槛。通实时高并发的技术，</w:t>
      </w:r>
      <w:r>
        <w:rPr>
          <w:w w:val="100"/>
        </w:rPr>
        <w:t> </w:t>
      </w:r>
      <w:r>
        <w:rPr/>
        <w:t>实现达到风险监控和及时交易的要求，在自动化、灵活性、智能化等方面持续优化，实现千人千</w:t>
      </w:r>
      <w:r>
        <w:rPr>
          <w:w w:val="100"/>
        </w:rPr>
        <w:t> </w:t>
      </w:r>
      <w:r>
        <w:rPr/>
        <w:t>面的财富管理解决方案。</w:t>
      </w:r>
    </w:p>
    <w:p>
      <w:pPr>
        <w:spacing w:line="240" w:lineRule="auto" w:before="11"/>
        <w:rPr>
          <w:rFonts w:ascii="宋体" w:hAnsi="宋体" w:cs="宋体" w:eastAsia="宋体" w:hint="default"/>
          <w:sz w:val="20"/>
          <w:szCs w:val="20"/>
        </w:rPr>
      </w:pPr>
    </w:p>
    <w:p>
      <w:pPr>
        <w:pStyle w:val="BodyText"/>
        <w:spacing w:line="237" w:lineRule="auto"/>
        <w:ind w:left="138" w:right="204"/>
        <w:jc w:val="left"/>
      </w:pPr>
      <w:r>
        <w:rPr>
          <w:spacing w:val="-2"/>
        </w:rPr>
        <w:t>在精准营销方面，利用大数据处理技术，在建立客户分层定位和真实需求挖掘之后，建立起启发</w:t>
      </w:r>
      <w:r>
        <w:rPr>
          <w:spacing w:val="-25"/>
        </w:rPr>
        <w:t> </w:t>
      </w:r>
      <w:r>
        <w:rPr>
          <w:spacing w:val="-25"/>
        </w:rPr>
      </w:r>
      <w:r>
        <w:rPr>
          <w:spacing w:val="-6"/>
          <w:w w:val="100"/>
        </w:rPr>
        <w:t>式营销和热点营销等新的营销管理模式。根据客户需求和产品功能，因人而异地推荐组合式产品，</w:t>
      </w:r>
      <w:r>
        <w:rPr>
          <w:spacing w:val="-104"/>
          <w:w w:val="100"/>
        </w:rPr>
        <w:t> </w:t>
      </w:r>
      <w:r>
        <w:rPr>
          <w:spacing w:val="-104"/>
          <w:w w:val="100"/>
        </w:rPr>
      </w:r>
      <w:r>
        <w:rPr>
          <w:spacing w:val="-6"/>
        </w:rPr>
        <w:t>因时制宜地推动热点事件式营销。利用和不断优化新型的大数据动态随机分析技术，高效、及时、</w:t>
      </w:r>
      <w:r>
        <w:rPr>
          <w:spacing w:val="-54"/>
        </w:rPr>
        <w:t> </w:t>
      </w:r>
      <w:r>
        <w:rPr>
          <w:spacing w:val="-54"/>
        </w:rPr>
      </w:r>
      <w:r>
        <w:rPr>
          <w:spacing w:val="-2"/>
        </w:rPr>
        <w:t>精准地向客户推荐相关的产品与服务，适时抓住重要的时事热点并据此为有效窗口，迅速发掘营</w:t>
      </w:r>
      <w:r>
        <w:rPr>
          <w:spacing w:val="-25"/>
        </w:rPr>
        <w:t> </w:t>
      </w:r>
      <w:r>
        <w:rPr>
          <w:spacing w:val="-25"/>
        </w:rPr>
      </w:r>
      <w:r>
        <w:rPr>
          <w:spacing w:val="-6"/>
        </w:rPr>
        <w:t>销机会，不断提高客户的服务体验、忠诚度和消费者福利，建立起全方位的数字化营销管理机制，</w:t>
      </w:r>
      <w:r>
        <w:rPr>
          <w:spacing w:val="-54"/>
        </w:rPr>
        <w:t> </w:t>
      </w:r>
      <w:r>
        <w:rPr>
          <w:spacing w:val="-54"/>
        </w:rPr>
      </w:r>
      <w:r>
        <w:rPr/>
        <w:t>以提高零售、机构和财富业务的销售成功率。</w:t>
      </w:r>
      <w:r>
        <w:rPr>
          <w:w w:val="100"/>
        </w:rPr>
        <w:t> </w:t>
      </w:r>
      <w:r>
        <w:rPr>
          <w:spacing w:val="-2"/>
        </w:rPr>
        <w:t>在业务运营方面，传统金融服务业在服务提供过程中，需要历经冗长的前端业务受理、中台审批</w:t>
      </w:r>
      <w:r>
        <w:rPr>
          <w:spacing w:val="-25"/>
        </w:rPr>
        <w:t> </w:t>
      </w:r>
      <w:r>
        <w:rPr>
          <w:spacing w:val="-25"/>
        </w:rPr>
      </w:r>
      <w:r>
        <w:rPr>
          <w:spacing w:val="-4"/>
        </w:rPr>
        <w:t>和后台风险控制，整个服务流程效率较低，需要配备大量的资源。随着金融科技发展</w:t>
      </w:r>
      <w:r>
        <w:rPr>
          <w:rFonts w:ascii="宋体" w:hAnsi="宋体" w:cs="宋体" w:eastAsia="宋体" w:hint="default"/>
          <w:spacing w:val="-4"/>
        </w:rPr>
        <w:t>,</w:t>
      </w:r>
      <w:r>
        <w:rPr>
          <w:spacing w:val="-4"/>
        </w:rPr>
        <w:t>金融服务机</w:t>
      </w:r>
      <w:r>
        <w:rPr>
          <w:spacing w:val="-34"/>
        </w:rPr>
        <w:t> </w:t>
      </w:r>
      <w:r>
        <w:rPr>
          <w:spacing w:val="-34"/>
        </w:rPr>
      </w:r>
      <w:r>
        <w:rPr>
          <w:spacing w:val="-2"/>
        </w:rPr>
        <w:t>构可以利用大数据等先进的技术准确识别优质客户，通过在线渠道实现服务送达，并通过优化流</w:t>
      </w:r>
    </w:p>
    <w:p>
      <w:pPr>
        <w:spacing w:after="0" w:line="237"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left="138" w:right="304"/>
        <w:jc w:val="left"/>
      </w:pPr>
      <w:r>
        <w:rPr>
          <w:spacing w:val="-6"/>
          <w:w w:val="100"/>
        </w:rPr>
        <w:t>程处理客户需求。越来越多金融服务商通过数字化运营业务创新，将标准化业务划分为前台受理、</w:t>
      </w:r>
      <w:r>
        <w:rPr>
          <w:w w:val="100"/>
        </w:rPr>
        <w:t> </w:t>
      </w:r>
      <w:r>
        <w:rPr>
          <w:spacing w:val="-2"/>
        </w:rPr>
        <w:t>后台处理模式，通过集中运营体系建设，将零售客户的开户、交易、咨询等需求更多的由线上完</w:t>
      </w:r>
      <w:r>
        <w:rPr>
          <w:spacing w:val="-25"/>
        </w:rPr>
        <w:t> </w:t>
      </w:r>
      <w:r>
        <w:rPr>
          <w:spacing w:val="-25"/>
        </w:rPr>
      </w:r>
      <w:r>
        <w:rPr>
          <w:spacing w:val="-2"/>
        </w:rPr>
        <w:t>成。在高频、复杂的业务环节，增加影像识别、机器学习、流程自动化工具，使得整个服务流程</w:t>
      </w:r>
      <w:r>
        <w:rPr>
          <w:spacing w:val="-25"/>
        </w:rPr>
        <w:t> </w:t>
      </w:r>
      <w:r>
        <w:rPr>
          <w:spacing w:val="-25"/>
        </w:rPr>
      </w:r>
      <w:r>
        <w:rPr>
          <w:spacing w:val="-6"/>
        </w:rPr>
        <w:t>效率大幅度提升。同时，通过金融科技的应用还实现人员结构调整，提升运营效率，运用大数据、</w:t>
      </w:r>
      <w:r>
        <w:rPr>
          <w:spacing w:val="-52"/>
        </w:rPr>
        <w:t> </w:t>
      </w:r>
      <w:r>
        <w:rPr>
          <w:spacing w:val="-52"/>
        </w:rPr>
      </w:r>
      <w:r>
        <w:rPr>
          <w:spacing w:val="-2"/>
        </w:rPr>
        <w:t>云计算和流程信息化技术，持续发掘新的线上线下渠道契机，进行合理的安排和布局，通过信息</w:t>
      </w:r>
      <w:r>
        <w:rPr>
          <w:spacing w:val="-25"/>
        </w:rPr>
        <w:t> </w:t>
      </w:r>
      <w:r>
        <w:rPr>
          <w:spacing w:val="-25"/>
        </w:rPr>
      </w:r>
      <w:r>
        <w:rPr>
          <w:spacing w:val="-2"/>
        </w:rPr>
        <w:t>系统连接线上、移动互联网、物理网点、展业终端和业务受理终端，实现物理网点轻型化，达到</w:t>
      </w:r>
      <w:r>
        <w:rPr>
          <w:spacing w:val="-25"/>
        </w:rPr>
        <w:t> </w:t>
      </w:r>
      <w:r>
        <w:rPr>
          <w:spacing w:val="-25"/>
        </w:rPr>
      </w:r>
      <w:r>
        <w:rPr/>
        <w:t>降低成本提升经营效率的目的。</w:t>
      </w:r>
      <w:r>
        <w:rPr>
          <w:w w:val="100"/>
        </w:rPr>
        <w:t> </w:t>
      </w:r>
      <w:r>
        <w:rPr>
          <w:spacing w:val="-2"/>
        </w:rPr>
        <w:t>金融科技还在监管、合规和风险管理等方面发挥巨大作用。大数据处理技术，优化风险综合控制</w:t>
      </w:r>
      <w:r>
        <w:rPr>
          <w:spacing w:val="-25"/>
        </w:rPr>
        <w:t> </w:t>
      </w:r>
      <w:r>
        <w:rPr>
          <w:spacing w:val="-25"/>
        </w:rPr>
      </w:r>
      <w:r>
        <w:rPr>
          <w:spacing w:val="-2"/>
        </w:rPr>
        <w:t>能力。比如，推进并优化授信机制，建立并深化风险管理体系建设，强化评分和预警体系建设，</w:t>
      </w:r>
      <w:r>
        <w:rPr>
          <w:spacing w:val="-25"/>
        </w:rPr>
        <w:t> </w:t>
      </w:r>
      <w:r>
        <w:rPr>
          <w:spacing w:val="-25"/>
        </w:rPr>
      </w:r>
      <w:r>
        <w:rPr>
          <w:spacing w:val="-2"/>
        </w:rPr>
        <w:t>结合第三方机构提供的数据来防范欺诈等风险，提升风险管理能力。不断加强人工智能技术的开</w:t>
      </w:r>
      <w:r>
        <w:rPr>
          <w:spacing w:val="-26"/>
        </w:rPr>
        <w:t> </w:t>
      </w:r>
      <w:r>
        <w:rPr>
          <w:spacing w:val="-26"/>
        </w:rPr>
      </w:r>
      <w:r>
        <w:rPr>
          <w:spacing w:val="-7"/>
        </w:rPr>
        <w:t>发和引进，强化客户身份识别，通过声波、人脸、指纹等识别技术的运用，推进风险控制的优化，</w:t>
      </w:r>
      <w:r>
        <w:rPr>
          <w:spacing w:val="-13"/>
        </w:rPr>
        <w:t> </w:t>
      </w:r>
      <w:r>
        <w:rPr>
          <w:spacing w:val="-13"/>
        </w:rPr>
      </w:r>
      <w:r>
        <w:rPr/>
        <w:t>提升其转换效率。</w:t>
      </w:r>
      <w:r>
        <w:rPr>
          <w:w w:val="100"/>
        </w:rPr>
        <w:t> </w:t>
      </w:r>
      <w:r>
        <w:rPr>
          <w:spacing w:val="-2"/>
        </w:rPr>
        <w:t>因此，金融科技在金融业的应用领域不断扩展。未来，金融科技能使金融行业在客户管理、金融</w:t>
      </w:r>
      <w:r>
        <w:rPr>
          <w:spacing w:val="-25"/>
        </w:rPr>
        <w:t> </w:t>
      </w:r>
      <w:r>
        <w:rPr>
          <w:spacing w:val="-25"/>
        </w:rPr>
      </w:r>
      <w:r>
        <w:rPr>
          <w:spacing w:val="-2"/>
        </w:rPr>
        <w:t>产品生产、资产管理、交易撮合、组织方式等方面呈现全新业态，细分金融领域会在金融科技推</w:t>
      </w:r>
      <w:r>
        <w:rPr>
          <w:spacing w:val="-25"/>
        </w:rPr>
        <w:t> </w:t>
      </w:r>
      <w:r>
        <w:rPr>
          <w:spacing w:val="-25"/>
        </w:rPr>
      </w:r>
      <w:r>
        <w:rPr/>
        <w:t>动下实现更多场景化实践。</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ind w:left="138" w:right="22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tabs>
          <w:tab w:pos="980" w:val="left" w:leader="none"/>
        </w:tabs>
        <w:spacing w:line="237" w:lineRule="auto" w:before="61"/>
        <w:ind w:left="138" w:right="99"/>
        <w:jc w:val="left"/>
      </w:pPr>
      <w:r>
        <w:rPr>
          <w:spacing w:val="-1"/>
        </w:rPr>
        <w:t>√适用</w:t>
        <w:tab/>
      </w:r>
      <w:r>
        <w:rPr>
          <w:spacing w:val="-2"/>
        </w:rPr>
        <w:t>□不适用</w:t>
      </w:r>
      <w:r>
        <w:rPr>
          <w:spacing w:val="-99"/>
        </w:rPr>
        <w:t> </w:t>
      </w:r>
      <w:r>
        <w:rPr>
          <w:spacing w:val="-99"/>
        </w:rPr>
      </w:r>
      <w:r>
        <w:rPr>
          <w:spacing w:val="-4"/>
        </w:rPr>
        <w:t>公司以“软件科技超越客户梦想”的企业理念，采用创新的灵动业务架构平台（</w:t>
      </w:r>
      <w:r>
        <w:rPr>
          <w:rFonts w:ascii="宋体" w:hAnsi="宋体" w:cs="宋体" w:eastAsia="宋体" w:hint="default"/>
          <w:spacing w:val="-4"/>
        </w:rPr>
        <w:t>LiveBOS</w:t>
      </w:r>
      <w:r>
        <w:rPr>
          <w:spacing w:val="-4"/>
        </w:rPr>
        <w:t>）与创新</w:t>
      </w:r>
      <w:r>
        <w:rPr>
          <w:spacing w:val="-23"/>
        </w:rPr>
        <w:t> </w:t>
      </w:r>
      <w:r>
        <w:rPr>
          <w:spacing w:val="-23"/>
        </w:rPr>
      </w:r>
      <w:r>
        <w:rPr/>
        <w:t>的软件开发模式，实施平台扩张战略，将公司的业务重点聚焦于证券、期货、信托、中小银行、</w:t>
      </w:r>
      <w:r>
        <w:rPr>
          <w:w w:val="100"/>
        </w:rPr>
        <w:t> </w:t>
      </w:r>
      <w:r>
        <w:rPr/>
        <w:t>资管</w:t>
      </w:r>
      <w:r>
        <w:rPr>
          <w:rFonts w:ascii="宋体" w:hAnsi="宋体" w:cs="宋体" w:eastAsia="宋体" w:hint="default"/>
        </w:rPr>
        <w:t>/</w:t>
      </w:r>
      <w:r>
        <w:rPr/>
        <w:t>基金和电子交易市场为主的大金融</w:t>
      </w:r>
      <w:r>
        <w:rPr>
          <w:spacing w:val="-55"/>
        </w:rPr>
        <w:t> </w:t>
      </w:r>
      <w:r>
        <w:rPr>
          <w:rFonts w:ascii="宋体" w:hAnsi="宋体" w:cs="宋体" w:eastAsia="宋体" w:hint="default"/>
        </w:rPr>
        <w:t>IT</w:t>
      </w:r>
      <w:r>
        <w:rPr>
          <w:rFonts w:ascii="宋体" w:hAnsi="宋体" w:cs="宋体" w:eastAsia="宋体" w:hint="default"/>
          <w:spacing w:val="-55"/>
        </w:rPr>
        <w:t> </w:t>
      </w:r>
      <w:r>
        <w:rPr/>
        <w:t>行业，同时兼顾发展企业与教育行业，努力成为这些</w:t>
      </w:r>
      <w:r>
        <w:rPr>
          <w:w w:val="100"/>
        </w:rPr>
        <w:t> </w:t>
      </w:r>
      <w:r>
        <w:rPr/>
        <w:t>客户“互联网+”战略的全面</w:t>
      </w:r>
      <w:r>
        <w:rPr>
          <w:spacing w:val="-54"/>
        </w:rPr>
        <w:t> </w:t>
      </w:r>
      <w:r>
        <w:rPr>
          <w:rFonts w:ascii="宋体" w:hAnsi="宋体" w:cs="宋体" w:eastAsia="宋体" w:hint="default"/>
        </w:rPr>
        <w:t>IT</w:t>
      </w:r>
      <w:r>
        <w:rPr>
          <w:rFonts w:ascii="宋体" w:hAnsi="宋体" w:cs="宋体" w:eastAsia="宋体" w:hint="default"/>
          <w:spacing w:val="-57"/>
        </w:rPr>
        <w:t> </w:t>
      </w:r>
      <w:r>
        <w:rPr/>
        <w:t>解决方案提供商。同时，积极探索以云计算为基础，建立面向行</w:t>
      </w:r>
      <w:r>
        <w:rPr>
          <w:w w:val="100"/>
        </w:rPr>
        <w:t> </w:t>
      </w:r>
      <w:r>
        <w:rPr>
          <w:spacing w:val="-9"/>
          <w:w w:val="100"/>
        </w:rPr>
        <w:t>业的平台型“互联网+”系统，巩固并提升公司的行业影响力，加大投入“移动互联”、“云计算”、</w:t>
      </w:r>
      <w:r>
        <w:rPr>
          <w:spacing w:val="-67"/>
          <w:w w:val="100"/>
        </w:rPr>
        <w:t> </w:t>
      </w:r>
      <w:r>
        <w:rPr>
          <w:spacing w:val="-67"/>
          <w:w w:val="100"/>
        </w:rPr>
      </w:r>
      <w:r>
        <w:rPr/>
        <w:t>“大数据”、“人工智能”、“区块链”等技术与金融业务相结合的场景应用研究与市场转化，</w:t>
      </w:r>
      <w:r>
        <w:rPr>
          <w:w w:val="100"/>
        </w:rPr>
        <w:t> </w:t>
      </w:r>
      <w:r>
        <w:rPr/>
        <w:t>力争成为国内金融科技的核心力量。</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ind w:left="138" w:right="227"/>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tabs>
          <w:tab w:pos="980" w:val="left" w:leader="none"/>
        </w:tabs>
        <w:spacing w:line="240" w:lineRule="auto" w:before="56"/>
        <w:ind w:left="138" w:right="7463"/>
        <w:jc w:val="left"/>
      </w:pPr>
      <w:r>
        <w:rPr>
          <w:spacing w:val="-1"/>
        </w:rPr>
        <w:t>√适用</w:t>
        <w:tab/>
      </w:r>
      <w:r>
        <w:rPr>
          <w:spacing w:val="-2"/>
        </w:rPr>
        <w:t>□不适用</w:t>
      </w:r>
      <w:r>
        <w:rPr>
          <w:spacing w:val="-99"/>
        </w:rPr>
        <w:t> </w:t>
      </w:r>
      <w:r>
        <w:rPr>
          <w:spacing w:val="-99"/>
        </w:rPr>
      </w:r>
      <w:r>
        <w:rPr>
          <w:rFonts w:ascii="宋体" w:hAnsi="宋体" w:cs="宋体" w:eastAsia="宋体" w:hint="default"/>
        </w:rPr>
        <w:t>1</w:t>
      </w:r>
      <w:r>
        <w:rPr/>
        <w:t>、基础技术研发</w:t>
      </w:r>
    </w:p>
    <w:p>
      <w:pPr>
        <w:pStyle w:val="BodyText"/>
        <w:spacing w:line="237" w:lineRule="auto"/>
        <w:ind w:left="138" w:right="308"/>
        <w:jc w:val="both"/>
      </w:pPr>
      <w:r>
        <w:rPr>
          <w:rFonts w:ascii="宋体" w:hAnsi="宋体" w:cs="宋体" w:eastAsia="宋体" w:hint="default"/>
        </w:rPr>
        <w:t>2019 </w:t>
      </w:r>
      <w:r>
        <w:rPr>
          <w:spacing w:val="-8"/>
        </w:rPr>
        <w:t>年公司继续加大对基础技术研发中心的投入，加快大数据、人工智能、云计算、超高速交易、</w:t>
      </w:r>
      <w:r>
        <w:rPr>
          <w:spacing w:val="-87"/>
        </w:rPr>
        <w:t> </w:t>
      </w:r>
      <w:r>
        <w:rPr>
          <w:spacing w:val="-87"/>
        </w:rPr>
      </w:r>
      <w:r>
        <w:rPr>
          <w:spacing w:val="-2"/>
        </w:rPr>
        <w:t>区块链等基础技术在公司各业务线的应用，为各业务线产品开发提供强有力的支持。公司将通过</w:t>
      </w:r>
      <w:r>
        <w:rPr>
          <w:spacing w:val="-25"/>
        </w:rPr>
        <w:t> </w:t>
      </w:r>
      <w:r>
        <w:rPr>
          <w:spacing w:val="-25"/>
        </w:rPr>
      </w:r>
      <w:r>
        <w:rPr>
          <w:spacing w:val="-2"/>
        </w:rPr>
        <w:t>灵活的机制和科研院所、金融行业用户等在基础技术研究、金融业务研究等方面建立长期合作关</w:t>
      </w:r>
      <w:r>
        <w:rPr>
          <w:spacing w:val="-25"/>
        </w:rPr>
        <w:t> </w:t>
      </w:r>
      <w:r>
        <w:rPr>
          <w:spacing w:val="-25"/>
        </w:rPr>
      </w:r>
      <w:r>
        <w:rPr/>
        <w:t>系，充分利用专家智囊的智力成果。</w:t>
      </w:r>
    </w:p>
    <w:p>
      <w:pPr>
        <w:spacing w:line="240" w:lineRule="auto" w:before="9"/>
        <w:rPr>
          <w:rFonts w:ascii="宋体" w:hAnsi="宋体" w:cs="宋体" w:eastAsia="宋体" w:hint="default"/>
          <w:sz w:val="20"/>
          <w:szCs w:val="20"/>
        </w:rPr>
      </w:pPr>
    </w:p>
    <w:p>
      <w:pPr>
        <w:pStyle w:val="BodyText"/>
        <w:spacing w:line="273" w:lineRule="exact"/>
        <w:ind w:left="138" w:right="227"/>
        <w:jc w:val="left"/>
      </w:pPr>
      <w:r>
        <w:rPr>
          <w:rFonts w:ascii="宋体" w:hAnsi="宋体" w:cs="宋体" w:eastAsia="宋体" w:hint="default"/>
        </w:rPr>
        <w:t>2</w:t>
      </w:r>
      <w:r>
        <w:rPr/>
        <w:t>、产品研发</w:t>
      </w:r>
    </w:p>
    <w:p>
      <w:pPr>
        <w:pStyle w:val="BodyText"/>
        <w:spacing w:line="237" w:lineRule="auto" w:before="1"/>
        <w:ind w:left="138" w:right="304"/>
        <w:jc w:val="left"/>
      </w:pPr>
      <w:r>
        <w:rPr>
          <w:rFonts w:ascii="宋体" w:hAnsi="宋体" w:cs="宋体" w:eastAsia="宋体" w:hint="default"/>
        </w:rPr>
        <w:t>2019 </w:t>
      </w:r>
      <w:r>
        <w:rPr>
          <w:spacing w:val="-3"/>
        </w:rPr>
        <w:t>年公司将继续强化条线管理模式，充分调动研发资源，在功能和架构上对各主要业务条线的</w:t>
      </w:r>
      <w:r>
        <w:rPr>
          <w:spacing w:val="-88"/>
        </w:rPr>
        <w:t> </w:t>
      </w:r>
      <w:r>
        <w:rPr>
          <w:spacing w:val="-88"/>
        </w:rPr>
      </w:r>
      <w:r>
        <w:rPr>
          <w:spacing w:val="-2"/>
        </w:rPr>
        <w:t>产品持续升级并不断丰富产品线。公司以主营业务为主线，加强金融科技的顶层设计研究，完善</w:t>
      </w:r>
      <w:r>
        <w:rPr>
          <w:spacing w:val="-25"/>
        </w:rPr>
        <w:t> </w:t>
      </w:r>
      <w:r>
        <w:rPr>
          <w:spacing w:val="-25"/>
        </w:rPr>
      </w:r>
      <w:r>
        <w:rPr/>
        <w:t>和升级覆盖金融机构前中后台体系的信息化解决方案和服务。</w:t>
      </w:r>
      <w:r>
        <w:rPr>
          <w:w w:val="100"/>
        </w:rPr>
        <w:t> </w:t>
      </w:r>
      <w:r>
        <w:rPr>
          <w:spacing w:val="-2"/>
        </w:rPr>
        <w:t>公司将根据客户需求的变化不断优化产品功能和组合，包括但不仅限于基于互联网以及零售客户</w:t>
      </w:r>
      <w:r>
        <w:rPr>
          <w:spacing w:val="-25"/>
        </w:rPr>
        <w:t> </w:t>
      </w:r>
      <w:r>
        <w:rPr>
          <w:spacing w:val="-25"/>
        </w:rPr>
      </w:r>
      <w:r>
        <w:rPr>
          <w:spacing w:val="-2"/>
        </w:rPr>
        <w:t>的智能理财服务系列产品、面向私人客户综合财富管理系列产品、面向专业投资者的高端投资交</w:t>
      </w:r>
      <w:r>
        <w:rPr>
          <w:spacing w:val="-25"/>
        </w:rPr>
        <w:t> </w:t>
      </w:r>
      <w:r>
        <w:rPr>
          <w:spacing w:val="-25"/>
        </w:rPr>
      </w:r>
      <w:r>
        <w:rPr>
          <w:spacing w:val="-6"/>
          <w:w w:val="100"/>
        </w:rPr>
        <w:t>易系列产品、面向机构投资者的全面资本中介服务系列产品、智慧金融运营支持体系系列产品等。</w:t>
      </w:r>
      <w:r>
        <w:rPr>
          <w:w w:val="100"/>
        </w:rPr>
        <w:t> </w:t>
      </w:r>
      <w:r>
        <w:rPr>
          <w:rFonts w:ascii="宋体" w:hAnsi="宋体" w:cs="宋体" w:eastAsia="宋体" w:hint="default"/>
        </w:rPr>
        <w:t>2019 </w:t>
      </w:r>
      <w:r>
        <w:rPr/>
        <w:t>年公司也将力争通过投资或并购行业内优质企业，实现资源整合</w:t>
      </w:r>
      <w:r>
        <w:rPr>
          <w:rFonts w:ascii="宋体" w:hAnsi="宋体" w:cs="宋体" w:eastAsia="宋体" w:hint="default"/>
        </w:rPr>
        <w:t>,</w:t>
      </w:r>
      <w:r>
        <w:rPr>
          <w:rFonts w:ascii="宋体" w:hAnsi="宋体" w:cs="宋体" w:eastAsia="宋体" w:hint="default"/>
          <w:spacing w:val="-59"/>
        </w:rPr>
        <w:t> </w:t>
      </w:r>
      <w:r>
        <w:rPr/>
        <w:t>丰富公司产品线。</w:t>
      </w:r>
    </w:p>
    <w:p>
      <w:pPr>
        <w:spacing w:line="240" w:lineRule="auto" w:before="9"/>
        <w:rPr>
          <w:rFonts w:ascii="宋体" w:hAnsi="宋体" w:cs="宋体" w:eastAsia="宋体" w:hint="default"/>
          <w:sz w:val="20"/>
          <w:szCs w:val="20"/>
        </w:rPr>
      </w:pPr>
    </w:p>
    <w:p>
      <w:pPr>
        <w:pStyle w:val="BodyText"/>
        <w:spacing w:line="273" w:lineRule="exact"/>
        <w:ind w:left="138" w:right="227"/>
        <w:jc w:val="left"/>
      </w:pPr>
      <w:r>
        <w:rPr>
          <w:rFonts w:ascii="宋体" w:hAnsi="宋体" w:cs="宋体" w:eastAsia="宋体" w:hint="default"/>
        </w:rPr>
        <w:t>3</w:t>
      </w:r>
      <w:r>
        <w:rPr/>
        <w:t>、市场推广</w:t>
      </w:r>
    </w:p>
    <w:p>
      <w:pPr>
        <w:pStyle w:val="BodyText"/>
        <w:spacing w:line="237" w:lineRule="auto"/>
        <w:ind w:left="138" w:right="308"/>
        <w:jc w:val="both"/>
      </w:pPr>
      <w:r>
        <w:rPr>
          <w:rFonts w:ascii="宋体" w:hAnsi="宋体" w:cs="宋体" w:eastAsia="宋体" w:hint="default"/>
        </w:rPr>
        <w:t>2019 </w:t>
      </w:r>
      <w:r>
        <w:rPr>
          <w:spacing w:val="-3"/>
        </w:rPr>
        <w:t>年公司将继续依托独特的业务积累和技术能力，做精产品和服务，不断完善业务链条、拓宽</w:t>
      </w:r>
      <w:r>
        <w:rPr>
          <w:spacing w:val="-88"/>
        </w:rPr>
        <w:t> </w:t>
      </w:r>
      <w:r>
        <w:rPr>
          <w:spacing w:val="-88"/>
        </w:rPr>
      </w:r>
      <w:r>
        <w:rPr>
          <w:spacing w:val="-4"/>
        </w:rPr>
        <w:t>业务领域。除加强证券行业信息化业务的同时，公司将重点在信托、中小银行、资管</w:t>
      </w:r>
      <w:r>
        <w:rPr>
          <w:rFonts w:ascii="宋体" w:hAnsi="宋体" w:cs="宋体" w:eastAsia="宋体" w:hint="default"/>
          <w:spacing w:val="-4"/>
        </w:rPr>
        <w:t>/</w:t>
      </w:r>
      <w:r>
        <w:rPr>
          <w:spacing w:val="-4"/>
        </w:rPr>
        <w:t>基金、企业</w:t>
      </w:r>
      <w:r>
        <w:rPr>
          <w:spacing w:val="-34"/>
        </w:rPr>
        <w:t> </w:t>
      </w:r>
      <w:r>
        <w:rPr>
          <w:spacing w:val="-34"/>
        </w:rPr>
      </w:r>
      <w:r>
        <w:rPr>
          <w:spacing w:val="-2"/>
        </w:rPr>
        <w:t>等行业加大扩张力度。公司将依托已经建立合作关系的一批有行业影响力的客户，做深应用，获</w:t>
      </w:r>
      <w:r>
        <w:rPr>
          <w:spacing w:val="-25"/>
        </w:rPr>
        <w:t> </w:t>
      </w:r>
      <w:r>
        <w:rPr>
          <w:spacing w:val="-25"/>
        </w:rPr>
      </w:r>
      <w:r>
        <w:rPr>
          <w:spacing w:val="-2"/>
        </w:rPr>
        <w:t>得更加宽阔的发展空间。公司将对针对重点产品分行业开展针对性、专门化的用户体验和市场推</w:t>
      </w:r>
      <w:r>
        <w:rPr>
          <w:spacing w:val="-25"/>
        </w:rPr>
        <w:t> </w:t>
      </w:r>
      <w:r>
        <w:rPr>
          <w:spacing w:val="-25"/>
        </w:rPr>
      </w:r>
      <w:r>
        <w:rPr/>
        <w:t>广活动，让众多的系统潜在用户能够近距离体验到公司最新的产品。</w:t>
      </w:r>
    </w:p>
    <w:p>
      <w:pPr>
        <w:spacing w:after="0" w:line="237" w:lineRule="auto"/>
        <w:jc w:val="both"/>
        <w:sectPr>
          <w:footerReference w:type="default" r:id="rId12"/>
          <w:pgSz w:w="11910" w:h="16840"/>
          <w:pgMar w:footer="1195" w:header="880" w:top="1120" w:bottom="1380" w:left="1660" w:right="960"/>
        </w:sectPr>
      </w:pPr>
    </w:p>
    <w:p>
      <w:pPr>
        <w:spacing w:line="240" w:lineRule="auto" w:before="4"/>
        <w:rPr>
          <w:rFonts w:ascii="宋体" w:hAnsi="宋体" w:cs="宋体" w:eastAsia="宋体" w:hint="default"/>
          <w:sz w:val="25"/>
          <w:szCs w:val="25"/>
        </w:rPr>
      </w:pPr>
    </w:p>
    <w:p>
      <w:pPr>
        <w:pStyle w:val="BodyText"/>
        <w:spacing w:line="274" w:lineRule="exact" w:before="36"/>
        <w:ind w:left="138" w:right="0"/>
        <w:jc w:val="both"/>
      </w:pPr>
      <w:r>
        <w:rPr>
          <w:rFonts w:ascii="宋体" w:hAnsi="宋体" w:cs="宋体" w:eastAsia="宋体" w:hint="default"/>
        </w:rPr>
        <w:t>4</w:t>
      </w:r>
      <w:r>
        <w:rPr/>
        <w:t>、组织架构改革</w:t>
      </w:r>
    </w:p>
    <w:p>
      <w:pPr>
        <w:pStyle w:val="BodyText"/>
        <w:spacing w:line="237" w:lineRule="auto" w:before="2"/>
        <w:ind w:left="138" w:right="128"/>
        <w:jc w:val="both"/>
      </w:pPr>
      <w:r>
        <w:rPr>
          <w:rFonts w:ascii="宋体" w:hAnsi="宋体" w:cs="宋体" w:eastAsia="宋体" w:hint="default"/>
        </w:rPr>
        <w:t>2019 </w:t>
      </w:r>
      <w:r>
        <w:rPr>
          <w:spacing w:val="-3"/>
        </w:rPr>
        <w:t>年公司在具备一定基础的若干个细分领域组建相对独立的专业经营团队，让各条业务线人员</w:t>
      </w:r>
      <w:r>
        <w:rPr>
          <w:spacing w:val="-86"/>
        </w:rPr>
        <w:t> </w:t>
      </w:r>
      <w:r>
        <w:rPr>
          <w:spacing w:val="-86"/>
        </w:rPr>
      </w:r>
      <w:r>
        <w:rPr>
          <w:spacing w:val="-2"/>
        </w:rPr>
        <w:t>能够在所负责的特定领域深入钻研，做到术业有专攻，将使顶点具备更加深入的业务理解能力、</w:t>
      </w:r>
      <w:r>
        <w:rPr>
          <w:spacing w:val="-25"/>
        </w:rPr>
        <w:t> </w:t>
      </w:r>
      <w:r>
        <w:rPr>
          <w:spacing w:val="-25"/>
        </w:rPr>
      </w:r>
      <w:r>
        <w:rPr>
          <w:spacing w:val="-2"/>
        </w:rPr>
        <w:t>技术研发能力、应用整合能力和快速响应能力。同时，进一步强化各交付中心的人员数量与质量</w:t>
      </w:r>
      <w:r>
        <w:rPr>
          <w:spacing w:val="-25"/>
        </w:rPr>
        <w:t> </w:t>
      </w:r>
      <w:r>
        <w:rPr>
          <w:spacing w:val="-25"/>
        </w:rPr>
      </w:r>
      <w:r>
        <w:rPr/>
        <w:t>的保障，以更好地提供客户体验。</w:t>
      </w:r>
    </w:p>
    <w:p>
      <w:pPr>
        <w:spacing w:line="240" w:lineRule="auto" w:before="9"/>
        <w:rPr>
          <w:rFonts w:ascii="宋体" w:hAnsi="宋体" w:cs="宋体" w:eastAsia="宋体" w:hint="default"/>
          <w:sz w:val="20"/>
          <w:szCs w:val="20"/>
        </w:rPr>
      </w:pPr>
    </w:p>
    <w:p>
      <w:pPr>
        <w:pStyle w:val="BodyText"/>
        <w:spacing w:line="274" w:lineRule="exact"/>
        <w:ind w:left="138" w:right="0"/>
        <w:jc w:val="both"/>
      </w:pPr>
      <w:r>
        <w:rPr>
          <w:rFonts w:ascii="宋体" w:hAnsi="宋体" w:cs="宋体" w:eastAsia="宋体" w:hint="default"/>
        </w:rPr>
        <w:t>5</w:t>
      </w:r>
      <w:r>
        <w:rPr/>
        <w:t>、人员团队建设</w:t>
      </w:r>
    </w:p>
    <w:p>
      <w:pPr>
        <w:pStyle w:val="BodyText"/>
        <w:spacing w:line="237" w:lineRule="auto" w:before="2"/>
        <w:ind w:left="138" w:right="130"/>
        <w:jc w:val="both"/>
      </w:pPr>
      <w:r>
        <w:rPr>
          <w:rFonts w:ascii="宋体" w:hAnsi="宋体" w:cs="宋体" w:eastAsia="宋体" w:hint="default"/>
        </w:rPr>
        <w:t>2019 </w:t>
      </w:r>
      <w:r>
        <w:rPr>
          <w:spacing w:val="-3"/>
        </w:rPr>
        <w:t>年公司将进一步加大高层次的人员引入工作。公司将结合内部人才举荐、人力资源服务机构</w:t>
      </w:r>
      <w:r>
        <w:rPr>
          <w:spacing w:val="-89"/>
        </w:rPr>
        <w:t> </w:t>
      </w:r>
      <w:r>
        <w:rPr>
          <w:spacing w:val="-89"/>
        </w:rPr>
      </w:r>
      <w:r>
        <w:rPr>
          <w:spacing w:val="-2"/>
        </w:rPr>
        <w:t>合作等渠道，吸引行业内杰出人才加盟公司。公司将继续完善“研发中心</w:t>
      </w:r>
      <w:r>
        <w:rPr>
          <w:rFonts w:ascii="宋体" w:hAnsi="宋体" w:cs="宋体" w:eastAsia="宋体" w:hint="default"/>
          <w:spacing w:val="-2"/>
        </w:rPr>
        <w:t>-</w:t>
      </w:r>
      <w:r>
        <w:rPr>
          <w:spacing w:val="-2"/>
        </w:rPr>
        <w:t>客户服务中心</w:t>
      </w:r>
      <w:r>
        <w:rPr>
          <w:rFonts w:ascii="宋体" w:hAnsi="宋体" w:cs="宋体" w:eastAsia="宋体" w:hint="default"/>
          <w:spacing w:val="-2"/>
        </w:rPr>
        <w:t>-</w:t>
      </w:r>
      <w:r>
        <w:rPr>
          <w:spacing w:val="-2"/>
        </w:rPr>
        <w:t>交付中</w:t>
      </w:r>
      <w:r>
        <w:rPr>
          <w:spacing w:val="-26"/>
        </w:rPr>
        <w:t> </w:t>
      </w:r>
      <w:r>
        <w:rPr>
          <w:spacing w:val="-26"/>
        </w:rPr>
      </w:r>
      <w:r>
        <w:rPr>
          <w:spacing w:val="-6"/>
          <w:w w:val="100"/>
        </w:rPr>
        <w:t>心”的多层次立体交付服务体系，提升各大交付中心的人员数量和质量，大力提升客户的满意度。</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tabs>
          <w:tab w:pos="980" w:val="left" w:leader="none"/>
        </w:tabs>
        <w:spacing w:line="240" w:lineRule="auto" w:before="57"/>
        <w:ind w:left="138" w:right="6758"/>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、行业竞争加剧的风险</w:t>
      </w:r>
    </w:p>
    <w:p>
      <w:pPr>
        <w:pStyle w:val="BodyText"/>
        <w:spacing w:line="237" w:lineRule="auto"/>
        <w:ind w:left="138" w:right="137"/>
        <w:jc w:val="both"/>
      </w:pPr>
      <w:r>
        <w:rPr>
          <w:spacing w:val="-2"/>
        </w:rPr>
        <w:t>随着互联网技术的不断发展，以及用户对信息化服务的需求不断增长，行业内原有竞争对手规模</w:t>
      </w:r>
      <w:r>
        <w:rPr>
          <w:spacing w:val="-25"/>
        </w:rPr>
        <w:t> </w:t>
      </w:r>
      <w:r>
        <w:rPr>
          <w:spacing w:val="-25"/>
        </w:rPr>
      </w:r>
      <w:r>
        <w:rPr>
          <w:spacing w:val="-2"/>
        </w:rPr>
        <w:t>和竞争力不断提高，加之存在潜在竞争者进入行业的可能性，因此公司所处行业的竞争面临加剧</w:t>
      </w:r>
      <w:r>
        <w:rPr>
          <w:spacing w:val="-25"/>
        </w:rPr>
        <w:t> </w:t>
      </w:r>
      <w:r>
        <w:rPr>
          <w:spacing w:val="-25"/>
        </w:rPr>
      </w:r>
      <w:r>
        <w:rPr/>
        <w:t>的局面，将面临较大的市场竞争风险，可能导致公司的市场地位出现下滑。</w:t>
      </w:r>
    </w:p>
    <w:p>
      <w:pPr>
        <w:spacing w:line="240" w:lineRule="auto" w:before="9"/>
        <w:rPr>
          <w:rFonts w:ascii="宋体" w:hAnsi="宋体" w:cs="宋体" w:eastAsia="宋体" w:hint="default"/>
          <w:sz w:val="20"/>
          <w:szCs w:val="20"/>
        </w:rPr>
      </w:pPr>
    </w:p>
    <w:p>
      <w:pPr>
        <w:pStyle w:val="BodyText"/>
        <w:spacing w:line="273" w:lineRule="exact"/>
        <w:ind w:left="138" w:right="0"/>
        <w:jc w:val="both"/>
      </w:pPr>
      <w:r>
        <w:rPr>
          <w:rFonts w:ascii="宋体" w:hAnsi="宋体" w:cs="宋体" w:eastAsia="宋体" w:hint="default"/>
        </w:rPr>
        <w:t>2</w:t>
      </w:r>
      <w:r>
        <w:rPr/>
        <w:t>、技术的风险</w:t>
      </w:r>
    </w:p>
    <w:p>
      <w:pPr>
        <w:pStyle w:val="BodyText"/>
        <w:spacing w:line="240" w:lineRule="auto"/>
        <w:ind w:left="138" w:right="0"/>
        <w:jc w:val="left"/>
      </w:pPr>
      <w:r>
        <w:rPr/>
        <w:t>对于金融</w:t>
      </w:r>
      <w:r>
        <w:rPr>
          <w:spacing w:val="-34"/>
        </w:rPr>
        <w:t> </w:t>
      </w:r>
      <w:r>
        <w:rPr>
          <w:rFonts w:ascii="宋体" w:hAnsi="宋体" w:cs="宋体" w:eastAsia="宋体" w:hint="default"/>
        </w:rPr>
        <w:t>IT</w:t>
      </w:r>
      <w:r>
        <w:rPr>
          <w:rFonts w:ascii="宋体" w:hAnsi="宋体" w:cs="宋体" w:eastAsia="宋体" w:hint="default"/>
          <w:spacing w:val="-34"/>
        </w:rPr>
        <w:t> </w:t>
      </w:r>
      <w:r>
        <w:rPr>
          <w:spacing w:val="-4"/>
        </w:rPr>
        <w:t>企业来说，技术和产品开发是核心竞争要素。如果不能及时跟踪技术的发展升级或者</w:t>
      </w:r>
      <w:r>
        <w:rPr>
          <w:spacing w:val="-98"/>
        </w:rPr>
        <w:t> </w:t>
      </w:r>
      <w:r>
        <w:rPr>
          <w:spacing w:val="-98"/>
        </w:rPr>
      </w:r>
      <w:r>
        <w:rPr>
          <w:spacing w:val="-2"/>
        </w:rPr>
        <w:t>不能及时将储备技术开发成符合市场需求的新产品，公司可能会在新一轮竞争中丧失已有优势。</w:t>
      </w:r>
    </w:p>
    <w:p>
      <w:pPr>
        <w:spacing w:line="240" w:lineRule="auto" w:before="8"/>
        <w:rPr>
          <w:rFonts w:ascii="宋体" w:hAnsi="宋体" w:cs="宋体" w:eastAsia="宋体" w:hint="default"/>
          <w:sz w:val="20"/>
          <w:szCs w:val="20"/>
        </w:rPr>
      </w:pPr>
    </w:p>
    <w:p>
      <w:pPr>
        <w:pStyle w:val="BodyText"/>
        <w:spacing w:line="273" w:lineRule="exact"/>
        <w:ind w:left="138" w:right="0"/>
        <w:jc w:val="both"/>
      </w:pPr>
      <w:r>
        <w:rPr>
          <w:rFonts w:ascii="宋体" w:hAnsi="宋体" w:cs="宋体" w:eastAsia="宋体" w:hint="default"/>
        </w:rPr>
        <w:t>3</w:t>
      </w:r>
      <w:r>
        <w:rPr/>
        <w:t>、人力资源的风险</w:t>
      </w:r>
    </w:p>
    <w:p>
      <w:pPr>
        <w:pStyle w:val="BodyText"/>
        <w:spacing w:line="240" w:lineRule="auto"/>
        <w:ind w:left="138" w:right="138"/>
        <w:jc w:val="left"/>
      </w:pPr>
      <w:r>
        <w:rPr/>
        <w:t>随着金融科技的迅猛发展，金融</w:t>
      </w:r>
      <w:r>
        <w:rPr>
          <w:spacing w:val="-55"/>
        </w:rPr>
        <w:t> </w:t>
      </w:r>
      <w:r>
        <w:rPr>
          <w:rFonts w:ascii="宋体" w:hAnsi="宋体" w:cs="宋体" w:eastAsia="宋体" w:hint="default"/>
        </w:rPr>
        <w:t>IT</w:t>
      </w:r>
      <w:r>
        <w:rPr>
          <w:rFonts w:ascii="宋体" w:hAnsi="宋体" w:cs="宋体" w:eastAsia="宋体" w:hint="default"/>
          <w:spacing w:val="-56"/>
        </w:rPr>
        <w:t> </w:t>
      </w:r>
      <w:r>
        <w:rPr/>
        <w:t>人才的需求增长较快。尤其是金融机构自身对金融</w:t>
      </w:r>
      <w:r>
        <w:rPr>
          <w:spacing w:val="-54"/>
        </w:rPr>
        <w:t> </w:t>
      </w:r>
      <w:r>
        <w:rPr>
          <w:rFonts w:ascii="宋体" w:hAnsi="宋体" w:cs="宋体" w:eastAsia="宋体" w:hint="default"/>
        </w:rPr>
        <w:t>IT</w:t>
      </w:r>
      <w:r>
        <w:rPr>
          <w:rFonts w:ascii="宋体" w:hAnsi="宋体" w:cs="宋体" w:eastAsia="宋体" w:hint="default"/>
          <w:spacing w:val="-55"/>
        </w:rPr>
        <w:t> </w:t>
      </w:r>
      <w:r>
        <w:rPr/>
        <w:t>人才的</w:t>
      </w:r>
      <w:r>
        <w:rPr>
          <w:w w:val="100"/>
        </w:rPr>
        <w:t> </w:t>
      </w:r>
      <w:r>
        <w:rPr/>
        <w:t>需求旺盛，同时能够提供较高的薪酬待遇，对公司的人力资源形成潜在较大影响。</w:t>
      </w:r>
    </w:p>
    <w:p>
      <w:pPr>
        <w:spacing w:line="240" w:lineRule="auto" w:before="11"/>
        <w:rPr>
          <w:rFonts w:ascii="宋体" w:hAnsi="宋体" w:cs="宋体" w:eastAsia="宋体" w:hint="default"/>
          <w:sz w:val="20"/>
          <w:szCs w:val="20"/>
        </w:rPr>
      </w:pPr>
    </w:p>
    <w:p>
      <w:pPr>
        <w:pStyle w:val="BodyText"/>
        <w:spacing w:line="237" w:lineRule="auto"/>
        <w:ind w:left="138" w:right="0"/>
        <w:jc w:val="left"/>
      </w:pPr>
      <w:r>
        <w:rPr>
          <w:rFonts w:ascii="宋体" w:hAnsi="宋体" w:cs="宋体" w:eastAsia="宋体" w:hint="default"/>
        </w:rPr>
        <w:t>4</w:t>
      </w:r>
      <w:r>
        <w:rPr/>
        <w:t>、公司客户及业务的合规性风险</w:t>
      </w:r>
      <w:r>
        <w:rPr>
          <w:w w:val="100"/>
        </w:rPr>
        <w:t> </w:t>
      </w:r>
      <w:r>
        <w:rPr>
          <w:spacing w:val="-2"/>
        </w:rPr>
        <w:t>如果已进行业务合作的客户受到处罚或公司软件服务的相关业务被暂停或终止开展，将对公司的</w:t>
      </w:r>
      <w:r>
        <w:rPr>
          <w:spacing w:val="-25"/>
        </w:rPr>
        <w:t> </w:t>
      </w:r>
      <w:r>
        <w:rPr>
          <w:spacing w:val="-25"/>
        </w:rPr>
      </w:r>
      <w:r>
        <w:rPr/>
        <w:t>经营产生不利影响。</w:t>
      </w:r>
    </w:p>
    <w:p>
      <w:pPr>
        <w:spacing w:line="240" w:lineRule="auto" w:before="11"/>
        <w:rPr>
          <w:rFonts w:ascii="宋体" w:hAnsi="宋体" w:cs="宋体" w:eastAsia="宋体" w:hint="default"/>
          <w:sz w:val="20"/>
          <w:szCs w:val="20"/>
        </w:rPr>
      </w:pPr>
    </w:p>
    <w:p>
      <w:pPr>
        <w:pStyle w:val="BodyText"/>
        <w:spacing w:line="237" w:lineRule="auto"/>
        <w:ind w:left="138" w:right="0"/>
        <w:jc w:val="left"/>
      </w:pPr>
      <w:r>
        <w:rPr>
          <w:rFonts w:ascii="宋体" w:hAnsi="宋体" w:cs="宋体" w:eastAsia="宋体" w:hint="default"/>
        </w:rPr>
        <w:t>5</w:t>
      </w:r>
      <w:r>
        <w:rPr/>
        <w:t>、公司无法持续享受税收优惠的风险</w:t>
      </w:r>
      <w:r>
        <w:rPr>
          <w:w w:val="100"/>
        </w:rPr>
        <w:t> </w:t>
      </w:r>
      <w:r>
        <w:rPr>
          <w:spacing w:val="-2"/>
        </w:rPr>
        <w:t>尽管公司报告期内持续享受税收优惠，但如果未来因不满足税收优惠条件，将对公司的业绩产生</w:t>
      </w:r>
      <w:r>
        <w:rPr>
          <w:spacing w:val="-25"/>
        </w:rPr>
        <w:t> </w:t>
      </w:r>
      <w:r>
        <w:rPr>
          <w:spacing w:val="-25"/>
        </w:rPr>
      </w:r>
      <w:r>
        <w:rPr/>
        <w:t>不利影响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62" w:val="left" w:leader="none"/>
        </w:tabs>
        <w:spacing w:line="240" w:lineRule="auto"/>
        <w:ind w:left="2"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138" w:right="0"/>
        <w:jc w:val="both"/>
        <w:rPr>
          <w:b w:val="0"/>
          <w:bCs w:val="0"/>
        </w:rPr>
      </w:pPr>
      <w:r>
        <w:rPr/>
        <w:t>一、普通股利润分配或资本公积金转增预案</w:t>
      </w:r>
      <w:r>
        <w:rPr>
          <w:b w:val="0"/>
          <w:bCs w:val="0"/>
        </w:rPr>
      </w:r>
    </w:p>
    <w:p>
      <w:pPr>
        <w:pStyle w:val="Heading4"/>
        <w:spacing w:line="240" w:lineRule="auto" w:before="58"/>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30"/>
        <w:ind w:left="138" w:right="0"/>
        <w:jc w:val="both"/>
      </w:pPr>
      <w:r>
        <w:rPr/>
        <w:t>√适用</w:t>
      </w:r>
      <w:r>
        <w:rPr>
          <w:spacing w:val="104"/>
        </w:rPr>
        <w:t> </w:t>
      </w:r>
      <w:r>
        <w:rPr/>
        <w:t>□不适用</w:t>
      </w:r>
    </w:p>
    <w:p>
      <w:pPr>
        <w:spacing w:after="0" w:line="240" w:lineRule="auto"/>
        <w:jc w:val="both"/>
        <w:sectPr>
          <w:footerReference w:type="default" r:id="rId13"/>
          <w:pgSz w:w="11910" w:h="16840"/>
          <w:pgMar w:footer="1195" w:header="880" w:top="1120" w:bottom="1380" w:left="1660" w:right="1140"/>
          <w:pgNumType w:start="21"/>
        </w:sectPr>
      </w:pPr>
    </w:p>
    <w:p>
      <w:pPr>
        <w:spacing w:line="240" w:lineRule="auto" w:before="4"/>
        <w:rPr>
          <w:rFonts w:ascii="宋体" w:hAnsi="宋体" w:cs="宋体" w:eastAsia="宋体" w:hint="default"/>
          <w:sz w:val="25"/>
          <w:szCs w:val="25"/>
        </w:rPr>
      </w:pPr>
    </w:p>
    <w:p>
      <w:pPr>
        <w:pStyle w:val="BodyText"/>
        <w:spacing w:line="237" w:lineRule="auto" w:before="38"/>
        <w:ind w:left="1398" w:right="822"/>
        <w:jc w:val="left"/>
      </w:pPr>
      <w:r>
        <w:rPr>
          <w:rFonts w:ascii="宋体" w:hAnsi="宋体" w:cs="宋体" w:eastAsia="宋体" w:hint="default"/>
        </w:rPr>
        <w:t>1</w:t>
      </w:r>
      <w:r>
        <w:rPr/>
        <w:t>、根据中国证监会、上海证券交易所及其他相关法律法规的规定，公司已制定</w:t>
      </w:r>
      <w:r>
        <w:rPr>
          <w:rFonts w:ascii="宋体" w:hAnsi="宋体" w:cs="宋体" w:eastAsia="宋体" w:hint="default"/>
        </w:rPr>
        <w:t>&lt;</w:t>
      </w:r>
      <w:r>
        <w:rPr/>
        <w:t>股东未来分红回</w:t>
      </w:r>
      <w:r>
        <w:rPr>
          <w:w w:val="100"/>
        </w:rPr>
        <w:t> </w:t>
      </w:r>
      <w:r>
        <w:rPr/>
        <w:t>报规划（上市后三年）</w:t>
      </w:r>
      <w:r>
        <w:rPr>
          <w:rFonts w:ascii="宋体" w:hAnsi="宋体" w:cs="宋体" w:eastAsia="宋体" w:hint="default"/>
        </w:rPr>
        <w:t>&gt;</w:t>
      </w:r>
      <w:r>
        <w:rPr/>
        <w:t>。目前</w:t>
      </w:r>
      <w:r>
        <w:rPr>
          <w:rFonts w:ascii="宋体" w:hAnsi="宋体" w:cs="宋体" w:eastAsia="宋体" w:hint="default"/>
        </w:rPr>
        <w:t>,</w:t>
      </w:r>
      <w:r>
        <w:rPr/>
        <w:t>公司现金分红政策的制定及执行情况符合《公司章程》的规定，</w:t>
      </w:r>
      <w:r>
        <w:rPr>
          <w:w w:val="100"/>
        </w:rPr>
        <w:t> </w:t>
      </w:r>
      <w:r>
        <w:rPr/>
        <w:t>充分保护中小投资者的合法权益，分红标准和比例明确清晰。公司利润分配预案经董事会审议，</w:t>
      </w:r>
      <w:r>
        <w:rPr>
          <w:w w:val="100"/>
        </w:rPr>
        <w:t> </w:t>
      </w:r>
      <w:r>
        <w:rPr/>
        <w:t>独立董事发表意见后，提交股东大会审议通过方可实施，决策程序完整，机制完备。</w:t>
      </w:r>
      <w:r>
        <w:rPr>
          <w:w w:val="100"/>
        </w:rPr>
        <w:t> </w:t>
      </w:r>
      <w:r>
        <w:rPr>
          <w:rFonts w:ascii="宋体" w:hAnsi="宋体" w:cs="宋体" w:eastAsia="宋体" w:hint="default"/>
          <w:spacing w:val="-6"/>
        </w:rPr>
        <w:t>2</w:t>
      </w:r>
      <w:r>
        <w:rPr>
          <w:spacing w:val="-6"/>
        </w:rPr>
        <w:t>、报告期内，根据公司的经营情况及发展规划，公司于</w:t>
      </w:r>
      <w:r>
        <w:rPr>
          <w:spacing w:val="8"/>
        </w:rPr>
        <w:t> </w:t>
      </w:r>
      <w:r>
        <w:rPr>
          <w:rFonts w:ascii="宋体" w:hAnsi="宋体" w:cs="宋体" w:eastAsia="宋体" w:hint="default"/>
        </w:rPr>
        <w:t>2018</w:t>
      </w:r>
      <w:r>
        <w:rPr>
          <w:rFonts w:ascii="宋体" w:hAnsi="宋体" w:cs="宋体" w:eastAsia="宋体" w:hint="default"/>
          <w:spacing w:val="5"/>
        </w:rPr>
        <w:t> </w:t>
      </w:r>
      <w:r>
        <w:rPr/>
        <w:t>年</w:t>
      </w:r>
      <w:r>
        <w:rPr>
          <w:spacing w:val="-50"/>
        </w:rPr>
        <w:t> </w:t>
      </w:r>
      <w:r>
        <w:rPr>
          <w:rFonts w:ascii="宋体" w:hAnsi="宋体" w:cs="宋体" w:eastAsia="宋体" w:hint="default"/>
        </w:rPr>
        <w:t>5</w:t>
      </w:r>
      <w:r>
        <w:rPr>
          <w:rFonts w:ascii="宋体" w:hAnsi="宋体" w:cs="宋体" w:eastAsia="宋体" w:hint="default"/>
          <w:spacing w:val="-52"/>
        </w:rPr>
        <w:t> </w:t>
      </w:r>
      <w:r>
        <w:rPr/>
        <w:t>月</w:t>
      </w:r>
      <w:r>
        <w:rPr>
          <w:spacing w:val="-50"/>
        </w:rPr>
        <w:t> </w:t>
      </w:r>
      <w:r>
        <w:rPr>
          <w:rFonts w:ascii="宋体" w:hAnsi="宋体" w:cs="宋体" w:eastAsia="宋体" w:hint="default"/>
        </w:rPr>
        <w:t>3</w:t>
      </w:r>
      <w:r>
        <w:rPr>
          <w:rFonts w:ascii="宋体" w:hAnsi="宋体" w:cs="宋体" w:eastAsia="宋体" w:hint="default"/>
          <w:spacing w:val="-52"/>
        </w:rPr>
        <w:t> </w:t>
      </w:r>
      <w:r>
        <w:rPr/>
        <w:t>日召开</w:t>
      </w:r>
      <w:r>
        <w:rPr>
          <w:spacing w:val="8"/>
        </w:rPr>
        <w:t> </w:t>
      </w:r>
      <w:r>
        <w:rPr>
          <w:rFonts w:ascii="宋体" w:hAnsi="宋体" w:cs="宋体" w:eastAsia="宋体" w:hint="default"/>
        </w:rPr>
        <w:t>2017</w:t>
      </w:r>
      <w:r>
        <w:rPr>
          <w:rFonts w:ascii="宋体" w:hAnsi="宋体" w:cs="宋体" w:eastAsia="宋体" w:hint="default"/>
          <w:spacing w:val="7"/>
        </w:rPr>
        <w:t> </w:t>
      </w:r>
      <w:r>
        <w:rPr/>
        <w:t>年年度股东</w:t>
      </w:r>
      <w:r>
        <w:rPr>
          <w:spacing w:val="-97"/>
        </w:rPr>
        <w:t> </w:t>
      </w:r>
      <w:r>
        <w:rPr>
          <w:spacing w:val="-97"/>
        </w:rPr>
      </w:r>
      <w:r>
        <w:rPr/>
        <w:t>大会，审议通过《</w:t>
      </w:r>
      <w:r>
        <w:rPr>
          <w:rFonts w:ascii="宋体" w:hAnsi="宋体" w:cs="宋体" w:eastAsia="宋体" w:hint="default"/>
        </w:rPr>
        <w:t>2017</w:t>
      </w:r>
      <w:r>
        <w:rPr>
          <w:rFonts w:ascii="宋体" w:hAnsi="宋体" w:cs="宋体" w:eastAsia="宋体" w:hint="default"/>
          <w:spacing w:val="-56"/>
        </w:rPr>
        <w:t> </w:t>
      </w:r>
      <w:r>
        <w:rPr/>
        <w:t>年度利润分配的预案》，以公司实施利润分配方案的股权登记日总股本</w:t>
      </w:r>
      <w:r>
        <w:rPr>
          <w:w w:val="100"/>
        </w:rPr>
        <w:t> </w:t>
      </w:r>
      <w:r>
        <w:rPr>
          <w:rFonts w:ascii="宋体" w:hAnsi="宋体" w:cs="宋体" w:eastAsia="宋体" w:hint="default"/>
        </w:rPr>
        <w:t>8586.7</w:t>
      </w:r>
      <w:r>
        <w:rPr>
          <w:rFonts w:ascii="宋体" w:hAnsi="宋体" w:cs="宋体" w:eastAsia="宋体" w:hint="default"/>
          <w:spacing w:val="-49"/>
        </w:rPr>
        <w:t> </w:t>
      </w:r>
      <w:r>
        <w:rPr/>
        <w:t>万为基数，向全体股东每</w:t>
      </w:r>
      <w:r>
        <w:rPr>
          <w:spacing w:val="-49"/>
        </w:rPr>
        <w:t> </w:t>
      </w:r>
      <w:r>
        <w:rPr>
          <w:rFonts w:ascii="宋体" w:hAnsi="宋体" w:cs="宋体" w:eastAsia="宋体" w:hint="default"/>
        </w:rPr>
        <w:t>10</w:t>
      </w:r>
      <w:r>
        <w:rPr>
          <w:rFonts w:ascii="宋体" w:hAnsi="宋体" w:cs="宋体" w:eastAsia="宋体" w:hint="default"/>
          <w:spacing w:val="-51"/>
        </w:rPr>
        <w:t> </w:t>
      </w:r>
      <w:r>
        <w:rPr/>
        <w:t>股派发现金红利</w:t>
      </w:r>
      <w:r>
        <w:rPr>
          <w:spacing w:val="-44"/>
        </w:rPr>
        <w:t> </w:t>
      </w:r>
      <w:r>
        <w:rPr>
          <w:rFonts w:ascii="宋体" w:hAnsi="宋体" w:cs="宋体" w:eastAsia="宋体" w:hint="default"/>
        </w:rPr>
        <w:t>5</w:t>
      </w:r>
      <w:r>
        <w:rPr>
          <w:rFonts w:ascii="宋体" w:hAnsi="宋体" w:cs="宋体" w:eastAsia="宋体" w:hint="default"/>
          <w:spacing w:val="-45"/>
        </w:rPr>
        <w:t> </w:t>
      </w:r>
      <w:r>
        <w:rPr/>
        <w:t>元（含税），资本公积每</w:t>
      </w:r>
      <w:r>
        <w:rPr>
          <w:spacing w:val="-43"/>
        </w:rPr>
        <w:t> </w:t>
      </w:r>
      <w:r>
        <w:rPr>
          <w:rFonts w:ascii="宋体" w:hAnsi="宋体" w:cs="宋体" w:eastAsia="宋体" w:hint="default"/>
        </w:rPr>
        <w:t>10</w:t>
      </w:r>
      <w:r>
        <w:rPr>
          <w:rFonts w:ascii="宋体" w:hAnsi="宋体" w:cs="宋体" w:eastAsia="宋体" w:hint="default"/>
          <w:spacing w:val="-45"/>
        </w:rPr>
        <w:t> </w:t>
      </w:r>
      <w:r>
        <w:rPr/>
        <w:t>股转增</w:t>
      </w:r>
      <w:r>
        <w:rPr>
          <w:spacing w:val="-48"/>
        </w:rPr>
        <w:t> </w:t>
      </w:r>
      <w:r>
        <w:rPr>
          <w:rFonts w:ascii="宋体" w:hAnsi="宋体" w:cs="宋体" w:eastAsia="宋体" w:hint="default"/>
        </w:rPr>
        <w:t>4</w:t>
      </w:r>
      <w:r>
        <w:rPr>
          <w:rFonts w:ascii="宋体" w:hAnsi="宋体" w:cs="宋体" w:eastAsia="宋体" w:hint="default"/>
          <w:spacing w:val="-45"/>
        </w:rPr>
        <w:t> </w:t>
      </w:r>
      <w:r>
        <w:rPr/>
        <w:t>股，</w:t>
      </w:r>
      <w:r>
        <w:rPr>
          <w:spacing w:val="2"/>
          <w:w w:val="100"/>
        </w:rPr>
        <w:t> </w:t>
      </w:r>
      <w:r>
        <w:rPr/>
        <w:t>剩余利润结转下一年度。现该事项已于报告期内完成实施。</w:t>
      </w:r>
      <w:r>
        <w:rPr>
          <w:w w:val="100"/>
        </w:rPr>
        <w:t> </w:t>
      </w:r>
      <w:r>
        <w:rPr>
          <w:rFonts w:ascii="宋体" w:hAnsi="宋体" w:cs="宋体" w:eastAsia="宋体" w:hint="default"/>
        </w:rPr>
        <w:t>3</w:t>
      </w:r>
      <w:r>
        <w:rPr/>
        <w:t>、报告期内，现金分红政策未发生调整等情况。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1398" w:right="82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0"/>
        <w:ind w:left="0" w:right="9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996"/>
        <w:gridCol w:w="1196"/>
        <w:gridCol w:w="1186"/>
        <w:gridCol w:w="1195"/>
        <w:gridCol w:w="1268"/>
        <w:gridCol w:w="1685"/>
        <w:gridCol w:w="1524"/>
      </w:tblGrid>
      <w:tr>
        <w:trPr>
          <w:trHeight w:val="137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83" w:right="27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9" w:right="116"/>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8" w:right="110"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1" w:lineRule="exact"/>
              <w:ind w:left="168"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31" w:firstLine="16"/>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8"/>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ind w:left="127" w:right="122"/>
              <w:jc w:val="center"/>
              <w:rPr>
                <w:rFonts w:ascii="宋体" w:hAnsi="宋体" w:cs="宋体" w:eastAsia="宋体"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60,106,900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119,777,157.54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50.18</w:t>
            </w:r>
          </w:p>
        </w:tc>
      </w:tr>
      <w:tr>
        <w:trPr>
          <w:trHeight w:val="281"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42,933,500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101,908,339.29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42.13</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70,481,586.16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Heading4"/>
        <w:spacing w:line="240" w:lineRule="auto" w:before="36"/>
        <w:ind w:left="1398" w:right="82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0"/>
        <w:ind w:left="1398" w:right="822"/>
        <w:jc w:val="left"/>
      </w:pPr>
      <w:r>
        <w:rPr/>
        <w:t>□适用</w:t>
      </w:r>
      <w:r>
        <w:rPr>
          <w:spacing w:val="-1"/>
        </w:rPr>
        <w:t> </w:t>
      </w:r>
      <w:r>
        <w:rPr/>
        <w:t>√不适用</w:t>
      </w:r>
    </w:p>
    <w:p>
      <w:pPr>
        <w:pStyle w:val="Heading4"/>
        <w:spacing w:line="272" w:lineRule="exact" w:before="86"/>
        <w:ind w:left="1818" w:right="9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4"/>
        <w:ind w:left="1398" w:right="76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1964" w:val="left" w:leader="none"/>
        </w:tabs>
        <w:spacing w:line="272" w:lineRule="exact" w:before="42"/>
        <w:ind w:left="1964" w:right="9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4"/>
        <w:ind w:left="1398" w:right="822"/>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852"/>
        <w:gridCol w:w="710"/>
        <w:gridCol w:w="1277"/>
        <w:gridCol w:w="3687"/>
        <w:gridCol w:w="991"/>
        <w:gridCol w:w="850"/>
        <w:gridCol w:w="710"/>
        <w:gridCol w:w="991"/>
        <w:gridCol w:w="848"/>
      </w:tblGrid>
      <w:tr>
        <w:trPr>
          <w:trHeight w:val="191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314" w:right="101" w:hanging="209"/>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39" w:right="137"/>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14"/>
              <w:jc w:val="right"/>
              <w:rPr>
                <w:rFonts w:ascii="宋体" w:hAnsi="宋体" w:cs="宋体" w:eastAsia="宋体" w:hint="default"/>
                <w:sz w:val="21"/>
                <w:szCs w:val="21"/>
              </w:rPr>
            </w:pPr>
            <w:r>
              <w:rPr>
                <w:rFonts w:ascii="宋体" w:hAnsi="宋体" w:cs="宋体" w:eastAsia="宋体" w:hint="default"/>
                <w:sz w:val="21"/>
                <w:szCs w:val="21"/>
              </w:rPr>
              <w:t>承诺方</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627" w:right="1625"/>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72" w:right="173"/>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01"/>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2"/>
              <w:ind w:left="172" w:right="173"/>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1370"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37" w:lineRule="auto"/>
              <w:ind w:left="103" w:right="104"/>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37" w:lineRule="auto"/>
              <w:ind w:left="103" w:right="108"/>
              <w:jc w:val="left"/>
              <w:rPr>
                <w:rFonts w:ascii="宋体" w:hAnsi="宋体" w:cs="宋体" w:eastAsia="宋体" w:hint="default"/>
                <w:sz w:val="21"/>
                <w:szCs w:val="21"/>
              </w:rPr>
            </w:pPr>
            <w:r>
              <w:rPr>
                <w:rFonts w:ascii="宋体" w:hAnsi="宋体" w:cs="宋体" w:eastAsia="宋体" w:hint="default"/>
                <w:sz w:val="21"/>
                <w:szCs w:val="21"/>
              </w:rPr>
              <w:t>东及实际控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制人严孟</w:t>
            </w:r>
            <w:r>
              <w:rPr>
                <w:rFonts w:ascii="宋体" w:hAnsi="宋体" w:cs="宋体" w:eastAsia="宋体" w:hint="default"/>
                <w:w w:val="100"/>
                <w:sz w:val="21"/>
                <w:szCs w:val="21"/>
              </w:rPr>
              <w:t> </w:t>
            </w:r>
            <w:r>
              <w:rPr>
                <w:rFonts w:ascii="宋体" w:hAnsi="宋体" w:cs="宋体" w:eastAsia="宋体" w:hint="default"/>
                <w:sz w:val="21"/>
                <w:szCs w:val="21"/>
              </w:rPr>
              <w:t>宇、法人股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东爱派克</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自公司股票在上海证券交易所上市交</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8"/>
                <w:w w:val="100"/>
                <w:sz w:val="21"/>
                <w:szCs w:val="21"/>
              </w:rPr>
              <w:t>易之日起三十六个月内，不转让或委托</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他人管理其在顶点软件本次发行前持</w:t>
            </w:r>
            <w:r>
              <w:rPr>
                <w:rFonts w:ascii="宋体" w:hAnsi="宋体" w:cs="宋体" w:eastAsia="宋体" w:hint="default"/>
                <w:w w:val="100"/>
                <w:sz w:val="21"/>
                <w:szCs w:val="21"/>
              </w:rPr>
              <w:t> </w:t>
            </w:r>
            <w:r>
              <w:rPr>
                <w:rFonts w:ascii="宋体" w:hAnsi="宋体" w:cs="宋体" w:eastAsia="宋体" w:hint="default"/>
                <w:spacing w:val="-8"/>
                <w:w w:val="100"/>
                <w:sz w:val="21"/>
                <w:szCs w:val="21"/>
              </w:rPr>
              <w:t>有的顶点软件的股份，也不由顶点软件</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回购该股份。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自上市</w:t>
            </w:r>
          </w:p>
          <w:p>
            <w:pPr>
              <w:pStyle w:val="TableParagraph"/>
              <w:spacing w:line="237" w:lineRule="auto"/>
              <w:ind w:left="100" w:right="197"/>
              <w:jc w:val="both"/>
              <w:rPr>
                <w:rFonts w:ascii="宋体" w:hAnsi="宋体" w:cs="宋体" w:eastAsia="宋体" w:hint="default"/>
                <w:sz w:val="21"/>
                <w:szCs w:val="21"/>
              </w:rPr>
            </w:pPr>
            <w:r>
              <w:rPr>
                <w:rFonts w:ascii="宋体" w:hAnsi="宋体" w:cs="宋体" w:eastAsia="宋体" w:hint="default"/>
                <w:sz w:val="21"/>
                <w:szCs w:val="21"/>
              </w:rPr>
              <w:t>之日起</w:t>
            </w:r>
            <w:r>
              <w:rPr>
                <w:rFonts w:ascii="宋体" w:hAnsi="宋体" w:cs="宋体" w:eastAsia="宋体" w:hint="default"/>
                <w:spacing w:val="-102"/>
                <w:sz w:val="21"/>
                <w:szCs w:val="21"/>
              </w:rPr>
              <w:t> </w:t>
            </w:r>
            <w:r>
              <w:rPr>
                <w:rFonts w:ascii="宋体" w:hAnsi="宋体" w:cs="宋体" w:eastAsia="宋体" w:hint="default"/>
                <w:sz w:val="21"/>
                <w:szCs w:val="21"/>
              </w:rPr>
              <w:t>36</w:t>
            </w:r>
            <w:r>
              <w:rPr>
                <w:rFonts w:ascii="宋体" w:hAnsi="宋体" w:cs="宋体" w:eastAsia="宋体" w:hint="default"/>
                <w:spacing w:val="-51"/>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1373" w:hRule="exact"/>
        </w:trPr>
        <w:tc>
          <w:tcPr>
            <w:tcW w:w="852"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pacing w:val="-1"/>
                <w:sz w:val="21"/>
                <w:szCs w:val="21"/>
              </w:rPr>
              <w:t>金石投资</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自顶点软件股票在上海证券交易所上</w:t>
            </w:r>
          </w:p>
          <w:p>
            <w:pPr>
              <w:pStyle w:val="TableParagraph"/>
              <w:spacing w:line="237" w:lineRule="auto" w:before="2"/>
              <w:ind w:left="103" w:right="0"/>
              <w:jc w:val="left"/>
              <w:rPr>
                <w:rFonts w:ascii="宋体" w:hAnsi="宋体" w:cs="宋体" w:eastAsia="宋体" w:hint="default"/>
                <w:sz w:val="21"/>
                <w:szCs w:val="21"/>
              </w:rPr>
            </w:pPr>
            <w:r>
              <w:rPr>
                <w:rFonts w:ascii="宋体" w:hAnsi="宋体" w:cs="宋体" w:eastAsia="宋体" w:hint="default"/>
                <w:spacing w:val="-8"/>
                <w:w w:val="100"/>
                <w:sz w:val="21"/>
                <w:szCs w:val="21"/>
              </w:rPr>
              <w:t>市交易之日起三十六个月内，不转让或</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者委托他人管理本公司直接持有的顶</w:t>
            </w:r>
            <w:r>
              <w:rPr>
                <w:rFonts w:ascii="宋体" w:hAnsi="宋体" w:cs="宋体" w:eastAsia="宋体" w:hint="default"/>
                <w:w w:val="100"/>
                <w:sz w:val="21"/>
                <w:szCs w:val="21"/>
              </w:rPr>
              <w:t> </w:t>
            </w:r>
            <w:r>
              <w:rPr>
                <w:rFonts w:ascii="宋体" w:hAnsi="宋体" w:cs="宋体" w:eastAsia="宋体" w:hint="default"/>
                <w:spacing w:val="-2"/>
                <w:sz w:val="21"/>
                <w:szCs w:val="21"/>
              </w:rPr>
              <w:t>点软件公开发行股票前已发行的股份，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也不由顶点软件回购本公司直接持有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自上市</w:t>
            </w:r>
          </w:p>
          <w:p>
            <w:pPr>
              <w:pStyle w:val="TableParagraph"/>
              <w:spacing w:line="237" w:lineRule="auto" w:before="2"/>
              <w:ind w:left="100" w:right="197"/>
              <w:jc w:val="both"/>
              <w:rPr>
                <w:rFonts w:ascii="宋体" w:hAnsi="宋体" w:cs="宋体" w:eastAsia="宋体" w:hint="default"/>
                <w:sz w:val="21"/>
                <w:szCs w:val="21"/>
              </w:rPr>
            </w:pPr>
            <w:r>
              <w:rPr>
                <w:rFonts w:ascii="宋体" w:hAnsi="宋体" w:cs="宋体" w:eastAsia="宋体" w:hint="default"/>
                <w:sz w:val="21"/>
                <w:szCs w:val="21"/>
              </w:rPr>
              <w:t>之日起</w:t>
            </w:r>
            <w:r>
              <w:rPr>
                <w:rFonts w:ascii="宋体" w:hAnsi="宋体" w:cs="宋体" w:eastAsia="宋体" w:hint="default"/>
                <w:spacing w:val="-102"/>
                <w:sz w:val="21"/>
                <w:szCs w:val="21"/>
              </w:rPr>
              <w:t> </w:t>
            </w:r>
            <w:r>
              <w:rPr>
                <w:rFonts w:ascii="宋体" w:hAnsi="宋体" w:cs="宋体" w:eastAsia="宋体" w:hint="default"/>
                <w:sz w:val="21"/>
                <w:szCs w:val="21"/>
              </w:rPr>
              <w:t>36</w:t>
            </w:r>
            <w:r>
              <w:rPr>
                <w:rFonts w:ascii="宋体" w:hAnsi="宋体" w:cs="宋体" w:eastAsia="宋体" w:hint="default"/>
                <w:spacing w:val="-51"/>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right"/>
        <w:rPr>
          <w:rFonts w:ascii="宋体" w:hAnsi="宋体" w:cs="宋体" w:eastAsia="宋体" w:hint="default"/>
          <w:sz w:val="21"/>
          <w:szCs w:val="21"/>
        </w:rPr>
        <w:sectPr>
          <w:pgSz w:w="11910" w:h="16840"/>
          <w:pgMar w:header="880" w:footer="1195" w:top="1120" w:bottom="1380" w:left="400" w:right="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852"/>
        <w:gridCol w:w="710"/>
        <w:gridCol w:w="1277"/>
        <w:gridCol w:w="3687"/>
        <w:gridCol w:w="991"/>
        <w:gridCol w:w="850"/>
        <w:gridCol w:w="710"/>
        <w:gridCol w:w="991"/>
        <w:gridCol w:w="848"/>
      </w:tblGrid>
      <w:tr>
        <w:trPr>
          <w:trHeight w:val="557" w:hRule="exact"/>
        </w:trPr>
        <w:tc>
          <w:tcPr>
            <w:tcW w:w="852" w:type="dxa"/>
            <w:vMerge w:val="restart"/>
            <w:tcBorders>
              <w:top w:val="single" w:sz="4" w:space="0" w:color="000000"/>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的顶点软件公开发行股票前已发行的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52"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z w:val="21"/>
                <w:szCs w:val="21"/>
              </w:rPr>
              <w:t>严孟宇、赵</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17"/>
                <w:w w:val="100"/>
                <w:sz w:val="21"/>
                <w:szCs w:val="21"/>
              </w:rPr>
              <w:t>伟、雷世潘、</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欧永、郑元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在其任职期间每年转让的股份不超过</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其持有的公司股份总数的百分之二十</w:t>
            </w:r>
            <w:r>
              <w:rPr>
                <w:rFonts w:ascii="宋体" w:hAnsi="宋体" w:cs="宋体" w:eastAsia="宋体" w:hint="default"/>
                <w:w w:val="100"/>
                <w:sz w:val="21"/>
                <w:szCs w:val="21"/>
              </w:rPr>
              <w:t> </w:t>
            </w:r>
            <w:r>
              <w:rPr>
                <w:rFonts w:ascii="宋体" w:hAnsi="宋体" w:cs="宋体" w:eastAsia="宋体" w:hint="default"/>
                <w:spacing w:val="-8"/>
                <w:sz w:val="21"/>
                <w:szCs w:val="21"/>
              </w:rPr>
              <w:t>五；在离职后半年内，不转让其持有的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公司股份。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189" w:hRule="exact"/>
        </w:trPr>
        <w:tc>
          <w:tcPr>
            <w:tcW w:w="852"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黄义青、赵</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伟、欧永、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雷世潘</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自公司股票上市之日起三十六个月内，</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不转让或者委托他人管理其所持有的</w:t>
            </w:r>
            <w:r>
              <w:rPr>
                <w:rFonts w:ascii="宋体" w:hAnsi="宋体" w:cs="宋体" w:eastAsia="宋体" w:hint="default"/>
                <w:w w:val="100"/>
                <w:sz w:val="21"/>
                <w:szCs w:val="21"/>
              </w:rPr>
              <w:t> </w:t>
            </w:r>
            <w:r>
              <w:rPr>
                <w:rFonts w:ascii="宋体" w:hAnsi="宋体" w:cs="宋体" w:eastAsia="宋体" w:hint="default"/>
                <w:spacing w:val="-8"/>
                <w:sz w:val="21"/>
                <w:szCs w:val="21"/>
              </w:rPr>
              <w:t>爱派克股权；在前述限售期满后，其通</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过爱派克间接持有的公司股份在任职</w:t>
            </w:r>
            <w:r>
              <w:rPr>
                <w:rFonts w:ascii="宋体" w:hAnsi="宋体" w:cs="宋体" w:eastAsia="宋体" w:hint="default"/>
                <w:w w:val="100"/>
                <w:sz w:val="21"/>
                <w:szCs w:val="21"/>
              </w:rPr>
              <w:t> </w:t>
            </w:r>
            <w:r>
              <w:rPr>
                <w:rFonts w:ascii="宋体" w:hAnsi="宋体" w:cs="宋体" w:eastAsia="宋体" w:hint="default"/>
                <w:sz w:val="21"/>
                <w:szCs w:val="21"/>
              </w:rPr>
              <w:t>期间每年转让的比例不超过所持股份</w:t>
            </w:r>
            <w:r>
              <w:rPr>
                <w:rFonts w:ascii="宋体" w:hAnsi="宋体" w:cs="宋体" w:eastAsia="宋体" w:hint="default"/>
                <w:w w:val="100"/>
                <w:sz w:val="21"/>
                <w:szCs w:val="21"/>
              </w:rPr>
              <w:t> </w:t>
            </w:r>
            <w:r>
              <w:rPr>
                <w:rFonts w:ascii="宋体" w:hAnsi="宋体" w:cs="宋体" w:eastAsia="宋体" w:hint="default"/>
                <w:sz w:val="21"/>
                <w:szCs w:val="21"/>
              </w:rPr>
              <w:t>总数的百分之二十五；在离职后半年</w:t>
            </w:r>
            <w:r>
              <w:rPr>
                <w:rFonts w:ascii="宋体" w:hAnsi="宋体" w:cs="宋体" w:eastAsia="宋体" w:hint="default"/>
                <w:w w:val="100"/>
                <w:sz w:val="21"/>
                <w:szCs w:val="21"/>
              </w:rPr>
              <w:t> </w:t>
            </w:r>
            <w:r>
              <w:rPr>
                <w:rFonts w:ascii="宋体" w:hAnsi="宋体" w:cs="宋体" w:eastAsia="宋体" w:hint="default"/>
                <w:spacing w:val="-8"/>
                <w:w w:val="100"/>
                <w:sz w:val="21"/>
                <w:szCs w:val="21"/>
              </w:rPr>
              <w:t>内，不转让通过爱派克间接持有的公司</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股份。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自上市</w:t>
            </w:r>
          </w:p>
          <w:p>
            <w:pPr>
              <w:pStyle w:val="TableParagraph"/>
              <w:spacing w:line="237" w:lineRule="auto"/>
              <w:ind w:left="100" w:right="197"/>
              <w:jc w:val="both"/>
              <w:rPr>
                <w:rFonts w:ascii="宋体" w:hAnsi="宋体" w:cs="宋体" w:eastAsia="宋体" w:hint="default"/>
                <w:sz w:val="21"/>
                <w:szCs w:val="21"/>
              </w:rPr>
            </w:pPr>
            <w:r>
              <w:rPr>
                <w:rFonts w:ascii="宋体" w:hAnsi="宋体" w:cs="宋体" w:eastAsia="宋体" w:hint="default"/>
                <w:sz w:val="21"/>
                <w:szCs w:val="21"/>
              </w:rPr>
              <w:t>之日起</w:t>
            </w:r>
            <w:r>
              <w:rPr>
                <w:rFonts w:ascii="宋体" w:hAnsi="宋体" w:cs="宋体" w:eastAsia="宋体" w:hint="default"/>
                <w:spacing w:val="-102"/>
                <w:sz w:val="21"/>
                <w:szCs w:val="21"/>
              </w:rPr>
              <w:t> </w:t>
            </w:r>
            <w:r>
              <w:rPr>
                <w:rFonts w:ascii="宋体" w:hAnsi="宋体" w:cs="宋体" w:eastAsia="宋体" w:hint="default"/>
                <w:sz w:val="21"/>
                <w:szCs w:val="21"/>
              </w:rPr>
              <w:t>36</w:t>
            </w:r>
            <w:r>
              <w:rPr>
                <w:rFonts w:ascii="宋体" w:hAnsi="宋体" w:cs="宋体" w:eastAsia="宋体" w:hint="default"/>
                <w:spacing w:val="-51"/>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1370" w:hRule="exact"/>
        </w:trPr>
        <w:tc>
          <w:tcPr>
            <w:tcW w:w="852"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林永正</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自公司股票在上海证券交易所上市交</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8"/>
                <w:w w:val="100"/>
                <w:sz w:val="21"/>
                <w:szCs w:val="21"/>
              </w:rPr>
              <w:t>易之日起三十六个月内，不转让或者委</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托他人管理其通过爱派克间接持有的</w:t>
            </w:r>
            <w:r>
              <w:rPr>
                <w:rFonts w:ascii="宋体" w:hAnsi="宋体" w:cs="宋体" w:eastAsia="宋体" w:hint="default"/>
                <w:w w:val="100"/>
                <w:sz w:val="21"/>
                <w:szCs w:val="21"/>
              </w:rPr>
              <w:t> </w:t>
            </w:r>
            <w:r>
              <w:rPr>
                <w:rFonts w:ascii="宋体" w:hAnsi="宋体" w:cs="宋体" w:eastAsia="宋体" w:hint="default"/>
                <w:spacing w:val="-8"/>
                <w:w w:val="100"/>
                <w:sz w:val="21"/>
                <w:szCs w:val="21"/>
              </w:rPr>
              <w:t>公司股份，并且不转让或委托他人管理</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其所持有的爱派克股权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自上市</w:t>
            </w:r>
          </w:p>
          <w:p>
            <w:pPr>
              <w:pStyle w:val="TableParagraph"/>
              <w:spacing w:line="237" w:lineRule="auto"/>
              <w:ind w:left="100" w:right="197"/>
              <w:jc w:val="both"/>
              <w:rPr>
                <w:rFonts w:ascii="宋体" w:hAnsi="宋体" w:cs="宋体" w:eastAsia="宋体" w:hint="default"/>
                <w:sz w:val="21"/>
                <w:szCs w:val="21"/>
              </w:rPr>
            </w:pPr>
            <w:r>
              <w:rPr>
                <w:rFonts w:ascii="宋体" w:hAnsi="宋体" w:cs="宋体" w:eastAsia="宋体" w:hint="default"/>
                <w:sz w:val="21"/>
                <w:szCs w:val="21"/>
              </w:rPr>
              <w:t>之日起</w:t>
            </w:r>
            <w:r>
              <w:rPr>
                <w:rFonts w:ascii="宋体" w:hAnsi="宋体" w:cs="宋体" w:eastAsia="宋体" w:hint="default"/>
                <w:spacing w:val="-102"/>
                <w:sz w:val="21"/>
                <w:szCs w:val="21"/>
              </w:rPr>
              <w:t> </w:t>
            </w:r>
            <w:r>
              <w:rPr>
                <w:rFonts w:ascii="宋体" w:hAnsi="宋体" w:cs="宋体" w:eastAsia="宋体" w:hint="default"/>
                <w:sz w:val="21"/>
                <w:szCs w:val="21"/>
              </w:rPr>
              <w:t>36</w:t>
            </w:r>
            <w:r>
              <w:rPr>
                <w:rFonts w:ascii="宋体" w:hAnsi="宋体" w:cs="宋体" w:eastAsia="宋体" w:hint="default"/>
                <w:spacing w:val="-51"/>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79" w:hRule="exact"/>
        </w:trPr>
        <w:tc>
          <w:tcPr>
            <w:tcW w:w="852"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严孟宇先</w:t>
            </w:r>
          </w:p>
          <w:p>
            <w:pPr>
              <w:pStyle w:val="TableParagraph"/>
              <w:spacing w:line="237" w:lineRule="auto" w:before="2"/>
              <w:ind w:left="103" w:right="108"/>
              <w:jc w:val="both"/>
              <w:rPr>
                <w:rFonts w:ascii="宋体" w:hAnsi="宋体" w:cs="宋体" w:eastAsia="宋体" w:hint="default"/>
                <w:sz w:val="21"/>
                <w:szCs w:val="21"/>
              </w:rPr>
            </w:pPr>
            <w:r>
              <w:rPr>
                <w:rFonts w:ascii="宋体" w:hAnsi="宋体" w:cs="宋体" w:eastAsia="宋体" w:hint="default"/>
                <w:sz w:val="21"/>
                <w:szCs w:val="21"/>
              </w:rPr>
              <w:t>生、法人股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东爱派克及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持有公司股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份的公司董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事、高级管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理人员</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所持股票在锁定期满后两年内减持的，</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其减持价格不低于发行价；公司上市之</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日起</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个月内如公司股票连续</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个交</w:t>
            </w:r>
            <w:r>
              <w:rPr>
                <w:rFonts w:ascii="宋体" w:hAnsi="宋体" w:cs="宋体" w:eastAsia="宋体" w:hint="default"/>
                <w:spacing w:val="-3"/>
                <w:w w:val="100"/>
                <w:sz w:val="21"/>
                <w:szCs w:val="21"/>
              </w:rPr>
              <w:t> </w:t>
            </w:r>
            <w:r>
              <w:rPr>
                <w:rFonts w:ascii="宋体" w:hAnsi="宋体" w:cs="宋体" w:eastAsia="宋体" w:hint="default"/>
                <w:spacing w:val="-8"/>
                <w:w w:val="100"/>
                <w:sz w:val="21"/>
                <w:szCs w:val="21"/>
              </w:rPr>
              <w:t>易日的收盘价均低于发行价，或者上市</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w w:val="100"/>
                <w:sz w:val="21"/>
                <w:szCs w:val="21"/>
              </w:rPr>
              <w:t>后</w:t>
            </w:r>
            <w:r>
              <w:rPr>
                <w:rFonts w:ascii="宋体" w:hAnsi="宋体" w:cs="宋体" w:eastAsia="宋体" w:hint="default"/>
                <w:spacing w:val="-49"/>
                <w:w w:val="100"/>
                <w:sz w:val="21"/>
                <w:szCs w:val="21"/>
              </w:rPr>
              <w:t> </w:t>
            </w:r>
            <w:r>
              <w:rPr>
                <w:rFonts w:ascii="宋体" w:hAnsi="宋体" w:cs="宋体" w:eastAsia="宋体" w:hint="default"/>
                <w:w w:val="100"/>
                <w:sz w:val="21"/>
                <w:szCs w:val="21"/>
              </w:rPr>
              <w:t>6</w:t>
            </w:r>
            <w:r>
              <w:rPr>
                <w:rFonts w:ascii="宋体" w:hAnsi="宋体" w:cs="宋体" w:eastAsia="宋体" w:hint="default"/>
                <w:spacing w:val="-47"/>
                <w:w w:val="100"/>
                <w:sz w:val="21"/>
                <w:szCs w:val="21"/>
              </w:rPr>
              <w:t> </w:t>
            </w:r>
            <w:r>
              <w:rPr>
                <w:rFonts w:ascii="宋体" w:hAnsi="宋体" w:cs="宋体" w:eastAsia="宋体" w:hint="default"/>
                <w:spacing w:val="-9"/>
                <w:w w:val="100"/>
                <w:sz w:val="21"/>
                <w:szCs w:val="21"/>
              </w:rPr>
              <w:t>个月期末收盘价低于发行价，其持</w:t>
            </w:r>
            <w:r>
              <w:rPr>
                <w:rFonts w:ascii="宋体" w:hAnsi="宋体" w:cs="宋体" w:eastAsia="宋体" w:hint="default"/>
                <w:w w:val="100"/>
                <w:sz w:val="21"/>
                <w:szCs w:val="21"/>
              </w:rPr>
              <w:t> </w:t>
            </w:r>
            <w:r>
              <w:rPr>
                <w:rFonts w:ascii="宋体" w:hAnsi="宋体" w:cs="宋体" w:eastAsia="宋体" w:hint="default"/>
                <w:sz w:val="21"/>
                <w:szCs w:val="21"/>
              </w:rPr>
              <w:t>有公司股票的锁定期限在原有锁定期</w:t>
            </w:r>
            <w:r>
              <w:rPr>
                <w:rFonts w:ascii="宋体" w:hAnsi="宋体" w:cs="宋体" w:eastAsia="宋体" w:hint="default"/>
                <w:w w:val="100"/>
                <w:sz w:val="21"/>
                <w:szCs w:val="21"/>
              </w:rPr>
              <w:t> </w:t>
            </w:r>
            <w:r>
              <w:rPr>
                <w:rFonts w:ascii="宋体" w:hAnsi="宋体" w:cs="宋体" w:eastAsia="宋体" w:hint="default"/>
                <w:spacing w:val="-2"/>
                <w:w w:val="100"/>
                <w:sz w:val="21"/>
                <w:szCs w:val="21"/>
              </w:rPr>
              <w:t>限基础上自动延长</w:t>
            </w:r>
            <w:r>
              <w:rPr>
                <w:rFonts w:ascii="宋体" w:hAnsi="宋体" w:cs="宋体" w:eastAsia="宋体" w:hint="default"/>
                <w:spacing w:val="-49"/>
                <w:w w:val="100"/>
                <w:sz w:val="21"/>
                <w:szCs w:val="21"/>
              </w:rPr>
              <w:t> </w:t>
            </w:r>
            <w:r>
              <w:rPr>
                <w:rFonts w:ascii="宋体" w:hAnsi="宋体" w:cs="宋体" w:eastAsia="宋体" w:hint="default"/>
                <w:w w:val="100"/>
                <w:sz w:val="21"/>
                <w:szCs w:val="21"/>
              </w:rPr>
              <w:t>6</w:t>
            </w:r>
            <w:r>
              <w:rPr>
                <w:rFonts w:ascii="宋体" w:hAnsi="宋体" w:cs="宋体" w:eastAsia="宋体" w:hint="default"/>
                <w:spacing w:val="-52"/>
                <w:w w:val="100"/>
                <w:sz w:val="21"/>
                <w:szCs w:val="21"/>
              </w:rPr>
              <w:t> </w:t>
            </w:r>
            <w:r>
              <w:rPr>
                <w:rFonts w:ascii="宋体" w:hAnsi="宋体" w:cs="宋体" w:eastAsia="宋体" w:hint="default"/>
                <w:spacing w:val="-14"/>
                <w:w w:val="100"/>
                <w:sz w:val="21"/>
                <w:szCs w:val="21"/>
              </w:rPr>
              <w:t>个月。自公司股票</w:t>
            </w:r>
            <w:r>
              <w:rPr>
                <w:rFonts w:ascii="宋体" w:hAnsi="宋体" w:cs="宋体" w:eastAsia="宋体" w:hint="default"/>
                <w:w w:val="100"/>
                <w:sz w:val="21"/>
                <w:szCs w:val="21"/>
              </w:rPr>
              <w:t> </w:t>
            </w:r>
            <w:r>
              <w:rPr>
                <w:rFonts w:ascii="宋体" w:hAnsi="宋体" w:cs="宋体" w:eastAsia="宋体" w:hint="default"/>
                <w:spacing w:val="-8"/>
                <w:sz w:val="21"/>
                <w:szCs w:val="21"/>
              </w:rPr>
              <w:t>上市至其减持期间，公司如有派息、送</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8"/>
                <w:sz w:val="21"/>
                <w:szCs w:val="21"/>
              </w:rPr>
              <w:t>股、资本公积金转增股本、配股、增发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8"/>
                <w:w w:val="100"/>
                <w:sz w:val="21"/>
                <w:szCs w:val="21"/>
              </w:rPr>
              <w:t>等除权除息事项，上述减持价格及收盘</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价等将相应进行调整。上述承诺不因其</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职务变更、离职等原因而失效。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锁定期</w:t>
            </w:r>
          </w:p>
          <w:p>
            <w:pPr>
              <w:pStyle w:val="TableParagraph"/>
              <w:spacing w:line="272" w:lineRule="exact" w:before="27"/>
              <w:ind w:left="100" w:right="299"/>
              <w:jc w:val="left"/>
              <w:rPr>
                <w:rFonts w:ascii="宋体" w:hAnsi="宋体" w:cs="宋体" w:eastAsia="宋体" w:hint="default"/>
                <w:sz w:val="21"/>
                <w:szCs w:val="21"/>
              </w:rPr>
            </w:pPr>
            <w:r>
              <w:rPr>
                <w:rFonts w:ascii="宋体" w:hAnsi="宋体" w:cs="宋体" w:eastAsia="宋体" w:hint="default"/>
                <w:sz w:val="21"/>
                <w:szCs w:val="21"/>
              </w:rPr>
              <w:t>满后</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734" w:hRule="exact"/>
        </w:trPr>
        <w:tc>
          <w:tcPr>
            <w:tcW w:w="852"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严孟宇、爱</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17"/>
                <w:w w:val="100"/>
                <w:sz w:val="21"/>
                <w:szCs w:val="21"/>
              </w:rPr>
              <w:t>派克、赵伟、</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雷世潘</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在锁定期满后的</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个月内，其减持数</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z w:val="21"/>
                <w:szCs w:val="21"/>
              </w:rPr>
              <w:t>量不超过上市时所持顶点软件股份数</w:t>
            </w:r>
            <w:r>
              <w:rPr>
                <w:rFonts w:ascii="宋体" w:hAnsi="宋体" w:cs="宋体" w:eastAsia="宋体" w:hint="default"/>
                <w:w w:val="100"/>
                <w:sz w:val="21"/>
                <w:szCs w:val="21"/>
              </w:rPr>
              <w:t> </w:t>
            </w:r>
            <w:r>
              <w:rPr>
                <w:rFonts w:ascii="宋体" w:hAnsi="宋体" w:cs="宋体" w:eastAsia="宋体" w:hint="default"/>
                <w:sz w:val="21"/>
                <w:szCs w:val="21"/>
              </w:rPr>
              <w:t>量的</w:t>
            </w:r>
            <w:r>
              <w:rPr>
                <w:rFonts w:ascii="宋体" w:hAnsi="宋体" w:cs="宋体" w:eastAsia="宋体" w:hint="default"/>
                <w:spacing w:val="-47"/>
                <w:sz w:val="21"/>
                <w:szCs w:val="21"/>
              </w:rPr>
              <w:t> </w:t>
            </w:r>
            <w:r>
              <w:rPr>
                <w:rFonts w:ascii="宋体" w:hAnsi="宋体" w:cs="宋体" w:eastAsia="宋体" w:hint="default"/>
                <w:spacing w:val="-6"/>
                <w:sz w:val="21"/>
                <w:szCs w:val="21"/>
              </w:rPr>
              <w:t>10%</w:t>
            </w:r>
            <w:r>
              <w:rPr>
                <w:rFonts w:ascii="宋体" w:hAnsi="宋体" w:cs="宋体" w:eastAsia="宋体" w:hint="default"/>
                <w:spacing w:val="-6"/>
                <w:sz w:val="21"/>
                <w:szCs w:val="21"/>
              </w:rPr>
              <w:t>；在锁定期满后的</w:t>
            </w:r>
            <w:r>
              <w:rPr>
                <w:rFonts w:ascii="宋体" w:hAnsi="宋体" w:cs="宋体" w:eastAsia="宋体" w:hint="default"/>
                <w:spacing w:val="-48"/>
                <w:sz w:val="21"/>
                <w:szCs w:val="21"/>
              </w:rPr>
              <w:t> </w:t>
            </w: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其减持数量不超过上市时持有顶点软</w:t>
            </w:r>
            <w:r>
              <w:rPr>
                <w:rFonts w:ascii="宋体" w:hAnsi="宋体" w:cs="宋体" w:eastAsia="宋体" w:hint="default"/>
                <w:w w:val="100"/>
                <w:sz w:val="21"/>
                <w:szCs w:val="21"/>
              </w:rPr>
              <w:t> </w:t>
            </w:r>
            <w:r>
              <w:rPr>
                <w:rFonts w:ascii="宋体" w:hAnsi="宋体" w:cs="宋体" w:eastAsia="宋体" w:hint="default"/>
                <w:sz w:val="21"/>
                <w:szCs w:val="21"/>
              </w:rPr>
              <w:t>件股份数量的</w:t>
            </w:r>
            <w:r>
              <w:rPr>
                <w:rFonts w:ascii="宋体" w:hAnsi="宋体" w:cs="宋体" w:eastAsia="宋体" w:hint="default"/>
                <w:spacing w:val="-49"/>
                <w:sz w:val="21"/>
                <w:szCs w:val="21"/>
              </w:rPr>
              <w:t> </w:t>
            </w:r>
            <w:r>
              <w:rPr>
                <w:rFonts w:ascii="宋体" w:hAnsi="宋体" w:cs="宋体" w:eastAsia="宋体" w:hint="default"/>
                <w:spacing w:val="-7"/>
                <w:sz w:val="21"/>
                <w:szCs w:val="21"/>
              </w:rPr>
              <w:t>20%</w:t>
            </w:r>
            <w:r>
              <w:rPr>
                <w:rFonts w:ascii="宋体" w:hAnsi="宋体" w:cs="宋体" w:eastAsia="宋体" w:hint="default"/>
                <w:spacing w:val="-7"/>
                <w:sz w:val="21"/>
                <w:szCs w:val="21"/>
              </w:rPr>
              <w:t>；在锁定期满后</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97"/>
                <w:sz w:val="21"/>
                <w:szCs w:val="21"/>
              </w:rPr>
              <w:t> </w:t>
            </w:r>
            <w:r>
              <w:rPr>
                <w:rFonts w:ascii="宋体" w:hAnsi="宋体" w:cs="宋体" w:eastAsia="宋体" w:hint="default"/>
                <w:spacing w:val="-8"/>
                <w:sz w:val="21"/>
                <w:szCs w:val="21"/>
              </w:rPr>
              <w:t>内减持的，其减持价格（如果因顶点软</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8"/>
                <w:sz w:val="21"/>
                <w:szCs w:val="21"/>
              </w:rPr>
              <w:t>件派发现金红利、送股、转增股本、增</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8"/>
                <w:sz w:val="21"/>
                <w:szCs w:val="21"/>
              </w:rPr>
              <w:t>发新股等原因进行除权、除息的，按照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8"/>
                <w:w w:val="100"/>
                <w:sz w:val="21"/>
                <w:szCs w:val="21"/>
              </w:rPr>
              <w:t>证券监管部门、上海证券交易所相关规</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则做相应调整）不低于发行价格。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锁定期</w:t>
            </w:r>
          </w:p>
          <w:p>
            <w:pPr>
              <w:pStyle w:val="TableParagraph"/>
              <w:spacing w:line="272" w:lineRule="exact" w:before="27"/>
              <w:ind w:left="100" w:right="299"/>
              <w:jc w:val="left"/>
              <w:rPr>
                <w:rFonts w:ascii="宋体" w:hAnsi="宋体" w:cs="宋体" w:eastAsia="宋体" w:hint="default"/>
                <w:sz w:val="21"/>
                <w:szCs w:val="21"/>
              </w:rPr>
            </w:pPr>
            <w:r>
              <w:rPr>
                <w:rFonts w:ascii="宋体" w:hAnsi="宋体" w:cs="宋体" w:eastAsia="宋体" w:hint="default"/>
                <w:sz w:val="21"/>
                <w:szCs w:val="21"/>
              </w:rPr>
              <w:t>满后</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1644" w:hRule="exact"/>
        </w:trPr>
        <w:tc>
          <w:tcPr>
            <w:tcW w:w="852"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采</w:t>
            </w:r>
            <w:r>
              <w:rPr>
                <w:rFonts w:ascii="宋体" w:hAnsi="宋体" w:cs="宋体" w:eastAsia="宋体" w:hint="default"/>
                <w:w w:val="100"/>
                <w:sz w:val="21"/>
                <w:szCs w:val="21"/>
              </w:rPr>
              <w:t>取</w:t>
            </w:r>
            <w:r>
              <w:rPr>
                <w:rFonts w:ascii="宋体" w:hAnsi="宋体" w:cs="宋体" w:eastAsia="宋体" w:hint="default"/>
                <w:spacing w:val="-3"/>
                <w:w w:val="100"/>
                <w:sz w:val="21"/>
                <w:szCs w:val="21"/>
              </w:rPr>
              <w:t>现金</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或</w:t>
            </w:r>
            <w:r>
              <w:rPr>
                <w:rFonts w:ascii="宋体" w:hAnsi="宋体" w:cs="宋体" w:eastAsia="宋体" w:hint="default"/>
                <w:w w:val="100"/>
                <w:sz w:val="21"/>
                <w:szCs w:val="21"/>
              </w:rPr>
              <w:t>二</w:t>
            </w:r>
            <w:r>
              <w:rPr>
                <w:rFonts w:ascii="宋体" w:hAnsi="宋体" w:cs="宋体" w:eastAsia="宋体" w:hint="default"/>
                <w:spacing w:val="-3"/>
                <w:w w:val="100"/>
                <w:sz w:val="21"/>
                <w:szCs w:val="21"/>
              </w:rPr>
              <w:t>者</w:t>
            </w:r>
            <w:r>
              <w:rPr>
                <w:rFonts w:ascii="宋体" w:hAnsi="宋体" w:cs="宋体" w:eastAsia="宋体" w:hint="default"/>
                <w:w w:val="100"/>
                <w:sz w:val="21"/>
                <w:szCs w:val="21"/>
              </w:rPr>
              <w:t>相结</w:t>
            </w:r>
            <w:r>
              <w:rPr>
                <w:rFonts w:ascii="宋体" w:hAnsi="宋体" w:cs="宋体" w:eastAsia="宋体" w:hint="default"/>
                <w:spacing w:val="-3"/>
                <w:w w:val="100"/>
                <w:sz w:val="21"/>
                <w:szCs w:val="21"/>
              </w:rPr>
              <w:t>合</w:t>
            </w:r>
            <w:r>
              <w:rPr>
                <w:rFonts w:ascii="宋体" w:hAnsi="宋体" w:cs="宋体" w:eastAsia="宋体" w:hint="default"/>
                <w:w w:val="100"/>
                <w:sz w:val="21"/>
                <w:szCs w:val="21"/>
              </w:rPr>
              <w:t>的方</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8"/>
                <w:w w:val="100"/>
                <w:sz w:val="21"/>
                <w:szCs w:val="21"/>
              </w:rPr>
              <w:t>式分配股利，并优先以现金方式分配利</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润。公司主要采取现金分红的利润分配</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sz w:val="21"/>
                <w:szCs w:val="21"/>
              </w:rPr>
              <w:t>政策，即公司当年度实现盈利，在依法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w w:val="100"/>
                <w:sz w:val="21"/>
                <w:szCs w:val="21"/>
              </w:rPr>
              <w:t>弥补亏损、提取法定公积金后有可分配</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利润的，则公司应当进行现金分红。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828" w:hRule="exact"/>
        </w:trPr>
        <w:tc>
          <w:tcPr>
            <w:tcW w:w="852"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7"/>
              <w:ind w:left="103" w:right="173"/>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东、实际控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制人严孟宇</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本人承诺：目前没有从事、将来也不会</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从事任何直接或间接与发行人及其子</w:t>
            </w:r>
            <w:r>
              <w:rPr>
                <w:rFonts w:ascii="宋体" w:hAnsi="宋体" w:cs="宋体" w:eastAsia="宋体" w:hint="default"/>
                <w:w w:val="100"/>
                <w:sz w:val="21"/>
                <w:szCs w:val="21"/>
              </w:rPr>
              <w:t> </w:t>
            </w:r>
            <w:r>
              <w:rPr>
                <w:rFonts w:ascii="宋体" w:hAnsi="宋体" w:cs="宋体" w:eastAsia="宋体" w:hint="default"/>
                <w:spacing w:val="-8"/>
                <w:w w:val="100"/>
                <w:sz w:val="21"/>
                <w:szCs w:val="21"/>
              </w:rPr>
              <w:t>公司的业务构成竞争的业务，亦不会以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right"/>
        <w:rPr>
          <w:rFonts w:ascii="宋体" w:hAnsi="宋体" w:cs="宋体" w:eastAsia="宋体" w:hint="default"/>
          <w:sz w:val="21"/>
          <w:szCs w:val="21"/>
        </w:rPr>
        <w:sectPr>
          <w:pgSz w:w="11910" w:h="16840"/>
          <w:pgMar w:header="880" w:footer="1195" w:top="1120" w:bottom="1380" w:left="400" w:right="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852"/>
        <w:gridCol w:w="710"/>
        <w:gridCol w:w="1277"/>
        <w:gridCol w:w="3687"/>
        <w:gridCol w:w="991"/>
        <w:gridCol w:w="850"/>
        <w:gridCol w:w="710"/>
        <w:gridCol w:w="991"/>
        <w:gridCol w:w="848"/>
      </w:tblGrid>
      <w:tr>
        <w:trPr>
          <w:trHeight w:val="2189" w:hRule="exact"/>
        </w:trPr>
        <w:tc>
          <w:tcPr>
            <w:tcW w:w="852" w:type="dxa"/>
            <w:vMerge w:val="restart"/>
            <w:tcBorders>
              <w:top w:val="single" w:sz="4" w:space="0" w:color="000000"/>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任何其他形式从事与发行人及其子公</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8"/>
                <w:w w:val="100"/>
                <w:sz w:val="21"/>
                <w:szCs w:val="21"/>
              </w:rPr>
              <w:t>司有竞争或构成竞争的业务；若将来出</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现其控股、参股企业所从事的业务与发</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行人及其子公司有竞争或构成竞争的</w:t>
            </w:r>
            <w:r>
              <w:rPr>
                <w:rFonts w:ascii="宋体" w:hAnsi="宋体" w:cs="宋体" w:eastAsia="宋体" w:hint="default"/>
                <w:w w:val="100"/>
                <w:sz w:val="21"/>
                <w:szCs w:val="21"/>
              </w:rPr>
              <w:t> </w:t>
            </w:r>
            <w:r>
              <w:rPr>
                <w:rFonts w:ascii="宋体" w:hAnsi="宋体" w:cs="宋体" w:eastAsia="宋体" w:hint="default"/>
                <w:spacing w:val="-8"/>
                <w:w w:val="100"/>
                <w:sz w:val="21"/>
                <w:szCs w:val="21"/>
              </w:rPr>
              <w:t>情况，将在发行人提出要求时出让其在</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该等企业中的全部出资或股权，在同等</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条件下给予发行人及其子公司对该等</w:t>
            </w:r>
            <w:r>
              <w:rPr>
                <w:rFonts w:ascii="宋体" w:hAnsi="宋体" w:cs="宋体" w:eastAsia="宋体" w:hint="default"/>
                <w:w w:val="100"/>
                <w:sz w:val="21"/>
                <w:szCs w:val="21"/>
              </w:rPr>
              <w:t> </w:t>
            </w:r>
            <w:r>
              <w:rPr>
                <w:rFonts w:ascii="宋体" w:hAnsi="宋体" w:cs="宋体" w:eastAsia="宋体" w:hint="default"/>
                <w:sz w:val="21"/>
                <w:szCs w:val="21"/>
              </w:rPr>
              <w:t>出资或股权的优先购买权。</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6277" w:hRule="exact"/>
        </w:trPr>
        <w:tc>
          <w:tcPr>
            <w:tcW w:w="852"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40" w:lineRule="auto"/>
              <w:ind w:left="103" w:right="173"/>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东、实际控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制人严孟宇</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本人将根据公平、公正、等价、有偿的</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市场原则，按照一般的商业条款，减少</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本人及</w:t>
            </w:r>
            <w:r>
              <w:rPr>
                <w:rFonts w:ascii="宋体" w:hAnsi="宋体" w:cs="宋体" w:eastAsia="宋体" w:hint="default"/>
                <w:spacing w:val="-2"/>
                <w:sz w:val="21"/>
                <w:szCs w:val="21"/>
              </w:rPr>
              <w:t>/</w:t>
            </w:r>
            <w:r>
              <w:rPr>
                <w:rFonts w:ascii="宋体" w:hAnsi="宋体" w:cs="宋体" w:eastAsia="宋体" w:hint="default"/>
                <w:spacing w:val="-2"/>
                <w:sz w:val="21"/>
                <w:szCs w:val="21"/>
              </w:rPr>
              <w:t>或本人控制的其他企业与发行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w w:val="100"/>
                <w:sz w:val="21"/>
                <w:szCs w:val="21"/>
              </w:rPr>
              <w:t>人的交易，严格遵守与尊重发行人的关</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联交易决策程序，与发行人以公允价格</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进行公平交易，不谋求本人及</w:t>
            </w:r>
            <w:r>
              <w:rPr>
                <w:rFonts w:ascii="宋体" w:hAnsi="宋体" w:cs="宋体" w:eastAsia="宋体" w:hint="default"/>
                <w:spacing w:val="-2"/>
                <w:sz w:val="21"/>
                <w:szCs w:val="21"/>
              </w:rPr>
              <w:t>/</w:t>
            </w:r>
            <w:r>
              <w:rPr>
                <w:rFonts w:ascii="宋体" w:hAnsi="宋体" w:cs="宋体" w:eastAsia="宋体" w:hint="default"/>
                <w:spacing w:val="-2"/>
                <w:sz w:val="21"/>
                <w:szCs w:val="21"/>
              </w:rPr>
              <w:t>或本人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8"/>
                <w:w w:val="100"/>
                <w:sz w:val="21"/>
                <w:szCs w:val="21"/>
              </w:rPr>
              <w:t>控制的其他企业的非法利益。如存在利</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用控股地位在关联交易中损害发行人</w:t>
            </w:r>
            <w:r>
              <w:rPr>
                <w:rFonts w:ascii="宋体" w:hAnsi="宋体" w:cs="宋体" w:eastAsia="宋体" w:hint="default"/>
                <w:w w:val="100"/>
                <w:sz w:val="21"/>
                <w:szCs w:val="21"/>
              </w:rPr>
              <w:t> </w:t>
            </w:r>
            <w:r>
              <w:rPr>
                <w:rFonts w:ascii="宋体" w:hAnsi="宋体" w:cs="宋体" w:eastAsia="宋体" w:hint="default"/>
                <w:sz w:val="21"/>
                <w:szCs w:val="21"/>
              </w:rPr>
              <w:t>及小股东的权益或通过关联交易操纵</w:t>
            </w:r>
            <w:r>
              <w:rPr>
                <w:rFonts w:ascii="宋体" w:hAnsi="宋体" w:cs="宋体" w:eastAsia="宋体" w:hint="default"/>
                <w:w w:val="100"/>
                <w:sz w:val="21"/>
                <w:szCs w:val="21"/>
              </w:rPr>
              <w:t> </w:t>
            </w:r>
            <w:r>
              <w:rPr>
                <w:rFonts w:ascii="宋体" w:hAnsi="宋体" w:cs="宋体" w:eastAsia="宋体" w:hint="default"/>
                <w:spacing w:val="-8"/>
                <w:w w:val="100"/>
                <w:sz w:val="21"/>
                <w:szCs w:val="21"/>
              </w:rPr>
              <w:t>发行人利润的情形，本人将承担相应的</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法律责任。在本人及本人控制的公司</w:t>
            </w:r>
          </w:p>
          <w:p>
            <w:pPr>
              <w:pStyle w:val="TableParagraph"/>
              <w:spacing w:line="237" w:lineRule="auto" w:before="1"/>
              <w:ind w:left="103" w:right="0"/>
              <w:jc w:val="left"/>
              <w:rPr>
                <w:rFonts w:ascii="宋体" w:hAnsi="宋体" w:cs="宋体" w:eastAsia="宋体" w:hint="default"/>
                <w:sz w:val="21"/>
                <w:szCs w:val="21"/>
              </w:rPr>
            </w:pPr>
            <w:r>
              <w:rPr>
                <w:rFonts w:ascii="宋体" w:hAnsi="宋体" w:cs="宋体" w:eastAsia="宋体" w:hint="default"/>
                <w:spacing w:val="-2"/>
                <w:sz w:val="21"/>
                <w:szCs w:val="21"/>
              </w:rPr>
              <w:t>（如有）与发行人存在关联关系期间，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w w:val="100"/>
                <w:sz w:val="21"/>
                <w:szCs w:val="21"/>
              </w:rPr>
              <w:t>如本人违反上述承诺，本人将在公司股</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东大会及中国证监会指定报刊上公开</w:t>
            </w:r>
            <w:r>
              <w:rPr>
                <w:rFonts w:ascii="宋体" w:hAnsi="宋体" w:cs="宋体" w:eastAsia="宋体" w:hint="default"/>
                <w:w w:val="100"/>
                <w:sz w:val="21"/>
                <w:szCs w:val="21"/>
              </w:rPr>
              <w:t> </w:t>
            </w:r>
            <w:r>
              <w:rPr>
                <w:rFonts w:ascii="宋体" w:hAnsi="宋体" w:cs="宋体" w:eastAsia="宋体" w:hint="default"/>
                <w:sz w:val="21"/>
                <w:szCs w:val="21"/>
              </w:rPr>
              <w:t>说明未履行上述承诺的原因并向公司</w:t>
            </w:r>
            <w:r>
              <w:rPr>
                <w:rFonts w:ascii="宋体" w:hAnsi="宋体" w:cs="宋体" w:eastAsia="宋体" w:hint="default"/>
                <w:w w:val="100"/>
                <w:sz w:val="21"/>
                <w:szCs w:val="21"/>
              </w:rPr>
              <w:t> </w:t>
            </w:r>
            <w:r>
              <w:rPr>
                <w:rFonts w:ascii="宋体" w:hAnsi="宋体" w:cs="宋体" w:eastAsia="宋体" w:hint="default"/>
                <w:spacing w:val="-8"/>
                <w:w w:val="100"/>
                <w:sz w:val="21"/>
                <w:szCs w:val="21"/>
              </w:rPr>
              <w:t>股东和社会公众投资者道歉，并以违反</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上述承诺发生之日起当年度及以后年</w:t>
            </w:r>
            <w:r>
              <w:rPr>
                <w:rFonts w:ascii="宋体" w:hAnsi="宋体" w:cs="宋体" w:eastAsia="宋体" w:hint="default"/>
                <w:w w:val="100"/>
                <w:sz w:val="21"/>
                <w:szCs w:val="21"/>
              </w:rPr>
              <w:t> </w:t>
            </w:r>
            <w:r>
              <w:rPr>
                <w:rFonts w:ascii="宋体" w:hAnsi="宋体" w:cs="宋体" w:eastAsia="宋体" w:hint="default"/>
                <w:sz w:val="21"/>
                <w:szCs w:val="21"/>
              </w:rPr>
              <w:t>度公司利润分配方案中本人享有的现</w:t>
            </w:r>
            <w:r>
              <w:rPr>
                <w:rFonts w:ascii="宋体" w:hAnsi="宋体" w:cs="宋体" w:eastAsia="宋体" w:hint="default"/>
                <w:w w:val="100"/>
                <w:sz w:val="21"/>
                <w:szCs w:val="21"/>
              </w:rPr>
              <w:t> </w:t>
            </w:r>
            <w:r>
              <w:rPr>
                <w:rFonts w:ascii="宋体" w:hAnsi="宋体" w:cs="宋体" w:eastAsia="宋体" w:hint="default"/>
                <w:sz w:val="21"/>
                <w:szCs w:val="21"/>
              </w:rPr>
              <w:t>金分红暂不分配直至本人履行完本承</w:t>
            </w:r>
            <w:r>
              <w:rPr>
                <w:rFonts w:ascii="宋体" w:hAnsi="宋体" w:cs="宋体" w:eastAsia="宋体" w:hint="default"/>
                <w:w w:val="100"/>
                <w:sz w:val="21"/>
                <w:szCs w:val="21"/>
              </w:rPr>
              <w:t> </w:t>
            </w:r>
            <w:r>
              <w:rPr>
                <w:rFonts w:ascii="宋体" w:hAnsi="宋体" w:cs="宋体" w:eastAsia="宋体" w:hint="default"/>
                <w:spacing w:val="-8"/>
                <w:w w:val="100"/>
                <w:sz w:val="21"/>
                <w:szCs w:val="21"/>
              </w:rPr>
              <w:t>诺为止，同时本人持有的公司股份将不</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sz w:val="21"/>
                <w:szCs w:val="21"/>
              </w:rPr>
              <w:t>得转让；如本人未履行承诺，本人愿依</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8"/>
                <w:w w:val="100"/>
                <w:sz w:val="21"/>
                <w:szCs w:val="21"/>
              </w:rPr>
              <w:t>法赔偿投资者的相应损失，并承担相应</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的法律责任。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550" w:hRule="exact"/>
        </w:trPr>
        <w:tc>
          <w:tcPr>
            <w:tcW w:w="852"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东、实际控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制人严孟宇</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）本人及本人实际控制的企业（除</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顶点软件及其子公司外），今后不会以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8"/>
                <w:w w:val="100"/>
                <w:sz w:val="21"/>
                <w:szCs w:val="21"/>
              </w:rPr>
              <w:t>任何理由、任何形式占用顶点软件及其</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子公司资金。（</w:t>
            </w:r>
            <w:r>
              <w:rPr>
                <w:rFonts w:ascii="宋体" w:hAnsi="宋体" w:cs="宋体" w:eastAsia="宋体" w:hint="default"/>
                <w:spacing w:val="-2"/>
                <w:sz w:val="21"/>
                <w:szCs w:val="21"/>
              </w:rPr>
              <w:t>2</w:t>
            </w:r>
            <w:r>
              <w:rPr>
                <w:rFonts w:ascii="宋体" w:hAnsi="宋体" w:cs="宋体" w:eastAsia="宋体" w:hint="default"/>
                <w:spacing w:val="-2"/>
                <w:sz w:val="21"/>
                <w:szCs w:val="21"/>
              </w:rPr>
              <w:t>）本人严格遵守《公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w w:val="100"/>
                <w:sz w:val="21"/>
                <w:szCs w:val="21"/>
              </w:rPr>
              <w:t>司法》及中国证监会关于上市公司法人</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治理的有关规定，维护顶点软件的独立</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性，绝不损害顶点软件及其他中小股东</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利益。（</w:t>
            </w:r>
            <w:r>
              <w:rPr>
                <w:rFonts w:ascii="宋体" w:hAnsi="宋体" w:cs="宋体" w:eastAsia="宋体" w:hint="default"/>
                <w:spacing w:val="-2"/>
                <w:sz w:val="21"/>
                <w:szCs w:val="21"/>
              </w:rPr>
              <w:t>3</w:t>
            </w:r>
            <w:r>
              <w:rPr>
                <w:rFonts w:ascii="宋体" w:hAnsi="宋体" w:cs="宋体" w:eastAsia="宋体" w:hint="default"/>
                <w:spacing w:val="-2"/>
                <w:sz w:val="21"/>
                <w:szCs w:val="21"/>
              </w:rPr>
              <w:t>）本承诺具有法律效力，如</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8"/>
                <w:w w:val="100"/>
                <w:sz w:val="21"/>
                <w:szCs w:val="21"/>
              </w:rPr>
              <w:t>有违反，本人除按照有关法律规定承担</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相应的法律责任外，还将按照发生资金</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占用当年顶点软件的净资产收益率和</w:t>
            </w:r>
            <w:r>
              <w:rPr>
                <w:rFonts w:ascii="宋体" w:hAnsi="宋体" w:cs="宋体" w:eastAsia="宋体" w:hint="default"/>
                <w:w w:val="100"/>
                <w:sz w:val="21"/>
                <w:szCs w:val="21"/>
              </w:rPr>
              <w:t> </w:t>
            </w:r>
            <w:r>
              <w:rPr>
                <w:rFonts w:ascii="宋体" w:hAnsi="宋体" w:cs="宋体" w:eastAsia="宋体" w:hint="default"/>
                <w:spacing w:val="-8"/>
                <w:w w:val="100"/>
                <w:sz w:val="21"/>
                <w:szCs w:val="21"/>
              </w:rPr>
              <w:t>同期银行贷款利率孰高原则，向顶点软</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件承担民事赔偿责任。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1644" w:hRule="exact"/>
        </w:trPr>
        <w:tc>
          <w:tcPr>
            <w:tcW w:w="852"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严孟宇、爱</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17"/>
                <w:w w:val="100"/>
                <w:sz w:val="21"/>
                <w:szCs w:val="21"/>
              </w:rPr>
              <w:t>派克、赵伟、</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雷世潘、戴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小戈、欧永、</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林秀红、郑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元通、赵莹、</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8"/>
                <w:sz w:val="21"/>
                <w:szCs w:val="21"/>
              </w:rPr>
              <w:t>由于严孟宇、董南勇、赵伟、赵莹、雷</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13"/>
                <w:sz w:val="21"/>
                <w:szCs w:val="21"/>
              </w:rPr>
              <w:t>世潘、张玉、刘法先、林秀红、徐传秋、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陈建国、陈建十一人</w:t>
            </w:r>
            <w:r>
              <w:rPr>
                <w:rFonts w:ascii="宋体" w:hAnsi="宋体" w:cs="宋体" w:eastAsia="宋体" w:hint="default"/>
                <w:spacing w:val="-52"/>
                <w:sz w:val="21"/>
                <w:szCs w:val="21"/>
              </w:rPr>
              <w:t> </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月的不</w:t>
            </w:r>
            <w:r>
              <w:rPr>
                <w:rFonts w:ascii="宋体" w:hAnsi="宋体" w:cs="宋体" w:eastAsia="宋体" w:hint="default"/>
                <w:w w:val="100"/>
                <w:sz w:val="21"/>
                <w:szCs w:val="21"/>
              </w:rPr>
              <w:t> </w:t>
            </w:r>
            <w:r>
              <w:rPr>
                <w:rFonts w:ascii="宋体" w:hAnsi="宋体" w:cs="宋体" w:eastAsia="宋体" w:hint="default"/>
                <w:spacing w:val="-8"/>
                <w:sz w:val="21"/>
                <w:szCs w:val="21"/>
              </w:rPr>
              <w:t>规范增资行为而导致本人（公司）的任</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8"/>
                <w:w w:val="100"/>
                <w:sz w:val="21"/>
                <w:szCs w:val="21"/>
              </w:rPr>
              <w:t>何经济利益的流出或损失，包括但不限</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于本人（公司）所承担的补足出资款，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right"/>
        <w:rPr>
          <w:rFonts w:ascii="宋体" w:hAnsi="宋体" w:cs="宋体" w:eastAsia="宋体" w:hint="default"/>
          <w:sz w:val="21"/>
          <w:szCs w:val="21"/>
        </w:rPr>
        <w:sectPr>
          <w:pgSz w:w="11910" w:h="16840"/>
          <w:pgMar w:header="880" w:footer="1195" w:top="1120" w:bottom="1380" w:left="400" w:right="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852"/>
        <w:gridCol w:w="710"/>
        <w:gridCol w:w="1277"/>
        <w:gridCol w:w="3687"/>
        <w:gridCol w:w="991"/>
        <w:gridCol w:w="850"/>
        <w:gridCol w:w="710"/>
        <w:gridCol w:w="991"/>
        <w:gridCol w:w="848"/>
      </w:tblGrid>
      <w:tr>
        <w:trPr>
          <w:trHeight w:val="2463" w:hRule="exact"/>
        </w:trPr>
        <w:tc>
          <w:tcPr>
            <w:tcW w:w="852" w:type="dxa"/>
            <w:vMerge w:val="restart"/>
            <w:tcBorders>
              <w:top w:val="single" w:sz="4" w:space="0" w:color="000000"/>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sz w:val="21"/>
                <w:szCs w:val="21"/>
              </w:rPr>
              <w:t>余养成、董</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17"/>
                <w:w w:val="100"/>
                <w:sz w:val="21"/>
                <w:szCs w:val="21"/>
              </w:rPr>
              <w:t>南勇、张玉、</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刘法先、徐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传秋、邓志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强、王敏航、</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张雄金、鄢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继华、谢淑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仁、陈瑞德、</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陈建国</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本人（公司）将放弃向上述十一人追偿</w:t>
            </w:r>
          </w:p>
          <w:p>
            <w:pPr>
              <w:pStyle w:val="TableParagraph"/>
              <w:spacing w:line="237" w:lineRule="auto"/>
              <w:ind w:left="103" w:right="156"/>
              <w:jc w:val="left"/>
              <w:rPr>
                <w:rFonts w:ascii="宋体" w:hAnsi="宋体" w:cs="宋体" w:eastAsia="宋体" w:hint="default"/>
                <w:sz w:val="21"/>
                <w:szCs w:val="21"/>
              </w:rPr>
            </w:pPr>
            <w:r>
              <w:rPr>
                <w:rFonts w:ascii="宋体" w:hAnsi="宋体" w:cs="宋体" w:eastAsia="宋体" w:hint="default"/>
                <w:sz w:val="21"/>
                <w:szCs w:val="21"/>
              </w:rPr>
              <w:t>的权利，并不再追究由上述十一人</w:t>
            </w:r>
            <w:r>
              <w:rPr>
                <w:rFonts w:ascii="宋体" w:hAnsi="宋体" w:cs="宋体" w:eastAsia="宋体" w:hint="default"/>
                <w:w w:val="100"/>
                <w:sz w:val="21"/>
                <w:szCs w:val="21"/>
              </w:rPr>
              <w:t> </w:t>
            </w: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月不规范增资所可能导致的</w:t>
            </w:r>
            <w:r>
              <w:rPr>
                <w:rFonts w:ascii="宋体" w:hAnsi="宋体" w:cs="宋体" w:eastAsia="宋体" w:hint="default"/>
                <w:w w:val="100"/>
                <w:sz w:val="21"/>
                <w:szCs w:val="21"/>
              </w:rPr>
              <w:t> </w:t>
            </w:r>
            <w:r>
              <w:rPr>
                <w:rFonts w:ascii="宋体" w:hAnsi="宋体" w:cs="宋体" w:eastAsia="宋体" w:hint="default"/>
                <w:sz w:val="21"/>
                <w:szCs w:val="21"/>
              </w:rPr>
              <w:t>任何其他民事责任。</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52"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严孟宇、董</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17"/>
                <w:w w:val="100"/>
                <w:sz w:val="21"/>
                <w:szCs w:val="21"/>
              </w:rPr>
              <w:t>南勇、赵伟、</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赵莹、雷世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潘、张玉、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刘法先、林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秀红、徐传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秋和陈建国</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如因</w:t>
            </w:r>
            <w:r>
              <w:rPr>
                <w:rFonts w:ascii="宋体" w:hAnsi="宋体" w:cs="宋体" w:eastAsia="宋体" w:hint="default"/>
                <w:spacing w:val="-52"/>
                <w:sz w:val="21"/>
                <w:szCs w:val="21"/>
              </w:rPr>
              <w:t> </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月的增资事宜给福建顶</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z w:val="21"/>
                <w:szCs w:val="21"/>
              </w:rPr>
              <w:t>点软件股份有限公司造成任何经济利</w:t>
            </w:r>
            <w:r>
              <w:rPr>
                <w:rFonts w:ascii="宋体" w:hAnsi="宋体" w:cs="宋体" w:eastAsia="宋体" w:hint="default"/>
                <w:w w:val="100"/>
                <w:sz w:val="21"/>
                <w:szCs w:val="21"/>
              </w:rPr>
              <w:t> </w:t>
            </w:r>
            <w:r>
              <w:rPr>
                <w:rFonts w:ascii="宋体" w:hAnsi="宋体" w:cs="宋体" w:eastAsia="宋体" w:hint="default"/>
                <w:sz w:val="21"/>
                <w:szCs w:val="21"/>
              </w:rPr>
              <w:t>益损失，包括但不限于由此产生的罚</w:t>
            </w:r>
            <w:r>
              <w:rPr>
                <w:rFonts w:ascii="宋体" w:hAnsi="宋体" w:cs="宋体" w:eastAsia="宋体" w:hint="default"/>
                <w:w w:val="100"/>
                <w:sz w:val="21"/>
                <w:szCs w:val="21"/>
              </w:rPr>
              <w:t> </w:t>
            </w:r>
            <w:r>
              <w:rPr>
                <w:rFonts w:ascii="宋体" w:hAnsi="宋体" w:cs="宋体" w:eastAsia="宋体" w:hint="default"/>
                <w:spacing w:val="-8"/>
                <w:sz w:val="21"/>
                <w:szCs w:val="21"/>
              </w:rPr>
              <w:t>金、赔偿等，将由我等十名自然人全额</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8"/>
                <w:w w:val="100"/>
                <w:sz w:val="21"/>
                <w:szCs w:val="21"/>
              </w:rPr>
              <w:t>承担，各自承担的金额按增资时的持股</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比例计算，陈建应承担的部分由严孟宇</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sz w:val="21"/>
                <w:szCs w:val="21"/>
              </w:rPr>
              <w:t>先生承担，同时，承诺人彼此之间承担</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连带责任。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826" w:hRule="exact"/>
        </w:trPr>
        <w:tc>
          <w:tcPr>
            <w:tcW w:w="852"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金石投资</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对</w:t>
            </w:r>
            <w:r>
              <w:rPr>
                <w:rFonts w:ascii="宋体" w:hAnsi="宋体" w:cs="宋体" w:eastAsia="宋体" w:hint="default"/>
                <w:spacing w:val="-3"/>
                <w:w w:val="100"/>
                <w:sz w:val="21"/>
                <w:szCs w:val="21"/>
              </w:rPr>
              <w:t>顶</w:t>
            </w:r>
            <w:r>
              <w:rPr>
                <w:rFonts w:ascii="宋体" w:hAnsi="宋体" w:cs="宋体" w:eastAsia="宋体" w:hint="default"/>
                <w:w w:val="100"/>
                <w:sz w:val="21"/>
                <w:szCs w:val="21"/>
              </w:rPr>
              <w:t>点</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系</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性投</w:t>
            </w:r>
            <w:r>
              <w:rPr>
                <w:rFonts w:ascii="宋体" w:hAnsi="宋体" w:cs="宋体" w:eastAsia="宋体" w:hint="default"/>
                <w:spacing w:val="-3"/>
                <w:w w:val="100"/>
                <w:sz w:val="21"/>
                <w:szCs w:val="21"/>
              </w:rPr>
              <w:t>资</w:t>
            </w:r>
            <w:r>
              <w:rPr>
                <w:rFonts w:ascii="宋体" w:hAnsi="宋体" w:cs="宋体" w:eastAsia="宋体" w:hint="default"/>
                <w:spacing w:val="-104"/>
                <w:w w:val="100"/>
                <w:sz w:val="21"/>
                <w:szCs w:val="21"/>
              </w:rPr>
              <w:t>，</w:t>
            </w:r>
            <w:r>
              <w:rPr>
                <w:rFonts w:ascii="宋体" w:hAnsi="宋体" w:cs="宋体" w:eastAsia="宋体" w:hint="default"/>
                <w:w w:val="100"/>
                <w:sz w:val="21"/>
                <w:szCs w:val="21"/>
              </w:rPr>
              <w:t>本公</w:t>
            </w:r>
          </w:p>
          <w:p>
            <w:pPr>
              <w:pStyle w:val="TableParagraph"/>
              <w:spacing w:line="240" w:lineRule="auto"/>
              <w:ind w:left="103" w:right="207"/>
              <w:jc w:val="left"/>
              <w:rPr>
                <w:rFonts w:ascii="宋体" w:hAnsi="宋体" w:cs="宋体" w:eastAsia="宋体" w:hint="default"/>
                <w:sz w:val="21"/>
                <w:szCs w:val="21"/>
              </w:rPr>
            </w:pPr>
            <w:r>
              <w:rPr>
                <w:rFonts w:ascii="宋体" w:hAnsi="宋体" w:cs="宋体" w:eastAsia="宋体" w:hint="default"/>
                <w:spacing w:val="-2"/>
                <w:sz w:val="21"/>
                <w:szCs w:val="21"/>
              </w:rPr>
              <w:t>司作为财务投资者将不会谋求顶点软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件的控制权。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4914" w:hRule="exact"/>
        </w:trPr>
        <w:tc>
          <w:tcPr>
            <w:tcW w:w="852"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9"/>
              <w:jc w:val="center"/>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金石投资</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如果</w:t>
            </w:r>
            <w:r>
              <w:rPr>
                <w:rFonts w:ascii="宋体" w:hAnsi="宋体" w:cs="宋体" w:eastAsia="宋体" w:hint="default"/>
                <w:spacing w:val="-3"/>
                <w:w w:val="100"/>
                <w:sz w:val="21"/>
                <w:szCs w:val="21"/>
              </w:rPr>
              <w:t>在</w:t>
            </w:r>
            <w:r>
              <w:rPr>
                <w:rFonts w:ascii="宋体" w:hAnsi="宋体" w:cs="宋体" w:eastAsia="宋体" w:hint="default"/>
                <w:w w:val="100"/>
                <w:sz w:val="21"/>
                <w:szCs w:val="21"/>
              </w:rPr>
              <w:t>锁</w:t>
            </w:r>
            <w:r>
              <w:rPr>
                <w:rFonts w:ascii="宋体" w:hAnsi="宋体" w:cs="宋体" w:eastAsia="宋体" w:hint="default"/>
                <w:spacing w:val="-3"/>
                <w:w w:val="100"/>
                <w:sz w:val="21"/>
                <w:szCs w:val="21"/>
              </w:rPr>
              <w:t>定</w:t>
            </w:r>
            <w:r>
              <w:rPr>
                <w:rFonts w:ascii="宋体" w:hAnsi="宋体" w:cs="宋体" w:eastAsia="宋体" w:hint="default"/>
                <w:spacing w:val="-104"/>
                <w:w w:val="100"/>
                <w:sz w:val="21"/>
                <w:szCs w:val="21"/>
              </w:rPr>
              <w:t>期</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发</w:t>
            </w:r>
            <w:r>
              <w:rPr>
                <w:rFonts w:ascii="宋体" w:hAnsi="宋体" w:cs="宋体" w:eastAsia="宋体" w:hint="default"/>
                <w:w w:val="100"/>
                <w:sz w:val="21"/>
                <w:szCs w:val="21"/>
              </w:rPr>
              <w:t>行</w:t>
            </w:r>
            <w:r>
              <w:rPr>
                <w:rFonts w:ascii="宋体" w:hAnsi="宋体" w:cs="宋体" w:eastAsia="宋体" w:hint="default"/>
                <w:spacing w:val="-3"/>
                <w:w w:val="100"/>
                <w:sz w:val="21"/>
                <w:szCs w:val="21"/>
              </w:rPr>
              <w:t>股</w:t>
            </w:r>
            <w:r>
              <w:rPr>
                <w:rFonts w:ascii="宋体" w:hAnsi="宋体" w:cs="宋体" w:eastAsia="宋体" w:hint="default"/>
                <w:w w:val="100"/>
                <w:sz w:val="21"/>
                <w:szCs w:val="21"/>
              </w:rPr>
              <w:t>票上</w:t>
            </w:r>
            <w:r>
              <w:rPr>
                <w:rFonts w:ascii="宋体" w:hAnsi="宋体" w:cs="宋体" w:eastAsia="宋体" w:hint="default"/>
                <w:spacing w:val="-3"/>
                <w:w w:val="100"/>
                <w:sz w:val="21"/>
                <w:szCs w:val="21"/>
              </w:rPr>
              <w:t>市</w:t>
            </w:r>
            <w:r>
              <w:rPr>
                <w:rFonts w:ascii="宋体" w:hAnsi="宋体" w:cs="宋体" w:eastAsia="宋体" w:hint="default"/>
                <w:w w:val="100"/>
                <w:sz w:val="21"/>
                <w:szCs w:val="21"/>
              </w:rPr>
              <w:t>之日</w:t>
            </w:r>
          </w:p>
          <w:p>
            <w:pPr>
              <w:pStyle w:val="TableParagraph"/>
              <w:spacing w:line="237" w:lineRule="auto"/>
              <w:ind w:left="103" w:right="0"/>
              <w:jc w:val="left"/>
              <w:rPr>
                <w:rFonts w:ascii="宋体" w:hAnsi="宋体" w:cs="宋体" w:eastAsia="宋体" w:hint="default"/>
                <w:sz w:val="21"/>
                <w:szCs w:val="21"/>
              </w:rPr>
            </w:pPr>
            <w:r>
              <w:rPr>
                <w:rFonts w:ascii="宋体" w:hAnsi="宋体" w:cs="宋体" w:eastAsia="宋体" w:hint="default"/>
                <w:spacing w:val="-8"/>
                <w:sz w:val="21"/>
                <w:szCs w:val="21"/>
              </w:rPr>
              <w:t>起三十六个月内，下同）满后，本公司</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8"/>
                <w:sz w:val="21"/>
                <w:szCs w:val="21"/>
              </w:rPr>
              <w:t>拟减持股票的，将认真遵守证监会、交</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8"/>
                <w:w w:val="100"/>
                <w:sz w:val="21"/>
                <w:szCs w:val="21"/>
              </w:rPr>
              <w:t>易所关于股东减持的相关规定，结合公</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司稳定股价、开展经营等多方面需要，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w w:val="100"/>
                <w:sz w:val="21"/>
                <w:szCs w:val="21"/>
              </w:rPr>
              <w:t>审慎制定股票减持计划，在股票锁定期</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满后逐步减持；本公司在锁定期届满之</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日起减持公司股份的，应符合相关法</w:t>
            </w:r>
            <w:r>
              <w:rPr>
                <w:rFonts w:ascii="宋体" w:hAnsi="宋体" w:cs="宋体" w:eastAsia="宋体" w:hint="default"/>
                <w:w w:val="100"/>
                <w:sz w:val="21"/>
                <w:szCs w:val="21"/>
              </w:rPr>
              <w:t> </w:t>
            </w:r>
            <w:r>
              <w:rPr>
                <w:rFonts w:ascii="宋体" w:hAnsi="宋体" w:cs="宋体" w:eastAsia="宋体" w:hint="default"/>
                <w:spacing w:val="-8"/>
                <w:sz w:val="21"/>
                <w:szCs w:val="21"/>
              </w:rPr>
              <w:t>律、法规、规章的规定，通过大宗交易</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方式、证券交易所集中竞价交易方式、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协议转让或者其他合法方式按照届时</w:t>
            </w:r>
            <w:r>
              <w:rPr>
                <w:rFonts w:ascii="宋体" w:hAnsi="宋体" w:cs="宋体" w:eastAsia="宋体" w:hint="default"/>
                <w:w w:val="100"/>
                <w:sz w:val="21"/>
                <w:szCs w:val="21"/>
              </w:rPr>
              <w:t> </w:t>
            </w:r>
            <w:r>
              <w:rPr>
                <w:rFonts w:ascii="宋体" w:hAnsi="宋体" w:cs="宋体" w:eastAsia="宋体" w:hint="default"/>
                <w:sz w:val="21"/>
                <w:szCs w:val="21"/>
              </w:rPr>
              <w:t>市场价格或者大宗交易双方确定的价</w:t>
            </w:r>
            <w:r>
              <w:rPr>
                <w:rFonts w:ascii="宋体" w:hAnsi="宋体" w:cs="宋体" w:eastAsia="宋体" w:hint="default"/>
                <w:w w:val="100"/>
                <w:sz w:val="21"/>
                <w:szCs w:val="21"/>
              </w:rPr>
              <w:t> </w:t>
            </w:r>
            <w:r>
              <w:rPr>
                <w:rFonts w:ascii="宋体" w:hAnsi="宋体" w:cs="宋体" w:eastAsia="宋体" w:hint="default"/>
                <w:spacing w:val="-8"/>
                <w:w w:val="100"/>
                <w:sz w:val="21"/>
                <w:szCs w:val="21"/>
              </w:rPr>
              <w:t>格减持本公司所持有的公司股票；本公</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司减持公司股份前，将提前三个交易日</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予以公告，并按照证券交易所的规则及</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sz w:val="21"/>
                <w:szCs w:val="21"/>
              </w:rPr>
              <w:t>时、准确地履行信息披露义务，公告拟</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8"/>
                <w:sz w:val="21"/>
                <w:szCs w:val="21"/>
              </w:rPr>
              <w:t>减持的数量、减持方式、期限等；本公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司持有公司股份低于</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以下时除外。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1918" w:hRule="exact"/>
        </w:trPr>
        <w:tc>
          <w:tcPr>
            <w:tcW w:w="852"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自公司股票正式挂牌上市之日起三年</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z w:val="21"/>
                <w:szCs w:val="21"/>
              </w:rPr>
              <w:t>内，若公司股票连续</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个交易日（本</w:t>
            </w:r>
            <w:r>
              <w:rPr>
                <w:rFonts w:ascii="宋体" w:hAnsi="宋体" w:cs="宋体" w:eastAsia="宋体" w:hint="default"/>
                <w:w w:val="100"/>
                <w:sz w:val="21"/>
                <w:szCs w:val="21"/>
              </w:rPr>
              <w:t> </w:t>
            </w:r>
            <w:r>
              <w:rPr>
                <w:rFonts w:ascii="宋体" w:hAnsi="宋体" w:cs="宋体" w:eastAsia="宋体" w:hint="default"/>
                <w:sz w:val="21"/>
                <w:szCs w:val="21"/>
              </w:rPr>
              <w:t>公司股票全天停牌的交易日除外，下</w:t>
            </w:r>
            <w:r>
              <w:rPr>
                <w:rFonts w:ascii="宋体" w:hAnsi="宋体" w:cs="宋体" w:eastAsia="宋体" w:hint="default"/>
                <w:w w:val="100"/>
                <w:sz w:val="21"/>
                <w:szCs w:val="21"/>
              </w:rPr>
              <w:t> </w:t>
            </w:r>
            <w:r>
              <w:rPr>
                <w:rFonts w:ascii="宋体" w:hAnsi="宋体" w:cs="宋体" w:eastAsia="宋体" w:hint="default"/>
                <w:spacing w:val="-8"/>
                <w:w w:val="100"/>
                <w:sz w:val="21"/>
                <w:szCs w:val="21"/>
              </w:rPr>
              <w:t>同）的收盘价均低于本公司最近一期经</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审计的每股净资产时，为维护广大股东</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sz w:val="21"/>
                <w:szCs w:val="21"/>
              </w:rPr>
              <w:t>利益，增强投资者信心，维护公司股价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稳定，本公司将启动股价稳定措施。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上市之</w:t>
            </w:r>
          </w:p>
          <w:p>
            <w:pPr>
              <w:pStyle w:val="TableParagraph"/>
              <w:spacing w:line="272" w:lineRule="exact" w:before="27"/>
              <w:ind w:left="100" w:right="245"/>
              <w:jc w:val="left"/>
              <w:rPr>
                <w:rFonts w:ascii="宋体" w:hAnsi="宋体" w:cs="宋体" w:eastAsia="宋体" w:hint="default"/>
                <w:sz w:val="21"/>
                <w:szCs w:val="21"/>
              </w:rPr>
            </w:pPr>
            <w:r>
              <w:rPr>
                <w:rFonts w:ascii="宋体" w:hAnsi="宋体" w:cs="宋体" w:eastAsia="宋体" w:hint="default"/>
                <w:sz w:val="21"/>
                <w:szCs w:val="21"/>
              </w:rPr>
              <w:t>日起三</w:t>
            </w:r>
            <w:r>
              <w:rPr>
                <w:rFonts w:ascii="宋体" w:hAnsi="宋体" w:cs="宋体" w:eastAsia="宋体" w:hint="default"/>
                <w:spacing w:val="-102"/>
                <w:sz w:val="21"/>
                <w:szCs w:val="21"/>
              </w:rPr>
              <w:t> </w:t>
            </w:r>
            <w:r>
              <w:rPr>
                <w:rFonts w:ascii="宋体" w:hAnsi="宋体" w:cs="宋体" w:eastAsia="宋体" w:hint="default"/>
                <w:sz w:val="21"/>
                <w:szCs w:val="21"/>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1371" w:hRule="exact"/>
        </w:trPr>
        <w:tc>
          <w:tcPr>
            <w:tcW w:w="852"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东、实际控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制人严孟宇</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承诺如因国家有关部门或员工要求对</w:t>
            </w:r>
          </w:p>
          <w:p>
            <w:pPr>
              <w:pStyle w:val="TableParagraph"/>
              <w:spacing w:line="237" w:lineRule="auto"/>
              <w:ind w:left="103" w:right="0"/>
              <w:jc w:val="left"/>
              <w:rPr>
                <w:rFonts w:ascii="宋体" w:hAnsi="宋体" w:cs="宋体" w:eastAsia="宋体" w:hint="default"/>
                <w:sz w:val="21"/>
                <w:szCs w:val="21"/>
              </w:rPr>
            </w:pPr>
            <w:r>
              <w:rPr>
                <w:rFonts w:ascii="宋体" w:hAnsi="宋体" w:cs="宋体" w:eastAsia="宋体" w:hint="default"/>
                <w:sz w:val="21"/>
                <w:szCs w:val="21"/>
              </w:rPr>
              <w:t>顶点软件首次公开发行股票并上市之</w:t>
            </w:r>
            <w:r>
              <w:rPr>
                <w:rFonts w:ascii="宋体" w:hAnsi="宋体" w:cs="宋体" w:eastAsia="宋体" w:hint="default"/>
                <w:w w:val="100"/>
                <w:sz w:val="21"/>
                <w:szCs w:val="21"/>
              </w:rPr>
              <w:t> </w:t>
            </w:r>
            <w:r>
              <w:rPr>
                <w:rFonts w:ascii="宋体" w:hAnsi="宋体" w:cs="宋体" w:eastAsia="宋体" w:hint="default"/>
                <w:spacing w:val="-2"/>
                <w:sz w:val="21"/>
                <w:szCs w:val="21"/>
              </w:rPr>
              <w:t>前的社会保险或住房公积金进行补缴，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w w:val="100"/>
                <w:sz w:val="21"/>
                <w:szCs w:val="21"/>
              </w:rPr>
              <w:t>或者受到有关部门的处罚，顶点软件控</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sz w:val="21"/>
                <w:szCs w:val="21"/>
              </w:rPr>
              <w:t>股股东、实际控制人，愿意对顶点软件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right"/>
        <w:rPr>
          <w:rFonts w:ascii="宋体" w:hAnsi="宋体" w:cs="宋体" w:eastAsia="宋体" w:hint="default"/>
          <w:sz w:val="21"/>
          <w:szCs w:val="21"/>
        </w:rPr>
        <w:sectPr>
          <w:pgSz w:w="11910" w:h="16840"/>
          <w:pgMar w:header="880" w:footer="1195" w:top="1120" w:bottom="1380" w:left="400" w:right="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852"/>
        <w:gridCol w:w="710"/>
        <w:gridCol w:w="1277"/>
        <w:gridCol w:w="3687"/>
        <w:gridCol w:w="991"/>
        <w:gridCol w:w="850"/>
        <w:gridCol w:w="710"/>
        <w:gridCol w:w="991"/>
        <w:gridCol w:w="848"/>
      </w:tblGrid>
      <w:tr>
        <w:trPr>
          <w:trHeight w:val="557"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及其子公司因补缴或受处罚而产生的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经济损失予以全额补偿。</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tabs>
          <w:tab w:pos="1964" w:val="left" w:leader="none"/>
        </w:tabs>
        <w:spacing w:line="266" w:lineRule="auto" w:before="152"/>
        <w:ind w:left="1398" w:right="16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48" w:lineRule="exact"/>
        <w:ind w:left="1398" w:right="0"/>
        <w:jc w:val="both"/>
      </w:pPr>
      <w:r>
        <w:rPr/>
        <w:t>□已达到 □未达到 √不适用</w:t>
      </w:r>
    </w:p>
    <w:p>
      <w:pPr>
        <w:spacing w:line="240" w:lineRule="auto" w:before="3"/>
        <w:rPr>
          <w:rFonts w:ascii="宋体" w:hAnsi="宋体" w:cs="宋体" w:eastAsia="宋体" w:hint="default"/>
          <w:sz w:val="25"/>
          <w:szCs w:val="25"/>
        </w:rPr>
      </w:pPr>
    </w:p>
    <w:p>
      <w:pPr>
        <w:pStyle w:val="Heading4"/>
        <w:spacing w:line="240" w:lineRule="auto"/>
        <w:ind w:left="139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pStyle w:val="BodyText"/>
        <w:spacing w:line="240" w:lineRule="auto" w:before="32"/>
        <w:ind w:left="1398" w:right="0"/>
        <w:jc w:val="both"/>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4"/>
        <w:spacing w:line="240" w:lineRule="auto"/>
        <w:ind w:left="1398" w:right="0"/>
        <w:jc w:val="both"/>
        <w:rPr>
          <w:b w:val="0"/>
          <w:bCs w:val="0"/>
        </w:rPr>
      </w:pPr>
      <w:r>
        <w:rPr/>
        <w:t>三、报告期内资金被占用情况及清欠进展情况</w:t>
      </w:r>
      <w:r>
        <w:rPr>
          <w:b w:val="0"/>
          <w:bCs w:val="0"/>
        </w:rPr>
      </w:r>
    </w:p>
    <w:p>
      <w:pPr>
        <w:spacing w:line="290" w:lineRule="auto" w:before="58"/>
        <w:ind w:left="1398" w:right="296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4"/>
        <w:ind w:left="139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98" w:right="0"/>
        <w:jc w:val="both"/>
        <w:rPr>
          <w:b w:val="0"/>
          <w:bCs w:val="0"/>
        </w:rPr>
      </w:pPr>
      <w:r>
        <w:rPr/>
        <w:t>五、公司对会计政策、会计估计变更或重大会计差错更正原因和影响的分析说明</w:t>
      </w:r>
      <w:r>
        <w:rPr>
          <w:b w:val="0"/>
          <w:bCs w:val="0"/>
        </w:rPr>
      </w:r>
    </w:p>
    <w:p>
      <w:pPr>
        <w:pStyle w:val="Heading4"/>
        <w:spacing w:line="240" w:lineRule="auto" w:before="56"/>
        <w:ind w:left="1398"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40" w:lineRule="auto" w:before="58"/>
        <w:ind w:left="1398" w:right="0"/>
        <w:jc w:val="both"/>
      </w:pPr>
      <w:r>
        <w:rPr/>
        <w:t>√适用</w:t>
      </w:r>
      <w:r>
        <w:rPr>
          <w:spacing w:val="104"/>
        </w:rPr>
        <w:t> </w:t>
      </w:r>
      <w:r>
        <w:rPr/>
        <w:t>□不适用</w:t>
      </w:r>
    </w:p>
    <w:p>
      <w:pPr>
        <w:pStyle w:val="BodyText"/>
        <w:spacing w:line="237" w:lineRule="auto" w:before="119"/>
        <w:ind w:left="1398" w:right="937"/>
        <w:jc w:val="both"/>
      </w:pPr>
      <w:r>
        <w:rPr/>
        <w:t>根据财政部《关于修订印发</w:t>
      </w:r>
      <w:r>
        <w:rPr>
          <w:spacing w:val="-56"/>
        </w:rPr>
        <w:t> </w:t>
      </w:r>
      <w:r>
        <w:rPr>
          <w:rFonts w:ascii="宋体" w:hAnsi="宋体" w:cs="宋体" w:eastAsia="宋体" w:hint="default"/>
        </w:rPr>
        <w:t>2018</w:t>
      </w:r>
      <w:r>
        <w:rPr>
          <w:rFonts w:ascii="宋体" w:hAnsi="宋体" w:cs="宋体" w:eastAsia="宋体" w:hint="default"/>
          <w:spacing w:val="-56"/>
        </w:rPr>
        <w:t> </w:t>
      </w:r>
      <w:r>
        <w:rPr/>
        <w:t>年度一般企业财务报表格式的通知》（财会</w:t>
      </w:r>
      <w:r>
        <w:rPr>
          <w:rFonts w:ascii="宋体" w:hAnsi="宋体" w:cs="宋体" w:eastAsia="宋体" w:hint="default"/>
        </w:rPr>
        <w:t>[2018]15</w:t>
      </w:r>
      <w:r>
        <w:rPr>
          <w:rFonts w:ascii="宋体" w:hAnsi="宋体" w:cs="宋体" w:eastAsia="宋体" w:hint="default"/>
          <w:spacing w:val="-55"/>
        </w:rPr>
        <w:t> </w:t>
      </w:r>
      <w:r>
        <w:rPr/>
        <w:t>号），经</w:t>
      </w:r>
      <w:r>
        <w:rPr>
          <w:w w:val="100"/>
        </w:rPr>
        <w:t> </w:t>
      </w:r>
      <w:r>
        <w:rPr>
          <w:spacing w:val="-2"/>
        </w:rPr>
        <w:t>董事会第十六次会议决议通过，本公司对财务报表格式进行了修订，同时本公司对可比期间的比</w:t>
      </w:r>
      <w:r>
        <w:rPr>
          <w:spacing w:val="-25"/>
        </w:rPr>
        <w:t> </w:t>
      </w:r>
      <w:r>
        <w:rPr>
          <w:spacing w:val="-25"/>
        </w:rPr>
      </w:r>
      <w:r>
        <w:rPr/>
        <w:t>较数据按照财会</w:t>
      </w:r>
      <w:r>
        <w:rPr>
          <w:rFonts w:ascii="宋体" w:hAnsi="宋体" w:cs="宋体" w:eastAsia="宋体" w:hint="default"/>
        </w:rPr>
        <w:t>[2018]15</w:t>
      </w:r>
      <w:r>
        <w:rPr>
          <w:rFonts w:ascii="宋体" w:hAnsi="宋体" w:cs="宋体" w:eastAsia="宋体" w:hint="default"/>
          <w:spacing w:val="-55"/>
        </w:rPr>
        <w:t> </w:t>
      </w:r>
      <w:r>
        <w:rPr/>
        <w:t>号文进行调整。</w:t>
      </w:r>
    </w:p>
    <w:p>
      <w:pPr>
        <w:pStyle w:val="BodyText"/>
        <w:spacing w:line="240" w:lineRule="auto" w:before="119"/>
        <w:ind w:left="1398" w:right="0"/>
        <w:jc w:val="both"/>
      </w:pPr>
      <w:r>
        <w:rPr/>
        <w:t>财务报表格式的修订对本公司的资产总额、负债总额、净利润、其他综合收益等无影响。</w:t>
      </w:r>
    </w:p>
    <w:p>
      <w:pPr>
        <w:spacing w:line="240" w:lineRule="auto" w:before="3"/>
        <w:rPr>
          <w:rFonts w:ascii="宋体" w:hAnsi="宋体" w:cs="宋体" w:eastAsia="宋体" w:hint="default"/>
          <w:sz w:val="25"/>
          <w:szCs w:val="25"/>
        </w:rPr>
      </w:pPr>
    </w:p>
    <w:p>
      <w:pPr>
        <w:pStyle w:val="Heading4"/>
        <w:spacing w:line="240" w:lineRule="auto"/>
        <w:ind w:left="1398" w:right="0"/>
        <w:jc w:val="both"/>
        <w:rPr>
          <w:b w:val="0"/>
          <w:bCs w:val="0"/>
        </w:rPr>
      </w:pPr>
      <w:r>
        <w:rPr/>
        <w:t>（二）</w:t>
      </w:r>
      <w:r>
        <w:rPr>
          <w:spacing w:val="99"/>
        </w:rPr>
        <w:t> </w:t>
      </w:r>
      <w:r>
        <w:rPr/>
        <w:t>公司对重大会计差错更正原因及影响的分析说明</w:t>
      </w:r>
      <w:r>
        <w:rPr>
          <w:b w:val="0"/>
          <w:bCs w:val="0"/>
        </w:rPr>
      </w:r>
    </w:p>
    <w:p>
      <w:pPr>
        <w:pStyle w:val="BodyText"/>
        <w:spacing w:line="240" w:lineRule="auto" w:before="56"/>
        <w:ind w:left="139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98" w:right="0"/>
        <w:jc w:val="both"/>
        <w:rPr>
          <w:b w:val="0"/>
          <w:bCs w:val="0"/>
        </w:rPr>
      </w:pPr>
      <w:r>
        <w:rPr/>
        <w:t>（三）</w:t>
      </w:r>
      <w:r>
        <w:rPr>
          <w:spacing w:val="101"/>
        </w:rPr>
        <w:t> </w:t>
      </w:r>
      <w:r>
        <w:rPr/>
        <w:t>与前任会计师事务所进行的沟通情况</w:t>
      </w:r>
      <w:r>
        <w:rPr>
          <w:b w:val="0"/>
          <w:bCs w:val="0"/>
        </w:rPr>
      </w:r>
    </w:p>
    <w:p>
      <w:pPr>
        <w:pStyle w:val="BodyText"/>
        <w:spacing w:line="240" w:lineRule="auto" w:before="58"/>
        <w:ind w:left="139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98" w:right="0"/>
        <w:jc w:val="both"/>
        <w:rPr>
          <w:b w:val="0"/>
          <w:bCs w:val="0"/>
        </w:rPr>
      </w:pPr>
      <w:r>
        <w:rPr/>
        <w:t>（四）</w:t>
      </w:r>
      <w:r>
        <w:rPr>
          <w:spacing w:val="102"/>
        </w:rPr>
        <w:t> </w:t>
      </w:r>
      <w:r>
        <w:rPr/>
        <w:t>其他说明</w:t>
      </w:r>
      <w:r>
        <w:rPr>
          <w:b w:val="0"/>
          <w:bCs w:val="0"/>
        </w:rPr>
      </w:r>
    </w:p>
    <w:p>
      <w:pPr>
        <w:pStyle w:val="BodyText"/>
        <w:spacing w:line="240" w:lineRule="auto" w:before="56"/>
        <w:ind w:left="1398" w:right="0"/>
        <w:jc w:val="both"/>
      </w:pPr>
      <w:r>
        <w:rPr/>
        <w:t>□适用</w:t>
      </w:r>
      <w:r>
        <w:rPr>
          <w:spacing w:val="104"/>
        </w:rPr>
        <w:t> </w:t>
      </w:r>
      <w:r>
        <w:rPr/>
        <w:t>√不适用</w:t>
      </w:r>
    </w:p>
    <w:p>
      <w:pPr>
        <w:spacing w:line="240" w:lineRule="auto" w:before="6"/>
        <w:rPr>
          <w:rFonts w:ascii="宋体" w:hAnsi="宋体" w:cs="宋体" w:eastAsia="宋体" w:hint="default"/>
          <w:sz w:val="22"/>
          <w:szCs w:val="22"/>
        </w:rPr>
      </w:pPr>
    </w:p>
    <w:p>
      <w:pPr>
        <w:pStyle w:val="Heading4"/>
        <w:spacing w:line="240" w:lineRule="auto" w:before="36"/>
        <w:ind w:left="1398" w:right="822"/>
        <w:jc w:val="left"/>
        <w:rPr>
          <w:b w:val="0"/>
          <w:bCs w:val="0"/>
        </w:rPr>
      </w:pPr>
      <w:r>
        <w:rPr/>
        <w:t>六、聘任、解聘会计师事务所情况</w:t>
      </w:r>
      <w:r>
        <w:rPr>
          <w:b w:val="0"/>
          <w:bCs w:val="0"/>
        </w:rPr>
      </w:r>
    </w:p>
    <w:p>
      <w:pPr>
        <w:pStyle w:val="BodyText"/>
        <w:tabs>
          <w:tab w:pos="1262" w:val="left" w:leader="none"/>
        </w:tabs>
        <w:spacing w:line="240" w:lineRule="auto" w:before="56"/>
        <w:ind w:left="0" w:right="9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bl>
    <w:p>
      <w:pPr>
        <w:spacing w:line="240" w:lineRule="auto" w:before="9"/>
        <w:rPr>
          <w:rFonts w:ascii="宋体" w:hAnsi="宋体" w:cs="宋体" w:eastAsia="宋体" w:hint="default"/>
          <w:sz w:val="20"/>
          <w:szCs w:val="20"/>
        </w:rPr>
      </w:pPr>
    </w:p>
    <w:tbl>
      <w:tblPr>
        <w:tblW w:w="0" w:type="auto"/>
        <w:jc w:val="left"/>
        <w:tblInd w:w="128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致同会计师事务所（特殊普通</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东方花旗证券有限公司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after="0" w:line="241" w:lineRule="exact"/>
        <w:jc w:val="right"/>
        <w:rPr>
          <w:rFonts w:ascii="宋体" w:hAnsi="宋体" w:cs="宋体" w:eastAsia="宋体" w:hint="default"/>
          <w:sz w:val="21"/>
          <w:szCs w:val="21"/>
        </w:rPr>
        <w:sectPr>
          <w:pgSz w:w="11910" w:h="16840"/>
          <w:pgMar w:header="880" w:footer="1195" w:top="1120" w:bottom="1380" w:left="400" w:right="3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73" w:lineRule="exact" w:before="36"/>
        <w:ind w:right="210"/>
        <w:jc w:val="left"/>
      </w:pPr>
      <w:r>
        <w:rPr/>
        <w:t>聘任、解聘会计师事务所的情况说明</w:t>
      </w:r>
    </w:p>
    <w:p>
      <w:pPr>
        <w:pStyle w:val="BodyText"/>
        <w:spacing w:line="272" w:lineRule="exact"/>
        <w:ind w:right="210"/>
        <w:jc w:val="left"/>
      </w:pPr>
      <w:r>
        <w:rPr/>
        <w:t>√适用</w:t>
      </w:r>
      <w:r>
        <w:rPr>
          <w:spacing w:val="-1"/>
        </w:rPr>
        <w:t> </w:t>
      </w:r>
      <w:r>
        <w:rPr/>
        <w:t>□不适用</w:t>
      </w:r>
    </w:p>
    <w:p>
      <w:pPr>
        <w:pStyle w:val="BodyText"/>
        <w:spacing w:line="272" w:lineRule="exact" w:before="27"/>
        <w:ind w:right="210"/>
        <w:jc w:val="left"/>
      </w:pPr>
      <w:r>
        <w:rPr/>
        <w:t>经公司</w:t>
      </w:r>
      <w:r>
        <w:rPr>
          <w:spacing w:val="-56"/>
        </w:rPr>
        <w:t> </w:t>
      </w:r>
      <w:r>
        <w:rPr>
          <w:rFonts w:ascii="宋体" w:hAnsi="宋体" w:cs="宋体" w:eastAsia="宋体" w:hint="default"/>
        </w:rPr>
        <w:t>2017</w:t>
      </w:r>
      <w:r>
        <w:rPr>
          <w:rFonts w:ascii="宋体" w:hAnsi="宋体" w:cs="宋体" w:eastAsia="宋体" w:hint="default"/>
          <w:spacing w:val="-56"/>
        </w:rPr>
        <w:t> </w:t>
      </w:r>
      <w:r>
        <w:rPr/>
        <w:t>年度股东大会批准，公司继续聘请致同会计师事务所（特殊普通合伙）为公司</w:t>
      </w:r>
      <w:r>
        <w:rPr>
          <w:spacing w:val="-55"/>
        </w:rPr>
        <w:t> </w:t>
      </w:r>
      <w:r>
        <w:rPr>
          <w:rFonts w:ascii="宋体" w:hAnsi="宋体" w:cs="宋体" w:eastAsia="宋体" w:hint="default"/>
        </w:rPr>
        <w:t>2018</w:t>
      </w:r>
      <w:r>
        <w:rPr>
          <w:rFonts w:ascii="宋体" w:hAnsi="宋体" w:cs="宋体" w:eastAsia="宋体" w:hint="default"/>
          <w:w w:val="100"/>
        </w:rPr>
        <w:t> </w:t>
      </w:r>
      <w:r>
        <w:rPr/>
        <w:t>年度审计机构。</w:t>
      </w:r>
    </w:p>
    <w:p>
      <w:pPr>
        <w:spacing w:line="240" w:lineRule="auto" w:before="10"/>
        <w:rPr>
          <w:rFonts w:ascii="宋体" w:hAnsi="宋体" w:cs="宋体" w:eastAsia="宋体" w:hint="default"/>
          <w:sz w:val="18"/>
          <w:szCs w:val="18"/>
        </w:rPr>
      </w:pPr>
    </w:p>
    <w:p>
      <w:pPr>
        <w:pStyle w:val="BodyText"/>
        <w:spacing w:line="274" w:lineRule="exact"/>
        <w:ind w:right="210"/>
        <w:jc w:val="left"/>
      </w:pPr>
      <w:r>
        <w:rPr/>
        <w:t>审计期间改聘会计师事务所的情况说明</w:t>
      </w:r>
    </w:p>
    <w:p>
      <w:pPr>
        <w:pStyle w:val="BodyText"/>
        <w:tabs>
          <w:tab w:pos="1060" w:val="left" w:leader="none"/>
        </w:tabs>
        <w:spacing w:line="274" w:lineRule="exact"/>
        <w:ind w:right="21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1057" w:val="left" w:leader="none"/>
        </w:tabs>
        <w:spacing w:line="290" w:lineRule="auto"/>
        <w:ind w:right="624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15"/>
        <w:ind w:right="21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1057" w:val="left" w:leader="none"/>
        </w:tabs>
        <w:spacing w:line="240" w:lineRule="auto"/>
        <w:ind w:right="21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6"/>
        <w:ind w:right="21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10"/>
        <w:jc w:val="left"/>
        <w:rPr>
          <w:b w:val="0"/>
          <w:bCs w:val="0"/>
        </w:rPr>
      </w:pPr>
      <w:r>
        <w:rPr/>
        <w:t>八、面临终止上市的情况和原因</w:t>
      </w:r>
      <w:r>
        <w:rPr>
          <w:b w:val="0"/>
          <w:bCs w:val="0"/>
        </w:rPr>
      </w:r>
    </w:p>
    <w:p>
      <w:pPr>
        <w:pStyle w:val="BodyText"/>
        <w:tabs>
          <w:tab w:pos="1060" w:val="left" w:leader="none"/>
        </w:tabs>
        <w:spacing w:line="240" w:lineRule="auto" w:before="58"/>
        <w:ind w:right="210"/>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4"/>
        <w:spacing w:line="240" w:lineRule="auto"/>
        <w:ind w:right="210"/>
        <w:jc w:val="left"/>
        <w:rPr>
          <w:b w:val="0"/>
          <w:bCs w:val="0"/>
        </w:rPr>
      </w:pPr>
      <w:r>
        <w:rPr/>
        <w:t>九、破产重整相关事项</w:t>
      </w:r>
      <w:r>
        <w:rPr>
          <w:b w:val="0"/>
          <w:bCs w:val="0"/>
        </w:rPr>
      </w:r>
    </w:p>
    <w:p>
      <w:pPr>
        <w:pStyle w:val="BodyText"/>
        <w:spacing w:line="240" w:lineRule="auto" w:before="58"/>
        <w:ind w:right="21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10"/>
        <w:jc w:val="left"/>
        <w:rPr>
          <w:b w:val="0"/>
          <w:bCs w:val="0"/>
        </w:rPr>
      </w:pPr>
      <w:r>
        <w:rPr/>
        <w:t>十、重大诉讼、仲裁事项</w:t>
      </w:r>
      <w:r>
        <w:rPr>
          <w:b w:val="0"/>
          <w:bCs w:val="0"/>
        </w:rPr>
      </w:r>
    </w:p>
    <w:p>
      <w:pPr>
        <w:pStyle w:val="BodyText"/>
        <w:spacing w:line="240" w:lineRule="auto" w:before="56"/>
        <w:ind w:right="210"/>
        <w:jc w:val="left"/>
      </w:pPr>
      <w:r>
        <w:rPr/>
        <w:t>□本年度公司有重大诉讼、仲裁事项</w:t>
      </w:r>
      <w:r>
        <w:rPr>
          <w:spacing w:val="-7"/>
        </w:rPr>
        <w:t> </w:t>
      </w:r>
      <w:r>
        <w:rPr/>
        <w:t>√本年度公司无重大诉讼、仲裁事项</w:t>
      </w:r>
    </w:p>
    <w:p>
      <w:pPr>
        <w:spacing w:line="240" w:lineRule="auto" w:before="3"/>
        <w:rPr>
          <w:rFonts w:ascii="宋体" w:hAnsi="宋体" w:cs="宋体" w:eastAsia="宋体" w:hint="default"/>
          <w:sz w:val="25"/>
          <w:szCs w:val="25"/>
        </w:rPr>
      </w:pPr>
    </w:p>
    <w:p>
      <w:pPr>
        <w:pStyle w:val="Heading4"/>
        <w:spacing w:line="240" w:lineRule="auto"/>
        <w:ind w:left="63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56"/>
        <w:ind w:right="21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10"/>
        <w:jc w:val="left"/>
        <w:rPr>
          <w:b w:val="0"/>
          <w:bCs w:val="0"/>
        </w:rPr>
      </w:pPr>
      <w:r>
        <w:rPr/>
        <w:t>十二、报告期内公司及其控股股东、实际控制人诚信状况的说明</w:t>
      </w:r>
      <w:r>
        <w:rPr>
          <w:b w:val="0"/>
          <w:bCs w:val="0"/>
        </w:rPr>
      </w:r>
    </w:p>
    <w:p>
      <w:pPr>
        <w:pStyle w:val="BodyText"/>
        <w:tabs>
          <w:tab w:pos="1060" w:val="left" w:leader="none"/>
        </w:tabs>
        <w:spacing w:line="240" w:lineRule="auto" w:before="58"/>
        <w:ind w:right="21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0" w:lineRule="auto"/>
        <w:ind w:right="145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4"/>
        <w:ind w:right="21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4042"/>
      </w:tblGrid>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09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公司召开第七届董事会第十五次</w:t>
            </w:r>
          </w:p>
          <w:p>
            <w:pPr>
              <w:pStyle w:val="TableParagraph"/>
              <w:spacing w:line="237" w:lineRule="auto"/>
              <w:ind w:left="103" w:right="187"/>
              <w:jc w:val="both"/>
              <w:rPr>
                <w:rFonts w:ascii="宋体" w:hAnsi="宋体" w:cs="宋体" w:eastAsia="宋体" w:hint="default"/>
                <w:sz w:val="21"/>
                <w:szCs w:val="21"/>
              </w:rPr>
            </w:pPr>
            <w:r>
              <w:rPr>
                <w:rFonts w:ascii="宋体" w:hAnsi="宋体" w:cs="宋体" w:eastAsia="宋体" w:hint="default"/>
                <w:spacing w:val="-2"/>
                <w:sz w:val="21"/>
                <w:szCs w:val="21"/>
              </w:rPr>
              <w:t>会议，审议通过了《关于调整限制性股票激励计划</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授予价格与数量的议案》、《关于限制性股票激励</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计划第一个解锁期解锁条件成就的议案》。</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相关公告刊登在</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日上交所</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网站</w:t>
            </w:r>
            <w:r>
              <w:rPr>
                <w:rFonts w:ascii="宋体" w:hAnsi="宋体" w:cs="宋体" w:eastAsia="宋体" w:hint="default"/>
                <w:spacing w:val="24"/>
                <w:sz w:val="21"/>
                <w:szCs w:val="21"/>
              </w:rPr>
              <w:t> </w:t>
            </w:r>
            <w:r>
              <w:rPr>
                <w:rFonts w:ascii="宋体" w:hAnsi="宋体" w:cs="宋体" w:eastAsia="宋体" w:hint="default"/>
                <w:spacing w:val="24"/>
                <w:sz w:val="21"/>
                <w:szCs w:val="21"/>
              </w:rPr>
            </w:r>
            <w:hyperlink r:id="rId9">
              <w:r>
                <w:rPr>
                  <w:rFonts w:ascii="宋体" w:hAnsi="宋体" w:cs="宋体" w:eastAsia="宋体" w:hint="default"/>
                  <w:spacing w:val="-4"/>
                  <w:sz w:val="21"/>
                  <w:szCs w:val="21"/>
                  <w:u w:val="single" w:color="000000"/>
                </w:rPr>
                <w:t>www.sse.com.cn</w:t>
              </w:r>
              <w:r>
                <w:rPr>
                  <w:rFonts w:ascii="宋体" w:hAnsi="宋体" w:cs="宋体" w:eastAsia="宋体" w:hint="default"/>
                  <w:spacing w:val="-4"/>
                  <w:sz w:val="21"/>
                  <w:szCs w:val="21"/>
                </w:rPr>
              </w:r>
            </w:hyperlink>
            <w:r>
              <w:rPr>
                <w:rFonts w:ascii="宋体" w:hAnsi="宋体" w:cs="宋体" w:eastAsia="宋体" w:hint="default"/>
                <w:spacing w:val="-4"/>
                <w:sz w:val="21"/>
                <w:szCs w:val="21"/>
              </w:rPr>
              <w:t>）及中国证券报、上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海证券报、证券时报、证券日报上。</w:t>
            </w:r>
          </w:p>
        </w:tc>
      </w:tr>
      <w:tr>
        <w:trPr>
          <w:trHeight w:val="109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pacing w:val="-6"/>
                <w:sz w:val="21"/>
                <w:szCs w:val="21"/>
              </w:rPr>
              <w:t>日发布了公司《限制性股票激励计划</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第一个解锁期解锁暨上市公告》，公司限制性股票</w:t>
            </w:r>
            <w:r>
              <w:rPr>
                <w:rFonts w:ascii="宋体" w:hAnsi="宋体" w:cs="宋体" w:eastAsia="宋体" w:hint="default"/>
                <w:w w:val="100"/>
                <w:sz w:val="21"/>
                <w:szCs w:val="21"/>
              </w:rPr>
              <w:t> </w:t>
            </w:r>
            <w:r>
              <w:rPr>
                <w:rFonts w:ascii="宋体" w:hAnsi="宋体" w:cs="宋体" w:eastAsia="宋体" w:hint="default"/>
                <w:sz w:val="21"/>
                <w:szCs w:val="21"/>
              </w:rPr>
              <w:t>激励计划第一批解锁股票于</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日上市流</w:t>
            </w:r>
            <w:r>
              <w:rPr>
                <w:rFonts w:ascii="宋体" w:hAnsi="宋体" w:cs="宋体" w:eastAsia="宋体" w:hint="default"/>
                <w:w w:val="100"/>
                <w:sz w:val="21"/>
                <w:szCs w:val="21"/>
              </w:rPr>
              <w:t> </w:t>
            </w:r>
            <w:r>
              <w:rPr>
                <w:rFonts w:ascii="宋体" w:hAnsi="宋体" w:cs="宋体" w:eastAsia="宋体" w:hint="default"/>
                <w:sz w:val="21"/>
                <w:szCs w:val="21"/>
              </w:rPr>
              <w:t>通。</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相关公告刊登在</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日上交所</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网站</w:t>
            </w:r>
            <w:r>
              <w:rPr>
                <w:rFonts w:ascii="宋体" w:hAnsi="宋体" w:cs="宋体" w:eastAsia="宋体" w:hint="default"/>
                <w:spacing w:val="24"/>
                <w:sz w:val="21"/>
                <w:szCs w:val="21"/>
              </w:rPr>
              <w:t> </w:t>
            </w:r>
            <w:hyperlink r:id="rId9">
              <w:r>
                <w:rPr>
                  <w:rFonts w:ascii="宋体" w:hAnsi="宋体" w:cs="宋体" w:eastAsia="宋体" w:hint="default"/>
                  <w:spacing w:val="-4"/>
                  <w:sz w:val="21"/>
                  <w:szCs w:val="21"/>
                </w:rPr>
                <w:t>www.sse.com.cn</w:t>
              </w:r>
            </w:hyperlink>
            <w:r>
              <w:rPr>
                <w:rFonts w:ascii="宋体" w:hAnsi="宋体" w:cs="宋体" w:eastAsia="宋体" w:hint="default"/>
                <w:spacing w:val="-4"/>
                <w:sz w:val="21"/>
                <w:szCs w:val="21"/>
              </w:rPr>
              <w:t>）及中国证券报、上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海证券报、证券时报、证券日报上。</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120"/>
        </w:sectPr>
      </w:pPr>
    </w:p>
    <w:p>
      <w:pPr>
        <w:spacing w:line="240" w:lineRule="auto" w:before="4"/>
        <w:rPr>
          <w:rFonts w:ascii="宋体" w:hAnsi="宋体" w:cs="宋体" w:eastAsia="宋体" w:hint="default"/>
          <w:sz w:val="25"/>
          <w:szCs w:val="25"/>
        </w:rPr>
      </w:pPr>
    </w:p>
    <w:p>
      <w:pPr>
        <w:spacing w:line="290" w:lineRule="auto" w:before="3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7" w:lineRule="exact"/>
        <w:ind w:right="22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27"/>
        <w:jc w:val="left"/>
      </w:pPr>
      <w:r>
        <w:rPr/>
        <w:t>其他说明</w:t>
      </w:r>
    </w:p>
    <w:p>
      <w:pPr>
        <w:pStyle w:val="BodyText"/>
        <w:tabs>
          <w:tab w:pos="1060" w:val="left" w:leader="none"/>
        </w:tabs>
        <w:spacing w:line="274" w:lineRule="exact"/>
        <w:ind w:right="22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right="227"/>
        <w:jc w:val="left"/>
      </w:pPr>
      <w:r>
        <w:rPr/>
        <w:t>员工持股计划情况</w:t>
      </w:r>
    </w:p>
    <w:p>
      <w:pPr>
        <w:pStyle w:val="BodyText"/>
        <w:tabs>
          <w:tab w:pos="1060" w:val="left" w:leader="none"/>
        </w:tabs>
        <w:spacing w:line="274" w:lineRule="exact"/>
        <w:ind w:right="22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227"/>
        <w:jc w:val="left"/>
      </w:pPr>
      <w:r>
        <w:rPr/>
        <w:t>其他激励措施</w:t>
      </w:r>
    </w:p>
    <w:p>
      <w:pPr>
        <w:pStyle w:val="BodyText"/>
        <w:spacing w:line="273" w:lineRule="exact"/>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t>十四、重大关联交易</w:t>
      </w:r>
      <w:r>
        <w:rPr>
          <w:b w:val="0"/>
          <w:bCs w:val="0"/>
        </w:rPr>
      </w:r>
    </w:p>
    <w:p>
      <w:pPr>
        <w:pStyle w:val="Heading4"/>
        <w:spacing w:line="240" w:lineRule="auto" w:before="58"/>
        <w:ind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29"/>
        <w:ind w:right="22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91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both"/>
              <w:rPr>
                <w:rFonts w:ascii="宋体" w:hAnsi="宋体" w:cs="宋体" w:eastAsia="宋体" w:hint="default"/>
                <w:sz w:val="21"/>
                <w:szCs w:val="21"/>
              </w:rPr>
            </w:pPr>
            <w:r>
              <w:rPr>
                <w:rFonts w:ascii="Calibri" w:hAnsi="Calibri" w:cs="Calibri" w:eastAsia="Calibri" w:hint="default"/>
                <w:sz w:val="21"/>
                <w:szCs w:val="21"/>
              </w:rPr>
              <w:t>2018  </w:t>
            </w:r>
            <w:r>
              <w:rPr>
                <w:rFonts w:ascii="宋体" w:hAnsi="宋体" w:cs="宋体" w:eastAsia="宋体" w:hint="default"/>
                <w:sz w:val="21"/>
                <w:szCs w:val="21"/>
              </w:rPr>
              <w:t>年 </w:t>
            </w:r>
            <w:r>
              <w:rPr>
                <w:rFonts w:ascii="Calibri" w:hAnsi="Calibri" w:cs="Calibri" w:eastAsia="Calibri" w:hint="default"/>
                <w:sz w:val="21"/>
                <w:szCs w:val="21"/>
              </w:rPr>
              <w:t>1 </w:t>
            </w:r>
            <w:r>
              <w:rPr>
                <w:rFonts w:ascii="宋体" w:hAnsi="宋体" w:cs="宋体" w:eastAsia="宋体" w:hint="default"/>
                <w:sz w:val="21"/>
                <w:szCs w:val="21"/>
              </w:rPr>
              <w:t>月 </w:t>
            </w:r>
            <w:r>
              <w:rPr>
                <w:rFonts w:ascii="Calibri" w:hAnsi="Calibri" w:cs="Calibri" w:eastAsia="Calibri" w:hint="default"/>
                <w:sz w:val="21"/>
                <w:szCs w:val="21"/>
              </w:rPr>
              <w:t>25</w:t>
            </w:r>
            <w:r>
              <w:rPr>
                <w:rFonts w:ascii="Calibri" w:hAnsi="Calibri" w:cs="Calibri" w:eastAsia="Calibri" w:hint="default"/>
                <w:spacing w:val="9"/>
                <w:sz w:val="21"/>
                <w:szCs w:val="21"/>
              </w:rPr>
              <w:t> </w:t>
            </w:r>
            <w:r>
              <w:rPr>
                <w:rFonts w:ascii="宋体" w:hAnsi="宋体" w:cs="宋体" w:eastAsia="宋体" w:hint="default"/>
                <w:sz w:val="21"/>
                <w:szCs w:val="21"/>
              </w:rPr>
              <w:t>日，公司召开了第七届董事会</w:t>
            </w:r>
          </w:p>
          <w:p>
            <w:pPr>
              <w:pStyle w:val="TableParagraph"/>
              <w:spacing w:line="230" w:lineRule="auto"/>
              <w:ind w:left="103" w:right="91"/>
              <w:jc w:val="both"/>
              <w:rPr>
                <w:rFonts w:ascii="宋体" w:hAnsi="宋体" w:cs="宋体" w:eastAsia="宋体" w:hint="default"/>
                <w:sz w:val="21"/>
                <w:szCs w:val="21"/>
              </w:rPr>
            </w:pPr>
            <w:r>
              <w:rPr>
                <w:rFonts w:ascii="宋体" w:hAnsi="宋体" w:cs="宋体" w:eastAsia="宋体" w:hint="default"/>
                <w:sz w:val="21"/>
                <w:szCs w:val="21"/>
              </w:rPr>
              <w:t>第九次会议，审议通过了《关于公司</w:t>
            </w:r>
            <w:r>
              <w:rPr>
                <w:rFonts w:ascii="宋体" w:hAnsi="宋体" w:cs="宋体" w:eastAsia="宋体" w:hint="default"/>
                <w:spacing w:val="-57"/>
                <w:sz w:val="21"/>
                <w:szCs w:val="21"/>
              </w:rPr>
              <w:t> </w:t>
            </w:r>
            <w:r>
              <w:rPr>
                <w:rFonts w:ascii="Calibri" w:hAnsi="Calibri" w:cs="Calibri" w:eastAsia="Calibri" w:hint="default"/>
                <w:sz w:val="21"/>
                <w:szCs w:val="21"/>
              </w:rPr>
              <w:t>2018</w:t>
            </w:r>
            <w:r>
              <w:rPr>
                <w:rFonts w:ascii="Calibri" w:hAnsi="Calibri" w:cs="Calibri" w:eastAsia="Calibri" w:hint="default"/>
                <w:spacing w:val="4"/>
                <w:sz w:val="21"/>
                <w:szCs w:val="21"/>
              </w:rPr>
              <w:t> </w:t>
            </w:r>
            <w:r>
              <w:rPr>
                <w:rFonts w:ascii="宋体" w:hAnsi="宋体" w:cs="宋体" w:eastAsia="宋体" w:hint="default"/>
                <w:spacing w:val="-3"/>
                <w:sz w:val="21"/>
                <w:szCs w:val="21"/>
              </w:rPr>
              <w:t>年度</w:t>
            </w:r>
            <w:r>
              <w:rPr>
                <w:rFonts w:ascii="宋体" w:hAnsi="宋体" w:cs="宋体" w:eastAsia="宋体" w:hint="default"/>
                <w:spacing w:val="-3"/>
                <w:w w:val="100"/>
                <w:sz w:val="21"/>
                <w:szCs w:val="21"/>
              </w:rPr>
              <w:t> </w:t>
            </w:r>
            <w:r>
              <w:rPr>
                <w:rFonts w:ascii="宋体" w:hAnsi="宋体" w:cs="宋体" w:eastAsia="宋体" w:hint="default"/>
                <w:spacing w:val="-7"/>
                <w:sz w:val="21"/>
                <w:szCs w:val="21"/>
              </w:rPr>
              <w:t>日常关联交易预计的议案》，预计向关联方中信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证券及其控股子公司销售商品、提供劳务共计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Calibri" w:hAnsi="Calibri" w:cs="Calibri" w:eastAsia="Calibri" w:hint="default"/>
                <w:sz w:val="21"/>
                <w:szCs w:val="21"/>
              </w:rPr>
              <w:t>1000</w:t>
            </w:r>
            <w:r>
              <w:rPr>
                <w:rFonts w:ascii="Calibri" w:hAnsi="Calibri" w:cs="Calibri" w:eastAsia="Calibri" w:hint="default"/>
                <w:spacing w:val="5"/>
                <w:sz w:val="21"/>
                <w:szCs w:val="21"/>
              </w:rPr>
              <w:t> </w:t>
            </w:r>
            <w:r>
              <w:rPr>
                <w:rFonts w:ascii="宋体" w:hAnsi="宋体" w:cs="宋体" w:eastAsia="宋体" w:hint="default"/>
                <w:sz w:val="21"/>
                <w:szCs w:val="21"/>
              </w:rPr>
              <w:t>万元。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公告详见公司于</w:t>
            </w:r>
            <w:r>
              <w:rPr>
                <w:rFonts w:ascii="宋体" w:hAnsi="宋体" w:cs="宋体" w:eastAsia="宋体" w:hint="default"/>
                <w:spacing w:val="-1"/>
                <w:sz w:val="21"/>
                <w:szCs w:val="21"/>
              </w:rPr>
              <w:t> </w:t>
            </w: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26</w:t>
            </w:r>
            <w:r>
              <w:rPr>
                <w:rFonts w:ascii="宋体" w:hAnsi="宋体" w:cs="宋体" w:eastAsia="宋体" w:hint="default"/>
                <w:spacing w:val="-44"/>
                <w:sz w:val="21"/>
                <w:szCs w:val="21"/>
              </w:rPr>
              <w:t> </w:t>
            </w: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p>
          <w:p>
            <w:pPr>
              <w:pStyle w:val="TableParagraph"/>
              <w:tabs>
                <w:tab w:pos="597" w:val="left" w:leader="none"/>
                <w:tab w:pos="1092"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27</w:t>
              <w:tab/>
            </w:r>
            <w:r>
              <w:rPr>
                <w:rFonts w:ascii="宋体" w:hAnsi="宋体" w:cs="宋体" w:eastAsia="宋体" w:hint="default"/>
                <w:sz w:val="21"/>
                <w:szCs w:val="21"/>
              </w:rPr>
              <w:t>日 在 上 海 证  券 交 易    </w:t>
            </w:r>
            <w:r>
              <w:rPr>
                <w:rFonts w:ascii="宋体" w:hAnsi="宋体" w:cs="宋体" w:eastAsia="宋体" w:hint="default"/>
                <w:spacing w:val="64"/>
                <w:sz w:val="21"/>
                <w:szCs w:val="21"/>
              </w:rPr>
              <w:t> </w:t>
            </w:r>
            <w:r>
              <w:rPr>
                <w:rFonts w:ascii="宋体" w:hAnsi="宋体" w:cs="宋体" w:eastAsia="宋体" w:hint="default"/>
                <w:sz w:val="21"/>
                <w:szCs w:val="21"/>
              </w:rPr>
              <w:t>所</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5"/>
                <w:sz w:val="21"/>
                <w:szCs w:val="21"/>
              </w:rPr>
              <w:t>（</w:t>
            </w:r>
            <w:hyperlink r:id="rId9">
              <w:r>
                <w:rPr>
                  <w:rFonts w:ascii="宋体" w:hAnsi="宋体" w:cs="宋体" w:eastAsia="宋体" w:hint="default"/>
                  <w:spacing w:val="-5"/>
                  <w:sz w:val="21"/>
                  <w:szCs w:val="21"/>
                </w:rPr>
                <w:t>http://www.sse.com.cn/</w:t>
              </w:r>
            </w:hyperlink>
            <w:r>
              <w:rPr>
                <w:rFonts w:ascii="宋体" w:hAnsi="宋体" w:cs="宋体" w:eastAsia="宋体" w:hint="default"/>
                <w:spacing w:val="-5"/>
                <w:sz w:val="21"/>
                <w:szCs w:val="21"/>
              </w:rPr>
              <w:t>）披露的《顶点软件</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关于</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年度日常关联交易预计的公告》（公</w:t>
            </w:r>
          </w:p>
          <w:p>
            <w:pPr>
              <w:pStyle w:val="TableParagraph"/>
              <w:spacing w:line="272" w:lineRule="exact" w:before="2"/>
              <w:ind w:left="103" w:right="96"/>
              <w:jc w:val="left"/>
              <w:rPr>
                <w:rFonts w:ascii="宋体" w:hAnsi="宋体" w:cs="宋体" w:eastAsia="宋体" w:hint="default"/>
                <w:sz w:val="21"/>
                <w:szCs w:val="21"/>
              </w:rPr>
            </w:pPr>
            <w:r>
              <w:rPr>
                <w:rFonts w:ascii="宋体" w:hAnsi="宋体" w:cs="宋体" w:eastAsia="宋体" w:hint="default"/>
                <w:sz w:val="21"/>
                <w:szCs w:val="21"/>
              </w:rPr>
              <w:t>告编号：</w:t>
            </w:r>
            <w:r>
              <w:rPr>
                <w:rFonts w:ascii="宋体" w:hAnsi="宋体" w:cs="宋体" w:eastAsia="宋体" w:hint="default"/>
                <w:sz w:val="21"/>
                <w:szCs w:val="21"/>
              </w:rPr>
              <w:t>2018-009</w:t>
            </w:r>
            <w:r>
              <w:rPr>
                <w:rFonts w:ascii="宋体" w:hAnsi="宋体" w:cs="宋体" w:eastAsia="宋体" w:hint="default"/>
                <w:sz w:val="21"/>
                <w:szCs w:val="21"/>
              </w:rPr>
              <w:t>）、《顶点软件关于</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6"/>
                <w:w w:val="100"/>
                <w:sz w:val="21"/>
                <w:szCs w:val="21"/>
              </w:rPr>
              <w:t>度日常关联交易预计公告的补充公告》（公告编</w:t>
            </w:r>
          </w:p>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号：</w:t>
            </w:r>
            <w:r>
              <w:rPr>
                <w:rFonts w:ascii="Calibri" w:hAnsi="Calibri" w:cs="Calibri" w:eastAsia="Calibri" w:hint="default"/>
                <w:sz w:val="21"/>
                <w:szCs w:val="21"/>
              </w:rPr>
              <w:t>2018-010</w:t>
            </w:r>
            <w:r>
              <w:rPr>
                <w:rFonts w:ascii="宋体" w:hAnsi="宋体" w:cs="宋体" w:eastAsia="宋体" w:hint="default"/>
                <w:sz w:val="21"/>
                <w:szCs w:val="21"/>
              </w:rPr>
              <w:t>）</w:t>
            </w:r>
          </w:p>
        </w:tc>
      </w:tr>
      <w:tr>
        <w:trPr>
          <w:trHeight w:val="137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both"/>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Calibri" w:hAnsi="Calibri" w:cs="Calibri" w:eastAsia="Calibri" w:hint="default"/>
                <w:sz w:val="21"/>
                <w:szCs w:val="21"/>
              </w:rPr>
              <w:t>4</w:t>
            </w:r>
            <w:r>
              <w:rPr>
                <w:rFonts w:ascii="Calibri" w:hAnsi="Calibri" w:cs="Calibri" w:eastAsia="Calibri"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Calibri" w:hAnsi="Calibri" w:cs="Calibri" w:eastAsia="Calibri" w:hint="default"/>
                <w:sz w:val="21"/>
                <w:szCs w:val="21"/>
              </w:rPr>
              <w:t>1</w:t>
            </w:r>
            <w:r>
              <w:rPr>
                <w:rFonts w:ascii="Calibri" w:hAnsi="Calibri" w:cs="Calibri" w:eastAsia="Calibri" w:hint="default"/>
                <w:spacing w:val="15"/>
                <w:sz w:val="21"/>
                <w:szCs w:val="21"/>
              </w:rPr>
              <w:t> </w:t>
            </w:r>
            <w:r>
              <w:rPr>
                <w:rFonts w:ascii="宋体" w:hAnsi="宋体" w:cs="宋体" w:eastAsia="宋体" w:hint="default"/>
                <w:sz w:val="21"/>
                <w:szCs w:val="21"/>
              </w:rPr>
              <w:t>日，公司召开了第七届董事会第</w:t>
            </w:r>
          </w:p>
          <w:p>
            <w:pPr>
              <w:pStyle w:val="TableParagraph"/>
              <w:spacing w:line="230" w:lineRule="auto"/>
              <w:ind w:left="103" w:right="91"/>
              <w:jc w:val="both"/>
              <w:rPr>
                <w:rFonts w:ascii="宋体" w:hAnsi="宋体" w:cs="宋体" w:eastAsia="宋体" w:hint="default"/>
                <w:sz w:val="21"/>
                <w:szCs w:val="21"/>
              </w:rPr>
            </w:pPr>
            <w:r>
              <w:rPr>
                <w:rFonts w:ascii="宋体" w:hAnsi="宋体" w:cs="宋体" w:eastAsia="宋体" w:hint="default"/>
                <w:sz w:val="21"/>
                <w:szCs w:val="21"/>
              </w:rPr>
              <w:t>十八次会议，审议通过了《关于公司</w:t>
            </w:r>
            <w:r>
              <w:rPr>
                <w:rFonts w:ascii="宋体" w:hAnsi="宋体" w:cs="宋体" w:eastAsia="宋体" w:hint="default"/>
                <w:spacing w:val="-57"/>
                <w:sz w:val="21"/>
                <w:szCs w:val="21"/>
              </w:rPr>
              <w:t> </w:t>
            </w:r>
            <w:r>
              <w:rPr>
                <w:rFonts w:ascii="Calibri" w:hAnsi="Calibri" w:cs="Calibri" w:eastAsia="Calibri" w:hint="default"/>
                <w:sz w:val="21"/>
                <w:szCs w:val="21"/>
              </w:rPr>
              <w:t>2019</w:t>
            </w:r>
            <w:r>
              <w:rPr>
                <w:rFonts w:ascii="Calibri" w:hAnsi="Calibri" w:cs="Calibri" w:eastAsia="Calibri" w:hint="default"/>
                <w:spacing w:val="4"/>
                <w:sz w:val="21"/>
                <w:szCs w:val="21"/>
              </w:rPr>
              <w:t> </w:t>
            </w:r>
            <w:r>
              <w:rPr>
                <w:rFonts w:ascii="宋体" w:hAnsi="宋体" w:cs="宋体" w:eastAsia="宋体" w:hint="default"/>
                <w:spacing w:val="-3"/>
                <w:sz w:val="21"/>
                <w:szCs w:val="21"/>
              </w:rPr>
              <w:t>年度</w:t>
            </w:r>
            <w:r>
              <w:rPr>
                <w:rFonts w:ascii="宋体" w:hAnsi="宋体" w:cs="宋体" w:eastAsia="宋体" w:hint="default"/>
                <w:spacing w:val="-3"/>
                <w:w w:val="100"/>
                <w:sz w:val="21"/>
                <w:szCs w:val="21"/>
              </w:rPr>
              <w:t> </w:t>
            </w:r>
            <w:r>
              <w:rPr>
                <w:rFonts w:ascii="宋体" w:hAnsi="宋体" w:cs="宋体" w:eastAsia="宋体" w:hint="default"/>
                <w:spacing w:val="-7"/>
                <w:sz w:val="21"/>
                <w:szCs w:val="21"/>
              </w:rPr>
              <w:t>日常关联交易预计的议案》，预计向关联方中信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证券及其控股子公司销售商品、提供劳务共计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Calibri" w:hAnsi="Calibri" w:cs="Calibri" w:eastAsia="Calibri" w:hint="default"/>
                <w:sz w:val="21"/>
                <w:szCs w:val="21"/>
              </w:rPr>
              <w:t>1200</w:t>
            </w:r>
            <w:r>
              <w:rPr>
                <w:rFonts w:ascii="Calibri" w:hAnsi="Calibri" w:cs="Calibri" w:eastAsia="Calibri" w:hint="default"/>
                <w:spacing w:val="5"/>
                <w:sz w:val="21"/>
                <w:szCs w:val="21"/>
              </w:rPr>
              <w:t> </w:t>
            </w:r>
            <w:r>
              <w:rPr>
                <w:rFonts w:ascii="宋体" w:hAnsi="宋体" w:cs="宋体" w:eastAsia="宋体" w:hint="default"/>
                <w:sz w:val="21"/>
                <w:szCs w:val="21"/>
              </w:rPr>
              <w:t>万元。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公告详见公司于</w:t>
            </w:r>
            <w:r>
              <w:rPr>
                <w:rFonts w:ascii="宋体" w:hAnsi="宋体" w:cs="宋体" w:eastAsia="宋体" w:hint="default"/>
                <w:spacing w:val="-1"/>
                <w:sz w:val="21"/>
                <w:szCs w:val="21"/>
              </w:rPr>
              <w:t> </w:t>
            </w:r>
            <w:r>
              <w:rPr>
                <w:rFonts w:ascii="宋体" w:hAnsi="宋体" w:cs="宋体" w:eastAsia="宋体" w:hint="default"/>
                <w:sz w:val="21"/>
                <w:szCs w:val="21"/>
              </w:rPr>
              <w:t>2019</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w:t>
            </w:r>
            <w:r>
              <w:rPr>
                <w:rFonts w:ascii="宋体" w:hAnsi="宋体" w:cs="宋体" w:eastAsia="宋体" w:hint="default"/>
                <w:spacing w:val="-65"/>
                <w:sz w:val="21"/>
                <w:szCs w:val="21"/>
              </w:rPr>
              <w:t> </w:t>
            </w:r>
            <w:r>
              <w:rPr>
                <w:rFonts w:ascii="宋体" w:hAnsi="宋体" w:cs="宋体" w:eastAsia="宋体" w:hint="default"/>
                <w:sz w:val="21"/>
                <w:szCs w:val="21"/>
              </w:rPr>
              <w:t>日在上海证券交</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5"/>
                <w:sz w:val="21"/>
                <w:szCs w:val="21"/>
              </w:rPr>
              <w:t>易所（</w:t>
            </w:r>
            <w:hyperlink r:id="rId9">
              <w:r>
                <w:rPr>
                  <w:rFonts w:ascii="宋体" w:hAnsi="宋体" w:cs="宋体" w:eastAsia="宋体" w:hint="default"/>
                  <w:spacing w:val="-5"/>
                  <w:sz w:val="21"/>
                  <w:szCs w:val="21"/>
                </w:rPr>
                <w:t>http://www.sse.com.cn/</w:t>
              </w:r>
            </w:hyperlink>
            <w:r>
              <w:rPr>
                <w:rFonts w:ascii="宋体" w:hAnsi="宋体" w:cs="宋体" w:eastAsia="宋体" w:hint="default"/>
                <w:spacing w:val="-5"/>
                <w:sz w:val="21"/>
                <w:szCs w:val="21"/>
              </w:rPr>
              <w:t>）披露的《顶点</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软件关于</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年度日常关联交易预计的公告》</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2019-016</w:t>
            </w:r>
            <w:r>
              <w:rPr>
                <w:rFonts w:ascii="宋体" w:hAnsi="宋体" w:cs="宋体" w:eastAsia="宋体" w:hint="default"/>
                <w:sz w:val="21"/>
                <w:szCs w:val="21"/>
              </w:rPr>
              <w:t>）。</w:t>
            </w:r>
          </w:p>
        </w:tc>
      </w:tr>
    </w:tbl>
    <w:p>
      <w:pPr>
        <w:spacing w:line="240" w:lineRule="auto" w:before="12"/>
        <w:rPr>
          <w:rFonts w:ascii="宋体" w:hAnsi="宋体" w:cs="宋体" w:eastAsia="宋体" w:hint="default"/>
          <w:sz w:val="19"/>
          <w:szCs w:val="19"/>
        </w:rPr>
      </w:pPr>
    </w:p>
    <w:p>
      <w:pPr>
        <w:pStyle w:val="Heading4"/>
        <w:spacing w:line="240" w:lineRule="auto" w:before="36"/>
        <w:ind w:right="22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22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8"/>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40" w:lineRule="auto" w:before="14"/>
        <w:ind w:right="22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27"/>
        <w:jc w:val="left"/>
      </w:pPr>
      <w:r>
        <w:rPr/>
        <w:t>□适用</w:t>
      </w:r>
      <w:r>
        <w:rPr>
          <w:spacing w:val="-1"/>
        </w:rPr>
        <w:t> </w:t>
      </w:r>
      <w:r>
        <w:rPr/>
        <w:t>√不适用</w:t>
      </w:r>
    </w:p>
    <w:p>
      <w:pPr>
        <w:pStyle w:val="Heading4"/>
        <w:spacing w:line="240" w:lineRule="auto" w:before="58"/>
        <w:ind w:right="22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227"/>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left="13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left"/>
      </w:pPr>
      <w:r>
        <w:rPr/>
        <w:t>□适用</w:t>
      </w:r>
      <w:r>
        <w:rPr>
          <w:spacing w:val="-1"/>
        </w:rPr>
        <w:t> </w:t>
      </w:r>
      <w:r>
        <w:rPr/>
        <w:t>√不适用</w:t>
      </w:r>
    </w:p>
    <w:p>
      <w:pPr>
        <w:pStyle w:val="Heading4"/>
        <w:spacing w:line="240" w:lineRule="auto" w:before="58"/>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left"/>
      </w:pPr>
      <w:r>
        <w:rPr/>
        <w:t>□适用</w:t>
      </w:r>
      <w:r>
        <w:rPr>
          <w:spacing w:val="-1"/>
        </w:rPr>
        <w:t> </w:t>
      </w:r>
      <w:r>
        <w:rPr/>
        <w:t>√不适用</w:t>
      </w:r>
    </w:p>
    <w:p>
      <w:pPr>
        <w:pStyle w:val="Heading4"/>
        <w:spacing w:line="240" w:lineRule="auto" w:before="58"/>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38" w:right="0"/>
        <w:jc w:val="left"/>
      </w:pPr>
      <w:r>
        <w:rPr/>
        <w:t>□适用</w:t>
      </w:r>
      <w:r>
        <w:rPr>
          <w:spacing w:val="-1"/>
        </w:rPr>
        <w:t> </w:t>
      </w:r>
      <w:r>
        <w:rPr/>
        <w:t>√不适用</w:t>
      </w:r>
    </w:p>
    <w:p>
      <w:pPr>
        <w:pStyle w:val="Heading4"/>
        <w:spacing w:line="240" w:lineRule="auto" w:before="58"/>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29"/>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90" w:lineRule="auto"/>
        <w:ind w:left="138" w:right="60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4"/>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7"/>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13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4"/>
          <w:pgSz w:w="11910" w:h="16840"/>
          <w:pgMar w:footer="1195" w:header="880" w:top="1120" w:bottom="1380" w:left="1580" w:right="1040"/>
        </w:sectPr>
      </w:pPr>
    </w:p>
    <w:p>
      <w:pPr>
        <w:pStyle w:val="Heading4"/>
        <w:tabs>
          <w:tab w:pos="642" w:val="left" w:leader="none"/>
          <w:tab w:pos="1057" w:val="left" w:leader="none"/>
        </w:tabs>
        <w:spacing w:line="290" w:lineRule="auto" w:before="3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4"/>
        <w:spacing w:line="240" w:lineRule="auto" w:before="12"/>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060" w:val="left" w:leader="none"/>
        </w:tabs>
        <w:spacing w:line="240" w:lineRule="auto" w:before="58"/>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2" w:space="230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20"/>
        <w:gridCol w:w="1652"/>
        <w:gridCol w:w="1896"/>
        <w:gridCol w:w="1687"/>
        <w:gridCol w:w="2194"/>
      </w:tblGrid>
      <w:tr>
        <w:trPr>
          <w:trHeight w:val="28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未到期余额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620,000,000.00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180,000,000.00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120,000,000.00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券商理财产品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280,000,000.00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580,000,000.00</w:t>
            </w: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4"/>
        <w:spacing w:line="274" w:lineRule="exact" w:before="36"/>
        <w:ind w:right="227"/>
        <w:jc w:val="left"/>
        <w:rPr>
          <w:b w:val="0"/>
          <w:bCs w:val="0"/>
        </w:rPr>
      </w:pPr>
      <w:r>
        <w:rPr/>
        <w:t>其他情况</w:t>
      </w:r>
      <w:r>
        <w:rPr>
          <w:b w:val="0"/>
          <w:bCs w:val="0"/>
        </w:rPr>
      </w:r>
    </w:p>
    <w:p>
      <w:pPr>
        <w:pStyle w:val="BodyText"/>
        <w:tabs>
          <w:tab w:pos="1060" w:val="left" w:leader="none"/>
        </w:tabs>
        <w:spacing w:line="274" w:lineRule="exact"/>
        <w:ind w:right="227"/>
        <w:jc w:val="left"/>
      </w:pPr>
      <w:r>
        <w:rPr>
          <w:spacing w:val="-1"/>
        </w:rPr>
        <w:t>□适用</w:t>
        <w:tab/>
      </w:r>
      <w:r>
        <w:rPr>
          <w:spacing w:val="-2"/>
        </w:rPr>
        <w:t>√不适用</w:t>
      </w:r>
    </w:p>
    <w:p>
      <w:pPr>
        <w:spacing w:after="0" w:line="274"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15"/>
          <w:footerReference w:type="default" r:id="rId16"/>
          <w:pgSz w:w="16840" w:h="11910" w:orient="landscape"/>
          <w:pgMar w:header="882" w:footer="1195" w:top="1120" w:bottom="1380" w:left="1220" w:right="1300"/>
          <w:pgNumType w:start="31"/>
        </w:sectPr>
      </w:pPr>
    </w:p>
    <w:p>
      <w:pPr>
        <w:pStyle w:val="Heading4"/>
        <w:spacing w:line="240" w:lineRule="auto" w:before="36"/>
        <w:ind w:left="22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062" w:val="left" w:leader="none"/>
        </w:tabs>
        <w:spacing w:line="240" w:lineRule="auto" w:before="56"/>
        <w:ind w:left="22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271" w:space="9292"/>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42"/>
        <w:gridCol w:w="646"/>
        <w:gridCol w:w="1685"/>
        <w:gridCol w:w="1268"/>
        <w:gridCol w:w="1265"/>
        <w:gridCol w:w="454"/>
        <w:gridCol w:w="1690"/>
        <w:gridCol w:w="708"/>
        <w:gridCol w:w="852"/>
        <w:gridCol w:w="1359"/>
        <w:gridCol w:w="1318"/>
        <w:gridCol w:w="425"/>
        <w:gridCol w:w="427"/>
        <w:gridCol w:w="425"/>
        <w:gridCol w:w="528"/>
      </w:tblGrid>
      <w:tr>
        <w:trPr>
          <w:trHeight w:val="3279"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99"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08" w:right="103"/>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08" w:right="0"/>
              <w:jc w:val="left"/>
              <w:rPr>
                <w:rFonts w:ascii="宋体" w:hAnsi="宋体" w:cs="宋体" w:eastAsia="宋体" w:hint="default"/>
                <w:sz w:val="21"/>
                <w:szCs w:val="21"/>
              </w:rPr>
            </w:pPr>
            <w:r>
              <w:rPr>
                <w:rFonts w:ascii="宋体" w:hAnsi="宋体" w:cs="宋体" w:eastAsia="宋体" w:hint="default"/>
                <w:sz w:val="21"/>
                <w:szCs w:val="21"/>
              </w:rPr>
              <w:t>委托理财金额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72" w:lineRule="exact"/>
              <w:ind w:left="312" w:right="99" w:hanging="210"/>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72" w:lineRule="exact"/>
              <w:ind w:left="312" w:right="96" w:hanging="209"/>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9"/>
              <w:ind w:left="115" w:right="115"/>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72" w:lineRule="exact"/>
              <w:ind w:left="629" w:right="626"/>
              <w:jc w:val="center"/>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36" w:right="137"/>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05" w:right="101"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357" w:right="250" w:hanging="104"/>
              <w:jc w:val="left"/>
              <w:rPr>
                <w:rFonts w:ascii="宋体" w:hAnsi="宋体" w:cs="宋体" w:eastAsia="宋体" w:hint="default"/>
                <w:sz w:val="21"/>
                <w:szCs w:val="21"/>
              </w:rPr>
            </w:pPr>
            <w:r>
              <w:rPr>
                <w:rFonts w:ascii="宋体" w:hAnsi="宋体" w:cs="宋体" w:eastAsia="宋体" w:hint="default"/>
                <w:sz w:val="21"/>
                <w:szCs w:val="21"/>
              </w:rPr>
              <w:t>预期收益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如有</w:t>
            </w: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72" w:lineRule="exact"/>
              <w:ind w:left="129" w:right="122" w:firstLine="314"/>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53" w:right="151"/>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2" w:lineRule="exact" w:before="26"/>
              <w:ind w:left="153" w:right="151"/>
              <w:jc w:val="both"/>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p>
            <w:pPr>
              <w:pStyle w:val="TableParagraph"/>
              <w:spacing w:line="249" w:lineRule="exact"/>
              <w:ind w:right="0"/>
              <w:jc w:val="center"/>
              <w:rPr>
                <w:rFonts w:ascii="宋体" w:hAnsi="宋体" w:cs="宋体" w:eastAsia="宋体" w:hint="default"/>
                <w:sz w:val="21"/>
                <w:szCs w:val="21"/>
              </w:rPr>
            </w:pPr>
            <w:r>
              <w:rPr>
                <w:rFonts w:ascii="宋体"/>
                <w:w w:val="100"/>
                <w:sz w:val="21"/>
              </w:rPr>
              <w:t>)</w:t>
            </w:r>
          </w:p>
        </w:tc>
      </w:tr>
      <w:tr>
        <w:trPr>
          <w:trHeight w:val="164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司武汉</w:t>
            </w:r>
            <w:r>
              <w:rPr>
                <w:rFonts w:ascii="宋体" w:hAnsi="宋体" w:cs="宋体" w:eastAsia="宋体" w:hint="default"/>
                <w:spacing w:val="-102"/>
                <w:sz w:val="21"/>
                <w:szCs w:val="21"/>
              </w:rPr>
              <w:t> </w:t>
            </w:r>
            <w:r>
              <w:rPr>
                <w:rFonts w:ascii="宋体" w:hAnsi="宋体" w:cs="宋体" w:eastAsia="宋体" w:hint="default"/>
                <w:sz w:val="21"/>
                <w:szCs w:val="21"/>
              </w:rPr>
              <w:t>光谷科</w:t>
            </w:r>
            <w:r>
              <w:rPr>
                <w:rFonts w:ascii="宋体" w:hAnsi="宋体" w:cs="宋体" w:eastAsia="宋体" w:hint="default"/>
                <w:spacing w:val="-102"/>
                <w:sz w:val="21"/>
                <w:szCs w:val="21"/>
              </w:rPr>
              <w:t> </w:t>
            </w:r>
            <w:r>
              <w:rPr>
                <w:rFonts w:ascii="宋体" w:hAnsi="宋体" w:cs="宋体" w:eastAsia="宋体" w:hint="default"/>
                <w:sz w:val="21"/>
                <w:szCs w:val="21"/>
              </w:rPr>
              <w:t>技支行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30,000,000.00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2018-4-3</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为黄金价格每盎</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司黄金的美元标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价，黄金水平为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伦敦金银市场协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会发布的下午定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盘价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310,684.93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310,684.93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35,000,000.00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2018-5-2</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4.60%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485,205.48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485,205.48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25,000,000.00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2018-5-2</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4.60%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346,575.34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346,575.34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42"/>
        <w:gridCol w:w="646"/>
        <w:gridCol w:w="1685"/>
        <w:gridCol w:w="1268"/>
        <w:gridCol w:w="1265"/>
        <w:gridCol w:w="454"/>
        <w:gridCol w:w="1690"/>
        <w:gridCol w:w="708"/>
        <w:gridCol w:w="852"/>
        <w:gridCol w:w="1359"/>
        <w:gridCol w:w="1318"/>
        <w:gridCol w:w="425"/>
        <w:gridCol w:w="427"/>
        <w:gridCol w:w="425"/>
        <w:gridCol w:w="528"/>
      </w:tblGrid>
      <w:tr>
        <w:trPr>
          <w:trHeight w:val="191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国泰君</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安证券</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2018-4-2</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补充证券公司营</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运资金，主要投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向证券公司资本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中介业务及其他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创新业务，提升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公司多元化业务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收入水平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4.90%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8" w:right="0"/>
              <w:jc w:val="center"/>
              <w:rPr>
                <w:rFonts w:ascii="Times New Roman" w:hAnsi="Times New Roman" w:cs="Times New Roman" w:eastAsia="Times New Roman" w:hint="default"/>
                <w:sz w:val="21"/>
                <w:szCs w:val="21"/>
              </w:rPr>
            </w:pPr>
            <w:r>
              <w:rPr>
                <w:rFonts w:ascii="Times New Roman"/>
                <w:sz w:val="21"/>
              </w:rPr>
              <w:t>434,958.90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434,958.90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华宝证</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券有限</w:t>
            </w:r>
            <w:r>
              <w:rPr>
                <w:rFonts w:ascii="宋体" w:hAnsi="宋体" w:cs="宋体" w:eastAsia="宋体" w:hint="default"/>
                <w:spacing w:val="-102"/>
                <w:sz w:val="21"/>
                <w:szCs w:val="21"/>
              </w:rPr>
              <w:t> </w:t>
            </w:r>
            <w:r>
              <w:rPr>
                <w:rFonts w:ascii="宋体" w:hAnsi="宋体" w:cs="宋体" w:eastAsia="宋体" w:hint="default"/>
                <w:sz w:val="21"/>
                <w:szCs w:val="21"/>
              </w:rPr>
              <w:t>责任公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2018-7-17</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补充发行人运营</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资金且不超过公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司自有资金使用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范围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5.00%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2" w:right="0"/>
              <w:jc w:val="center"/>
              <w:rPr>
                <w:rFonts w:ascii="Times New Roman" w:hAnsi="Times New Roman" w:cs="Times New Roman" w:eastAsia="Times New Roman" w:hint="default"/>
                <w:sz w:val="21"/>
                <w:szCs w:val="21"/>
              </w:rPr>
            </w:pPr>
            <w:r>
              <w:rPr>
                <w:rFonts w:ascii="Times New Roman"/>
                <w:sz w:val="21"/>
              </w:rPr>
              <w:t>1,239,726.03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1,239,726.03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华宝证</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券有限</w:t>
            </w:r>
            <w:r>
              <w:rPr>
                <w:rFonts w:ascii="宋体" w:hAnsi="宋体" w:cs="宋体" w:eastAsia="宋体" w:hint="default"/>
                <w:spacing w:val="-102"/>
                <w:sz w:val="21"/>
                <w:szCs w:val="21"/>
              </w:rPr>
              <w:t> </w:t>
            </w:r>
            <w:r>
              <w:rPr>
                <w:rFonts w:ascii="宋体" w:hAnsi="宋体" w:cs="宋体" w:eastAsia="宋体" w:hint="default"/>
                <w:sz w:val="21"/>
                <w:szCs w:val="21"/>
              </w:rPr>
              <w:t>责任公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2018-4-23</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补充发行人运营</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资金且不超过公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司自有资金使用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范围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4.90%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8" w:right="0"/>
              <w:jc w:val="center"/>
              <w:rPr>
                <w:rFonts w:ascii="Times New Roman" w:hAnsi="Times New Roman" w:cs="Times New Roman" w:eastAsia="Times New Roman" w:hint="default"/>
                <w:sz w:val="21"/>
                <w:szCs w:val="21"/>
              </w:rPr>
            </w:pPr>
            <w:r>
              <w:rPr>
                <w:rFonts w:ascii="Times New Roman"/>
                <w:sz w:val="21"/>
              </w:rPr>
              <w:t>637,671.23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637,671.23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3008"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东兴证</w:t>
            </w:r>
          </w:p>
          <w:p>
            <w:pPr>
              <w:pStyle w:val="TableParagraph"/>
              <w:spacing w:line="237" w:lineRule="auto" w:before="1"/>
              <w:ind w:left="103" w:right="293"/>
              <w:jc w:val="both"/>
              <w:rPr>
                <w:rFonts w:ascii="宋体" w:hAnsi="宋体" w:cs="宋体" w:eastAsia="宋体" w:hint="default"/>
                <w:sz w:val="21"/>
                <w:szCs w:val="21"/>
              </w:rPr>
            </w:pP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2018-1-23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2018-6-4</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1"/>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可用于补充公司</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z w:val="21"/>
                <w:szCs w:val="21"/>
              </w:rPr>
              <w:t>运营资金；可投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4"/>
                <w:w w:val="100"/>
                <w:sz w:val="21"/>
                <w:szCs w:val="21"/>
              </w:rPr>
              <w:t>资于存款、债券、</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货币基金等固定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收益类资产，融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资融券业务、股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票质押式回购交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易等资本中介业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务及其他业务，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不得投资涉及股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权类产品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40" w:lineRule="auto"/>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98" w:right="0"/>
              <w:jc w:val="center"/>
              <w:rPr>
                <w:rFonts w:ascii="Times New Roman" w:hAnsi="Times New Roman" w:cs="Times New Roman" w:eastAsia="Times New Roman" w:hint="default"/>
                <w:sz w:val="21"/>
                <w:szCs w:val="21"/>
              </w:rPr>
            </w:pPr>
            <w:r>
              <w:rPr>
                <w:rFonts w:ascii="Times New Roman"/>
                <w:sz w:val="21"/>
              </w:rPr>
              <w:t>910,958.90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910,958.90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东兴证</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2018-8-6</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可用于补充公司</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运营资金；可投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4"/>
                <w:w w:val="100"/>
                <w:sz w:val="21"/>
                <w:szCs w:val="21"/>
              </w:rPr>
              <w:t>资于存款、债券、</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货币基金等固定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收益类资产，融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40" w:lineRule="auto"/>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5.10%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sz w:val="21"/>
              </w:rPr>
              <w:t>1,525,808.22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1,525,808.21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42"/>
        <w:gridCol w:w="646"/>
        <w:gridCol w:w="1685"/>
        <w:gridCol w:w="1268"/>
        <w:gridCol w:w="1265"/>
        <w:gridCol w:w="454"/>
        <w:gridCol w:w="1690"/>
        <w:gridCol w:w="708"/>
        <w:gridCol w:w="852"/>
        <w:gridCol w:w="1359"/>
        <w:gridCol w:w="1318"/>
        <w:gridCol w:w="425"/>
        <w:gridCol w:w="427"/>
        <w:gridCol w:w="425"/>
        <w:gridCol w:w="528"/>
      </w:tblGrid>
      <w:tr>
        <w:trPr>
          <w:trHeight w:val="1644" w:hRule="exact"/>
        </w:trPr>
        <w:tc>
          <w:tcPr>
            <w:tcW w:w="10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资融券业务、股</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票质押式回购交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易等资本中介业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务及其他业务，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不得投资涉及股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权类产品</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before="1"/>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60,000,000.00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2018-3-2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2018-6-15</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before="1"/>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4.40%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8" w:right="0"/>
              <w:jc w:val="center"/>
              <w:rPr>
                <w:rFonts w:ascii="Times New Roman" w:hAnsi="Times New Roman" w:cs="Times New Roman" w:eastAsia="Times New Roman" w:hint="default"/>
                <w:sz w:val="21"/>
                <w:szCs w:val="21"/>
              </w:rPr>
            </w:pPr>
            <w:r>
              <w:rPr>
                <w:rFonts w:ascii="Times New Roman"/>
                <w:sz w:val="21"/>
              </w:rPr>
              <w:t>759,452.05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759,452.06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国泰君</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安证券</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40,000,000.00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2018-2-28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2018-9-25</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补充公司营运资</w:t>
            </w:r>
          </w:p>
          <w:p>
            <w:pPr>
              <w:pStyle w:val="TableParagraph"/>
              <w:spacing w:line="237" w:lineRule="auto" w:before="2"/>
              <w:ind w:left="103" w:right="101"/>
              <w:jc w:val="left"/>
              <w:rPr>
                <w:rFonts w:ascii="宋体" w:hAnsi="宋体" w:cs="宋体" w:eastAsia="宋体" w:hint="default"/>
                <w:sz w:val="21"/>
                <w:szCs w:val="21"/>
              </w:rPr>
            </w:pPr>
            <w:r>
              <w:rPr>
                <w:rFonts w:ascii="宋体" w:hAnsi="宋体" w:cs="宋体" w:eastAsia="宋体" w:hint="default"/>
                <w:sz w:val="21"/>
                <w:szCs w:val="21"/>
              </w:rPr>
              <w:t>金，主要投向公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司资本中介业务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及其他创新业</w:t>
            </w:r>
            <w:r>
              <w:rPr>
                <w:rFonts w:ascii="宋体" w:hAnsi="宋体" w:cs="宋体" w:eastAsia="宋体" w:hint="default"/>
                <w:w w:val="100"/>
                <w:sz w:val="21"/>
                <w:szCs w:val="21"/>
              </w:rPr>
              <w:t> </w:t>
            </w:r>
            <w:r>
              <w:rPr>
                <w:rFonts w:ascii="宋体" w:hAnsi="宋体" w:cs="宋体" w:eastAsia="宋体" w:hint="default"/>
                <w:sz w:val="21"/>
                <w:szCs w:val="21"/>
              </w:rPr>
              <w:t>务，提升公司多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元化业务收入水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4.95%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sz w:val="21"/>
              </w:rPr>
              <w:t>1,139,178.08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1,139,178.08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中国民</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生银行</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福州分</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10,000,000.00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2018-3-28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2018-9-28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汇集资金作为名</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义本金，并以该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名义本金的资金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成本与交易对手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叙作投资收益和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3ML</w:t>
            </w:r>
            <w:r>
              <w:rPr>
                <w:rFonts w:ascii="宋体" w:hAnsi="宋体" w:cs="宋体" w:eastAsia="宋体" w:hint="default"/>
                <w:spacing w:val="-52"/>
                <w:sz w:val="21"/>
                <w:szCs w:val="21"/>
              </w:rPr>
              <w:t> </w:t>
            </w:r>
            <w:r>
              <w:rPr>
                <w:rFonts w:ascii="宋体" w:hAnsi="宋体" w:cs="宋体" w:eastAsia="宋体" w:hint="default"/>
                <w:sz w:val="21"/>
                <w:szCs w:val="21"/>
              </w:rPr>
              <w:t>挂钩的金融</w:t>
            </w:r>
            <w:r>
              <w:rPr>
                <w:rFonts w:ascii="宋体" w:hAnsi="宋体" w:cs="宋体" w:eastAsia="宋体" w:hint="default"/>
                <w:w w:val="100"/>
                <w:sz w:val="21"/>
                <w:szCs w:val="21"/>
              </w:rPr>
              <w:t> </w:t>
            </w:r>
            <w:r>
              <w:rPr>
                <w:rFonts w:ascii="宋体" w:hAnsi="宋体" w:cs="宋体" w:eastAsia="宋体" w:hint="default"/>
                <w:sz w:val="21"/>
                <w:szCs w:val="21"/>
              </w:rPr>
              <w:t>衍生品交易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40" w:lineRule="auto"/>
              <w:ind w:left="100" w:right="173"/>
              <w:jc w:val="left"/>
              <w:rPr>
                <w:rFonts w:ascii="宋体" w:hAnsi="宋体" w:cs="宋体" w:eastAsia="宋体" w:hint="default"/>
                <w:sz w:val="21"/>
                <w:szCs w:val="21"/>
              </w:rPr>
            </w:pP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8" w:right="0"/>
              <w:jc w:val="center"/>
              <w:rPr>
                <w:rFonts w:ascii="Times New Roman" w:hAnsi="Times New Roman" w:cs="Times New Roman" w:eastAsia="Times New Roman" w:hint="default"/>
                <w:sz w:val="21"/>
                <w:szCs w:val="21"/>
              </w:rPr>
            </w:pPr>
            <w:r>
              <w:rPr>
                <w:rFonts w:ascii="Times New Roman"/>
                <w:sz w:val="21"/>
              </w:rPr>
              <w:t>229,369.86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229,369.86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国泰君</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安证券</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2018-6-27</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募集的资金用于</w:t>
            </w:r>
          </w:p>
          <w:p>
            <w:pPr>
              <w:pStyle w:val="TableParagraph"/>
              <w:spacing w:line="237" w:lineRule="auto" w:before="2"/>
              <w:ind w:left="103" w:right="101"/>
              <w:jc w:val="left"/>
              <w:rPr>
                <w:rFonts w:ascii="宋体" w:hAnsi="宋体" w:cs="宋体" w:eastAsia="宋体" w:hint="default"/>
                <w:sz w:val="21"/>
                <w:szCs w:val="21"/>
              </w:rPr>
            </w:pPr>
            <w:r>
              <w:rPr>
                <w:rFonts w:ascii="宋体" w:hAnsi="宋体" w:cs="宋体" w:eastAsia="宋体" w:hint="default"/>
                <w:sz w:val="21"/>
                <w:szCs w:val="21"/>
              </w:rPr>
              <w:t>补充公司营运资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金，主要投向公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司资本中介业务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及其他创新业</w:t>
            </w:r>
            <w:r>
              <w:rPr>
                <w:rFonts w:ascii="宋体" w:hAnsi="宋体" w:cs="宋体" w:eastAsia="宋体" w:hint="default"/>
                <w:w w:val="100"/>
                <w:sz w:val="21"/>
                <w:szCs w:val="21"/>
              </w:rPr>
              <w:t> </w:t>
            </w:r>
            <w:r>
              <w:rPr>
                <w:rFonts w:ascii="宋体" w:hAnsi="宋体" w:cs="宋体" w:eastAsia="宋体" w:hint="default"/>
                <w:sz w:val="21"/>
                <w:szCs w:val="21"/>
              </w:rPr>
              <w:t>务，提升公司多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4.65%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sz w:val="21"/>
              </w:rPr>
              <w:t>1,516,027.40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1,516,027.40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42"/>
        <w:gridCol w:w="646"/>
        <w:gridCol w:w="1685"/>
        <w:gridCol w:w="1268"/>
        <w:gridCol w:w="1265"/>
        <w:gridCol w:w="454"/>
        <w:gridCol w:w="1690"/>
        <w:gridCol w:w="708"/>
        <w:gridCol w:w="852"/>
        <w:gridCol w:w="1359"/>
        <w:gridCol w:w="1318"/>
        <w:gridCol w:w="425"/>
        <w:gridCol w:w="427"/>
        <w:gridCol w:w="425"/>
        <w:gridCol w:w="528"/>
      </w:tblGrid>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元化业务收入水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平</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司武汉</w:t>
            </w:r>
            <w:r>
              <w:rPr>
                <w:rFonts w:ascii="宋体" w:hAnsi="宋体" w:cs="宋体" w:eastAsia="宋体" w:hint="default"/>
                <w:spacing w:val="-102"/>
                <w:sz w:val="21"/>
                <w:szCs w:val="21"/>
              </w:rPr>
              <w:t> </w:t>
            </w:r>
            <w:r>
              <w:rPr>
                <w:rFonts w:ascii="宋体" w:hAnsi="宋体" w:cs="宋体" w:eastAsia="宋体" w:hint="default"/>
                <w:sz w:val="21"/>
                <w:szCs w:val="21"/>
              </w:rPr>
              <w:t>光谷科</w:t>
            </w:r>
            <w:r>
              <w:rPr>
                <w:rFonts w:ascii="宋体" w:hAnsi="宋体" w:cs="宋体" w:eastAsia="宋体" w:hint="default"/>
                <w:spacing w:val="-102"/>
                <w:sz w:val="21"/>
                <w:szCs w:val="21"/>
              </w:rPr>
              <w:t> </w:t>
            </w:r>
            <w:r>
              <w:rPr>
                <w:rFonts w:ascii="宋体" w:hAnsi="宋体" w:cs="宋体" w:eastAsia="宋体" w:hint="default"/>
                <w:sz w:val="21"/>
                <w:szCs w:val="21"/>
              </w:rPr>
              <w:t>技支行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2018-10-8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72" w:lineRule="exact" w:before="27"/>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为黄金价格每盎</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司黄金的美元标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价，黄金水平为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伦敦金银市场协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会发布的下午定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盘价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8" w:right="0"/>
              <w:jc w:val="center"/>
              <w:rPr>
                <w:rFonts w:ascii="Times New Roman" w:hAnsi="Times New Roman" w:cs="Times New Roman" w:eastAsia="Times New Roman" w:hint="default"/>
                <w:sz w:val="21"/>
                <w:szCs w:val="21"/>
              </w:rPr>
            </w:pPr>
            <w:r>
              <w:rPr>
                <w:rFonts w:ascii="Times New Roman"/>
                <w:sz w:val="21"/>
              </w:rPr>
              <w:t>668,589.04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668,589.04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2018-4-13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2018-6-29</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72" w:lineRule="exact" w:before="27"/>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8" w:right="0"/>
              <w:jc w:val="center"/>
              <w:rPr>
                <w:rFonts w:ascii="Times New Roman" w:hAnsi="Times New Roman" w:cs="Times New Roman" w:eastAsia="Times New Roman" w:hint="default"/>
                <w:sz w:val="21"/>
                <w:szCs w:val="21"/>
              </w:rPr>
            </w:pPr>
            <w:r>
              <w:rPr>
                <w:rFonts w:ascii="Times New Roman"/>
                <w:sz w:val="21"/>
              </w:rPr>
              <w:t>569,589.04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569,589.04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华宝证</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券有限</w:t>
            </w:r>
            <w:r>
              <w:rPr>
                <w:rFonts w:ascii="宋体" w:hAnsi="宋体" w:cs="宋体" w:eastAsia="宋体" w:hint="default"/>
                <w:spacing w:val="-102"/>
                <w:sz w:val="21"/>
                <w:szCs w:val="21"/>
              </w:rPr>
              <w:t> </w:t>
            </w:r>
            <w:r>
              <w:rPr>
                <w:rFonts w:ascii="宋体" w:hAnsi="宋体" w:cs="宋体" w:eastAsia="宋体" w:hint="default"/>
                <w:sz w:val="21"/>
                <w:szCs w:val="21"/>
              </w:rPr>
              <w:t>责任公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2018-10-31</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补充发行人运营</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资金且不超过公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司自有资金使用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范围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40" w:lineRule="auto"/>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5.20%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2" w:right="0"/>
              <w:jc w:val="center"/>
              <w:rPr>
                <w:rFonts w:ascii="Times New Roman" w:hAnsi="Times New Roman" w:cs="Times New Roman" w:eastAsia="Times New Roman" w:hint="default"/>
                <w:sz w:val="21"/>
                <w:szCs w:val="21"/>
              </w:rPr>
            </w:pPr>
            <w:r>
              <w:rPr>
                <w:rFonts w:ascii="Times New Roman"/>
                <w:sz w:val="21"/>
              </w:rPr>
              <w:t>1,296,438.36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1,296,438.36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2018-6-29</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4.15%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8" w:right="0"/>
              <w:jc w:val="center"/>
              <w:rPr>
                <w:rFonts w:ascii="Times New Roman" w:hAnsi="Times New Roman" w:cs="Times New Roman" w:eastAsia="Times New Roman" w:hint="default"/>
                <w:sz w:val="21"/>
                <w:szCs w:val="21"/>
              </w:rPr>
            </w:pPr>
            <w:r>
              <w:rPr>
                <w:rFonts w:ascii="Times New Roman"/>
                <w:sz w:val="21"/>
              </w:rPr>
              <w:t>177,369.86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177,369.86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2018-6-29</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4.15%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5" w:right="0"/>
              <w:jc w:val="center"/>
              <w:rPr>
                <w:rFonts w:ascii="Times New Roman" w:hAnsi="Times New Roman" w:cs="Times New Roman" w:eastAsia="Times New Roman" w:hint="default"/>
                <w:sz w:val="21"/>
                <w:szCs w:val="21"/>
              </w:rPr>
            </w:pPr>
            <w:r>
              <w:rPr>
                <w:rFonts w:ascii="Times New Roman"/>
                <w:sz w:val="21"/>
              </w:rPr>
              <w:t>118,246.58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118,246.58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东兴证</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2019-1-14</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可用于补充公司</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运营资金；可投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4"/>
                <w:w w:val="100"/>
                <w:sz w:val="21"/>
                <w:szCs w:val="21"/>
              </w:rPr>
              <w:t>资于存款、债券、</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货币基金等固定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40" w:lineRule="auto"/>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4.90%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sz w:val="21"/>
              </w:rPr>
              <w:t>1,490,136.99</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42"/>
        <w:gridCol w:w="646"/>
        <w:gridCol w:w="1685"/>
        <w:gridCol w:w="1268"/>
        <w:gridCol w:w="1265"/>
        <w:gridCol w:w="454"/>
        <w:gridCol w:w="1690"/>
        <w:gridCol w:w="708"/>
        <w:gridCol w:w="852"/>
        <w:gridCol w:w="1359"/>
        <w:gridCol w:w="1318"/>
        <w:gridCol w:w="425"/>
        <w:gridCol w:w="427"/>
        <w:gridCol w:w="425"/>
        <w:gridCol w:w="528"/>
      </w:tblGrid>
      <w:tr>
        <w:trPr>
          <w:trHeight w:val="1915" w:hRule="exact"/>
        </w:trPr>
        <w:tc>
          <w:tcPr>
            <w:tcW w:w="10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收益类资产，融</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资融券业务、股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票质押式回购交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易等资本中介业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务及其他业务，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不得投资涉及股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权类产品</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50,000,000.00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2018-6-22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2018-10-10</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4.65%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98" w:right="0"/>
              <w:jc w:val="center"/>
              <w:rPr>
                <w:rFonts w:ascii="Times New Roman" w:hAnsi="Times New Roman" w:cs="Times New Roman" w:eastAsia="Times New Roman" w:hint="default"/>
                <w:sz w:val="21"/>
                <w:szCs w:val="21"/>
              </w:rPr>
            </w:pPr>
            <w:r>
              <w:rPr>
                <w:rFonts w:ascii="Times New Roman"/>
                <w:sz w:val="21"/>
              </w:rPr>
              <w:t>700,684.93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700,684.93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国泰君</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安证券</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2018-10-10</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募集的资金用于</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z w:val="21"/>
                <w:szCs w:val="21"/>
              </w:rPr>
              <w:t>补充公司营运资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金，主要投向公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司资本中介业务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及其他创新业</w:t>
            </w:r>
            <w:r>
              <w:rPr>
                <w:rFonts w:ascii="宋体" w:hAnsi="宋体" w:cs="宋体" w:eastAsia="宋体" w:hint="default"/>
                <w:w w:val="100"/>
                <w:sz w:val="21"/>
                <w:szCs w:val="21"/>
              </w:rPr>
              <w:t> </w:t>
            </w:r>
            <w:r>
              <w:rPr>
                <w:rFonts w:ascii="宋体" w:hAnsi="宋体" w:cs="宋体" w:eastAsia="宋体" w:hint="default"/>
                <w:sz w:val="21"/>
                <w:szCs w:val="21"/>
              </w:rPr>
              <w:t>务，提升公司多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元化业务收入水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4.70%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sz w:val="21"/>
              </w:rPr>
              <w:t>1,339,178.08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1,339,178.08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50,000,000.00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2018-7-6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2018-9-30</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4.70%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8" w:right="0"/>
              <w:jc w:val="center"/>
              <w:rPr>
                <w:rFonts w:ascii="Times New Roman" w:hAnsi="Times New Roman" w:cs="Times New Roman" w:eastAsia="Times New Roman" w:hint="default"/>
                <w:sz w:val="21"/>
                <w:szCs w:val="21"/>
              </w:rPr>
            </w:pPr>
            <w:r>
              <w:rPr>
                <w:rFonts w:ascii="Times New Roman"/>
                <w:sz w:val="21"/>
              </w:rPr>
              <w:t>553,698.63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553,698.63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30,000,000.00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2018-7-9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2018-9-30</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4.70%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8" w:right="0"/>
              <w:jc w:val="center"/>
              <w:rPr>
                <w:rFonts w:ascii="Times New Roman" w:hAnsi="Times New Roman" w:cs="Times New Roman" w:eastAsia="Times New Roman" w:hint="default"/>
                <w:sz w:val="21"/>
                <w:szCs w:val="21"/>
              </w:rPr>
            </w:pPr>
            <w:r>
              <w:rPr>
                <w:rFonts w:ascii="Times New Roman"/>
                <w:sz w:val="21"/>
              </w:rPr>
              <w:t>320,630.14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320,630.14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2018-7-9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2018-9-30</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募</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4.70%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8" w:right="0"/>
              <w:jc w:val="center"/>
              <w:rPr>
                <w:rFonts w:ascii="Times New Roman" w:hAnsi="Times New Roman" w:cs="Times New Roman" w:eastAsia="Times New Roman" w:hint="default"/>
                <w:sz w:val="21"/>
                <w:szCs w:val="21"/>
              </w:rPr>
            </w:pPr>
            <w:r>
              <w:rPr>
                <w:rFonts w:ascii="Times New Roman"/>
                <w:sz w:val="21"/>
              </w:rPr>
              <w:t>213,753.42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213,753.43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到</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42"/>
        <w:gridCol w:w="646"/>
        <w:gridCol w:w="1685"/>
        <w:gridCol w:w="1268"/>
        <w:gridCol w:w="1265"/>
        <w:gridCol w:w="454"/>
        <w:gridCol w:w="1690"/>
        <w:gridCol w:w="708"/>
        <w:gridCol w:w="852"/>
        <w:gridCol w:w="1359"/>
        <w:gridCol w:w="1318"/>
        <w:gridCol w:w="425"/>
        <w:gridCol w:w="427"/>
        <w:gridCol w:w="425"/>
        <w:gridCol w:w="528"/>
      </w:tblGrid>
      <w:tr>
        <w:trPr>
          <w:trHeight w:val="1099"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行股份</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集</w:t>
            </w:r>
          </w:p>
          <w:p>
            <w:pPr>
              <w:pStyle w:val="TableParagraph"/>
              <w:spacing w:line="240" w:lineRule="auto"/>
              <w:ind w:left="103" w:right="127"/>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方式进行投资运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华宝证</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券有限</w:t>
            </w:r>
            <w:r>
              <w:rPr>
                <w:rFonts w:ascii="宋体" w:hAnsi="宋体" w:cs="宋体" w:eastAsia="宋体" w:hint="default"/>
                <w:spacing w:val="-102"/>
                <w:sz w:val="21"/>
                <w:szCs w:val="21"/>
              </w:rPr>
              <w:t> </w:t>
            </w:r>
            <w:r>
              <w:rPr>
                <w:rFonts w:ascii="宋体" w:hAnsi="宋体" w:cs="宋体" w:eastAsia="宋体" w:hint="default"/>
                <w:sz w:val="21"/>
                <w:szCs w:val="21"/>
              </w:rPr>
              <w:t>责任公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2018-7-27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2019-1-22</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补充发行人运营</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资金且不超过公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司自有资金使用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范围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40" w:lineRule="auto"/>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sz w:val="21"/>
              </w:rPr>
              <w:t>1,232,876.71</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东兴证</w:t>
            </w:r>
          </w:p>
          <w:p>
            <w:pPr>
              <w:pStyle w:val="TableParagraph"/>
              <w:spacing w:line="272" w:lineRule="exact" w:before="27"/>
              <w:ind w:left="103" w:right="293"/>
              <w:jc w:val="both"/>
              <w:rPr>
                <w:rFonts w:ascii="宋体" w:hAnsi="宋体" w:cs="宋体" w:eastAsia="宋体" w:hint="default"/>
                <w:sz w:val="21"/>
                <w:szCs w:val="21"/>
              </w:rPr>
            </w:pP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2018-8-9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2018-11-12</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2" w:lineRule="exact" w:before="27"/>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可用于补充公司</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运营资金；可投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4"/>
                <w:w w:val="100"/>
                <w:sz w:val="21"/>
                <w:szCs w:val="21"/>
              </w:rPr>
              <w:t>资于存款、债券、</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货币基金等固定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收益类资产，融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资融券业务、股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票质押式回购交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易等资本中介业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务及其他业务，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不得投资涉及股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权类产品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3.90%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8" w:right="0"/>
              <w:jc w:val="center"/>
              <w:rPr>
                <w:rFonts w:ascii="Times New Roman" w:hAnsi="Times New Roman" w:cs="Times New Roman" w:eastAsia="Times New Roman" w:hint="default"/>
                <w:sz w:val="21"/>
                <w:szCs w:val="21"/>
              </w:rPr>
            </w:pPr>
            <w:r>
              <w:rPr>
                <w:rFonts w:ascii="Times New Roman"/>
                <w:sz w:val="21"/>
              </w:rPr>
              <w:t>615,452.05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615,452.06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东方证</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2018-9-21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2018-12-18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用于补充发行人</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运营资金，保证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经活动顺利进行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2.80%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8" w:right="0"/>
              <w:jc w:val="center"/>
              <w:rPr>
                <w:rFonts w:ascii="Times New Roman" w:hAnsi="Times New Roman" w:cs="Times New Roman" w:eastAsia="Times New Roman" w:hint="default"/>
                <w:sz w:val="21"/>
                <w:szCs w:val="21"/>
              </w:rPr>
            </w:pPr>
            <w:r>
              <w:rPr>
                <w:rFonts w:ascii="Times New Roman"/>
                <w:sz w:val="21"/>
              </w:rPr>
              <w:t>204,821.92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204,821.92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2192"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国泰君</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安证券</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72" w:lineRule="exact" w:before="26"/>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2018-9-27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2018-12-26</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通过报价方式向</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证券公司符合条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件的客户融入资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金，同时约定证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券公司在回购到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期时向客户返还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融入资金、支付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相应收益的交易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72" w:lineRule="exact" w:before="26"/>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3.80%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98" w:right="0"/>
              <w:jc w:val="center"/>
              <w:rPr>
                <w:rFonts w:ascii="Times New Roman" w:hAnsi="Times New Roman" w:cs="Times New Roman" w:eastAsia="Times New Roman" w:hint="default"/>
                <w:sz w:val="21"/>
                <w:szCs w:val="21"/>
              </w:rPr>
            </w:pPr>
            <w:r>
              <w:rPr>
                <w:rFonts w:ascii="Times New Roman"/>
                <w:sz w:val="21"/>
              </w:rPr>
              <w:t>378,958.90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378,958.90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42"/>
        <w:gridCol w:w="646"/>
        <w:gridCol w:w="1685"/>
        <w:gridCol w:w="1268"/>
        <w:gridCol w:w="1265"/>
        <w:gridCol w:w="454"/>
        <w:gridCol w:w="1690"/>
        <w:gridCol w:w="708"/>
        <w:gridCol w:w="852"/>
        <w:gridCol w:w="1359"/>
        <w:gridCol w:w="1318"/>
        <w:gridCol w:w="425"/>
        <w:gridCol w:w="427"/>
        <w:gridCol w:w="425"/>
        <w:gridCol w:w="528"/>
      </w:tblGrid>
      <w:tr>
        <w:trPr>
          <w:trHeight w:val="191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中国民</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生银行</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福州分</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2018-9-28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汇集资金作为名</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义本金，并以该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名义本金的资金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成本与交易对手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叙作投资收益和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3ML</w:t>
            </w:r>
            <w:r>
              <w:rPr>
                <w:rFonts w:ascii="宋体" w:hAnsi="宋体" w:cs="宋体" w:eastAsia="宋体" w:hint="default"/>
                <w:spacing w:val="-52"/>
                <w:sz w:val="21"/>
                <w:szCs w:val="21"/>
              </w:rPr>
              <w:t> </w:t>
            </w:r>
            <w:r>
              <w:rPr>
                <w:rFonts w:ascii="宋体" w:hAnsi="宋体" w:cs="宋体" w:eastAsia="宋体" w:hint="default"/>
                <w:sz w:val="21"/>
                <w:szCs w:val="21"/>
              </w:rPr>
              <w:t>挂钩的金融</w:t>
            </w:r>
            <w:r>
              <w:rPr>
                <w:rFonts w:ascii="宋体" w:hAnsi="宋体" w:cs="宋体" w:eastAsia="宋体" w:hint="default"/>
                <w:w w:val="100"/>
                <w:sz w:val="21"/>
                <w:szCs w:val="21"/>
              </w:rPr>
              <w:t> </w:t>
            </w:r>
            <w:r>
              <w:rPr>
                <w:rFonts w:ascii="宋体" w:hAnsi="宋体" w:cs="宋体" w:eastAsia="宋体" w:hint="default"/>
                <w:sz w:val="21"/>
                <w:szCs w:val="21"/>
              </w:rPr>
              <w:t>衍生品交易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40" w:lineRule="auto"/>
              <w:ind w:left="100" w:right="173"/>
              <w:jc w:val="left"/>
              <w:rPr>
                <w:rFonts w:ascii="宋体" w:hAnsi="宋体" w:cs="宋体" w:eastAsia="宋体" w:hint="default"/>
                <w:sz w:val="21"/>
                <w:szCs w:val="21"/>
              </w:rPr>
            </w:pP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99,726.03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7" w:right="0"/>
              <w:jc w:val="left"/>
              <w:rPr>
                <w:rFonts w:ascii="Times New Roman" w:hAnsi="Times New Roman" w:cs="Times New Roman" w:eastAsia="Times New Roman" w:hint="default"/>
                <w:sz w:val="21"/>
                <w:szCs w:val="21"/>
              </w:rPr>
            </w:pPr>
            <w:r>
              <w:rPr>
                <w:rFonts w:ascii="Times New Roman"/>
                <w:sz w:val="21"/>
              </w:rPr>
              <w:t>99,726.03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2018-10-12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过结构性利率掉</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期方式进行投资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运作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3.85%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569,589.04</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2018-10-12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569,589.04</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6"/>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2018-10-12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2019-1-28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3.85%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341,753.42</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2018-10-12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72" w:lineRule="exact" w:before="27"/>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227,835.62</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司武汉</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2018-10-10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为黄金价格每盎</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司黄金的美元标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价，黄金水平为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伦敦金银市场协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40" w:lineRule="auto"/>
              <w:ind w:left="100" w:right="173"/>
              <w:jc w:val="left"/>
              <w:rPr>
                <w:rFonts w:ascii="宋体" w:hAnsi="宋体" w:cs="宋体" w:eastAsia="宋体" w:hint="default"/>
                <w:sz w:val="21"/>
                <w:szCs w:val="21"/>
              </w:rPr>
            </w:pP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3.75%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277,397.26</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42"/>
        <w:gridCol w:w="646"/>
        <w:gridCol w:w="1685"/>
        <w:gridCol w:w="1268"/>
        <w:gridCol w:w="1265"/>
        <w:gridCol w:w="454"/>
        <w:gridCol w:w="1690"/>
        <w:gridCol w:w="708"/>
        <w:gridCol w:w="852"/>
        <w:gridCol w:w="1359"/>
        <w:gridCol w:w="1318"/>
        <w:gridCol w:w="425"/>
        <w:gridCol w:w="427"/>
        <w:gridCol w:w="425"/>
        <w:gridCol w:w="528"/>
      </w:tblGrid>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光谷科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技支行</w:t>
            </w:r>
          </w:p>
        </w:tc>
        <w:tc>
          <w:tcPr>
            <w:tcW w:w="64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会发布的下午定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盘价</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国泰君</w:t>
            </w:r>
          </w:p>
          <w:p>
            <w:pPr>
              <w:pStyle w:val="TableParagraph"/>
              <w:spacing w:line="272" w:lineRule="exact" w:before="27"/>
              <w:ind w:left="103" w:right="293"/>
              <w:jc w:val="both"/>
              <w:rPr>
                <w:rFonts w:ascii="宋体" w:hAnsi="宋体" w:cs="宋体" w:eastAsia="宋体" w:hint="default"/>
                <w:sz w:val="21"/>
                <w:szCs w:val="21"/>
              </w:rPr>
            </w:pPr>
            <w:r>
              <w:rPr>
                <w:rFonts w:ascii="宋体" w:hAnsi="宋体" w:cs="宋体" w:eastAsia="宋体" w:hint="default"/>
                <w:sz w:val="21"/>
                <w:szCs w:val="21"/>
              </w:rPr>
              <w:t>安证券</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2018-10-12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2018-12-26</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2" w:lineRule="exact" w:before="27"/>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通过报价方式向</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证券公司符合条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件的客户融入资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金，同时约定证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券公司在回购到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期时向客户返还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融入资金、支付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相应收益的交易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791,232.88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791,232.88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东兴证</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50,000,000.00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2018-11-15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2018-12-17</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可用于补充公司</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运营资金；可投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4"/>
                <w:w w:val="100"/>
                <w:sz w:val="21"/>
                <w:szCs w:val="21"/>
              </w:rPr>
              <w:t>资于存款、债券、</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货币基金等固定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收益类资产，融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资融券业务、股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票质押式回购交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易等资本中介业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务及其他业务，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不得投资涉及股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权类产品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40" w:lineRule="auto"/>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135,616.44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135,616.44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东方证</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2019-2-11</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用于补充发行人</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运营资金，保证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经活动顺利进行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2.70%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130,191.78</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50,000,000.00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2019-2-3</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37" w:lineRule="auto" w:before="2"/>
              <w:ind w:left="100" w:right="173"/>
              <w:jc w:val="left"/>
              <w:rPr>
                <w:rFonts w:ascii="宋体" w:hAnsi="宋体" w:cs="宋体" w:eastAsia="宋体" w:hint="default"/>
                <w:sz w:val="21"/>
                <w:szCs w:val="21"/>
              </w:rPr>
            </w:pP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pacing w:val="-103"/>
                <w:sz w:val="21"/>
                <w:szCs w:val="21"/>
              </w:rPr>
              <w:t> </w:t>
            </w:r>
            <w:r>
              <w:rPr>
                <w:rFonts w:ascii="宋体" w:hAnsi="宋体" w:cs="宋体" w:eastAsia="宋体" w:hint="default"/>
                <w:sz w:val="21"/>
                <w:szCs w:val="21"/>
              </w:rPr>
              <w:t>封闭</w:t>
            </w:r>
            <w:r>
              <w:rPr>
                <w:rFonts w:ascii="宋体" w:hAnsi="宋体" w:cs="宋体" w:eastAsia="宋体" w:hint="default"/>
                <w:spacing w:val="-103"/>
                <w:sz w:val="21"/>
                <w:szCs w:val="21"/>
              </w:rPr>
              <w:t> </w:t>
            </w:r>
            <w:r>
              <w:rPr>
                <w:rFonts w:ascii="宋体" w:hAnsi="宋体" w:cs="宋体" w:eastAsia="宋体" w:hint="default"/>
                <w:sz w:val="21"/>
                <w:szCs w:val="21"/>
              </w:rPr>
              <w:t>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432,876.71</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42"/>
        <w:gridCol w:w="646"/>
        <w:gridCol w:w="1685"/>
        <w:gridCol w:w="1268"/>
        <w:gridCol w:w="1265"/>
        <w:gridCol w:w="454"/>
        <w:gridCol w:w="1690"/>
        <w:gridCol w:w="708"/>
        <w:gridCol w:w="852"/>
        <w:gridCol w:w="1359"/>
        <w:gridCol w:w="1318"/>
        <w:gridCol w:w="425"/>
        <w:gridCol w:w="427"/>
        <w:gridCol w:w="425"/>
        <w:gridCol w:w="528"/>
      </w:tblGrid>
      <w:tr>
        <w:trPr>
          <w:trHeight w:val="300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东兴证</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用于补充公司运</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营资金；可投资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于存款、债券、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货币基金等固定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收益类资产，融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资融券业务、股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票质押式回购交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易等资本中介业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务及其他业务，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不得投资涉及股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权类产品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40" w:lineRule="auto"/>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3.50%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170,684.93</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30,000,000.00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2019-4-3</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37" w:lineRule="auto" w:before="2"/>
              <w:ind w:left="100" w:right="173"/>
              <w:jc w:val="left"/>
              <w:rPr>
                <w:rFonts w:ascii="宋体" w:hAnsi="宋体" w:cs="宋体" w:eastAsia="宋体" w:hint="default"/>
                <w:sz w:val="21"/>
                <w:szCs w:val="21"/>
              </w:rPr>
            </w:pP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pacing w:val="-103"/>
                <w:sz w:val="21"/>
                <w:szCs w:val="21"/>
              </w:rPr>
              <w:t> </w:t>
            </w:r>
            <w:r>
              <w:rPr>
                <w:rFonts w:ascii="宋体" w:hAnsi="宋体" w:cs="宋体" w:eastAsia="宋体" w:hint="default"/>
                <w:sz w:val="21"/>
                <w:szCs w:val="21"/>
              </w:rPr>
              <w:t>封闭</w:t>
            </w:r>
            <w:r>
              <w:rPr>
                <w:rFonts w:ascii="宋体" w:hAnsi="宋体" w:cs="宋体" w:eastAsia="宋体" w:hint="default"/>
                <w:spacing w:val="-103"/>
                <w:sz w:val="21"/>
                <w:szCs w:val="21"/>
              </w:rPr>
              <w:t> </w:t>
            </w:r>
            <w:r>
              <w:rPr>
                <w:rFonts w:ascii="宋体" w:hAnsi="宋体" w:cs="宋体" w:eastAsia="宋体" w:hint="default"/>
                <w:sz w:val="21"/>
                <w:szCs w:val="21"/>
              </w:rPr>
              <w:t>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338,630.14</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30,000,000.00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2019-1-23</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结构性利率掉期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方式进行投资运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37" w:lineRule="auto" w:before="2"/>
              <w:ind w:left="100" w:right="173"/>
              <w:jc w:val="left"/>
              <w:rPr>
                <w:rFonts w:ascii="宋体" w:hAnsi="宋体" w:cs="宋体" w:eastAsia="宋体" w:hint="default"/>
                <w:sz w:val="21"/>
                <w:szCs w:val="21"/>
              </w:rPr>
            </w:pP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pacing w:val="-103"/>
                <w:sz w:val="21"/>
                <w:szCs w:val="21"/>
              </w:rPr>
              <w:t> </w:t>
            </w:r>
            <w:r>
              <w:rPr>
                <w:rFonts w:ascii="宋体" w:hAnsi="宋体" w:cs="宋体" w:eastAsia="宋体" w:hint="default"/>
                <w:sz w:val="21"/>
                <w:szCs w:val="21"/>
              </w:rPr>
              <w:t>封闭</w:t>
            </w:r>
            <w:r>
              <w:rPr>
                <w:rFonts w:ascii="宋体" w:hAnsi="宋体" w:cs="宋体" w:eastAsia="宋体" w:hint="default"/>
                <w:spacing w:val="-103"/>
                <w:sz w:val="21"/>
                <w:szCs w:val="21"/>
              </w:rPr>
              <w:t> </w:t>
            </w:r>
            <w:r>
              <w:rPr>
                <w:rFonts w:ascii="宋体" w:hAnsi="宋体" w:cs="宋体" w:eastAsia="宋体" w:hint="default"/>
                <w:sz w:val="21"/>
                <w:szCs w:val="21"/>
              </w:rPr>
              <w:t>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3.50%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94,931.51</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国泰君</w:t>
            </w:r>
          </w:p>
          <w:p>
            <w:pPr>
              <w:pStyle w:val="TableParagraph"/>
              <w:spacing w:line="237" w:lineRule="auto" w:before="2"/>
              <w:ind w:left="103" w:right="293"/>
              <w:jc w:val="both"/>
              <w:rPr>
                <w:rFonts w:ascii="宋体" w:hAnsi="宋体" w:cs="宋体" w:eastAsia="宋体" w:hint="default"/>
                <w:sz w:val="21"/>
                <w:szCs w:val="21"/>
              </w:rPr>
            </w:pPr>
            <w:r>
              <w:rPr>
                <w:rFonts w:ascii="宋体" w:hAnsi="宋体" w:cs="宋体" w:eastAsia="宋体" w:hint="default"/>
                <w:sz w:val="21"/>
                <w:szCs w:val="21"/>
              </w:rPr>
              <w:t>安证券</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募集资金用于补</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充发行人营运资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金，主要投向公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w w:val="100"/>
                <w:sz w:val="21"/>
                <w:szCs w:val="21"/>
              </w:rPr>
              <w:t>司</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FICC</w:t>
            </w:r>
            <w:r>
              <w:rPr>
                <w:rFonts w:ascii="宋体" w:hAnsi="宋体" w:cs="宋体" w:eastAsia="宋体" w:hint="default"/>
                <w:spacing w:val="-52"/>
                <w:w w:val="100"/>
                <w:sz w:val="21"/>
                <w:szCs w:val="21"/>
              </w:rPr>
              <w:t> </w:t>
            </w:r>
            <w:r>
              <w:rPr>
                <w:rFonts w:ascii="宋体" w:hAnsi="宋体" w:cs="宋体" w:eastAsia="宋体" w:hint="default"/>
                <w:spacing w:val="-27"/>
                <w:w w:val="100"/>
                <w:sz w:val="21"/>
                <w:szCs w:val="21"/>
              </w:rPr>
              <w:t>业务，提</w:t>
            </w:r>
            <w:r>
              <w:rPr>
                <w:rFonts w:ascii="宋体" w:hAnsi="宋体" w:cs="宋体" w:eastAsia="宋体" w:hint="default"/>
                <w:w w:val="100"/>
                <w:sz w:val="21"/>
                <w:szCs w:val="21"/>
              </w:rPr>
              <w:t> </w:t>
            </w:r>
            <w:r>
              <w:rPr>
                <w:rFonts w:ascii="宋体" w:hAnsi="宋体" w:cs="宋体" w:eastAsia="宋体" w:hint="default"/>
                <w:sz w:val="21"/>
                <w:szCs w:val="21"/>
              </w:rPr>
              <w:t>升发行人多元化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业务收入水平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保障</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475,616.44</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生银行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10,000,000.00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2019-3-28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有</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汇集资金作为名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义本金，并以该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99,863.01</w:t>
            </w: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到</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42"/>
        <w:gridCol w:w="646"/>
        <w:gridCol w:w="1685"/>
        <w:gridCol w:w="1268"/>
        <w:gridCol w:w="1265"/>
        <w:gridCol w:w="454"/>
        <w:gridCol w:w="1690"/>
        <w:gridCol w:w="708"/>
        <w:gridCol w:w="852"/>
        <w:gridCol w:w="1359"/>
        <w:gridCol w:w="1318"/>
        <w:gridCol w:w="425"/>
        <w:gridCol w:w="427"/>
        <w:gridCol w:w="425"/>
        <w:gridCol w:w="528"/>
      </w:tblGrid>
      <w:tr>
        <w:trPr>
          <w:trHeight w:val="137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股份有</w:t>
            </w:r>
          </w:p>
          <w:p>
            <w:pPr>
              <w:pStyle w:val="TableParagraph"/>
              <w:spacing w:line="237" w:lineRule="auto"/>
              <w:ind w:left="103" w:right="293"/>
              <w:jc w:val="both"/>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福州分</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68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名义本金的资金</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成本与交易对手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叙作投资收益和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3ML</w:t>
            </w:r>
            <w:r>
              <w:rPr>
                <w:rFonts w:ascii="宋体" w:hAnsi="宋体" w:cs="宋体" w:eastAsia="宋体" w:hint="default"/>
                <w:spacing w:val="-52"/>
                <w:sz w:val="21"/>
                <w:szCs w:val="21"/>
              </w:rPr>
              <w:t> </w:t>
            </w:r>
            <w:r>
              <w:rPr>
                <w:rFonts w:ascii="宋体" w:hAnsi="宋体" w:cs="宋体" w:eastAsia="宋体" w:hint="default"/>
                <w:sz w:val="21"/>
                <w:szCs w:val="21"/>
              </w:rPr>
              <w:t>挂钩的金融</w:t>
            </w:r>
            <w:r>
              <w:rPr>
                <w:rFonts w:ascii="宋体" w:hAnsi="宋体" w:cs="宋体" w:eastAsia="宋体" w:hint="default"/>
                <w:w w:val="100"/>
                <w:sz w:val="21"/>
                <w:szCs w:val="21"/>
              </w:rPr>
              <w:t> </w:t>
            </w:r>
            <w:r>
              <w:rPr>
                <w:rFonts w:ascii="宋体" w:hAnsi="宋体" w:cs="宋体" w:eastAsia="宋体" w:hint="default"/>
                <w:sz w:val="21"/>
                <w:szCs w:val="21"/>
              </w:rPr>
              <w:t>衍生品交易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Heading4"/>
        <w:spacing w:line="274" w:lineRule="exact" w:before="36"/>
        <w:ind w:left="220" w:right="7897"/>
        <w:jc w:val="left"/>
        <w:rPr>
          <w:b w:val="0"/>
          <w:bCs w:val="0"/>
        </w:rPr>
      </w:pPr>
      <w:r>
        <w:rPr/>
        <w:t>其他情况</w:t>
      </w:r>
      <w:r>
        <w:rPr>
          <w:b w:val="0"/>
          <w:bCs w:val="0"/>
        </w:rPr>
      </w:r>
    </w:p>
    <w:p>
      <w:pPr>
        <w:pStyle w:val="BodyText"/>
        <w:tabs>
          <w:tab w:pos="1062" w:val="left" w:leader="none"/>
        </w:tabs>
        <w:spacing w:line="274" w:lineRule="exact"/>
        <w:ind w:left="220" w:right="789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220" w:right="7897"/>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1062" w:val="left" w:leader="none"/>
        </w:tabs>
        <w:spacing w:line="240" w:lineRule="auto" w:before="56"/>
        <w:ind w:left="220" w:right="7897"/>
        <w:jc w:val="left"/>
      </w:pPr>
      <w:r>
        <w:rPr/>
        <w:t>□适用</w:t>
        <w:tab/>
        <w:t>√不适用</w:t>
      </w:r>
    </w:p>
    <w:p>
      <w:pPr>
        <w:spacing w:after="0" w:line="240" w:lineRule="auto"/>
        <w:jc w:val="left"/>
        <w:sectPr>
          <w:footerReference w:type="default" r:id="rId17"/>
          <w:pgSz w:w="16840" w:h="11910" w:orient="landscape"/>
          <w:pgMar w:footer="1195" w:header="882" w:top="1120" w:bottom="1380" w:left="1220" w:right="1300"/>
        </w:sectPr>
      </w:pPr>
    </w:p>
    <w:p>
      <w:pPr>
        <w:spacing w:line="240" w:lineRule="auto" w:before="4"/>
        <w:rPr>
          <w:rFonts w:ascii="宋体" w:hAnsi="宋体" w:cs="宋体" w:eastAsia="宋体" w:hint="default"/>
          <w:sz w:val="25"/>
          <w:szCs w:val="25"/>
        </w:rPr>
      </w:pPr>
    </w:p>
    <w:p>
      <w:pPr>
        <w:pStyle w:val="Heading4"/>
        <w:tabs>
          <w:tab w:pos="562" w:val="left" w:leader="none"/>
        </w:tabs>
        <w:spacing w:line="240" w:lineRule="auto" w:before="36"/>
        <w:ind w:left="138" w:right="0"/>
        <w:jc w:val="left"/>
        <w:rPr>
          <w:b w:val="0"/>
          <w:bCs w:val="0"/>
        </w:rPr>
      </w:pPr>
      <w:r>
        <w:rPr>
          <w:rFonts w:ascii="宋体" w:hAnsi="宋体" w:cs="宋体" w:eastAsia="宋体" w:hint="default"/>
          <w:w w:val="95"/>
        </w:rPr>
        <w:t>2.</w:t>
        <w:tab/>
      </w:r>
      <w:r>
        <w:rPr/>
        <w:t>委托贷款情况</w:t>
      </w:r>
      <w:r>
        <w:rPr>
          <w:b w:val="0"/>
          <w:bCs w:val="0"/>
        </w:rPr>
      </w:r>
    </w:p>
    <w:p>
      <w:pPr>
        <w:pStyle w:val="Heading4"/>
        <w:spacing w:line="240" w:lineRule="auto" w:before="58"/>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980" w:val="left" w:leader="none"/>
        </w:tabs>
        <w:spacing w:before="56"/>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71"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980" w:val="left" w:leader="none"/>
        </w:tabs>
        <w:spacing w:line="272" w:lineRule="exact" w:before="86"/>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49"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3.</w:t>
        <w:tab/>
      </w:r>
      <w:r>
        <w:rPr/>
        <w:t>其他情况</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十六、其他重大事项的说明</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989" w:val="left" w:leader="none"/>
        </w:tabs>
        <w:spacing w:line="290"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2"/>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37" w:lineRule="auto" w:before="61"/>
        <w:ind w:left="138" w:right="127"/>
        <w:jc w:val="left"/>
      </w:pPr>
      <w:r>
        <w:rPr>
          <w:spacing w:val="-1"/>
        </w:rPr>
        <w:t>√适用</w:t>
        <w:tab/>
      </w:r>
      <w:r>
        <w:rPr>
          <w:spacing w:val="-2"/>
        </w:rPr>
        <w:t>□不适用</w:t>
      </w:r>
      <w:r>
        <w:rPr>
          <w:spacing w:val="-99"/>
        </w:rPr>
        <w:t> </w:t>
      </w:r>
      <w:r>
        <w:rPr>
          <w:spacing w:val="-99"/>
        </w:rPr>
      </w:r>
      <w:r>
        <w:rPr>
          <w:spacing w:val="-2"/>
        </w:rPr>
        <w:t>顶点软件作为一家在行业内长期提供信息化解决方案的软件公司，在专注企业经营的同时也积极</w:t>
      </w:r>
      <w:r>
        <w:rPr>
          <w:spacing w:val="-25"/>
        </w:rPr>
        <w:t> </w:t>
      </w:r>
      <w:r>
        <w:rPr>
          <w:spacing w:val="-25"/>
        </w:rPr>
      </w:r>
      <w:r>
        <w:rPr>
          <w:spacing w:val="-4"/>
        </w:rPr>
        <w:t>承担与履行企业责任、公共责任与社会责任。公司在依法经营的基础上，秉持</w:t>
      </w:r>
      <w:r>
        <w:rPr>
          <w:spacing w:val="70"/>
        </w:rPr>
        <w:t> </w:t>
      </w:r>
      <w:r>
        <w:rPr>
          <w:spacing w:val="-6"/>
        </w:rPr>
        <w:t>“客户、员工、股</w:t>
      </w:r>
      <w:r>
        <w:rPr>
          <w:spacing w:val="-92"/>
        </w:rPr>
        <w:t> </w:t>
      </w:r>
      <w:r>
        <w:rPr>
          <w:spacing w:val="-92"/>
        </w:rPr>
      </w:r>
      <w:r>
        <w:rPr>
          <w:spacing w:val="-2"/>
        </w:rPr>
        <w:t>东共同成长”的宗旨，在追求经济效益，为股东谋利的同时，兼顾社会公益事业，积极承担企业</w:t>
      </w:r>
      <w:r>
        <w:rPr>
          <w:spacing w:val="-26"/>
        </w:rPr>
        <w:t> </w:t>
      </w:r>
      <w:r>
        <w:rPr>
          <w:spacing w:val="-26"/>
        </w:rPr>
      </w:r>
      <w:r>
        <w:rPr/>
        <w:t>社会责任，致力成为客户、员工、股东及社会信赖并敬重的企业。</w:t>
      </w:r>
    </w:p>
    <w:p>
      <w:pPr>
        <w:pStyle w:val="BodyText"/>
        <w:spacing w:line="271" w:lineRule="exact"/>
        <w:ind w:left="138" w:right="0"/>
        <w:jc w:val="left"/>
      </w:pPr>
      <w:r>
        <w:rPr/>
        <w:t>一、股东和债权人权益保护</w:t>
      </w:r>
    </w:p>
    <w:p>
      <w:pPr>
        <w:pStyle w:val="BodyText"/>
        <w:spacing w:line="272" w:lineRule="exact"/>
        <w:ind w:left="138" w:right="0"/>
        <w:jc w:val="left"/>
      </w:pPr>
      <w:r>
        <w:rPr/>
        <w:t>（一）完善公司治理，健全内部制度</w:t>
      </w:r>
    </w:p>
    <w:p>
      <w:pPr>
        <w:pStyle w:val="BodyText"/>
        <w:spacing w:line="237" w:lineRule="auto"/>
        <w:ind w:left="138" w:right="137"/>
        <w:jc w:val="both"/>
      </w:pPr>
      <w:r>
        <w:rPr/>
        <w:t>公司严格按照《中华人民共和国公司法》 、《中华人民共和国证券法》</w:t>
      </w:r>
      <w:r>
        <w:rPr>
          <w:spacing w:val="-9"/>
        </w:rPr>
        <w:t> </w:t>
      </w:r>
      <w:r>
        <w:rPr/>
        <w:t>、《公司章程》和其他</w:t>
      </w:r>
      <w:r>
        <w:rPr>
          <w:w w:val="100"/>
        </w:rPr>
        <w:t> </w:t>
      </w:r>
      <w:r>
        <w:rPr>
          <w:spacing w:val="-2"/>
        </w:rPr>
        <w:t>有关法律法规的规定，不断完善和规范公司治理结构。公司治理结构由股东大会、董事会、监事</w:t>
      </w:r>
      <w:r>
        <w:rPr>
          <w:spacing w:val="-25"/>
        </w:rPr>
        <w:t> </w:t>
      </w:r>
      <w:r>
        <w:rPr>
          <w:spacing w:val="-25"/>
        </w:rPr>
      </w:r>
      <w:r>
        <w:rPr>
          <w:spacing w:val="-2"/>
        </w:rPr>
        <w:t>会和总经理为代表的经营团队组成，权责清晰，运行良好。公司制定了《公司章程》、《股东大</w:t>
      </w:r>
      <w:r>
        <w:rPr>
          <w:spacing w:val="-25"/>
        </w:rPr>
        <w:t> </w:t>
      </w:r>
      <w:r>
        <w:rPr>
          <w:spacing w:val="-25"/>
        </w:rPr>
      </w:r>
      <w:r>
        <w:rPr>
          <w:spacing w:val="-2"/>
        </w:rPr>
        <w:t>会议事规则》、《董事会议事规则》、《监事会议事规则》、《总经理工作细则》、《对外担保</w:t>
      </w:r>
      <w:r>
        <w:rPr>
          <w:spacing w:val="-25"/>
        </w:rPr>
        <w:t> </w:t>
      </w:r>
      <w:r>
        <w:rPr>
          <w:spacing w:val="-25"/>
        </w:rPr>
      </w:r>
      <w:r>
        <w:rPr>
          <w:spacing w:val="-2"/>
        </w:rPr>
        <w:t>制度》、《对外投资管理制度》、《关联交易决策制度》等，为公司各项运作提供了规范依据，</w:t>
      </w:r>
      <w:r>
        <w:rPr>
          <w:spacing w:val="-25"/>
        </w:rPr>
        <w:t> </w:t>
      </w:r>
      <w:r>
        <w:rPr>
          <w:spacing w:val="-25"/>
        </w:rPr>
      </w:r>
      <w:r>
        <w:rPr/>
        <w:t>促进公司健康的发展。</w:t>
      </w:r>
    </w:p>
    <w:p>
      <w:pPr>
        <w:pStyle w:val="BodyText"/>
        <w:tabs>
          <w:tab w:pos="977" w:val="left" w:leader="none"/>
        </w:tabs>
        <w:spacing w:line="237" w:lineRule="auto" w:before="1"/>
        <w:ind w:left="138" w:right="137"/>
        <w:jc w:val="left"/>
      </w:pPr>
      <w:r>
        <w:rPr/>
        <w:t>（二）</w:t>
        <w:tab/>
        <w:t>强化信批责任，重视投资者关系管理</w:t>
      </w:r>
      <w:r>
        <w:rPr>
          <w:w w:val="100"/>
        </w:rPr>
        <w:t> </w:t>
      </w:r>
      <w:r>
        <w:rPr>
          <w:spacing w:val="-2"/>
        </w:rPr>
        <w:t>报告期内，公司根据相关法律法规及监管部门的要求，认真做好各项信批工作，积极履行信息披</w:t>
      </w:r>
      <w:r>
        <w:rPr>
          <w:spacing w:val="-25"/>
        </w:rPr>
        <w:t> </w:t>
      </w:r>
      <w:r>
        <w:rPr>
          <w:spacing w:val="-25"/>
        </w:rPr>
      </w:r>
      <w:r>
        <w:rPr>
          <w:spacing w:val="-2"/>
        </w:rPr>
        <w:t>露义务，公司所有应披露的信息均在指定信息披露媒体及上海证券交易所网站</w:t>
      </w:r>
      <w:r>
        <w:rPr>
          <w:rFonts w:ascii="宋体" w:hAnsi="宋体" w:cs="宋体" w:eastAsia="宋体" w:hint="default"/>
          <w:spacing w:val="-2"/>
        </w:rPr>
        <w:t>(www.sse.com.cn)</w:t>
      </w:r>
      <w:r>
        <w:rPr>
          <w:rFonts w:ascii="宋体" w:hAnsi="宋体" w:cs="宋体" w:eastAsia="宋体" w:hint="default"/>
          <w:spacing w:val="-9"/>
        </w:rPr>
        <w:t> </w:t>
      </w:r>
      <w:r>
        <w:rPr>
          <w:rFonts w:ascii="宋体" w:hAnsi="宋体" w:cs="宋体" w:eastAsia="宋体" w:hint="default"/>
          <w:spacing w:val="-9"/>
        </w:rPr>
      </w:r>
      <w:r>
        <w:rPr>
          <w:spacing w:val="-2"/>
        </w:rPr>
        <w:t>及时披露，公司股东大会、董事会、监事会与管理层之间各司其职，互相配合。报告期内，公司</w:t>
      </w:r>
      <w:r>
        <w:rPr>
          <w:spacing w:val="-25"/>
        </w:rPr>
        <w:t> </w:t>
      </w:r>
      <w:r>
        <w:rPr>
          <w:spacing w:val="-25"/>
        </w:rPr>
      </w:r>
      <w:r>
        <w:rPr/>
        <w:t>共召开</w:t>
      </w:r>
      <w:r>
        <w:rPr>
          <w:spacing w:val="-54"/>
        </w:rPr>
        <w:t> </w:t>
      </w:r>
      <w:r>
        <w:rPr>
          <w:rFonts w:ascii="宋体" w:hAnsi="宋体" w:cs="宋体" w:eastAsia="宋体" w:hint="default"/>
        </w:rPr>
        <w:t>9</w:t>
      </w:r>
      <w:r>
        <w:rPr>
          <w:rFonts w:ascii="宋体" w:hAnsi="宋体" w:cs="宋体" w:eastAsia="宋体" w:hint="default"/>
          <w:spacing w:val="-54"/>
        </w:rPr>
        <w:t> </w:t>
      </w:r>
      <w:r>
        <w:rPr/>
        <w:t>次董事会、</w:t>
      </w:r>
      <w:r>
        <w:rPr>
          <w:rFonts w:ascii="宋体" w:hAnsi="宋体" w:cs="宋体" w:eastAsia="宋体" w:hint="default"/>
        </w:rPr>
        <w:t>7</w:t>
      </w:r>
      <w:r>
        <w:rPr>
          <w:rFonts w:ascii="宋体" w:hAnsi="宋体" w:cs="宋体" w:eastAsia="宋体" w:hint="default"/>
          <w:spacing w:val="-53"/>
        </w:rPr>
        <w:t> </w:t>
      </w:r>
      <w:r>
        <w:rPr/>
        <w:t>次监事会、</w:t>
      </w:r>
      <w:r>
        <w:rPr>
          <w:rFonts w:ascii="宋体" w:hAnsi="宋体" w:cs="宋体" w:eastAsia="宋体" w:hint="default"/>
        </w:rPr>
        <w:t>4</w:t>
      </w:r>
      <w:r>
        <w:rPr>
          <w:rFonts w:ascii="宋体" w:hAnsi="宋体" w:cs="宋体" w:eastAsia="宋体" w:hint="default"/>
          <w:spacing w:val="-56"/>
        </w:rPr>
        <w:t> </w:t>
      </w:r>
      <w:r>
        <w:rPr/>
        <w:t>次股东大会，共完成</w:t>
      </w:r>
      <w:r>
        <w:rPr>
          <w:spacing w:val="-54"/>
        </w:rPr>
        <w:t> </w:t>
      </w:r>
      <w:r>
        <w:rPr>
          <w:rFonts w:ascii="宋体" w:hAnsi="宋体" w:cs="宋体" w:eastAsia="宋体" w:hint="default"/>
        </w:rPr>
        <w:t>81</w:t>
      </w:r>
      <w:r>
        <w:rPr>
          <w:rFonts w:ascii="宋体" w:hAnsi="宋体" w:cs="宋体" w:eastAsia="宋体" w:hint="default"/>
          <w:spacing w:val="-56"/>
        </w:rPr>
        <w:t> </w:t>
      </w:r>
      <w:r>
        <w:rPr/>
        <w:t>份公告的披露。同时，公司持续加强</w:t>
      </w:r>
    </w:p>
    <w:p>
      <w:pPr>
        <w:spacing w:after="0" w:line="237" w:lineRule="auto"/>
        <w:jc w:val="left"/>
        <w:sectPr>
          <w:headerReference w:type="default" r:id="rId18"/>
          <w:footerReference w:type="default" r:id="rId19"/>
          <w:pgSz w:w="11910" w:h="16840"/>
          <w:pgMar w:header="880" w:footer="1195" w:top="1120" w:bottom="1380" w:left="1660" w:right="1140"/>
          <w:pgNumType w:start="41"/>
        </w:sectPr>
      </w:pPr>
    </w:p>
    <w:p>
      <w:pPr>
        <w:spacing w:line="240" w:lineRule="auto" w:before="4"/>
        <w:rPr>
          <w:rFonts w:ascii="宋体" w:hAnsi="宋体" w:cs="宋体" w:eastAsia="宋体" w:hint="default"/>
          <w:sz w:val="25"/>
          <w:szCs w:val="25"/>
        </w:rPr>
      </w:pPr>
    </w:p>
    <w:p>
      <w:pPr>
        <w:pStyle w:val="BodyText"/>
        <w:spacing w:line="240" w:lineRule="auto" w:before="36"/>
        <w:ind w:left="138" w:right="0"/>
        <w:jc w:val="left"/>
      </w:pPr>
      <w:r>
        <w:rPr>
          <w:spacing w:val="-6"/>
        </w:rPr>
        <w:t>投资者关系管理工作，认真做好投资者来电、来访的接待，及时回复互动平台的问题。通过电话、</w:t>
      </w:r>
      <w:r>
        <w:rPr>
          <w:spacing w:val="-52"/>
        </w:rPr>
        <w:t> </w:t>
      </w:r>
      <w:r>
        <w:rPr>
          <w:spacing w:val="-52"/>
        </w:rPr>
      </w:r>
      <w:r>
        <w:rPr/>
        <w:t>实地及互动平台与投资者保持顺利沟通。</w:t>
      </w:r>
    </w:p>
    <w:p>
      <w:pPr>
        <w:pStyle w:val="BodyText"/>
        <w:tabs>
          <w:tab w:pos="977" w:val="left" w:leader="none"/>
        </w:tabs>
        <w:spacing w:line="237" w:lineRule="auto"/>
        <w:ind w:left="138" w:right="128"/>
        <w:jc w:val="left"/>
      </w:pPr>
      <w:r>
        <w:rPr/>
        <w:t>（三）</w:t>
        <w:tab/>
        <w:t>坚持现金分红政策，积极回报投资者</w:t>
      </w:r>
      <w:r>
        <w:rPr>
          <w:w w:val="100"/>
        </w:rPr>
        <w:t> </w:t>
      </w:r>
      <w:r>
        <w:rPr>
          <w:spacing w:val="-2"/>
        </w:rPr>
        <w:t>公司建立了稳定的利润分配政策，积极回报广大投资者，与投资者共同分享企业发展成果。公司</w:t>
      </w:r>
      <w:r>
        <w:rPr>
          <w:spacing w:val="-25"/>
        </w:rPr>
        <w:t> </w:t>
      </w:r>
      <w:r>
        <w:rPr>
          <w:spacing w:val="-25"/>
        </w:rPr>
      </w:r>
      <w:r>
        <w:rPr/>
        <w:t>章程明确优先采取现金分红的利润分配政策；上市以来，共计分配现金红利</w:t>
      </w:r>
      <w:r>
        <w:rPr>
          <w:spacing w:val="-56"/>
        </w:rPr>
        <w:t> </w:t>
      </w:r>
      <w:r>
        <w:rPr>
          <w:rFonts w:ascii="宋体" w:hAnsi="宋体" w:cs="宋体" w:eastAsia="宋体" w:hint="default"/>
        </w:rPr>
        <w:t>1,0304</w:t>
      </w:r>
      <w:r>
        <w:rPr>
          <w:rFonts w:ascii="宋体" w:hAnsi="宋体" w:cs="宋体" w:eastAsia="宋体" w:hint="default"/>
          <w:spacing w:val="-53"/>
        </w:rPr>
        <w:t> </w:t>
      </w:r>
      <w:r>
        <w:rPr/>
        <w:t>万元。</w:t>
      </w:r>
      <w:r>
        <w:rPr>
          <w:w w:val="100"/>
        </w:rPr>
        <w:t> </w:t>
      </w:r>
      <w:r>
        <w:rPr/>
        <w:t>二、客户、供应商利益保障</w:t>
      </w:r>
      <w:r>
        <w:rPr>
          <w:w w:val="100"/>
        </w:rPr>
        <w:t> </w:t>
      </w:r>
      <w:r>
        <w:rPr>
          <w:spacing w:val="-2"/>
        </w:rPr>
        <w:t>公司一贯坚持以客户满意为关注焦点的服务理念，将客户作为企业存在的最大价值，重视与客户</w:t>
      </w:r>
      <w:r>
        <w:rPr>
          <w:spacing w:val="-25"/>
        </w:rPr>
        <w:t> </w:t>
      </w:r>
      <w:r>
        <w:rPr>
          <w:spacing w:val="-25"/>
        </w:rPr>
      </w:r>
      <w:r>
        <w:rPr>
          <w:spacing w:val="-6"/>
        </w:rPr>
        <w:t>的共赢关系，致力于为客户提供优质产品和各项优质服务。历年来，顶点软件一直紧跟客户需求、</w:t>
      </w:r>
      <w:r>
        <w:rPr>
          <w:spacing w:val="-54"/>
        </w:rPr>
        <w:t> </w:t>
      </w:r>
      <w:r>
        <w:rPr>
          <w:spacing w:val="-54"/>
        </w:rPr>
      </w:r>
      <w:r>
        <w:rPr/>
        <w:t>行业及监管的变化，不断推陈出新，努力为客户提供整体化解决方案，全面提升服务质量。</w:t>
      </w:r>
      <w:r>
        <w:rPr>
          <w:w w:val="100"/>
        </w:rPr>
        <w:t> </w:t>
      </w:r>
      <w:r>
        <w:rPr/>
        <w:t>三、社会公益事业</w:t>
      </w:r>
      <w:r>
        <w:rPr>
          <w:w w:val="100"/>
        </w:rPr>
        <w:t> </w:t>
      </w:r>
      <w:r>
        <w:rPr>
          <w:spacing w:val="-2"/>
        </w:rPr>
        <w:t>开展公益活动，践行企业社会责任，是公司一直坚守的企业发展理念。公司成立以来，在实现自</w:t>
      </w:r>
      <w:r>
        <w:rPr>
          <w:spacing w:val="-26"/>
        </w:rPr>
        <w:t> </w:t>
      </w:r>
      <w:r>
        <w:rPr>
          <w:spacing w:val="-26"/>
        </w:rPr>
      </w:r>
      <w:r>
        <w:rPr>
          <w:spacing w:val="-3"/>
        </w:rPr>
        <w:t>身快速发展的同时，时刻不忘企业社会责任，积极投身社会公益慈善事业。</w:t>
      </w:r>
      <w:r>
        <w:rPr>
          <w:rFonts w:ascii="宋体" w:hAnsi="宋体" w:cs="宋体" w:eastAsia="宋体" w:hint="default"/>
          <w:spacing w:val="-3"/>
        </w:rPr>
        <w:t>2016 </w:t>
      </w:r>
      <w:r>
        <w:rPr>
          <w:spacing w:val="-3"/>
        </w:rPr>
        <w:t>年，公司在福州</w:t>
      </w:r>
      <w:r>
        <w:rPr>
          <w:spacing w:val="-75"/>
        </w:rPr>
        <w:t> </w:t>
      </w:r>
      <w:r>
        <w:rPr>
          <w:spacing w:val="-75"/>
        </w:rPr>
      </w:r>
      <w:r>
        <w:rPr>
          <w:spacing w:val="-4"/>
        </w:rPr>
        <w:t>大学、福建师范大学捐资设立</w:t>
      </w:r>
      <w:r>
        <w:rPr>
          <w:spacing w:val="56"/>
        </w:rPr>
        <w:t> </w:t>
      </w:r>
      <w:r>
        <w:rPr>
          <w:spacing w:val="-4"/>
        </w:rPr>
        <w:t>“顶点软件教育基金”，希望通过对高校的捐助，为社会培养更多</w:t>
      </w:r>
      <w:r>
        <w:rPr>
          <w:spacing w:val="-94"/>
        </w:rPr>
        <w:t> </w:t>
      </w:r>
      <w:r>
        <w:rPr>
          <w:spacing w:val="-94"/>
        </w:rPr>
      </w:r>
      <w:r>
        <w:rPr>
          <w:spacing w:val="-2"/>
        </w:rPr>
        <w:t>优秀人才。自“顶点软件教育基金”设立以来，公司坚持每年出资资助品学兼优、勇于创新、积</w:t>
      </w:r>
      <w:r>
        <w:rPr>
          <w:spacing w:val="-25"/>
        </w:rPr>
        <w:t> </w:t>
      </w:r>
      <w:r>
        <w:rPr>
          <w:spacing w:val="-25"/>
        </w:rPr>
      </w:r>
      <w:r>
        <w:rPr>
          <w:spacing w:val="-2"/>
        </w:rPr>
        <w:t>极实践的大学生，报告期内，公司为支持本地教育事业的发展，向福州大学、福建师范大学两所</w:t>
      </w:r>
      <w:r>
        <w:rPr>
          <w:spacing w:val="-26"/>
        </w:rPr>
        <w:t> </w:t>
      </w:r>
      <w:r>
        <w:rPr>
          <w:spacing w:val="-26"/>
        </w:rPr>
      </w:r>
      <w:r>
        <w:rPr/>
        <w:t>高校共捐资</w:t>
      </w:r>
      <w:r>
        <w:rPr>
          <w:spacing w:val="-53"/>
        </w:rPr>
        <w:t> </w:t>
      </w:r>
      <w:r>
        <w:rPr>
          <w:rFonts w:ascii="宋体" w:hAnsi="宋体" w:cs="宋体" w:eastAsia="宋体" w:hint="default"/>
        </w:rPr>
        <w:t>40</w:t>
      </w:r>
      <w:r>
        <w:rPr>
          <w:rFonts w:ascii="宋体" w:hAnsi="宋体" w:cs="宋体" w:eastAsia="宋体" w:hint="default"/>
          <w:spacing w:val="-55"/>
        </w:rPr>
        <w:t> </w:t>
      </w:r>
      <w:r>
        <w:rPr/>
        <w:t>万元。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before="56"/>
        <w:ind w:left="138"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59"/>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4"/>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十八、可转换公司债券情况</w:t>
      </w:r>
      <w:r>
        <w:rPr>
          <w:b w:val="0"/>
          <w:bCs w:val="0"/>
        </w:rPr>
      </w:r>
    </w:p>
    <w:p>
      <w:pPr>
        <w:pStyle w:val="Heading4"/>
        <w:spacing w:line="240" w:lineRule="auto" w:before="58"/>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29"/>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138" w:right="0"/>
        <w:jc w:val="left"/>
      </w:pPr>
      <w:r>
        <w:rPr/>
        <w:t>□适用</w:t>
      </w:r>
      <w:r>
        <w:rPr>
          <w:spacing w:val="-1"/>
        </w:rPr>
        <w:t> </w:t>
      </w:r>
      <w:r>
        <w:rPr/>
        <w:t>√不适用</w:t>
      </w:r>
    </w:p>
    <w:p>
      <w:pPr>
        <w:pStyle w:val="Heading4"/>
        <w:spacing w:line="240" w:lineRule="auto" w:before="56"/>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138" w:right="6443"/>
        <w:jc w:val="left"/>
      </w:pPr>
      <w:r>
        <w:rPr/>
        <w:t>□适用</w:t>
      </w:r>
      <w:r>
        <w:rPr>
          <w:spacing w:val="-2"/>
        </w:rPr>
        <w:t> </w:t>
      </w:r>
      <w:r>
        <w:rPr/>
        <w:t>√不适用</w:t>
      </w:r>
      <w:r>
        <w:rPr>
          <w:w w:val="100"/>
        </w:rPr>
        <w:t> </w:t>
      </w:r>
      <w:r>
        <w:rPr>
          <w:spacing w:val="-2"/>
        </w:rPr>
        <w:t>报告期转债累计转股情况</w:t>
      </w:r>
    </w:p>
    <w:p>
      <w:pPr>
        <w:pStyle w:val="BodyText"/>
        <w:spacing w:line="249" w:lineRule="exact"/>
        <w:ind w:left="138" w:right="0"/>
        <w:jc w:val="left"/>
      </w:pPr>
      <w:r>
        <w:rPr/>
        <w:t>□适用</w:t>
      </w:r>
      <w:r>
        <w:rPr>
          <w:spacing w:val="-1"/>
        </w:rPr>
        <w:t> </w:t>
      </w:r>
      <w:r>
        <w:rPr/>
        <w:t>√不适用</w:t>
      </w:r>
    </w:p>
    <w:p>
      <w:pPr>
        <w:spacing w:after="0" w:line="249" w:lineRule="exact"/>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4"/>
        <w:spacing w:line="240" w:lineRule="auto" w:before="36"/>
        <w:ind w:left="67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left="678" w:right="0"/>
        <w:jc w:val="left"/>
      </w:pPr>
      <w:r>
        <w:rPr/>
        <w:t>□适用</w:t>
      </w:r>
      <w:r>
        <w:rPr>
          <w:spacing w:val="-1"/>
        </w:rPr>
        <w:t> </w:t>
      </w:r>
      <w:r>
        <w:rPr/>
        <w:t>√不适用</w:t>
      </w:r>
    </w:p>
    <w:p>
      <w:pPr>
        <w:pStyle w:val="Heading4"/>
        <w:spacing w:line="240" w:lineRule="auto" w:before="56"/>
        <w:ind w:left="67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1520" w:val="left" w:leader="none"/>
        </w:tabs>
        <w:spacing w:line="240" w:lineRule="auto" w:before="32"/>
        <w:ind w:left="678" w:right="0"/>
        <w:jc w:val="left"/>
      </w:pPr>
      <w:r>
        <w:rPr>
          <w:spacing w:val="-1"/>
        </w:rPr>
        <w:t>□适用</w:t>
        <w:tab/>
      </w:r>
      <w:r>
        <w:rPr>
          <w:spacing w:val="-2"/>
        </w:rPr>
        <w:t>√不适用</w:t>
      </w:r>
    </w:p>
    <w:p>
      <w:pPr>
        <w:pStyle w:val="Heading4"/>
        <w:spacing w:line="240" w:lineRule="auto" w:before="56"/>
        <w:ind w:left="67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520" w:val="left" w:leader="none"/>
        </w:tabs>
        <w:spacing w:line="240" w:lineRule="auto" w:before="32"/>
        <w:ind w:left="67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4036" w:val="left" w:leader="none"/>
        </w:tabs>
        <w:spacing w:line="240" w:lineRule="auto"/>
        <w:ind w:left="2776" w:right="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120" w:bottom="1380" w:left="1120" w:right="780"/>
        </w:sectPr>
      </w:pPr>
    </w:p>
    <w:p>
      <w:pPr>
        <w:pStyle w:val="Heading4"/>
        <w:tabs>
          <w:tab w:pos="1244" w:val="left" w:leader="none"/>
        </w:tabs>
        <w:spacing w:line="278" w:lineRule="auto" w:before="36"/>
        <w:ind w:left="678"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678" w:right="0"/>
        <w:jc w:val="left"/>
      </w:pPr>
      <w:r>
        <w:rPr/>
        <w:t>单位：股</w:t>
      </w:r>
    </w:p>
    <w:p>
      <w:pPr>
        <w:spacing w:after="0" w:line="240" w:lineRule="auto"/>
        <w:jc w:val="left"/>
        <w:sectPr>
          <w:type w:val="continuous"/>
          <w:pgSz w:w="11910" w:h="16840"/>
          <w:pgMar w:top="1120" w:bottom="1380" w:left="1120" w:right="780"/>
          <w:cols w:num="2" w:equalWidth="0">
            <w:col w:w="3355" w:space="4639"/>
            <w:col w:w="2016"/>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50"/>
        <w:gridCol w:w="1265"/>
        <w:gridCol w:w="742"/>
        <w:gridCol w:w="482"/>
        <w:gridCol w:w="427"/>
        <w:gridCol w:w="1265"/>
        <w:gridCol w:w="1371"/>
        <w:gridCol w:w="1268"/>
        <w:gridCol w:w="1370"/>
        <w:gridCol w:w="742"/>
      </w:tblGrid>
      <w:tr>
        <w:trPr>
          <w:trHeight w:val="283" w:hRule="exact"/>
        </w:trPr>
        <w:tc>
          <w:tcPr>
            <w:tcW w:w="850" w:type="dxa"/>
            <w:vMerge w:val="restart"/>
            <w:tcBorders>
              <w:top w:val="single" w:sz="4" w:space="0" w:color="000000"/>
              <w:left w:val="single" w:sz="4" w:space="0" w:color="000000"/>
              <w:right w:val="single" w:sz="4" w:space="0" w:color="000000"/>
            </w:tcBorders>
          </w:tcPr>
          <w:p>
            <w:pPr/>
          </w:p>
        </w:tc>
        <w:tc>
          <w:tcPr>
            <w:tcW w:w="2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8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5"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099" w:hRule="exact"/>
        </w:trPr>
        <w:tc>
          <w:tcPr>
            <w:tcW w:w="850"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15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both"/>
              <w:rPr>
                <w:rFonts w:ascii="宋体" w:hAnsi="宋体" w:cs="宋体" w:eastAsia="宋体" w:hint="default"/>
                <w:sz w:val="21"/>
                <w:szCs w:val="21"/>
              </w:rPr>
            </w:pPr>
            <w:r>
              <w:rPr>
                <w:rFonts w:ascii="宋体" w:hAnsi="宋体" w:cs="宋体" w:eastAsia="宋体" w:hint="default"/>
                <w:w w:val="100"/>
                <w:sz w:val="21"/>
                <w:szCs w:val="21"/>
              </w:rPr>
              <w:t>发</w:t>
            </w:r>
          </w:p>
          <w:p>
            <w:pPr>
              <w:pStyle w:val="TableParagraph"/>
              <w:spacing w:line="237" w:lineRule="auto"/>
              <w:ind w:left="129" w:right="131"/>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公积金转股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15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82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一、有</w:t>
            </w:r>
          </w:p>
          <w:p>
            <w:pPr>
              <w:pStyle w:val="TableParagraph"/>
              <w:spacing w:line="240" w:lineRule="auto"/>
              <w:ind w:left="101" w:right="103"/>
              <w:jc w:val="left"/>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64,817,000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75.49</w:t>
            </w: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18,038,800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-20,659,120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-2,620,320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62,196,680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51.74</w:t>
            </w:r>
          </w:p>
        </w:tc>
      </w:tr>
      <w:tr>
        <w:trPr>
          <w:trHeight w:val="55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国</w:t>
            </w:r>
            <w:r>
              <w:rPr>
                <w:rFonts w:ascii="宋体" w:hAnsi="宋体" w:cs="宋体" w:eastAsia="宋体" w:hint="default"/>
                <w:w w:val="100"/>
                <w:sz w:val="21"/>
                <w:szCs w:val="21"/>
              </w:rPr>
              <w:t>家</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国</w:t>
            </w:r>
            <w:r>
              <w:rPr>
                <w:rFonts w:ascii="宋体" w:hAnsi="宋体" w:cs="宋体" w:eastAsia="宋体" w:hint="default"/>
                <w:w w:val="100"/>
                <w:sz w:val="21"/>
                <w:szCs w:val="21"/>
              </w:rPr>
              <w:t>有</w:t>
            </w:r>
          </w:p>
          <w:p>
            <w:pPr>
              <w:pStyle w:val="TableParagraph"/>
              <w:spacing w:line="240" w:lineRule="auto"/>
              <w:ind w:left="101" w:right="103"/>
              <w:jc w:val="left"/>
              <w:rPr>
                <w:rFonts w:ascii="宋体" w:hAnsi="宋体" w:cs="宋体" w:eastAsia="宋体" w:hint="default"/>
                <w:sz w:val="21"/>
                <w:szCs w:val="21"/>
              </w:rPr>
            </w:pPr>
            <w:r>
              <w:rPr>
                <w:rFonts w:ascii="宋体" w:hAnsi="宋体" w:cs="宋体" w:eastAsia="宋体" w:hint="default"/>
                <w:sz w:val="21"/>
                <w:szCs w:val="21"/>
              </w:rPr>
              <w:t>法人持</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p>
          <w:p>
            <w:pPr>
              <w:pStyle w:val="TableParagraph"/>
              <w:spacing w:line="272" w:lineRule="exact" w:before="27"/>
              <w:ind w:left="101" w:right="103"/>
              <w:jc w:val="left"/>
              <w:rPr>
                <w:rFonts w:ascii="宋体" w:hAnsi="宋体" w:cs="宋体" w:eastAsia="宋体" w:hint="default"/>
                <w:sz w:val="21"/>
                <w:szCs w:val="21"/>
              </w:rPr>
            </w:pPr>
            <w:r>
              <w:rPr>
                <w:rFonts w:ascii="宋体" w:hAnsi="宋体" w:cs="宋体" w:eastAsia="宋体" w:hint="default"/>
                <w:sz w:val="21"/>
                <w:szCs w:val="21"/>
              </w:rPr>
              <w:t>内资持</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64,817,000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75.49</w:t>
            </w: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18,038,800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-20,659,120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-2,620,320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62,196,680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51.74</w:t>
            </w:r>
          </w:p>
        </w:tc>
      </w:tr>
      <w:tr>
        <w:trPr>
          <w:trHeight w:val="110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37" w:lineRule="auto"/>
              <w:ind w:left="101" w:right="103"/>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人持股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25,380,000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29.56</w:t>
            </w: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10,152,000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10,152,000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35,532,000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29.56</w:t>
            </w:r>
          </w:p>
        </w:tc>
      </w:tr>
      <w:tr>
        <w:trPr>
          <w:trHeight w:val="82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40" w:lineRule="auto"/>
              <w:ind w:left="101" w:right="103"/>
              <w:jc w:val="left"/>
              <w:rPr>
                <w:rFonts w:ascii="宋体" w:hAnsi="宋体" w:cs="宋体" w:eastAsia="宋体" w:hint="default"/>
                <w:sz w:val="21"/>
                <w:szCs w:val="21"/>
              </w:rPr>
            </w:pPr>
            <w:r>
              <w:rPr>
                <w:rFonts w:ascii="宋体" w:hAnsi="宋体" w:cs="宋体" w:eastAsia="宋体" w:hint="default"/>
                <w:sz w:val="21"/>
                <w:szCs w:val="21"/>
              </w:rPr>
              <w:t>然人持</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39,437,000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45.93</w:t>
            </w: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7,886,800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-20,659,120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-12,772,320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26,664,680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22.18</w:t>
            </w:r>
          </w:p>
        </w:tc>
      </w:tr>
      <w:tr>
        <w:trPr>
          <w:trHeight w:val="55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外资</w:t>
            </w:r>
            <w:r>
              <w:rPr>
                <w:rFonts w:ascii="宋体" w:hAnsi="宋体" w:cs="宋体" w:eastAsia="宋体" w:hint="default"/>
                <w:w w:val="100"/>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40" w:lineRule="auto"/>
              <w:ind w:left="101" w:right="103"/>
              <w:jc w:val="left"/>
              <w:rPr>
                <w:rFonts w:ascii="宋体" w:hAnsi="宋体" w:cs="宋体" w:eastAsia="宋体" w:hint="default"/>
                <w:sz w:val="21"/>
                <w:szCs w:val="21"/>
              </w:rPr>
            </w:pPr>
            <w:r>
              <w:rPr>
                <w:rFonts w:ascii="宋体" w:hAnsi="宋体" w:cs="宋体" w:eastAsia="宋体" w:hint="default"/>
                <w:sz w:val="21"/>
                <w:szCs w:val="21"/>
              </w:rPr>
              <w:t>境外法</w:t>
            </w:r>
            <w:r>
              <w:rPr>
                <w:rFonts w:ascii="宋体" w:hAnsi="宋体" w:cs="宋体" w:eastAsia="宋体" w:hint="default"/>
                <w:spacing w:val="-102"/>
                <w:sz w:val="21"/>
                <w:szCs w:val="21"/>
              </w:rPr>
              <w:t> </w:t>
            </w:r>
            <w:r>
              <w:rPr>
                <w:rFonts w:ascii="宋体" w:hAnsi="宋体" w:cs="宋体" w:eastAsia="宋体" w:hint="default"/>
                <w:sz w:val="21"/>
                <w:szCs w:val="21"/>
              </w:rPr>
              <w:t>人持股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境外自</w:t>
            </w:r>
          </w:p>
          <w:p>
            <w:pPr>
              <w:pStyle w:val="TableParagraph"/>
              <w:spacing w:line="272" w:lineRule="exact" w:before="27"/>
              <w:ind w:left="101" w:right="103"/>
              <w:jc w:val="left"/>
              <w:rPr>
                <w:rFonts w:ascii="宋体" w:hAnsi="宋体" w:cs="宋体" w:eastAsia="宋体" w:hint="default"/>
                <w:sz w:val="21"/>
                <w:szCs w:val="21"/>
              </w:rPr>
            </w:pPr>
            <w:r>
              <w:rPr>
                <w:rFonts w:ascii="宋体" w:hAnsi="宋体" w:cs="宋体" w:eastAsia="宋体" w:hint="default"/>
                <w:sz w:val="21"/>
                <w:szCs w:val="21"/>
              </w:rPr>
              <w:t>然人持</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二、无</w:t>
            </w:r>
          </w:p>
          <w:p>
            <w:pPr>
              <w:pStyle w:val="TableParagraph"/>
              <w:spacing w:line="240" w:lineRule="auto"/>
              <w:ind w:left="101" w:right="101"/>
              <w:jc w:val="left"/>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件流通</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21,050,000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24.51</w:t>
            </w: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16,308,000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20,659,120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36,967,120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58,017,120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48.26</w:t>
            </w:r>
          </w:p>
        </w:tc>
      </w:tr>
    </w:tbl>
    <w:p>
      <w:pPr>
        <w:spacing w:after="0" w:line="241" w:lineRule="exact"/>
        <w:jc w:val="center"/>
        <w:rPr>
          <w:rFonts w:ascii="宋体" w:hAnsi="宋体" w:cs="宋体" w:eastAsia="宋体" w:hint="default"/>
          <w:sz w:val="21"/>
          <w:szCs w:val="21"/>
        </w:rPr>
        <w:sectPr>
          <w:type w:val="continuous"/>
          <w:pgSz w:w="11910" w:h="16840"/>
          <w:pgMar w:top="1120" w:bottom="1380" w:left="112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850"/>
        <w:gridCol w:w="1265"/>
        <w:gridCol w:w="742"/>
        <w:gridCol w:w="482"/>
        <w:gridCol w:w="427"/>
        <w:gridCol w:w="1265"/>
        <w:gridCol w:w="1371"/>
        <w:gridCol w:w="1268"/>
        <w:gridCol w:w="1370"/>
        <w:gridCol w:w="742"/>
      </w:tblGrid>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6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p>
          <w:p>
            <w:pPr>
              <w:pStyle w:val="TableParagraph"/>
              <w:spacing w:line="272" w:lineRule="exact" w:before="27"/>
              <w:ind w:left="101" w:right="103"/>
              <w:jc w:val="left"/>
              <w:rPr>
                <w:rFonts w:ascii="宋体" w:hAnsi="宋体" w:cs="宋体" w:eastAsia="宋体" w:hint="default"/>
                <w:sz w:val="21"/>
                <w:szCs w:val="21"/>
              </w:rPr>
            </w:pPr>
            <w:r>
              <w:rPr>
                <w:rFonts w:ascii="宋体" w:hAnsi="宋体" w:cs="宋体" w:eastAsia="宋体" w:hint="default"/>
                <w:sz w:val="21"/>
                <w:szCs w:val="21"/>
              </w:rPr>
              <w:t>币普通</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21,050,000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24.51</w:t>
            </w: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16,308,000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20,659,120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36,967,120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58,017,120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48.26</w:t>
            </w:r>
          </w:p>
        </w:tc>
      </w:tr>
      <w:tr>
        <w:trPr>
          <w:trHeight w:val="82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境</w:t>
            </w:r>
            <w:r>
              <w:rPr>
                <w:rFonts w:ascii="宋体" w:hAnsi="宋体" w:cs="宋体" w:eastAsia="宋体" w:hint="default"/>
                <w:w w:val="100"/>
                <w:sz w:val="21"/>
                <w:szCs w:val="21"/>
              </w:rPr>
              <w:t>内</w:t>
            </w:r>
          </w:p>
          <w:p>
            <w:pPr>
              <w:pStyle w:val="TableParagraph"/>
              <w:spacing w:line="240" w:lineRule="auto"/>
              <w:ind w:left="101" w:right="103"/>
              <w:jc w:val="left"/>
              <w:rPr>
                <w:rFonts w:ascii="宋体" w:hAnsi="宋体" w:cs="宋体" w:eastAsia="宋体" w:hint="default"/>
                <w:sz w:val="21"/>
                <w:szCs w:val="21"/>
              </w:rPr>
            </w:pPr>
            <w:r>
              <w:rPr>
                <w:rFonts w:ascii="宋体" w:hAnsi="宋体" w:cs="宋体" w:eastAsia="宋体" w:hint="default"/>
                <w:sz w:val="21"/>
                <w:szCs w:val="21"/>
              </w:rPr>
              <w:t>上市的</w:t>
            </w:r>
            <w:r>
              <w:rPr>
                <w:rFonts w:ascii="宋体" w:hAnsi="宋体" w:cs="宋体" w:eastAsia="宋体" w:hint="default"/>
                <w:spacing w:val="-102"/>
                <w:sz w:val="21"/>
                <w:szCs w:val="21"/>
              </w:rPr>
              <w:t> </w:t>
            </w:r>
            <w:r>
              <w:rPr>
                <w:rFonts w:ascii="宋体" w:hAnsi="宋体" w:cs="宋体" w:eastAsia="宋体" w:hint="default"/>
                <w:sz w:val="21"/>
                <w:szCs w:val="21"/>
              </w:rPr>
              <w:t>外资股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p>
          <w:p>
            <w:pPr>
              <w:pStyle w:val="TableParagraph"/>
              <w:spacing w:line="272" w:lineRule="exact" w:before="27"/>
              <w:ind w:left="101" w:right="103"/>
              <w:jc w:val="left"/>
              <w:rPr>
                <w:rFonts w:ascii="宋体" w:hAnsi="宋体" w:cs="宋体" w:eastAsia="宋体" w:hint="default"/>
                <w:sz w:val="21"/>
                <w:szCs w:val="21"/>
              </w:rPr>
            </w:pPr>
            <w:r>
              <w:rPr>
                <w:rFonts w:ascii="宋体" w:hAnsi="宋体" w:cs="宋体" w:eastAsia="宋体" w:hint="default"/>
                <w:sz w:val="21"/>
                <w:szCs w:val="21"/>
              </w:rPr>
              <w:t>上市的</w:t>
            </w:r>
            <w:r>
              <w:rPr>
                <w:rFonts w:ascii="宋体" w:hAnsi="宋体" w:cs="宋体" w:eastAsia="宋体" w:hint="default"/>
                <w:spacing w:val="-102"/>
                <w:sz w:val="21"/>
                <w:szCs w:val="21"/>
              </w:rPr>
              <w:t> </w:t>
            </w:r>
            <w:r>
              <w:rPr>
                <w:rFonts w:ascii="宋体" w:hAnsi="宋体" w:cs="宋体" w:eastAsia="宋体" w:hint="default"/>
                <w:sz w:val="21"/>
                <w:szCs w:val="21"/>
              </w:rPr>
              <w:t>外资股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三、普</w:t>
            </w:r>
          </w:p>
          <w:p>
            <w:pPr>
              <w:pStyle w:val="TableParagraph"/>
              <w:spacing w:line="240" w:lineRule="auto"/>
              <w:ind w:left="101" w:right="103"/>
              <w:jc w:val="left"/>
              <w:rPr>
                <w:rFonts w:ascii="宋体" w:hAnsi="宋体" w:cs="宋体" w:eastAsia="宋体" w:hint="default"/>
                <w:sz w:val="21"/>
                <w:szCs w:val="21"/>
              </w:rPr>
            </w:pPr>
            <w:r>
              <w:rPr>
                <w:rFonts w:ascii="宋体" w:hAnsi="宋体" w:cs="宋体" w:eastAsia="宋体" w:hint="default"/>
                <w:sz w:val="21"/>
                <w:szCs w:val="21"/>
              </w:rPr>
              <w:t>通股股</w:t>
            </w:r>
            <w:r>
              <w:rPr>
                <w:rFonts w:ascii="宋体" w:hAnsi="宋体" w:cs="宋体" w:eastAsia="宋体" w:hint="default"/>
                <w:spacing w:val="-102"/>
                <w:sz w:val="21"/>
                <w:szCs w:val="21"/>
              </w:rPr>
              <w:t> </w:t>
            </w:r>
            <w:r>
              <w:rPr>
                <w:rFonts w:ascii="宋体" w:hAnsi="宋体" w:cs="宋体" w:eastAsia="宋体" w:hint="default"/>
                <w:sz w:val="21"/>
                <w:szCs w:val="21"/>
              </w:rPr>
              <w:t>份总数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85,867,000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100</w:t>
            </w:r>
          </w:p>
        </w:tc>
        <w:tc>
          <w:tcPr>
            <w:tcW w:w="4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34,346,800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34,346,800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120,213,800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left="678" w:right="0"/>
        <w:jc w:val="both"/>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spacing w:line="273" w:lineRule="exact" w:before="58"/>
        <w:ind w:left="678" w:right="0"/>
        <w:jc w:val="both"/>
      </w:pPr>
      <w:r>
        <w:rPr/>
        <w:t>√适用</w:t>
      </w:r>
      <w:r>
        <w:rPr>
          <w:spacing w:val="104"/>
        </w:rPr>
        <w:t> </w:t>
      </w:r>
      <w:r>
        <w:rPr/>
        <w:t>□不适用</w:t>
      </w:r>
    </w:p>
    <w:p>
      <w:pPr>
        <w:pStyle w:val="BodyText"/>
        <w:spacing w:line="240" w:lineRule="auto"/>
        <w:ind w:left="678" w:right="0" w:firstLine="419"/>
        <w:jc w:val="left"/>
      </w:pPr>
      <w:r>
        <w:rPr>
          <w:rFonts w:ascii="宋体" w:hAnsi="宋体" w:cs="宋体" w:eastAsia="宋体" w:hint="default"/>
          <w:spacing w:val="-15"/>
          <w:w w:val="100"/>
        </w:rPr>
        <w:t>1</w:t>
      </w:r>
      <w:r>
        <w:rPr>
          <w:spacing w:val="-15"/>
          <w:w w:val="100"/>
        </w:rPr>
        <w:t>、</w:t>
      </w:r>
      <w:r>
        <w:rPr>
          <w:rFonts w:ascii="宋体" w:hAnsi="宋体" w:cs="宋体" w:eastAsia="宋体" w:hint="default"/>
          <w:spacing w:val="-15"/>
          <w:w w:val="100"/>
        </w:rPr>
        <w:t>2018</w:t>
      </w:r>
      <w:r>
        <w:rPr>
          <w:rFonts w:ascii="宋体" w:hAnsi="宋体" w:cs="宋体" w:eastAsia="宋体" w:hint="default"/>
          <w:spacing w:val="-51"/>
          <w:w w:val="100"/>
        </w:rPr>
        <w:t> </w:t>
      </w:r>
      <w:r>
        <w:rPr>
          <w:w w:val="100"/>
        </w:rPr>
        <w:t>年</w:t>
      </w:r>
      <w:r>
        <w:rPr>
          <w:spacing w:val="-51"/>
          <w:w w:val="100"/>
        </w:rPr>
        <w:t> </w:t>
      </w:r>
      <w:r>
        <w:rPr>
          <w:rFonts w:ascii="宋体" w:hAnsi="宋体" w:cs="宋体" w:eastAsia="宋体" w:hint="default"/>
          <w:w w:val="100"/>
        </w:rPr>
        <w:t>5</w:t>
      </w:r>
      <w:r>
        <w:rPr>
          <w:rFonts w:ascii="宋体" w:hAnsi="宋体" w:cs="宋体" w:eastAsia="宋体" w:hint="default"/>
          <w:spacing w:val="-54"/>
          <w:w w:val="100"/>
        </w:rPr>
        <w:t> </w:t>
      </w:r>
      <w:r>
        <w:rPr>
          <w:spacing w:val="-7"/>
          <w:w w:val="100"/>
        </w:rPr>
        <w:t>月，公司首次公开发行限售股上市流通，本次上市流通的限售股股东共计</w:t>
      </w:r>
      <w:r>
        <w:rPr>
          <w:spacing w:val="-51"/>
          <w:w w:val="100"/>
        </w:rPr>
        <w:t> </w:t>
      </w:r>
      <w:r>
        <w:rPr>
          <w:rFonts w:ascii="宋体" w:hAnsi="宋体" w:cs="宋体" w:eastAsia="宋体" w:hint="default"/>
          <w:w w:val="100"/>
        </w:rPr>
        <w:t>19</w:t>
      </w:r>
      <w:r>
        <w:rPr>
          <w:rFonts w:ascii="宋体" w:hAnsi="宋体" w:cs="宋体" w:eastAsia="宋体" w:hint="default"/>
          <w:spacing w:val="-54"/>
          <w:w w:val="100"/>
        </w:rPr>
        <w:t> </w:t>
      </w:r>
      <w:r>
        <w:rPr>
          <w:w w:val="100"/>
        </w:rPr>
        <w:t>名， </w:t>
      </w:r>
      <w:r>
        <w:rPr/>
        <w:t>合计持有</w:t>
      </w:r>
      <w:r>
        <w:rPr>
          <w:spacing w:val="-56"/>
        </w:rPr>
        <w:t> </w:t>
      </w:r>
      <w:r>
        <w:rPr>
          <w:rFonts w:ascii="宋体" w:hAnsi="宋体" w:cs="宋体" w:eastAsia="宋体" w:hint="default"/>
        </w:rPr>
        <w:t>19,720,000</w:t>
      </w:r>
      <w:r>
        <w:rPr>
          <w:rFonts w:ascii="宋体" w:hAnsi="宋体" w:cs="宋体" w:eastAsia="宋体" w:hint="default"/>
          <w:spacing w:val="-56"/>
        </w:rPr>
        <w:t> </w:t>
      </w:r>
      <w:r>
        <w:rPr/>
        <w:t>股，占公司总股本的</w:t>
      </w:r>
      <w:r>
        <w:rPr>
          <w:spacing w:val="-55"/>
        </w:rPr>
        <w:t> </w:t>
      </w:r>
      <w:r>
        <w:rPr>
          <w:rFonts w:ascii="宋体" w:hAnsi="宋体" w:cs="宋体" w:eastAsia="宋体" w:hint="default"/>
        </w:rPr>
        <w:t>22.97%</w:t>
      </w:r>
      <w:r>
        <w:rPr/>
        <w:t>。</w:t>
      </w:r>
    </w:p>
    <w:p>
      <w:pPr>
        <w:pStyle w:val="BodyText"/>
        <w:spacing w:line="271" w:lineRule="exact"/>
        <w:ind w:left="1098" w:right="0"/>
        <w:jc w:val="left"/>
        <w:rPr>
          <w:rFonts w:ascii="宋体" w:hAnsi="宋体" w:cs="宋体" w:eastAsia="宋体" w:hint="default"/>
        </w:rPr>
      </w:pPr>
      <w:r>
        <w:rPr>
          <w:rFonts w:ascii="宋体" w:hAnsi="宋体" w:cs="宋体" w:eastAsia="宋体" w:hint="default"/>
          <w:w w:val="100"/>
        </w:rPr>
        <w:t>2</w:t>
      </w:r>
      <w:r>
        <w:rPr>
          <w:spacing w:val="-106"/>
          <w:w w:val="100"/>
        </w:rPr>
        <w:t>、</w:t>
      </w:r>
      <w:r>
        <w:rPr>
          <w:rFonts w:ascii="宋体" w:hAnsi="宋体" w:cs="宋体" w:eastAsia="宋体" w:hint="default"/>
          <w:w w:val="100"/>
        </w:rPr>
        <w:t>2018</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6</w:t>
      </w:r>
      <w:r>
        <w:rPr>
          <w:rFonts w:ascii="宋体" w:hAnsi="宋体" w:cs="宋体" w:eastAsia="宋体" w:hint="default"/>
          <w:spacing w:val="-69"/>
        </w:rPr>
        <w:t> </w:t>
      </w:r>
      <w:r>
        <w:rPr>
          <w:w w:val="100"/>
        </w:rPr>
        <w:t>月</w:t>
      </w:r>
      <w:r>
        <w:rPr>
          <w:spacing w:val="-108"/>
          <w:w w:val="100"/>
        </w:rPr>
        <w:t>，</w:t>
      </w:r>
      <w:r>
        <w:rPr>
          <w:w w:val="100"/>
        </w:rPr>
        <w:t>公</w:t>
      </w:r>
      <w:r>
        <w:rPr>
          <w:spacing w:val="-3"/>
          <w:w w:val="100"/>
        </w:rPr>
        <w:t>司</w:t>
      </w:r>
      <w:r>
        <w:rPr>
          <w:w w:val="100"/>
        </w:rPr>
        <w:t>实</w:t>
      </w:r>
      <w:r>
        <w:rPr>
          <w:spacing w:val="-3"/>
          <w:w w:val="100"/>
        </w:rPr>
        <w:t>施</w:t>
      </w:r>
      <w:r>
        <w:rPr>
          <w:w w:val="100"/>
        </w:rPr>
        <w:t>了</w:t>
      </w:r>
      <w:r>
        <w:rPr>
          <w:spacing w:val="-69"/>
        </w:rPr>
        <w:t> </w:t>
      </w:r>
      <w:r>
        <w:rPr>
          <w:rFonts w:ascii="宋体" w:hAnsi="宋体" w:cs="宋体" w:eastAsia="宋体" w:hint="default"/>
          <w:w w:val="100"/>
        </w:rPr>
        <w:t>2017</w:t>
      </w:r>
      <w:r>
        <w:rPr>
          <w:rFonts w:ascii="宋体" w:hAnsi="宋体" w:cs="宋体" w:eastAsia="宋体" w:hint="default"/>
          <w:spacing w:val="-69"/>
        </w:rPr>
        <w:t> </w:t>
      </w:r>
      <w:r>
        <w:rPr>
          <w:w w:val="100"/>
        </w:rPr>
        <w:t>年</w:t>
      </w:r>
      <w:r>
        <w:rPr>
          <w:spacing w:val="-3"/>
          <w:w w:val="100"/>
        </w:rPr>
        <w:t>度</w:t>
      </w:r>
      <w:r>
        <w:rPr>
          <w:w w:val="100"/>
        </w:rPr>
        <w:t>利</w:t>
      </w:r>
      <w:r>
        <w:rPr>
          <w:spacing w:val="-3"/>
          <w:w w:val="100"/>
        </w:rPr>
        <w:t>润</w:t>
      </w:r>
      <w:r>
        <w:rPr>
          <w:w w:val="100"/>
        </w:rPr>
        <w:t>分</w:t>
      </w:r>
      <w:r>
        <w:rPr>
          <w:spacing w:val="-3"/>
          <w:w w:val="100"/>
        </w:rPr>
        <w:t>配</w:t>
      </w:r>
      <w:r>
        <w:rPr>
          <w:w w:val="100"/>
        </w:rPr>
        <w:t>方</w:t>
      </w:r>
      <w:r>
        <w:rPr>
          <w:spacing w:val="-3"/>
          <w:w w:val="100"/>
        </w:rPr>
        <w:t>案</w:t>
      </w:r>
      <w:r>
        <w:rPr>
          <w:w w:val="100"/>
        </w:rPr>
        <w:t>，以</w:t>
      </w:r>
      <w:r>
        <w:rPr>
          <w:spacing w:val="-3"/>
          <w:w w:val="100"/>
        </w:rPr>
        <w:t>方</w:t>
      </w:r>
      <w:r>
        <w:rPr>
          <w:w w:val="100"/>
        </w:rPr>
        <w:t>案</w:t>
      </w:r>
      <w:r>
        <w:rPr>
          <w:spacing w:val="-3"/>
          <w:w w:val="100"/>
        </w:rPr>
        <w:t>实</w:t>
      </w:r>
      <w:r>
        <w:rPr>
          <w:w w:val="100"/>
        </w:rPr>
        <w:t>施</w:t>
      </w:r>
      <w:r>
        <w:rPr>
          <w:spacing w:val="-3"/>
          <w:w w:val="100"/>
        </w:rPr>
        <w:t>前</w:t>
      </w:r>
      <w:r>
        <w:rPr>
          <w:w w:val="100"/>
        </w:rPr>
        <w:t>的</w:t>
      </w:r>
      <w:r>
        <w:rPr>
          <w:spacing w:val="-3"/>
          <w:w w:val="100"/>
        </w:rPr>
        <w:t>公</w:t>
      </w:r>
      <w:r>
        <w:rPr>
          <w:w w:val="100"/>
        </w:rPr>
        <w:t>司</w:t>
      </w:r>
      <w:r>
        <w:rPr>
          <w:spacing w:val="-3"/>
          <w:w w:val="100"/>
        </w:rPr>
        <w:t>总</w:t>
      </w:r>
      <w:r>
        <w:rPr>
          <w:w w:val="100"/>
        </w:rPr>
        <w:t>股本</w:t>
      </w:r>
      <w:r>
        <w:rPr>
          <w:spacing w:val="-69"/>
        </w:rPr>
        <w:t> </w:t>
      </w:r>
      <w:r>
        <w:rPr>
          <w:rFonts w:ascii="宋体" w:hAnsi="宋体" w:cs="宋体" w:eastAsia="宋体" w:hint="default"/>
          <w:w w:val="100"/>
        </w:rPr>
        <w:t>85,</w:t>
      </w:r>
      <w:r>
        <w:rPr>
          <w:rFonts w:ascii="宋体" w:hAnsi="宋体" w:cs="宋体" w:eastAsia="宋体" w:hint="default"/>
          <w:spacing w:val="-3"/>
          <w:w w:val="100"/>
        </w:rPr>
        <w:t>8</w:t>
      </w:r>
      <w:r>
        <w:rPr>
          <w:rFonts w:ascii="宋体" w:hAnsi="宋体" w:cs="宋体" w:eastAsia="宋体" w:hint="default"/>
          <w:w w:val="100"/>
        </w:rPr>
        <w:t>67,</w:t>
      </w:r>
      <w:r>
        <w:rPr>
          <w:rFonts w:ascii="宋体" w:hAnsi="宋体" w:cs="宋体" w:eastAsia="宋体" w:hint="default"/>
          <w:spacing w:val="-3"/>
          <w:w w:val="100"/>
        </w:rPr>
        <w:t>00</w:t>
      </w:r>
      <w:r>
        <w:rPr>
          <w:rFonts w:ascii="宋体" w:hAnsi="宋体" w:cs="宋体" w:eastAsia="宋体" w:hint="default"/>
          <w:w w:val="100"/>
        </w:rPr>
        <w:t>0</w:t>
      </w:r>
    </w:p>
    <w:p>
      <w:pPr>
        <w:pStyle w:val="BodyText"/>
        <w:spacing w:line="272" w:lineRule="exact"/>
        <w:ind w:left="678" w:right="0"/>
        <w:jc w:val="both"/>
      </w:pPr>
      <w:r>
        <w:rPr/>
        <w:t>股为基数，每股派发现金红利</w:t>
      </w:r>
      <w:r>
        <w:rPr>
          <w:spacing w:val="-55"/>
        </w:rPr>
        <w:t> </w:t>
      </w:r>
      <w:r>
        <w:rPr>
          <w:rFonts w:ascii="宋体" w:hAnsi="宋体" w:cs="宋体" w:eastAsia="宋体" w:hint="default"/>
        </w:rPr>
        <w:t>0.50</w:t>
      </w:r>
      <w:r>
        <w:rPr>
          <w:rFonts w:ascii="宋体" w:hAnsi="宋体" w:cs="宋体" w:eastAsia="宋体" w:hint="default"/>
          <w:spacing w:val="-57"/>
        </w:rPr>
        <w:t> </w:t>
      </w:r>
      <w:r>
        <w:rPr/>
        <w:t>元（含税），以资本公积金向全体股东每股转增</w:t>
      </w:r>
      <w:r>
        <w:rPr>
          <w:spacing w:val="-54"/>
        </w:rPr>
        <w:t> </w:t>
      </w:r>
      <w:r>
        <w:rPr>
          <w:rFonts w:ascii="宋体" w:hAnsi="宋体" w:cs="宋体" w:eastAsia="宋体" w:hint="default"/>
        </w:rPr>
        <w:t>0.40</w:t>
      </w:r>
      <w:r>
        <w:rPr>
          <w:rFonts w:ascii="宋体" w:hAnsi="宋体" w:cs="宋体" w:eastAsia="宋体" w:hint="default"/>
          <w:spacing w:val="-55"/>
        </w:rPr>
        <w:t> </w:t>
      </w:r>
      <w:r>
        <w:rPr/>
        <w:t>股，共</w:t>
      </w:r>
    </w:p>
    <w:p>
      <w:pPr>
        <w:pStyle w:val="BodyText"/>
        <w:spacing w:line="240" w:lineRule="auto"/>
        <w:ind w:left="1098" w:right="485" w:hanging="420"/>
        <w:jc w:val="left"/>
      </w:pPr>
      <w:r>
        <w:rPr/>
        <w:t>计派发现金红利</w:t>
      </w:r>
      <w:r>
        <w:rPr>
          <w:spacing w:val="-54"/>
        </w:rPr>
        <w:t> </w:t>
      </w:r>
      <w:r>
        <w:rPr>
          <w:rFonts w:ascii="宋体" w:hAnsi="宋体" w:cs="宋体" w:eastAsia="宋体" w:hint="default"/>
        </w:rPr>
        <w:t>42,933,500</w:t>
      </w:r>
      <w:r>
        <w:rPr>
          <w:rFonts w:ascii="宋体" w:hAnsi="宋体" w:cs="宋体" w:eastAsia="宋体" w:hint="default"/>
          <w:spacing w:val="-53"/>
        </w:rPr>
        <w:t> </w:t>
      </w:r>
      <w:r>
        <w:rPr/>
        <w:t>元，转增</w:t>
      </w:r>
      <w:r>
        <w:rPr>
          <w:spacing w:val="-54"/>
        </w:rPr>
        <w:t> </w:t>
      </w:r>
      <w:r>
        <w:rPr>
          <w:rFonts w:ascii="宋体" w:hAnsi="宋体" w:cs="宋体" w:eastAsia="宋体" w:hint="default"/>
        </w:rPr>
        <w:t>34,346,800</w:t>
      </w:r>
      <w:r>
        <w:rPr>
          <w:rFonts w:ascii="宋体" w:hAnsi="宋体" w:cs="宋体" w:eastAsia="宋体" w:hint="default"/>
          <w:spacing w:val="-56"/>
        </w:rPr>
        <w:t> </w:t>
      </w:r>
      <w:r>
        <w:rPr/>
        <w:t>股，本次分配后总股本为</w:t>
      </w:r>
      <w:r>
        <w:rPr>
          <w:spacing w:val="-56"/>
        </w:rPr>
        <w:t> </w:t>
      </w:r>
      <w:r>
        <w:rPr>
          <w:rFonts w:ascii="宋体" w:hAnsi="宋体" w:cs="宋体" w:eastAsia="宋体" w:hint="default"/>
        </w:rPr>
        <w:t>120,213,800</w:t>
      </w:r>
      <w:r>
        <w:rPr>
          <w:rFonts w:ascii="宋体" w:hAnsi="宋体" w:cs="宋体" w:eastAsia="宋体" w:hint="default"/>
          <w:spacing w:val="-53"/>
        </w:rPr>
        <w:t> </w:t>
      </w:r>
      <w:r>
        <w:rPr/>
        <w:t>股。</w:t>
      </w:r>
      <w:r>
        <w:rPr>
          <w:w w:val="100"/>
        </w:rPr>
        <w:t> </w:t>
      </w:r>
      <w:r>
        <w:rPr>
          <w:rFonts w:ascii="宋体" w:hAnsi="宋体" w:cs="宋体" w:eastAsia="宋体" w:hint="default"/>
          <w:spacing w:val="-9"/>
        </w:rPr>
        <w:t>3</w:t>
      </w:r>
      <w:r>
        <w:rPr>
          <w:spacing w:val="-9"/>
        </w:rPr>
        <w:t>、</w:t>
      </w:r>
      <w:r>
        <w:rPr>
          <w:rFonts w:ascii="宋体" w:hAnsi="宋体" w:cs="宋体" w:eastAsia="宋体" w:hint="default"/>
          <w:spacing w:val="-9"/>
        </w:rPr>
        <w:t>2018 </w:t>
      </w:r>
      <w:r>
        <w:rPr/>
        <w:t>年 </w:t>
      </w:r>
      <w:r>
        <w:rPr>
          <w:rFonts w:ascii="宋体" w:hAnsi="宋体" w:cs="宋体" w:eastAsia="宋体" w:hint="default"/>
        </w:rPr>
        <w:t>9</w:t>
      </w:r>
      <w:r>
        <w:rPr>
          <w:rFonts w:ascii="宋体" w:hAnsi="宋体" w:cs="宋体" w:eastAsia="宋体" w:hint="default"/>
          <w:spacing w:val="-74"/>
        </w:rPr>
        <w:t> </w:t>
      </w:r>
      <w:r>
        <w:rPr>
          <w:spacing w:val="-5"/>
        </w:rPr>
        <w:t>月，公司限制性股票第一个解锁期解锁条件满足，对应的限制性股票上市流通，</w:t>
      </w:r>
    </w:p>
    <w:p>
      <w:pPr>
        <w:pStyle w:val="BodyText"/>
        <w:spacing w:line="271" w:lineRule="exact"/>
        <w:ind w:left="678" w:right="0"/>
        <w:jc w:val="both"/>
      </w:pPr>
      <w:r>
        <w:rPr/>
        <w:t>数量共计</w:t>
      </w:r>
      <w:r>
        <w:rPr>
          <w:spacing w:val="-54"/>
        </w:rPr>
        <w:t> </w:t>
      </w:r>
      <w:r>
        <w:rPr>
          <w:rFonts w:ascii="宋体" w:hAnsi="宋体" w:cs="宋体" w:eastAsia="宋体" w:hint="default"/>
        </w:rPr>
        <w:t>939,120</w:t>
      </w:r>
      <w:r>
        <w:rPr>
          <w:rFonts w:ascii="宋体" w:hAnsi="宋体" w:cs="宋体" w:eastAsia="宋体" w:hint="default"/>
          <w:spacing w:val="-54"/>
        </w:rPr>
        <w:t> </w:t>
      </w:r>
      <w:r>
        <w:rPr/>
        <w:t>股。</w:t>
      </w:r>
    </w:p>
    <w:p>
      <w:pPr>
        <w:pStyle w:val="Heading4"/>
        <w:spacing w:line="240" w:lineRule="auto" w:before="56"/>
        <w:ind w:left="678" w:right="0"/>
        <w:jc w:val="both"/>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spacing w:line="273" w:lineRule="exact" w:before="58"/>
        <w:ind w:left="678" w:right="0"/>
        <w:jc w:val="both"/>
      </w:pPr>
      <w:r>
        <w:rPr/>
        <w:t>√适用</w:t>
      </w:r>
      <w:r>
        <w:rPr>
          <w:spacing w:val="104"/>
        </w:rPr>
        <w:t> </w:t>
      </w:r>
      <w:r>
        <w:rPr/>
        <w:t>□不适用</w:t>
      </w:r>
    </w:p>
    <w:p>
      <w:pPr>
        <w:pStyle w:val="BodyText"/>
        <w:spacing w:line="272" w:lineRule="exact"/>
        <w:ind w:left="1098" w:right="0"/>
        <w:jc w:val="left"/>
      </w:pPr>
      <w:r>
        <w:rPr/>
        <w:t>报告期内，公司实施 </w:t>
      </w:r>
      <w:r>
        <w:rPr>
          <w:rFonts w:ascii="宋体" w:hAnsi="宋体" w:cs="宋体" w:eastAsia="宋体" w:hint="default"/>
        </w:rPr>
        <w:t>2017</w:t>
      </w:r>
      <w:r>
        <w:rPr>
          <w:rFonts w:ascii="宋体" w:hAnsi="宋体" w:cs="宋体" w:eastAsia="宋体" w:hint="default"/>
          <w:spacing w:val="-56"/>
        </w:rPr>
        <w:t> </w:t>
      </w:r>
      <w:r>
        <w:rPr/>
        <w:t>年度利润分配方案后以及公司限制性股票第一个解锁期对应的限</w:t>
      </w:r>
    </w:p>
    <w:p>
      <w:pPr>
        <w:pStyle w:val="BodyText"/>
        <w:spacing w:line="237" w:lineRule="auto" w:before="2"/>
        <w:ind w:left="678" w:right="488"/>
        <w:jc w:val="both"/>
      </w:pPr>
      <w:r>
        <w:rPr/>
        <w:t>制性股票上市流通。上述股本变动致使公司 </w:t>
      </w:r>
      <w:r>
        <w:rPr>
          <w:rFonts w:ascii="宋体" w:hAnsi="宋体" w:cs="宋体" w:eastAsia="宋体" w:hint="default"/>
        </w:rPr>
        <w:t>2018</w:t>
      </w:r>
      <w:r>
        <w:rPr>
          <w:rFonts w:ascii="宋体" w:hAnsi="宋体" w:cs="宋体" w:eastAsia="宋体" w:hint="default"/>
          <w:spacing w:val="-4"/>
        </w:rPr>
        <w:t> </w:t>
      </w:r>
      <w:r>
        <w:rPr/>
        <w:t>年度的基本每股收益及每股净资产等指标被摊</w:t>
      </w:r>
      <w:r>
        <w:rPr>
          <w:w w:val="100"/>
        </w:rPr>
        <w:t> </w:t>
      </w:r>
      <w:r>
        <w:rPr>
          <w:spacing w:val="-3"/>
        </w:rPr>
        <w:t>薄，如按照股本变动前总股本计算，</w:t>
      </w:r>
      <w:r>
        <w:rPr>
          <w:rFonts w:ascii="宋体" w:hAnsi="宋体" w:cs="宋体" w:eastAsia="宋体" w:hint="default"/>
          <w:spacing w:val="-3"/>
        </w:rPr>
        <w:t>2018</w:t>
      </w:r>
      <w:r>
        <w:rPr>
          <w:rFonts w:ascii="宋体" w:hAnsi="宋体" w:cs="宋体" w:eastAsia="宋体" w:hint="default"/>
          <w:spacing w:val="-47"/>
        </w:rPr>
        <w:t> </w:t>
      </w:r>
      <w:r>
        <w:rPr/>
        <w:t>年度的基本每股收益为</w:t>
      </w:r>
      <w:r>
        <w:rPr>
          <w:spacing w:val="18"/>
        </w:rPr>
        <w:t> </w:t>
      </w:r>
      <w:r>
        <w:rPr>
          <w:rFonts w:ascii="宋体" w:hAnsi="宋体" w:cs="宋体" w:eastAsia="宋体" w:hint="default"/>
        </w:rPr>
        <w:t>1.42</w:t>
      </w:r>
      <w:r>
        <w:rPr>
          <w:rFonts w:ascii="宋体" w:hAnsi="宋体" w:cs="宋体" w:eastAsia="宋体" w:hint="default"/>
          <w:spacing w:val="16"/>
        </w:rPr>
        <w:t> </w:t>
      </w:r>
      <w:r>
        <w:rPr>
          <w:spacing w:val="-3"/>
        </w:rPr>
        <w:t>元；如按照股本变动后的</w:t>
      </w:r>
      <w:r>
        <w:rPr>
          <w:spacing w:val="-102"/>
        </w:rPr>
        <w:t> </w:t>
      </w:r>
      <w:r>
        <w:rPr>
          <w:spacing w:val="-102"/>
        </w:rPr>
      </w:r>
      <w:r>
        <w:rPr/>
        <w:t>股本计算，</w:t>
      </w:r>
      <w:r>
        <w:rPr>
          <w:rFonts w:ascii="宋体" w:hAnsi="宋体" w:cs="宋体" w:eastAsia="宋体" w:hint="default"/>
        </w:rPr>
        <w:t>2018</w:t>
      </w:r>
      <w:r>
        <w:rPr>
          <w:rFonts w:ascii="宋体" w:hAnsi="宋体" w:cs="宋体" w:eastAsia="宋体" w:hint="default"/>
          <w:spacing w:val="-2"/>
        </w:rPr>
        <w:t> </w:t>
      </w:r>
      <w:r>
        <w:rPr/>
        <w:t>年度的基本每股收益为</w:t>
      </w:r>
      <w:r>
        <w:rPr>
          <w:spacing w:val="-53"/>
        </w:rPr>
        <w:t> </w:t>
      </w:r>
      <w:r>
        <w:rPr>
          <w:rFonts w:ascii="宋体" w:hAnsi="宋体" w:cs="宋体" w:eastAsia="宋体" w:hint="default"/>
        </w:rPr>
        <w:t>1.01</w:t>
      </w:r>
      <w:r>
        <w:rPr>
          <w:rFonts w:ascii="宋体" w:hAnsi="宋体" w:cs="宋体" w:eastAsia="宋体" w:hint="default"/>
          <w:spacing w:val="-55"/>
        </w:rPr>
        <w:t> </w:t>
      </w:r>
      <w:r>
        <w:rPr/>
        <w:t>元。</w:t>
      </w:r>
    </w:p>
    <w:p>
      <w:pPr>
        <w:pStyle w:val="Heading4"/>
        <w:spacing w:line="240" w:lineRule="auto" w:before="56"/>
        <w:ind w:left="678" w:right="0"/>
        <w:jc w:val="both"/>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40" w:lineRule="auto" w:before="58"/>
        <w:ind w:left="678" w:right="0"/>
        <w:jc w:val="both"/>
      </w:pPr>
      <w:r>
        <w:rPr/>
        <w:t>□适用</w:t>
      </w:r>
      <w:r>
        <w:rPr>
          <w:spacing w:val="104"/>
        </w:rPr>
        <w:t> </w:t>
      </w:r>
      <w:r>
        <w:rPr/>
        <w:t>√不适用</w:t>
      </w:r>
    </w:p>
    <w:p>
      <w:pPr>
        <w:pStyle w:val="Heading4"/>
        <w:spacing w:line="240" w:lineRule="auto" w:before="56"/>
        <w:ind w:left="678"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6"/>
        </w:rPr>
        <w:t> </w:t>
      </w:r>
      <w:r>
        <w:rPr/>
        <w:t>限售股份变动情况</w:t>
      </w:r>
      <w:r>
        <w:rPr>
          <w:b w:val="0"/>
          <w:bCs w:val="0"/>
        </w:rPr>
      </w:r>
    </w:p>
    <w:p>
      <w:pPr>
        <w:pStyle w:val="BodyText"/>
        <w:spacing w:line="240" w:lineRule="auto" w:before="32"/>
        <w:ind w:left="678" w:right="0"/>
        <w:jc w:val="both"/>
      </w:pPr>
      <w:r>
        <w:rPr/>
        <w:t>√适用</w:t>
      </w:r>
      <w:r>
        <w:rPr>
          <w:spacing w:val="-1"/>
        </w:rPr>
        <w:t> </w:t>
      </w:r>
      <w:r>
        <w:rPr/>
        <w:t>□不适用</w:t>
      </w:r>
    </w:p>
    <w:p>
      <w:pPr>
        <w:pStyle w:val="BodyText"/>
        <w:spacing w:line="271" w:lineRule="exact"/>
        <w:ind w:left="0" w:right="490"/>
        <w:jc w:val="right"/>
      </w:pPr>
      <w:r>
        <w:rPr/>
        <w:t>单位</w:t>
      </w:r>
      <w:r>
        <w:rPr>
          <w:rFonts w:ascii="宋体" w:hAnsi="宋体" w:cs="宋体" w:eastAsia="宋体" w:hint="default"/>
        </w:rPr>
        <w:t>:</w:t>
      </w:r>
      <w:r>
        <w:rPr>
          <w:rFonts w:ascii="宋体" w:hAnsi="宋体" w:cs="宋体" w:eastAsia="宋体" w:hint="default"/>
          <w:spacing w:val="2"/>
        </w:rPr>
        <w:t> </w:t>
      </w:r>
      <w:r>
        <w:rPr/>
        <w:t>股</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188"/>
        <w:gridCol w:w="1580"/>
        <w:gridCol w:w="1476"/>
        <w:gridCol w:w="1289"/>
        <w:gridCol w:w="1286"/>
        <w:gridCol w:w="1090"/>
        <w:gridCol w:w="1140"/>
      </w:tblGrid>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2"/>
              <w:jc w:val="right"/>
              <w:rPr>
                <w:rFonts w:ascii="宋体" w:hAnsi="宋体" w:cs="宋体" w:eastAsia="宋体" w:hint="default"/>
                <w:sz w:val="21"/>
                <w:szCs w:val="21"/>
              </w:rPr>
            </w:pPr>
            <w:r>
              <w:rPr>
                <w:rFonts w:ascii="宋体" w:hAnsi="宋体" w:cs="宋体" w:eastAsia="宋体" w:hint="default"/>
                <w:spacing w:val="-1"/>
                <w:sz w:val="21"/>
                <w:szCs w:val="21"/>
              </w:rPr>
              <w:t>年初限售股数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18,040,000.00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7,216,000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25,256,000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金石投资</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13,140,000.00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5,256,000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18,396,000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82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福州爱派</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2" w:lineRule="exact" w:before="27"/>
              <w:ind w:left="103" w:right="55"/>
              <w:jc w:val="left"/>
              <w:rPr>
                <w:rFonts w:ascii="宋体" w:hAnsi="宋体" w:cs="宋体" w:eastAsia="宋体" w:hint="default"/>
                <w:sz w:val="21"/>
                <w:szCs w:val="21"/>
              </w:rPr>
            </w:pPr>
            <w:r>
              <w:rPr>
                <w:rFonts w:ascii="宋体" w:hAnsi="宋体" w:cs="宋体" w:eastAsia="宋体" w:hint="default"/>
                <w:spacing w:val="31"/>
                <w:sz w:val="21"/>
                <w:szCs w:val="21"/>
              </w:rPr>
              <w:t>克电子有</w:t>
            </w:r>
            <w:r>
              <w:rPr>
                <w:rFonts w:ascii="宋体" w:hAnsi="宋体" w:cs="宋体" w:eastAsia="宋体" w:hint="default"/>
                <w:spacing w:val="-96"/>
                <w:sz w:val="21"/>
                <w:szCs w:val="21"/>
              </w:rPr>
              <w:t> </w:t>
            </w:r>
            <w:r>
              <w:rPr>
                <w:rFonts w:ascii="宋体" w:hAnsi="宋体" w:cs="宋体" w:eastAsia="宋体" w:hint="default"/>
                <w:sz w:val="21"/>
                <w:szCs w:val="21"/>
              </w:rPr>
              <w:t>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12,240,000.00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4,896,000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17,136,000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5"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w:t>
              <w:tab/>
              <w:t>伟</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6,180,000.00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6,180,000.00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pacing w:val="7"/>
                <w:sz w:val="21"/>
                <w:szCs w:val="21"/>
              </w:rPr>
              <w:t>首发上市</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tc>
      </w:tr>
    </w:tbl>
    <w:p>
      <w:pPr>
        <w:spacing w:after="0" w:line="241" w:lineRule="exact"/>
        <w:jc w:val="left"/>
        <w:rPr>
          <w:rFonts w:ascii="宋体" w:hAnsi="宋体" w:cs="宋体" w:eastAsia="宋体" w:hint="default"/>
          <w:sz w:val="21"/>
          <w:szCs w:val="21"/>
        </w:rPr>
        <w:sectPr>
          <w:pgSz w:w="11910" w:h="16840"/>
          <w:pgMar w:header="880" w:footer="1195" w:top="1120" w:bottom="1380" w:left="112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88"/>
        <w:gridCol w:w="1580"/>
        <w:gridCol w:w="1476"/>
        <w:gridCol w:w="1289"/>
        <w:gridCol w:w="1286"/>
        <w:gridCol w:w="1090"/>
        <w:gridCol w:w="1140"/>
      </w:tblGrid>
      <w:tr>
        <w:trPr>
          <w:trHeight w:val="284" w:hRule="exact"/>
        </w:trPr>
        <w:tc>
          <w:tcPr>
            <w:tcW w:w="11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w:t>
              <w:tab/>
              <w:t>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余养成</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董南勇</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1,156,000.00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1,156,000.00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7"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戴小戈</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872,000.00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872,000.00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w:t>
              <w:tab/>
              <w:t>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5"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w:t>
              <w:tab/>
              <w:t>玉</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刘法先</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林秀红</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412,000.00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徐传秋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412,000.00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邓志强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412,000.00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王敏航</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412,000.00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5"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郑元通</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470,000.00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7"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张雄金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398,000.00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398,000.00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鄢继华</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398,000.00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398,000.00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谢淑仁</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陈瑞德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首发上市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p>
        </w:tc>
      </w:tr>
      <w:tr>
        <w:trPr>
          <w:trHeight w:val="555"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  然</w:t>
            </w:r>
            <w:r>
              <w:rPr>
                <w:rFonts w:ascii="宋体" w:hAnsi="宋体" w:cs="宋体" w:eastAsia="宋体" w:hint="default"/>
                <w:spacing w:val="28"/>
                <w:sz w:val="21"/>
                <w:szCs w:val="21"/>
              </w:rPr>
              <w:t> </w:t>
            </w:r>
            <w:r>
              <w:rPr>
                <w:rFonts w:ascii="宋体" w:hAnsi="宋体" w:cs="宋体" w:eastAsia="宋体" w:hint="default"/>
                <w:sz w:val="21"/>
                <w:szCs w:val="21"/>
              </w:rPr>
              <w:t>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1,677,000.00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939,120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670,800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1,408,680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股权激励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64,817,000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20,659,120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18,038,800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62,196,680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2" w:lineRule="exact" w:before="64"/>
        <w:ind w:right="238"/>
        <w:jc w:val="both"/>
      </w:pPr>
      <w:r>
        <w:rPr>
          <w:spacing w:val="-2"/>
        </w:rPr>
        <w:t>注：自然人（含戴小戈、徐传秋、王敏航、鄢继华、谢淑仁五人持有的股权激励限制性股票，五</w:t>
      </w:r>
      <w:r>
        <w:rPr>
          <w:spacing w:val="-25"/>
        </w:rPr>
        <w:t> </w:t>
      </w:r>
      <w:r>
        <w:rPr>
          <w:spacing w:val="-25"/>
        </w:rPr>
      </w:r>
      <w:r>
        <w:rPr/>
        <w:t>人年初共计持有限制性股票</w:t>
      </w:r>
      <w:r>
        <w:rPr>
          <w:spacing w:val="-53"/>
        </w:rPr>
        <w:t> </w:t>
      </w:r>
      <w:r>
        <w:rPr>
          <w:rFonts w:ascii="宋体" w:hAnsi="宋体" w:cs="宋体" w:eastAsia="宋体" w:hint="default"/>
        </w:rPr>
        <w:t>372000</w:t>
      </w:r>
      <w:r>
        <w:rPr>
          <w:rFonts w:ascii="宋体" w:hAnsi="宋体" w:cs="宋体" w:eastAsia="宋体" w:hint="default"/>
          <w:spacing w:val="-56"/>
        </w:rPr>
        <w:t> </w:t>
      </w:r>
      <w:r>
        <w:rPr/>
        <w:t>股，本年解除限售股数共计</w:t>
      </w:r>
      <w:r>
        <w:rPr>
          <w:spacing w:val="-54"/>
        </w:rPr>
        <w:t> </w:t>
      </w:r>
      <w:r>
        <w:rPr>
          <w:rFonts w:ascii="宋体" w:hAnsi="宋体" w:cs="宋体" w:eastAsia="宋体" w:hint="default"/>
        </w:rPr>
        <w:t>208320</w:t>
      </w:r>
      <w:r>
        <w:rPr>
          <w:rFonts w:ascii="宋体" w:hAnsi="宋体" w:cs="宋体" w:eastAsia="宋体" w:hint="default"/>
          <w:spacing w:val="-56"/>
        </w:rPr>
        <w:t> </w:t>
      </w:r>
      <w:r>
        <w:rPr/>
        <w:t>股、本年增加限售股数</w:t>
      </w:r>
    </w:p>
    <w:p>
      <w:pPr>
        <w:pStyle w:val="BodyText"/>
        <w:spacing w:line="246" w:lineRule="exact"/>
        <w:ind w:right="0"/>
        <w:jc w:val="both"/>
      </w:pPr>
      <w:r>
        <w:rPr>
          <w:rFonts w:ascii="宋体" w:hAnsi="宋体" w:cs="宋体" w:eastAsia="宋体" w:hint="default"/>
        </w:rPr>
        <w:t>148800</w:t>
      </w:r>
      <w:r>
        <w:rPr>
          <w:rFonts w:ascii="宋体" w:hAnsi="宋体" w:cs="宋体" w:eastAsia="宋体" w:hint="default"/>
          <w:spacing w:val="-49"/>
        </w:rPr>
        <w:t> </w:t>
      </w:r>
      <w:r>
        <w:rPr>
          <w:spacing w:val="-8"/>
        </w:rPr>
        <w:t>股、年末限售股数</w:t>
      </w:r>
      <w:r>
        <w:rPr>
          <w:spacing w:val="-51"/>
        </w:rPr>
        <w:t> </w:t>
      </w:r>
      <w:r>
        <w:rPr>
          <w:rFonts w:ascii="宋体" w:hAnsi="宋体" w:cs="宋体" w:eastAsia="宋体" w:hint="default"/>
        </w:rPr>
        <w:t>312480</w:t>
      </w:r>
      <w:r>
        <w:rPr>
          <w:rFonts w:ascii="宋体" w:hAnsi="宋体" w:cs="宋体" w:eastAsia="宋体" w:hint="default"/>
          <w:spacing w:val="-49"/>
        </w:rPr>
        <w:t> </w:t>
      </w:r>
      <w:r>
        <w:rPr>
          <w:spacing w:val="-5"/>
        </w:rPr>
        <w:t>股）持有的限售股全部系公司</w:t>
      </w:r>
      <w:r>
        <w:rPr>
          <w:spacing w:val="6"/>
        </w:rPr>
        <w:t> </w:t>
      </w:r>
      <w:r>
        <w:rPr>
          <w:rFonts w:ascii="宋体" w:hAnsi="宋体" w:cs="宋体" w:eastAsia="宋体" w:hint="default"/>
        </w:rPr>
        <w:t>2017</w:t>
      </w:r>
      <w:r>
        <w:rPr>
          <w:rFonts w:ascii="宋体" w:hAnsi="宋体" w:cs="宋体" w:eastAsia="宋体" w:hint="default"/>
          <w:spacing w:val="-49"/>
        </w:rPr>
        <w:t> </w:t>
      </w:r>
      <w:r>
        <w:rPr/>
        <w:t>年</w:t>
      </w:r>
      <w:r>
        <w:rPr>
          <w:spacing w:val="-51"/>
        </w:rPr>
        <w:t> </w:t>
      </w:r>
      <w:r>
        <w:rPr>
          <w:rFonts w:ascii="宋体" w:hAnsi="宋体" w:cs="宋体" w:eastAsia="宋体" w:hint="default"/>
        </w:rPr>
        <w:t>7</w:t>
      </w:r>
      <w:r>
        <w:rPr>
          <w:rFonts w:ascii="宋体" w:hAnsi="宋体" w:cs="宋体" w:eastAsia="宋体" w:hint="default"/>
          <w:spacing w:val="-49"/>
        </w:rPr>
        <w:t> </w:t>
      </w:r>
      <w:r>
        <w:rPr/>
        <w:t>月实施的限制性股票激</w:t>
      </w:r>
    </w:p>
    <w:p>
      <w:pPr>
        <w:pStyle w:val="BodyText"/>
        <w:spacing w:line="237" w:lineRule="auto" w:before="2"/>
        <w:ind w:right="237"/>
        <w:jc w:val="both"/>
      </w:pPr>
      <w:r>
        <w:rPr>
          <w:spacing w:val="-2"/>
        </w:rPr>
        <w:t>励计划所得，其持有的限制性股票需按照《福建顶点软件股份有限公司限制性股票激励计划》的</w:t>
      </w:r>
      <w:r>
        <w:rPr>
          <w:spacing w:val="-25"/>
        </w:rPr>
        <w:t> </w:t>
      </w:r>
      <w:r>
        <w:rPr>
          <w:spacing w:val="-25"/>
        </w:rPr>
      </w:r>
      <w:r>
        <w:rPr>
          <w:spacing w:val="-2"/>
        </w:rPr>
        <w:t>相关规定进行分批解锁，公司限制性股票第一个解锁期解锁条件满足，对应的第一批限制性股票</w:t>
      </w:r>
      <w:r>
        <w:rPr>
          <w:spacing w:val="-26"/>
        </w:rPr>
        <w:t> </w:t>
      </w:r>
      <w:r>
        <w:rPr>
          <w:spacing w:val="-26"/>
        </w:rPr>
      </w:r>
      <w:r>
        <w:rPr/>
        <w:t>共计</w:t>
      </w:r>
      <w:r>
        <w:rPr>
          <w:spacing w:val="-53"/>
        </w:rPr>
        <w:t> </w:t>
      </w:r>
      <w:r>
        <w:rPr>
          <w:rFonts w:ascii="宋体" w:hAnsi="宋体" w:cs="宋体" w:eastAsia="宋体" w:hint="default"/>
        </w:rPr>
        <w:t>939,120</w:t>
      </w:r>
      <w:r>
        <w:rPr>
          <w:rFonts w:ascii="宋体" w:hAnsi="宋体" w:cs="宋体" w:eastAsia="宋体" w:hint="default"/>
          <w:spacing w:val="-53"/>
        </w:rPr>
        <w:t> </w:t>
      </w:r>
      <w:r>
        <w:rPr/>
        <w:t>股已解锁并于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日上市流通。</w:t>
      </w:r>
    </w:p>
    <w:p>
      <w:pPr>
        <w:spacing w:line="240" w:lineRule="auto" w:before="3"/>
        <w:rPr>
          <w:rFonts w:ascii="宋体" w:hAnsi="宋体" w:cs="宋体" w:eastAsia="宋体" w:hint="default"/>
          <w:sz w:val="25"/>
          <w:szCs w:val="25"/>
        </w:rPr>
      </w:pPr>
    </w:p>
    <w:p>
      <w:pPr>
        <w:pStyle w:val="Heading4"/>
        <w:spacing w:line="290" w:lineRule="auto"/>
        <w:ind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14"/>
        <w:ind w:right="0"/>
        <w:jc w:val="both"/>
      </w:pPr>
      <w:r>
        <w:rPr/>
        <w:t>□适用</w:t>
      </w:r>
      <w:r>
        <w:rPr>
          <w:spacing w:val="-1"/>
        </w:rPr>
        <w:t> </w:t>
      </w:r>
      <w:r>
        <w:rPr/>
        <w:t>√不适用</w:t>
      </w:r>
    </w:p>
    <w:p>
      <w:pPr>
        <w:spacing w:after="0" w:line="240"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74" w:lineRule="exact" w:before="36"/>
        <w:ind w:left="258" w:right="0"/>
        <w:jc w:val="left"/>
      </w:pPr>
      <w:r>
        <w:rPr/>
        <w:t>截至报告期内证券发行情况的说明（存续期内利率不同的债券，请分别说明）：</w:t>
      </w:r>
    </w:p>
    <w:p>
      <w:pPr>
        <w:pStyle w:val="BodyText"/>
        <w:tabs>
          <w:tab w:pos="1100" w:val="left" w:leader="none"/>
        </w:tabs>
        <w:spacing w:line="274" w:lineRule="exact"/>
        <w:ind w:left="25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25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100" w:val="left" w:leader="none"/>
        </w:tabs>
        <w:spacing w:line="274" w:lineRule="exact" w:before="56"/>
        <w:ind w:left="258" w:right="0"/>
        <w:jc w:val="left"/>
      </w:pPr>
      <w:r>
        <w:rPr>
          <w:spacing w:val="-1"/>
        </w:rPr>
        <w:t>√适用</w:t>
        <w:tab/>
      </w:r>
      <w:r>
        <w:rPr>
          <w:spacing w:val="-2"/>
        </w:rPr>
        <w:t>□不适用</w:t>
      </w:r>
    </w:p>
    <w:p>
      <w:pPr>
        <w:pStyle w:val="BodyText"/>
        <w:spacing w:line="272" w:lineRule="exact"/>
        <w:ind w:left="258" w:right="0"/>
        <w:jc w:val="left"/>
      </w:pPr>
      <w:r>
        <w:rPr>
          <w:rFonts w:ascii="宋体" w:hAnsi="宋体" w:cs="宋体" w:eastAsia="宋体" w:hint="default"/>
          <w:w w:val="100"/>
        </w:rPr>
        <w:t>2018</w:t>
      </w:r>
      <w:r>
        <w:rPr>
          <w:rFonts w:ascii="宋体" w:hAnsi="宋体" w:cs="宋体" w:eastAsia="宋体" w:hint="default"/>
          <w:spacing w:val="-70"/>
        </w:rPr>
        <w:t> </w:t>
      </w:r>
      <w:r>
        <w:rPr>
          <w:w w:val="100"/>
        </w:rPr>
        <w:t>年</w:t>
      </w:r>
      <w:r>
        <w:rPr>
          <w:spacing w:val="-69"/>
        </w:rPr>
        <w:t> </w:t>
      </w:r>
      <w:r>
        <w:rPr>
          <w:rFonts w:ascii="宋体" w:hAnsi="宋体" w:cs="宋体" w:eastAsia="宋体" w:hint="default"/>
          <w:w w:val="100"/>
        </w:rPr>
        <w:t>5</w:t>
      </w:r>
      <w:r>
        <w:rPr>
          <w:rFonts w:ascii="宋体" w:hAnsi="宋体" w:cs="宋体" w:eastAsia="宋体" w:hint="default"/>
          <w:spacing w:val="-69"/>
        </w:rPr>
        <w:t> </w:t>
      </w:r>
      <w:r>
        <w:rPr>
          <w:w w:val="100"/>
        </w:rPr>
        <w:t>月</w:t>
      </w:r>
      <w:r>
        <w:rPr>
          <w:spacing w:val="-72"/>
        </w:rPr>
        <w:t> </w:t>
      </w:r>
      <w:r>
        <w:rPr>
          <w:rFonts w:ascii="宋体" w:hAnsi="宋体" w:cs="宋体" w:eastAsia="宋体" w:hint="default"/>
          <w:w w:val="100"/>
        </w:rPr>
        <w:t>3</w:t>
      </w:r>
      <w:r>
        <w:rPr>
          <w:rFonts w:ascii="宋体" w:hAnsi="宋体" w:cs="宋体" w:eastAsia="宋体" w:hint="default"/>
          <w:spacing w:val="-69"/>
        </w:rPr>
        <w:t> </w:t>
      </w:r>
      <w:r>
        <w:rPr>
          <w:w w:val="100"/>
        </w:rPr>
        <w:t>日</w:t>
      </w:r>
      <w:r>
        <w:rPr>
          <w:spacing w:val="-108"/>
          <w:w w:val="100"/>
        </w:rPr>
        <w:t>，</w:t>
      </w:r>
      <w:r>
        <w:rPr>
          <w:w w:val="100"/>
        </w:rPr>
        <w:t>公司</w:t>
      </w:r>
      <w:r>
        <w:rPr>
          <w:spacing w:val="-70"/>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69"/>
        </w:rPr>
        <w:t> </w:t>
      </w:r>
      <w:r>
        <w:rPr>
          <w:w w:val="100"/>
        </w:rPr>
        <w:t>年</w:t>
      </w:r>
      <w:r>
        <w:rPr>
          <w:spacing w:val="-3"/>
          <w:w w:val="100"/>
        </w:rPr>
        <w:t>度</w:t>
      </w:r>
      <w:r>
        <w:rPr>
          <w:w w:val="100"/>
        </w:rPr>
        <w:t>股</w:t>
      </w:r>
      <w:r>
        <w:rPr>
          <w:spacing w:val="-3"/>
          <w:w w:val="100"/>
        </w:rPr>
        <w:t>东</w:t>
      </w:r>
      <w:r>
        <w:rPr>
          <w:w w:val="100"/>
        </w:rPr>
        <w:t>大</w:t>
      </w:r>
      <w:r>
        <w:rPr>
          <w:spacing w:val="-3"/>
          <w:w w:val="100"/>
        </w:rPr>
        <w:t>会</w:t>
      </w:r>
      <w:r>
        <w:rPr>
          <w:w w:val="100"/>
        </w:rPr>
        <w:t>审议</w:t>
      </w:r>
      <w:r>
        <w:rPr>
          <w:spacing w:val="-3"/>
          <w:w w:val="100"/>
        </w:rPr>
        <w:t>通</w:t>
      </w:r>
      <w:r>
        <w:rPr>
          <w:w w:val="100"/>
        </w:rPr>
        <w:t>过</w:t>
      </w:r>
      <w:r>
        <w:rPr>
          <w:spacing w:val="-69"/>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70"/>
        </w:rPr>
        <w:t> </w:t>
      </w:r>
      <w:r>
        <w:rPr>
          <w:spacing w:val="-3"/>
          <w:w w:val="100"/>
        </w:rPr>
        <w:t>年</w:t>
      </w:r>
      <w:r>
        <w:rPr>
          <w:w w:val="100"/>
        </w:rPr>
        <w:t>度</w:t>
      </w:r>
      <w:r>
        <w:rPr>
          <w:spacing w:val="-3"/>
          <w:w w:val="100"/>
        </w:rPr>
        <w:t>利</w:t>
      </w:r>
      <w:r>
        <w:rPr>
          <w:w w:val="100"/>
        </w:rPr>
        <w:t>润</w:t>
      </w:r>
      <w:r>
        <w:rPr>
          <w:spacing w:val="-3"/>
          <w:w w:val="100"/>
        </w:rPr>
        <w:t>分</w:t>
      </w:r>
      <w:r>
        <w:rPr>
          <w:w w:val="100"/>
        </w:rPr>
        <w:t>配及</w:t>
      </w:r>
      <w:r>
        <w:rPr>
          <w:spacing w:val="-3"/>
          <w:w w:val="100"/>
        </w:rPr>
        <w:t>资</w:t>
      </w:r>
      <w:r>
        <w:rPr>
          <w:w w:val="100"/>
        </w:rPr>
        <w:t>本</w:t>
      </w:r>
      <w:r>
        <w:rPr>
          <w:spacing w:val="-3"/>
          <w:w w:val="100"/>
        </w:rPr>
        <w:t>公</w:t>
      </w:r>
      <w:r>
        <w:rPr>
          <w:w w:val="100"/>
        </w:rPr>
        <w:t>积转</w:t>
      </w:r>
      <w:r>
        <w:rPr>
          <w:spacing w:val="-3"/>
          <w:w w:val="100"/>
        </w:rPr>
        <w:t>增</w:t>
      </w:r>
      <w:r>
        <w:rPr>
          <w:w w:val="100"/>
        </w:rPr>
        <w:t>股</w:t>
      </w:r>
      <w:r>
        <w:rPr>
          <w:spacing w:val="-3"/>
          <w:w w:val="100"/>
        </w:rPr>
        <w:t>本</w:t>
      </w:r>
      <w:r>
        <w:rPr>
          <w:w w:val="100"/>
        </w:rPr>
        <w:t>方</w:t>
      </w:r>
      <w:r>
        <w:rPr>
          <w:spacing w:val="-3"/>
          <w:w w:val="100"/>
        </w:rPr>
        <w:t>案</w:t>
      </w:r>
      <w:r>
        <w:rPr>
          <w:w w:val="100"/>
        </w:rPr>
        <w:t>，</w:t>
      </w:r>
    </w:p>
    <w:p>
      <w:pPr>
        <w:pStyle w:val="BodyText"/>
        <w:spacing w:line="272" w:lineRule="exact"/>
        <w:ind w:left="258" w:right="0"/>
        <w:jc w:val="left"/>
      </w:pPr>
      <w:r>
        <w:rPr/>
        <w:t>以公司</w:t>
      </w:r>
      <w:r>
        <w:rPr>
          <w:spacing w:val="-52"/>
        </w:rPr>
        <w:t> </w:t>
      </w:r>
      <w:r>
        <w:rPr>
          <w:rFonts w:ascii="宋体" w:hAnsi="宋体" w:cs="宋体" w:eastAsia="宋体" w:hint="default"/>
        </w:rPr>
        <w:t>2017</w:t>
      </w:r>
      <w:r>
        <w:rPr>
          <w:rFonts w:ascii="宋体" w:hAnsi="宋体" w:cs="宋体" w:eastAsia="宋体" w:hint="default"/>
          <w:spacing w:val="-52"/>
        </w:rPr>
        <w:t> </w:t>
      </w:r>
      <w:r>
        <w:rPr/>
        <w:t>年度总股本</w:t>
      </w:r>
      <w:r>
        <w:rPr>
          <w:spacing w:val="-54"/>
        </w:rPr>
        <w:t> </w:t>
      </w:r>
      <w:r>
        <w:rPr>
          <w:rFonts w:ascii="宋体" w:hAnsi="宋体" w:cs="宋体" w:eastAsia="宋体" w:hint="default"/>
        </w:rPr>
        <w:t>85,867,000.00</w:t>
      </w:r>
      <w:r>
        <w:rPr>
          <w:rFonts w:ascii="宋体" w:hAnsi="宋体" w:cs="宋体" w:eastAsia="宋体" w:hint="default"/>
          <w:spacing w:val="-54"/>
        </w:rPr>
        <w:t> </w:t>
      </w:r>
      <w:r>
        <w:rPr/>
        <w:t>为基数，向全体股东每股派送现金股利</w:t>
      </w:r>
      <w:r>
        <w:rPr>
          <w:spacing w:val="-51"/>
        </w:rPr>
        <w:t> </w:t>
      </w:r>
      <w:r>
        <w:rPr>
          <w:rFonts w:ascii="宋体" w:hAnsi="宋体" w:cs="宋体" w:eastAsia="宋体" w:hint="default"/>
        </w:rPr>
        <w:t>0.5</w:t>
      </w:r>
      <w:r>
        <w:rPr>
          <w:rFonts w:ascii="宋体" w:hAnsi="宋体" w:cs="宋体" w:eastAsia="宋体" w:hint="default"/>
          <w:spacing w:val="-54"/>
        </w:rPr>
        <w:t> </w:t>
      </w:r>
      <w:r>
        <w:rPr/>
        <w:t>元（含税），</w:t>
      </w:r>
    </w:p>
    <w:p>
      <w:pPr>
        <w:pStyle w:val="BodyText"/>
        <w:spacing w:line="272" w:lineRule="exact"/>
        <w:ind w:left="258" w:right="0"/>
        <w:jc w:val="left"/>
      </w:pPr>
      <w:r>
        <w:rPr>
          <w:w w:val="100"/>
        </w:rPr>
        <w:t>同时</w:t>
      </w:r>
      <w:r>
        <w:rPr>
          <w:spacing w:val="-3"/>
          <w:w w:val="100"/>
        </w:rPr>
        <w:t>向</w:t>
      </w:r>
      <w:r>
        <w:rPr>
          <w:w w:val="100"/>
        </w:rPr>
        <w:t>全</w:t>
      </w:r>
      <w:r>
        <w:rPr>
          <w:spacing w:val="-3"/>
          <w:w w:val="100"/>
        </w:rPr>
        <w:t>体</w:t>
      </w:r>
      <w:r>
        <w:rPr>
          <w:w w:val="100"/>
        </w:rPr>
        <w:t>股</w:t>
      </w:r>
      <w:r>
        <w:rPr>
          <w:spacing w:val="-3"/>
          <w:w w:val="100"/>
        </w:rPr>
        <w:t>东</w:t>
      </w:r>
      <w:r>
        <w:rPr>
          <w:w w:val="100"/>
        </w:rPr>
        <w:t>以</w:t>
      </w:r>
      <w:r>
        <w:rPr>
          <w:spacing w:val="-3"/>
          <w:w w:val="100"/>
        </w:rPr>
        <w:t>资</w:t>
      </w:r>
      <w:r>
        <w:rPr>
          <w:w w:val="100"/>
        </w:rPr>
        <w:t>本</w:t>
      </w:r>
      <w:r>
        <w:rPr>
          <w:spacing w:val="-3"/>
          <w:w w:val="100"/>
        </w:rPr>
        <w:t>公</w:t>
      </w:r>
      <w:r>
        <w:rPr>
          <w:w w:val="100"/>
        </w:rPr>
        <w:t>积每</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股</w:t>
      </w:r>
      <w:r>
        <w:rPr>
          <w:w w:val="100"/>
        </w:rPr>
        <w:t>转增</w:t>
      </w:r>
      <w:r>
        <w:rPr>
          <w:spacing w:val="-55"/>
        </w:rPr>
        <w:t> </w:t>
      </w:r>
      <w:r>
        <w:rPr>
          <w:rFonts w:ascii="宋体" w:hAnsi="宋体" w:cs="宋体" w:eastAsia="宋体" w:hint="default"/>
          <w:w w:val="100"/>
        </w:rPr>
        <w:t>4</w:t>
      </w:r>
      <w:r>
        <w:rPr>
          <w:rFonts w:ascii="宋体" w:hAnsi="宋体" w:cs="宋体" w:eastAsia="宋体" w:hint="default"/>
          <w:spacing w:val="-53"/>
        </w:rPr>
        <w:t> </w:t>
      </w:r>
      <w:r>
        <w:rPr>
          <w:spacing w:val="-3"/>
          <w:w w:val="100"/>
        </w:rPr>
        <w:t>股</w:t>
      </w:r>
      <w:r>
        <w:rPr>
          <w:spacing w:val="-94"/>
          <w:w w:val="100"/>
        </w:rPr>
        <w:t>。</w:t>
      </w:r>
      <w:r>
        <w:rPr>
          <w:w w:val="100"/>
        </w:rPr>
        <w:t>该</w:t>
      </w:r>
      <w:r>
        <w:rPr>
          <w:spacing w:val="-3"/>
          <w:w w:val="100"/>
        </w:rPr>
        <w:t>利</w:t>
      </w:r>
      <w:r>
        <w:rPr>
          <w:w w:val="100"/>
        </w:rPr>
        <w:t>润分</w:t>
      </w:r>
      <w:r>
        <w:rPr>
          <w:spacing w:val="-3"/>
          <w:w w:val="100"/>
        </w:rPr>
        <w:t>配</w:t>
      </w:r>
      <w:r>
        <w:rPr>
          <w:w w:val="100"/>
        </w:rPr>
        <w:t>方</w:t>
      </w:r>
      <w:r>
        <w:rPr>
          <w:spacing w:val="-3"/>
          <w:w w:val="100"/>
        </w:rPr>
        <w:t>案</w:t>
      </w:r>
      <w:r>
        <w:rPr>
          <w:w w:val="100"/>
        </w:rPr>
        <w:t>及</w:t>
      </w:r>
      <w:r>
        <w:rPr>
          <w:spacing w:val="-3"/>
          <w:w w:val="100"/>
        </w:rPr>
        <w:t>资</w:t>
      </w:r>
      <w:r>
        <w:rPr>
          <w:w w:val="100"/>
        </w:rPr>
        <w:t>本</w:t>
      </w:r>
      <w:r>
        <w:rPr>
          <w:spacing w:val="-3"/>
          <w:w w:val="100"/>
        </w:rPr>
        <w:t>公</w:t>
      </w:r>
      <w:r>
        <w:rPr>
          <w:w w:val="100"/>
        </w:rPr>
        <w:t>积</w:t>
      </w:r>
      <w:r>
        <w:rPr>
          <w:spacing w:val="-3"/>
          <w:w w:val="100"/>
        </w:rPr>
        <w:t>转</w:t>
      </w:r>
      <w:r>
        <w:rPr>
          <w:w w:val="100"/>
        </w:rPr>
        <w:t>增股</w:t>
      </w:r>
      <w:r>
        <w:rPr>
          <w:spacing w:val="-3"/>
          <w:w w:val="100"/>
        </w:rPr>
        <w:t>本</w:t>
      </w:r>
      <w:r>
        <w:rPr>
          <w:w w:val="100"/>
        </w:rPr>
        <w:t>方</w:t>
      </w:r>
      <w:r>
        <w:rPr>
          <w:spacing w:val="-3"/>
          <w:w w:val="100"/>
        </w:rPr>
        <w:t>案</w:t>
      </w:r>
      <w:r>
        <w:rPr>
          <w:w w:val="100"/>
        </w:rPr>
        <w:t>实</w:t>
      </w:r>
      <w:r>
        <w:rPr>
          <w:spacing w:val="-3"/>
          <w:w w:val="100"/>
        </w:rPr>
        <w:t>施后</w:t>
      </w:r>
      <w:r>
        <w:rPr>
          <w:w w:val="100"/>
        </w:rPr>
        <w:t>公</w:t>
      </w:r>
    </w:p>
    <w:p>
      <w:pPr>
        <w:pStyle w:val="BodyText"/>
        <w:spacing w:line="237" w:lineRule="auto"/>
        <w:ind w:left="258" w:right="241"/>
        <w:jc w:val="left"/>
      </w:pPr>
      <w:r>
        <w:rPr>
          <w:spacing w:val="-1"/>
          <w:w w:val="100"/>
        </w:rPr>
        <w:t>司总股本由</w:t>
      </w:r>
      <w:r>
        <w:rPr>
          <w:spacing w:val="-75"/>
          <w:w w:val="100"/>
        </w:rPr>
        <w:t> </w:t>
      </w:r>
      <w:r>
        <w:rPr>
          <w:rFonts w:ascii="宋体" w:hAnsi="宋体" w:cs="宋体" w:eastAsia="宋体" w:hint="default"/>
          <w:spacing w:val="-1"/>
          <w:w w:val="100"/>
        </w:rPr>
        <w:t>85,867,000</w:t>
      </w:r>
      <w:r>
        <w:rPr>
          <w:rFonts w:ascii="宋体" w:hAnsi="宋体" w:cs="宋体" w:eastAsia="宋体" w:hint="default"/>
          <w:spacing w:val="-78"/>
          <w:w w:val="100"/>
        </w:rPr>
        <w:t> </w:t>
      </w:r>
      <w:r>
        <w:rPr>
          <w:spacing w:val="-1"/>
          <w:w w:val="100"/>
        </w:rPr>
        <w:t>股增加至</w:t>
      </w:r>
      <w:r>
        <w:rPr>
          <w:spacing w:val="-75"/>
          <w:w w:val="100"/>
        </w:rPr>
        <w:t> </w:t>
      </w:r>
      <w:r>
        <w:rPr>
          <w:rFonts w:ascii="宋体" w:hAnsi="宋体" w:cs="宋体" w:eastAsia="宋体" w:hint="default"/>
          <w:spacing w:val="-1"/>
          <w:w w:val="100"/>
        </w:rPr>
        <w:t>120,213,800</w:t>
      </w:r>
      <w:r>
        <w:rPr>
          <w:rFonts w:ascii="宋体" w:hAnsi="宋体" w:cs="宋体" w:eastAsia="宋体" w:hint="default"/>
          <w:spacing w:val="-75"/>
          <w:w w:val="100"/>
        </w:rPr>
        <w:t> </w:t>
      </w:r>
      <w:r>
        <w:rPr>
          <w:spacing w:val="-6"/>
          <w:w w:val="100"/>
        </w:rPr>
        <w:t>股。本次股份变动前后公司实际控制人未发生变化，</w:t>
      </w:r>
      <w:r>
        <w:rPr>
          <w:w w:val="100"/>
        </w:rPr>
        <w:t> </w:t>
      </w:r>
      <w:r>
        <w:rPr/>
        <w:t>股份数量及股东结构的变化详见本节“ 一、 普通股股本变动情况” 之“</w:t>
      </w:r>
      <w:r>
        <w:rPr>
          <w:spacing w:val="-4"/>
        </w:rPr>
        <w:t> </w:t>
      </w:r>
      <w:r>
        <w:rPr/>
        <w:t>普通股股本变动情况</w:t>
      </w:r>
      <w:r>
        <w:rPr>
          <w:w w:val="100"/>
        </w:rPr>
        <w:t> </w:t>
      </w:r>
      <w:r>
        <w:rPr>
          <w:spacing w:val="-1"/>
          <w:w w:val="100"/>
        </w:rPr>
        <w:t>表”</w:t>
      </w:r>
      <w:r>
        <w:rPr>
          <w:spacing w:val="3"/>
          <w:w w:val="100"/>
        </w:rPr>
        <w:t> </w:t>
      </w:r>
      <w:r>
        <w:rPr>
          <w:spacing w:val="-12"/>
          <w:w w:val="100"/>
        </w:rPr>
        <w:t>。报告期，公司资产和负债结构的变动情况如下：</w:t>
      </w:r>
      <w:r>
        <w:rPr>
          <w:rFonts w:ascii="宋体" w:hAnsi="宋体" w:cs="宋体" w:eastAsia="宋体" w:hint="default"/>
          <w:spacing w:val="-12"/>
          <w:w w:val="100"/>
        </w:rPr>
        <w:t>2017</w:t>
      </w:r>
      <w:r>
        <w:rPr>
          <w:rFonts w:ascii="宋体" w:hAnsi="宋体" w:cs="宋体" w:eastAsia="宋体" w:hint="default"/>
          <w:spacing w:val="3"/>
          <w:w w:val="100"/>
        </w:rPr>
        <w:t> </w:t>
      </w:r>
      <w:r>
        <w:rPr>
          <w:spacing w:val="-2"/>
          <w:w w:val="100"/>
        </w:rPr>
        <w:t>年末公司资产负债率为</w:t>
      </w:r>
      <w:r>
        <w:rPr>
          <w:spacing w:val="-50"/>
          <w:w w:val="100"/>
        </w:rPr>
        <w:t> </w:t>
      </w:r>
      <w:r>
        <w:rPr>
          <w:rFonts w:ascii="宋体" w:hAnsi="宋体" w:cs="宋体" w:eastAsia="宋体" w:hint="default"/>
          <w:w w:val="100"/>
        </w:rPr>
        <w:t>18.80%</w:t>
      </w:r>
      <w:r>
        <w:rPr>
          <w:w w:val="100"/>
        </w:rPr>
        <w:t>，</w:t>
      </w:r>
      <w:r>
        <w:rPr>
          <w:rFonts w:ascii="宋体" w:hAnsi="宋体" w:cs="宋体" w:eastAsia="宋体" w:hint="default"/>
          <w:w w:val="100"/>
        </w:rPr>
        <w:t>2018</w:t>
      </w:r>
      <w:r>
        <w:rPr>
          <w:rFonts w:ascii="宋体" w:hAnsi="宋体" w:cs="宋体" w:eastAsia="宋体" w:hint="default"/>
          <w:spacing w:val="-98"/>
          <w:w w:val="100"/>
        </w:rPr>
        <w:t> </w:t>
      </w:r>
      <w:r>
        <w:rPr>
          <w:rFonts w:ascii="宋体" w:hAnsi="宋体" w:cs="宋体" w:eastAsia="宋体" w:hint="default"/>
          <w:spacing w:val="-98"/>
          <w:w w:val="100"/>
        </w:rPr>
      </w:r>
      <w:r>
        <w:rPr/>
        <w:t>年末，公司资产负债率为</w:t>
      </w:r>
      <w:r>
        <w:rPr>
          <w:spacing w:val="-2"/>
        </w:rPr>
        <w:t> </w:t>
      </w:r>
      <w:r>
        <w:rPr>
          <w:rFonts w:ascii="宋体" w:hAnsi="宋体" w:cs="宋体" w:eastAsia="宋体" w:hint="default"/>
        </w:rPr>
        <w:t>16.04%</w:t>
      </w:r>
      <w:r>
        <w:rPr/>
        <w:t>。</w:t>
      </w:r>
    </w:p>
    <w:p>
      <w:pPr>
        <w:spacing w:line="240" w:lineRule="auto" w:before="4"/>
        <w:rPr>
          <w:rFonts w:ascii="宋体" w:hAnsi="宋体" w:cs="宋体" w:eastAsia="宋体" w:hint="default"/>
          <w:sz w:val="25"/>
          <w:szCs w:val="25"/>
        </w:rPr>
      </w:pPr>
    </w:p>
    <w:p>
      <w:pPr>
        <w:pStyle w:val="Heading4"/>
        <w:spacing w:line="240" w:lineRule="auto"/>
        <w:ind w:left="258"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left="258" w:right="0"/>
        <w:jc w:val="left"/>
      </w:pPr>
      <w:r>
        <w:rPr/>
        <w:t>□适用</w:t>
      </w:r>
      <w:r>
        <w:rPr>
          <w:spacing w:val="-1"/>
        </w:rPr>
        <w:t> </w:t>
      </w:r>
      <w:r>
        <w:rPr/>
        <w:t>√不适用</w:t>
      </w:r>
    </w:p>
    <w:p>
      <w:pPr>
        <w:pStyle w:val="Heading4"/>
        <w:spacing w:line="240" w:lineRule="auto" w:before="58"/>
        <w:ind w:left="258" w:right="0"/>
        <w:jc w:val="left"/>
        <w:rPr>
          <w:b w:val="0"/>
          <w:bCs w:val="0"/>
        </w:rPr>
      </w:pPr>
      <w:r>
        <w:rPr/>
        <w:t>三、</w:t>
      </w:r>
      <w:r>
        <w:rPr>
          <w:spacing w:val="-80"/>
        </w:rPr>
        <w:t> </w:t>
      </w:r>
      <w:r>
        <w:rPr/>
        <w:t>股东和实际控制人情况</w:t>
      </w:r>
      <w:r>
        <w:rPr>
          <w:b w:val="0"/>
          <w:bCs w:val="0"/>
        </w:rPr>
      </w:r>
    </w:p>
    <w:p>
      <w:pPr>
        <w:pStyle w:val="Heading4"/>
        <w:spacing w:line="240" w:lineRule="auto" w:before="56"/>
        <w:ind w:left="2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4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9,506</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年度报告披露日前上一月末的普通股股东总数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12,244</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40" w:right="920"/>
        </w:sectPr>
      </w:pPr>
    </w:p>
    <w:p>
      <w:pPr>
        <w:pStyle w:val="Heading4"/>
        <w:spacing w:line="240" w:lineRule="auto" w:before="36"/>
        <w:ind w:left="25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left="25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40" w:right="920"/>
          <w:cols w:num="2" w:equalWidth="0">
            <w:col w:w="7853" w:space="247"/>
            <w:col w:w="1350"/>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35"/>
        <w:gridCol w:w="1275"/>
        <w:gridCol w:w="1277"/>
        <w:gridCol w:w="850"/>
        <w:gridCol w:w="1277"/>
        <w:gridCol w:w="1133"/>
        <w:gridCol w:w="939"/>
        <w:gridCol w:w="1330"/>
      </w:tblGrid>
      <w:tr>
        <w:trPr>
          <w:trHeight w:val="283" w:hRule="exact"/>
        </w:trPr>
        <w:tc>
          <w:tcPr>
            <w:tcW w:w="921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1" w:hRule="exact"/>
        </w:trPr>
        <w:tc>
          <w:tcPr>
            <w:tcW w:w="1135" w:type="dxa"/>
            <w:vMerge w:val="restart"/>
            <w:tcBorders>
              <w:top w:val="single" w:sz="4" w:space="0" w:color="000000"/>
              <w:left w:val="single" w:sz="4" w:space="0" w:color="000000"/>
              <w:right w:val="single" w:sz="4" w:space="0" w:color="000000"/>
            </w:tcBorders>
          </w:tcPr>
          <w:p>
            <w:pPr>
              <w:pStyle w:val="TableParagraph"/>
              <w:spacing w:line="273" w:lineRule="exact" w:before="107"/>
              <w:ind w:left="141"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5" w:type="dxa"/>
            <w:vMerge w:val="restart"/>
            <w:tcBorders>
              <w:top w:val="single" w:sz="4" w:space="0" w:color="000000"/>
              <w:left w:val="single" w:sz="4" w:space="0" w:color="000000"/>
              <w:right w:val="single" w:sz="4" w:space="0" w:color="000000"/>
            </w:tcBorders>
          </w:tcPr>
          <w:p>
            <w:pPr>
              <w:pStyle w:val="TableParagraph"/>
              <w:spacing w:line="272" w:lineRule="exact" w:before="135"/>
              <w:ind w:left="523" w:right="106"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277" w:type="dxa"/>
            <w:vMerge w:val="restart"/>
            <w:tcBorders>
              <w:top w:val="single" w:sz="4" w:space="0" w:color="000000"/>
              <w:left w:val="single" w:sz="4" w:space="0" w:color="000000"/>
              <w:right w:val="single" w:sz="4" w:space="0" w:color="000000"/>
            </w:tcBorders>
          </w:tcPr>
          <w:p>
            <w:pPr>
              <w:pStyle w:val="TableParagraph"/>
              <w:spacing w:line="272" w:lineRule="exact" w:before="135"/>
              <w:ind w:left="527" w:right="103"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50" w:type="dxa"/>
            <w:vMerge w:val="restart"/>
            <w:tcBorders>
              <w:top w:val="single" w:sz="4" w:space="0" w:color="000000"/>
              <w:left w:val="single" w:sz="4" w:space="0" w:color="000000"/>
              <w:right w:val="single" w:sz="4" w:space="0" w:color="000000"/>
            </w:tcBorders>
          </w:tcPr>
          <w:p>
            <w:pPr>
              <w:pStyle w:val="TableParagraph"/>
              <w:spacing w:line="272" w:lineRule="exact" w:before="135"/>
              <w:ind w:left="261" w:right="20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77" w:type="dxa"/>
            <w:vMerge w:val="restart"/>
            <w:tcBorders>
              <w:top w:val="single" w:sz="4" w:space="0" w:color="000000"/>
              <w:left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40" w:lineRule="auto"/>
              <w:ind w:left="525" w:right="106" w:hanging="421"/>
              <w:jc w:val="left"/>
              <w:rPr>
                <w:rFonts w:ascii="宋体" w:hAnsi="宋体" w:cs="宋体" w:eastAsia="宋体" w:hint="default"/>
                <w:sz w:val="21"/>
                <w:szCs w:val="21"/>
              </w:rPr>
            </w:pPr>
            <w:r>
              <w:rPr>
                <w:rFonts w:ascii="宋体" w:hAnsi="宋体" w:cs="宋体" w:eastAsia="宋体" w:hint="default"/>
                <w:sz w:val="21"/>
                <w:szCs w:val="21"/>
              </w:rPr>
              <w:t>条件股份数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2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330" w:type="dxa"/>
            <w:vMerge w:val="restart"/>
            <w:tcBorders>
              <w:top w:val="single" w:sz="4" w:space="0" w:color="000000"/>
              <w:left w:val="single" w:sz="4" w:space="0" w:color="000000"/>
              <w:right w:val="single" w:sz="4" w:space="0" w:color="000000"/>
            </w:tcBorders>
          </w:tcPr>
          <w:p>
            <w:pPr>
              <w:pStyle w:val="TableParagraph"/>
              <w:spacing w:line="272" w:lineRule="exact" w:before="135"/>
              <w:ind w:left="448" w:right="446"/>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557" w:hRule="exact"/>
        </w:trPr>
        <w:tc>
          <w:tcPr>
            <w:tcW w:w="113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347"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330" w:type="dxa"/>
            <w:vMerge/>
            <w:tcBorders>
              <w:left w:val="single" w:sz="4" w:space="0" w:color="000000"/>
              <w:bottom w:val="single" w:sz="4" w:space="0" w:color="000000"/>
              <w:right w:val="single" w:sz="4" w:space="0" w:color="000000"/>
            </w:tcBorders>
          </w:tcPr>
          <w:p>
            <w:pPr/>
          </w:p>
        </w:tc>
      </w:tr>
      <w:tr>
        <w:trPr>
          <w:trHeight w:val="28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7,594,010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25,634,010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25,634,010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5,256,000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18,396,000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18,396,000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82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福州爱派</w:t>
            </w:r>
          </w:p>
          <w:p>
            <w:pPr>
              <w:pStyle w:val="TableParagraph"/>
              <w:spacing w:line="272" w:lineRule="exact" w:before="27"/>
              <w:ind w:left="103" w:right="177"/>
              <w:jc w:val="left"/>
              <w:rPr>
                <w:rFonts w:ascii="宋体" w:hAnsi="宋体" w:cs="宋体" w:eastAsia="宋体" w:hint="default"/>
                <w:sz w:val="21"/>
                <w:szCs w:val="21"/>
              </w:rPr>
            </w:pPr>
            <w:r>
              <w:rPr>
                <w:rFonts w:ascii="宋体" w:hAnsi="宋体" w:cs="宋体" w:eastAsia="宋体" w:hint="default"/>
                <w:sz w:val="21"/>
                <w:szCs w:val="21"/>
              </w:rPr>
              <w:t>克电子有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4,896,000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17,136,000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14.25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17,136,000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61"/>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2,472,000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8,652,000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余养成</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317,500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境内自然人</w:t>
            </w:r>
          </w:p>
        </w:tc>
      </w:tr>
    </w:tbl>
    <w:p>
      <w:pPr>
        <w:spacing w:after="0" w:line="241" w:lineRule="exact"/>
        <w:jc w:val="center"/>
        <w:rPr>
          <w:rFonts w:ascii="宋体" w:hAnsi="宋体" w:cs="宋体" w:eastAsia="宋体" w:hint="default"/>
          <w:sz w:val="21"/>
          <w:szCs w:val="21"/>
        </w:rPr>
        <w:sectPr>
          <w:type w:val="continuous"/>
          <w:pgSz w:w="11910" w:h="16840"/>
          <w:pgMar w:top="1120" w:bottom="1380" w:left="154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135"/>
        <w:gridCol w:w="1275"/>
        <w:gridCol w:w="1277"/>
        <w:gridCol w:w="850"/>
        <w:gridCol w:w="1277"/>
        <w:gridCol w:w="1133"/>
        <w:gridCol w:w="668"/>
        <w:gridCol w:w="271"/>
        <w:gridCol w:w="1330"/>
      </w:tblGrid>
      <w:tr>
        <w:trPr>
          <w:trHeight w:val="246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中国工商</w:t>
            </w:r>
          </w:p>
          <w:p>
            <w:pPr>
              <w:pStyle w:val="TableParagraph"/>
              <w:spacing w:line="240" w:lineRule="auto"/>
              <w:ind w:left="103" w:right="177"/>
              <w:jc w:val="both"/>
              <w:rPr>
                <w:rFonts w:ascii="宋体" w:hAnsi="宋体" w:cs="宋体" w:eastAsia="宋体" w:hint="default"/>
                <w:sz w:val="21"/>
                <w:szCs w:val="21"/>
              </w:rPr>
            </w:pPr>
            <w:r>
              <w:rPr>
                <w:rFonts w:ascii="宋体" w:hAnsi="宋体" w:cs="宋体" w:eastAsia="宋体" w:hint="default"/>
                <w:sz w:val="21"/>
                <w:szCs w:val="21"/>
              </w:rPr>
              <w:t>银行股份</w:t>
            </w:r>
            <w:r>
              <w:rPr>
                <w:rFonts w:ascii="宋体" w:hAnsi="宋体" w:cs="宋体" w:eastAsia="宋体" w:hint="default"/>
                <w:w w:val="100"/>
                <w:sz w:val="21"/>
                <w:szCs w:val="21"/>
              </w:rPr>
              <w:t> </w:t>
            </w:r>
            <w:r>
              <w:rPr>
                <w:rFonts w:ascii="宋体" w:hAnsi="宋体" w:cs="宋体" w:eastAsia="宋体" w:hint="default"/>
                <w:sz w:val="21"/>
                <w:szCs w:val="21"/>
              </w:rPr>
              <w:t>有限公司</w:t>
            </w:r>
          </w:p>
          <w:p>
            <w:pPr>
              <w:pStyle w:val="TableParagraph"/>
              <w:spacing w:line="237" w:lineRule="auto"/>
              <w:ind w:left="103" w:right="177"/>
              <w:jc w:val="both"/>
              <w:rPr>
                <w:rFonts w:ascii="宋体" w:hAnsi="宋体" w:cs="宋体" w:eastAsia="宋体" w:hint="default"/>
                <w:sz w:val="21"/>
                <w:szCs w:val="21"/>
              </w:rPr>
            </w:pPr>
            <w:r>
              <w:rPr>
                <w:rFonts w:ascii="宋体" w:hAnsi="宋体" w:cs="宋体" w:eastAsia="宋体" w:hint="default"/>
                <w:sz w:val="21"/>
                <w:szCs w:val="21"/>
              </w:rPr>
              <w:t>－交银施</w:t>
            </w:r>
            <w:r>
              <w:rPr>
                <w:rFonts w:ascii="宋体" w:hAnsi="宋体" w:cs="宋体" w:eastAsia="宋体" w:hint="default"/>
                <w:spacing w:val="-3"/>
                <w:w w:val="100"/>
                <w:sz w:val="21"/>
                <w:szCs w:val="21"/>
              </w:rPr>
              <w:t> </w:t>
            </w:r>
            <w:r>
              <w:rPr>
                <w:rFonts w:ascii="宋体" w:hAnsi="宋体" w:cs="宋体" w:eastAsia="宋体" w:hint="default"/>
                <w:sz w:val="21"/>
                <w:szCs w:val="21"/>
              </w:rPr>
              <w:t>罗德优势</w:t>
            </w:r>
            <w:r>
              <w:rPr>
                <w:rFonts w:ascii="宋体" w:hAnsi="宋体" w:cs="宋体" w:eastAsia="宋体" w:hint="default"/>
                <w:w w:val="100"/>
                <w:sz w:val="21"/>
                <w:szCs w:val="21"/>
              </w:rPr>
              <w:t> </w:t>
            </w:r>
            <w:r>
              <w:rPr>
                <w:rFonts w:ascii="宋体" w:hAnsi="宋体" w:cs="宋体" w:eastAsia="宋体" w:hint="default"/>
                <w:sz w:val="21"/>
                <w:szCs w:val="21"/>
              </w:rPr>
              <w:t>行业灵活</w:t>
            </w:r>
            <w:r>
              <w:rPr>
                <w:rFonts w:ascii="宋体" w:hAnsi="宋体" w:cs="宋体" w:eastAsia="宋体" w:hint="default"/>
                <w:w w:val="100"/>
                <w:sz w:val="21"/>
                <w:szCs w:val="21"/>
              </w:rPr>
              <w:t> </w:t>
            </w:r>
            <w:r>
              <w:rPr>
                <w:rFonts w:ascii="宋体" w:hAnsi="宋体" w:cs="宋体" w:eastAsia="宋体" w:hint="default"/>
                <w:sz w:val="21"/>
                <w:szCs w:val="21"/>
              </w:rPr>
              <w:t>配置混合</w:t>
            </w:r>
            <w:r>
              <w:rPr>
                <w:rFonts w:ascii="宋体" w:hAnsi="宋体" w:cs="宋体" w:eastAsia="宋体" w:hint="default"/>
                <w:w w:val="100"/>
                <w:sz w:val="21"/>
                <w:szCs w:val="21"/>
              </w:rPr>
              <w:t> </w:t>
            </w:r>
            <w:r>
              <w:rPr>
                <w:rFonts w:ascii="宋体" w:hAnsi="宋体" w:cs="宋体" w:eastAsia="宋体" w:hint="default"/>
                <w:sz w:val="21"/>
                <w:szCs w:val="21"/>
              </w:rPr>
              <w:t>型证券投</w:t>
            </w:r>
            <w:r>
              <w:rPr>
                <w:rFonts w:ascii="宋体" w:hAnsi="宋体" w:cs="宋体" w:eastAsia="宋体" w:hint="default"/>
                <w:w w:val="100"/>
                <w:sz w:val="21"/>
                <w:szCs w:val="21"/>
              </w:rPr>
              <w:t> </w:t>
            </w:r>
            <w:r>
              <w:rPr>
                <w:rFonts w:ascii="宋体" w:hAnsi="宋体" w:cs="宋体" w:eastAsia="宋体" w:hint="default"/>
                <w:sz w:val="21"/>
                <w:szCs w:val="21"/>
              </w:rPr>
              <w:t>资基金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2,033,223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2,033,223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50"/>
              <w:jc w:val="right"/>
              <w:rPr>
                <w:rFonts w:ascii="宋体" w:hAnsi="宋体" w:cs="宋体" w:eastAsia="宋体" w:hint="default"/>
                <w:sz w:val="21"/>
                <w:szCs w:val="21"/>
              </w:rPr>
            </w:pPr>
            <w:r>
              <w:rPr>
                <w:rFonts w:ascii="宋体" w:hAnsi="宋体" w:cs="宋体" w:eastAsia="宋体" w:hint="default"/>
                <w:sz w:val="21"/>
                <w:szCs w:val="21"/>
              </w:rPr>
              <w:t>未知</w:t>
            </w:r>
          </w:p>
        </w:tc>
        <w:tc>
          <w:tcPr>
            <w:tcW w:w="939" w:type="dxa"/>
            <w:gridSpan w:val="2"/>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18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中国建设</w:t>
            </w:r>
          </w:p>
          <w:p>
            <w:pPr>
              <w:pStyle w:val="TableParagraph"/>
              <w:spacing w:line="272" w:lineRule="exact" w:before="27"/>
              <w:ind w:left="103" w:right="177"/>
              <w:jc w:val="both"/>
              <w:rPr>
                <w:rFonts w:ascii="宋体" w:hAnsi="宋体" w:cs="宋体" w:eastAsia="宋体" w:hint="default"/>
                <w:sz w:val="21"/>
                <w:szCs w:val="21"/>
              </w:rPr>
            </w:pPr>
            <w:r>
              <w:rPr>
                <w:rFonts w:ascii="宋体" w:hAnsi="宋体" w:cs="宋体" w:eastAsia="宋体" w:hint="default"/>
                <w:sz w:val="21"/>
                <w:szCs w:val="21"/>
              </w:rPr>
              <w:t>银行股份</w:t>
            </w:r>
            <w:r>
              <w:rPr>
                <w:rFonts w:ascii="宋体" w:hAnsi="宋体" w:cs="宋体" w:eastAsia="宋体" w:hint="default"/>
                <w:w w:val="100"/>
                <w:sz w:val="21"/>
                <w:szCs w:val="21"/>
              </w:rPr>
              <w:t> </w:t>
            </w:r>
            <w:r>
              <w:rPr>
                <w:rFonts w:ascii="宋体" w:hAnsi="宋体" w:cs="宋体" w:eastAsia="宋体" w:hint="default"/>
                <w:sz w:val="21"/>
                <w:szCs w:val="21"/>
              </w:rPr>
              <w:t>有限公司</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－交银施</w:t>
            </w:r>
          </w:p>
          <w:p>
            <w:pPr>
              <w:pStyle w:val="TableParagraph"/>
              <w:spacing w:line="237" w:lineRule="auto" w:before="2"/>
              <w:ind w:left="103" w:right="177"/>
              <w:jc w:val="both"/>
              <w:rPr>
                <w:rFonts w:ascii="宋体" w:hAnsi="宋体" w:cs="宋体" w:eastAsia="宋体" w:hint="default"/>
                <w:sz w:val="21"/>
                <w:szCs w:val="21"/>
              </w:rPr>
            </w:pPr>
            <w:r>
              <w:rPr>
                <w:rFonts w:ascii="宋体" w:hAnsi="宋体" w:cs="宋体" w:eastAsia="宋体" w:hint="default"/>
                <w:sz w:val="21"/>
                <w:szCs w:val="21"/>
              </w:rPr>
              <w:t>罗德阿尔</w:t>
            </w:r>
            <w:r>
              <w:rPr>
                <w:rFonts w:ascii="宋体" w:hAnsi="宋体" w:cs="宋体" w:eastAsia="宋体" w:hint="default"/>
                <w:w w:val="100"/>
                <w:sz w:val="21"/>
                <w:szCs w:val="21"/>
              </w:rPr>
              <w:t> </w:t>
            </w:r>
            <w:r>
              <w:rPr>
                <w:rFonts w:ascii="宋体" w:hAnsi="宋体" w:cs="宋体" w:eastAsia="宋体" w:hint="default"/>
                <w:sz w:val="21"/>
                <w:szCs w:val="21"/>
              </w:rPr>
              <w:t>法核心混</w:t>
            </w:r>
            <w:r>
              <w:rPr>
                <w:rFonts w:ascii="宋体" w:hAnsi="宋体" w:cs="宋体" w:eastAsia="宋体" w:hint="default"/>
                <w:w w:val="100"/>
                <w:sz w:val="21"/>
                <w:szCs w:val="21"/>
              </w:rPr>
              <w:t> </w:t>
            </w:r>
            <w:r>
              <w:rPr>
                <w:rFonts w:ascii="宋体" w:hAnsi="宋体" w:cs="宋体" w:eastAsia="宋体" w:hint="default"/>
                <w:sz w:val="21"/>
                <w:szCs w:val="21"/>
              </w:rPr>
              <w:t>合型证券</w:t>
            </w:r>
            <w:r>
              <w:rPr>
                <w:rFonts w:ascii="宋体" w:hAnsi="宋体" w:cs="宋体" w:eastAsia="宋体" w:hint="default"/>
                <w:w w:val="100"/>
                <w:sz w:val="21"/>
                <w:szCs w:val="21"/>
              </w:rPr>
              <w:t> </w:t>
            </w:r>
            <w:r>
              <w:rPr>
                <w:rFonts w:ascii="宋体" w:hAnsi="宋体" w:cs="宋体" w:eastAsia="宋体" w:hint="default"/>
                <w:sz w:val="21"/>
                <w:szCs w:val="21"/>
              </w:rPr>
              <w:t>投资基金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00" w:right="0"/>
              <w:jc w:val="left"/>
              <w:rPr>
                <w:rFonts w:ascii="宋体" w:hAnsi="宋体" w:cs="宋体" w:eastAsia="宋体" w:hint="default"/>
                <w:sz w:val="21"/>
                <w:szCs w:val="21"/>
              </w:rPr>
            </w:pPr>
            <w:r>
              <w:rPr>
                <w:rFonts w:ascii="宋体"/>
                <w:sz w:val="21"/>
              </w:rPr>
              <w:t>2,010,660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03" w:right="0"/>
              <w:jc w:val="left"/>
              <w:rPr>
                <w:rFonts w:ascii="宋体" w:hAnsi="宋体" w:cs="宋体" w:eastAsia="宋体" w:hint="default"/>
                <w:sz w:val="21"/>
                <w:szCs w:val="21"/>
              </w:rPr>
            </w:pPr>
            <w:r>
              <w:rPr>
                <w:rFonts w:ascii="宋体"/>
                <w:sz w:val="21"/>
              </w:rPr>
              <w:t>2,010,660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06" w:right="0"/>
              <w:jc w:val="left"/>
              <w:rPr>
                <w:rFonts w:ascii="宋体" w:hAnsi="宋体" w:cs="宋体" w:eastAsia="宋体" w:hint="default"/>
                <w:sz w:val="21"/>
                <w:szCs w:val="21"/>
              </w:rPr>
            </w:pPr>
            <w:r>
              <w:rPr>
                <w:rFonts w:ascii="宋体"/>
                <w:sz w:val="21"/>
              </w:rPr>
              <w:t>1.67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03" w:right="0"/>
              <w:jc w:val="lef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39" w:type="dxa"/>
            <w:gridSpan w:val="2"/>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李雪虹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1,373,768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1,373,768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hAnsi="宋体" w:cs="宋体" w:eastAsia="宋体" w:hint="default"/>
                <w:sz w:val="21"/>
                <w:szCs w:val="21"/>
              </w:rPr>
              <w:t>未知</w:t>
            </w:r>
          </w:p>
        </w:tc>
        <w:tc>
          <w:tcPr>
            <w:tcW w:w="939" w:type="dxa"/>
            <w:gridSpan w:val="2"/>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921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2410"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77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3404"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331"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2410" w:type="dxa"/>
            <w:gridSpan w:val="2"/>
            <w:vMerge/>
            <w:tcBorders>
              <w:left w:val="single" w:sz="4" w:space="0" w:color="000000"/>
              <w:bottom w:val="single" w:sz="4" w:space="0" w:color="000000"/>
              <w:right w:val="single" w:sz="4" w:space="0" w:color="000000"/>
            </w:tcBorders>
          </w:tcPr>
          <w:p>
            <w:pPr/>
          </w:p>
        </w:tc>
        <w:tc>
          <w:tcPr>
            <w:tcW w:w="3404" w:type="dxa"/>
            <w:gridSpan w:val="3"/>
            <w:vMerge/>
            <w:tcBorders>
              <w:left w:val="single" w:sz="4" w:space="0" w:color="000000"/>
              <w:bottom w:val="single" w:sz="4" w:space="0" w:color="000000"/>
              <w:right w:val="single" w:sz="4" w:space="0" w:color="000000"/>
            </w:tcBorders>
          </w:tcPr>
          <w:p>
            <w:pPr/>
          </w:p>
        </w:tc>
        <w:tc>
          <w:tcPr>
            <w:tcW w:w="1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种类</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8,652,000</w:t>
            </w:r>
          </w:p>
        </w:tc>
        <w:tc>
          <w:tcPr>
            <w:tcW w:w="1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sz w:val="21"/>
              </w:rPr>
              <w:t>8,652,000</w:t>
            </w:r>
          </w:p>
        </w:tc>
      </w:tr>
      <w:tr>
        <w:trPr>
          <w:trHeight w:val="28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3,892,000</w:t>
            </w:r>
          </w:p>
        </w:tc>
        <w:tc>
          <w:tcPr>
            <w:tcW w:w="1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sz w:val="21"/>
              </w:rPr>
              <w:t>3,892,000</w:t>
            </w:r>
          </w:p>
        </w:tc>
      </w:tr>
      <w:tr>
        <w:trPr>
          <w:trHeight w:val="281"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赵莹</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2,520,000</w:t>
            </w:r>
          </w:p>
        </w:tc>
        <w:tc>
          <w:tcPr>
            <w:tcW w:w="1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sz w:val="21"/>
              </w:rPr>
              <w:t>2,520,000</w:t>
            </w:r>
          </w:p>
        </w:tc>
      </w:tr>
      <w:tr>
        <w:trPr>
          <w:trHeight w:val="28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余养成</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2,057,500</w:t>
            </w:r>
          </w:p>
        </w:tc>
        <w:tc>
          <w:tcPr>
            <w:tcW w:w="1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sz w:val="21"/>
              </w:rPr>
              <w:t>2,057,500</w:t>
            </w:r>
          </w:p>
        </w:tc>
      </w:tr>
      <w:tr>
        <w:trPr>
          <w:trHeight w:val="1099"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中国工商银行股份有限</w:t>
            </w:r>
          </w:p>
          <w:p>
            <w:pPr>
              <w:pStyle w:val="TableParagraph"/>
              <w:spacing w:line="237" w:lineRule="auto" w:before="2"/>
              <w:ind w:left="103" w:right="192"/>
              <w:jc w:val="both"/>
              <w:rPr>
                <w:rFonts w:ascii="宋体" w:hAnsi="宋体" w:cs="宋体" w:eastAsia="宋体" w:hint="default"/>
                <w:sz w:val="21"/>
                <w:szCs w:val="21"/>
              </w:rPr>
            </w:pPr>
            <w:r>
              <w:rPr>
                <w:rFonts w:ascii="宋体" w:hAnsi="宋体" w:cs="宋体" w:eastAsia="宋体" w:hint="default"/>
                <w:spacing w:val="-2"/>
                <w:sz w:val="21"/>
                <w:szCs w:val="21"/>
              </w:rPr>
              <w:t>公司－交银施罗德优势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行业灵活配置混合型证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券投资基金</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2,033,223</w:t>
            </w:r>
          </w:p>
        </w:tc>
        <w:tc>
          <w:tcPr>
            <w:tcW w:w="1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2" w:right="0"/>
              <w:jc w:val="left"/>
              <w:rPr>
                <w:rFonts w:ascii="宋体" w:hAnsi="宋体" w:cs="宋体" w:eastAsia="宋体" w:hint="default"/>
                <w:sz w:val="21"/>
                <w:szCs w:val="21"/>
              </w:rPr>
            </w:pPr>
            <w:r>
              <w:rPr>
                <w:rFonts w:ascii="宋体"/>
                <w:sz w:val="21"/>
              </w:rPr>
              <w:t>2,033,223</w:t>
            </w:r>
          </w:p>
        </w:tc>
      </w:tr>
      <w:tr>
        <w:trPr>
          <w:trHeight w:val="1099"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中国建设银行股份有限</w:t>
            </w:r>
          </w:p>
          <w:p>
            <w:pPr>
              <w:pStyle w:val="TableParagraph"/>
              <w:spacing w:line="237" w:lineRule="auto" w:before="2"/>
              <w:ind w:left="103" w:right="192"/>
              <w:jc w:val="both"/>
              <w:rPr>
                <w:rFonts w:ascii="宋体" w:hAnsi="宋体" w:cs="宋体" w:eastAsia="宋体" w:hint="default"/>
                <w:sz w:val="21"/>
                <w:szCs w:val="21"/>
              </w:rPr>
            </w:pPr>
            <w:r>
              <w:rPr>
                <w:rFonts w:ascii="宋体" w:hAnsi="宋体" w:cs="宋体" w:eastAsia="宋体" w:hint="default"/>
                <w:spacing w:val="-2"/>
                <w:sz w:val="21"/>
                <w:szCs w:val="21"/>
              </w:rPr>
              <w:t>公司－交银施罗德阿尔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法核心混合型证券投资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基金</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2,010,660</w:t>
            </w:r>
          </w:p>
        </w:tc>
        <w:tc>
          <w:tcPr>
            <w:tcW w:w="1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2" w:right="0"/>
              <w:jc w:val="left"/>
              <w:rPr>
                <w:rFonts w:ascii="宋体" w:hAnsi="宋体" w:cs="宋体" w:eastAsia="宋体" w:hint="default"/>
                <w:sz w:val="21"/>
                <w:szCs w:val="21"/>
              </w:rPr>
            </w:pPr>
            <w:r>
              <w:rPr>
                <w:rFonts w:ascii="宋体"/>
                <w:sz w:val="21"/>
              </w:rPr>
              <w:t>2,010,660</w:t>
            </w:r>
          </w:p>
        </w:tc>
      </w:tr>
      <w:tr>
        <w:trPr>
          <w:trHeight w:val="28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李雪虹</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1,373,768</w:t>
            </w:r>
          </w:p>
        </w:tc>
        <w:tc>
          <w:tcPr>
            <w:tcW w:w="1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sz w:val="21"/>
              </w:rPr>
              <w:t>1,373,768</w:t>
            </w:r>
          </w:p>
        </w:tc>
      </w:tr>
      <w:tr>
        <w:trPr>
          <w:trHeight w:val="1100"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中国工商银行股份有限</w:t>
            </w:r>
          </w:p>
          <w:p>
            <w:pPr>
              <w:pStyle w:val="TableParagraph"/>
              <w:spacing w:line="237" w:lineRule="auto" w:before="1"/>
              <w:ind w:left="103" w:right="192"/>
              <w:jc w:val="both"/>
              <w:rPr>
                <w:rFonts w:ascii="宋体" w:hAnsi="宋体" w:cs="宋体" w:eastAsia="宋体" w:hint="default"/>
                <w:sz w:val="21"/>
                <w:szCs w:val="21"/>
              </w:rPr>
            </w:pPr>
            <w:r>
              <w:rPr>
                <w:rFonts w:ascii="宋体" w:hAnsi="宋体" w:cs="宋体" w:eastAsia="宋体" w:hint="default"/>
                <w:spacing w:val="-2"/>
                <w:sz w:val="21"/>
                <w:szCs w:val="21"/>
              </w:rPr>
              <w:t>公司－交银施罗德持续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成长主题混合型证券投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资基金</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1,237,729</w:t>
            </w:r>
          </w:p>
        </w:tc>
        <w:tc>
          <w:tcPr>
            <w:tcW w:w="1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2" w:right="0"/>
              <w:jc w:val="left"/>
              <w:rPr>
                <w:rFonts w:ascii="宋体" w:hAnsi="宋体" w:cs="宋体" w:eastAsia="宋体" w:hint="default"/>
                <w:sz w:val="21"/>
                <w:szCs w:val="21"/>
              </w:rPr>
            </w:pPr>
            <w:r>
              <w:rPr>
                <w:rFonts w:ascii="宋体"/>
                <w:sz w:val="21"/>
              </w:rPr>
              <w:t>1,237,729</w:t>
            </w:r>
          </w:p>
        </w:tc>
      </w:tr>
      <w:tr>
        <w:trPr>
          <w:trHeight w:val="28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戴小戈</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1,100,980</w:t>
            </w:r>
          </w:p>
        </w:tc>
        <w:tc>
          <w:tcPr>
            <w:tcW w:w="1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sz w:val="21"/>
              </w:rPr>
              <w:t>1,100,980</w:t>
            </w:r>
          </w:p>
        </w:tc>
      </w:tr>
      <w:tr>
        <w:trPr>
          <w:trHeight w:val="281"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何岸林</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909,449</w:t>
            </w:r>
          </w:p>
        </w:tc>
        <w:tc>
          <w:tcPr>
            <w:tcW w:w="1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sz w:val="21"/>
              </w:rPr>
              <w:t>909,449</w:t>
            </w:r>
          </w:p>
        </w:tc>
      </w:tr>
      <w:tr>
        <w:trPr>
          <w:trHeight w:val="554"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致行动的说明</w:t>
            </w:r>
          </w:p>
        </w:tc>
        <w:tc>
          <w:tcPr>
            <w:tcW w:w="680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爱派克法定代表人林永正先生系公司实际控制人严孟宇之岳父，除上述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关联外，公司未知其他股东之间是否存在关联关系或一致行动关系。</w:t>
            </w:r>
          </w:p>
        </w:tc>
      </w:tr>
      <w:tr>
        <w:trPr>
          <w:trHeight w:val="557"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东及持股数量的说明</w:t>
            </w:r>
          </w:p>
        </w:tc>
        <w:tc>
          <w:tcPr>
            <w:tcW w:w="680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540" w:right="920"/>
        </w:sectPr>
      </w:pPr>
    </w:p>
    <w:p>
      <w:pPr>
        <w:pStyle w:val="BodyText"/>
        <w:spacing w:line="274" w:lineRule="exact" w:before="36"/>
        <w:ind w:left="258" w:right="0"/>
        <w:jc w:val="left"/>
      </w:pPr>
      <w:r>
        <w:rPr>
          <w:spacing w:val="-2"/>
        </w:rPr>
        <w:t>前十名有限售条件股东持股数量及限售条件</w:t>
      </w:r>
    </w:p>
    <w:p>
      <w:pPr>
        <w:pStyle w:val="BodyText"/>
        <w:spacing w:line="274" w:lineRule="exact"/>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258" w:right="0"/>
        <w:jc w:val="left"/>
      </w:pPr>
      <w:r>
        <w:rPr/>
        <w:t>单位：股</w:t>
      </w:r>
    </w:p>
    <w:p>
      <w:pPr>
        <w:spacing w:after="0" w:line="240" w:lineRule="auto"/>
        <w:jc w:val="left"/>
        <w:sectPr>
          <w:type w:val="continuous"/>
          <w:pgSz w:w="11910" w:h="16840"/>
          <w:pgMar w:top="1120" w:bottom="1380" w:left="1540" w:right="920"/>
          <w:cols w:num="2" w:equalWidth="0">
            <w:col w:w="4253" w:space="3741"/>
            <w:col w:w="1456"/>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653"/>
        <w:gridCol w:w="2717"/>
        <w:gridCol w:w="1558"/>
        <w:gridCol w:w="2554"/>
        <w:gridCol w:w="1567"/>
      </w:tblGrid>
      <w:tr>
        <w:trPr>
          <w:trHeight w:val="557"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5"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持有的有限售</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条件股份数量</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有限售条件股份可上市交</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易情况</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hAnsi="宋体" w:cs="宋体" w:eastAsia="宋体" w:hint="default"/>
                <w:sz w:val="21"/>
                <w:szCs w:val="21"/>
              </w:rPr>
              <w:t>限售条件</w:t>
            </w:r>
          </w:p>
        </w:tc>
      </w:tr>
    </w:tbl>
    <w:p>
      <w:pPr>
        <w:spacing w:after="0" w:line="240" w:lineRule="auto"/>
        <w:jc w:val="left"/>
        <w:rPr>
          <w:rFonts w:ascii="宋体" w:hAnsi="宋体" w:cs="宋体" w:eastAsia="宋体" w:hint="default"/>
          <w:sz w:val="21"/>
          <w:szCs w:val="21"/>
        </w:rPr>
        <w:sectPr>
          <w:type w:val="continuous"/>
          <w:pgSz w:w="11910" w:h="16840"/>
          <w:pgMar w:top="1120" w:bottom="1380" w:left="154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3"/>
        <w:gridCol w:w="2717"/>
        <w:gridCol w:w="1558"/>
        <w:gridCol w:w="1560"/>
        <w:gridCol w:w="994"/>
        <w:gridCol w:w="1567"/>
      </w:tblGrid>
      <w:tr>
        <w:trPr>
          <w:trHeight w:val="1100"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71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67" w:right="141" w:hanging="524"/>
              <w:jc w:val="left"/>
              <w:rPr>
                <w:rFonts w:ascii="宋体" w:hAnsi="宋体" w:cs="宋体" w:eastAsia="宋体" w:hint="default"/>
                <w:sz w:val="21"/>
                <w:szCs w:val="21"/>
              </w:rPr>
            </w:pPr>
            <w:r>
              <w:rPr>
                <w:rFonts w:ascii="宋体" w:hAnsi="宋体" w:cs="宋体" w:eastAsia="宋体" w:hint="default"/>
                <w:sz w:val="21"/>
                <w:szCs w:val="21"/>
              </w:rPr>
              <w:t>可上市交易时</w:t>
            </w:r>
            <w:r>
              <w:rPr>
                <w:rFonts w:ascii="宋体" w:hAnsi="宋体" w:cs="宋体" w:eastAsia="宋体" w:hint="default"/>
                <w:w w:val="100"/>
                <w:sz w:val="21"/>
                <w:szCs w:val="21"/>
              </w:rPr>
              <w:t> </w:t>
            </w:r>
            <w:r>
              <w:rPr>
                <w:rFonts w:ascii="宋体" w:hAnsi="宋体" w:cs="宋体" w:eastAsia="宋体" w:hint="default"/>
                <w:sz w:val="21"/>
                <w:szCs w:val="21"/>
              </w:rPr>
              <w:t>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both"/>
              <w:rPr>
                <w:rFonts w:ascii="宋体" w:hAnsi="宋体" w:cs="宋体" w:eastAsia="宋体" w:hint="default"/>
                <w:sz w:val="21"/>
                <w:szCs w:val="21"/>
              </w:rPr>
            </w:pPr>
            <w:r>
              <w:rPr>
                <w:rFonts w:ascii="宋体" w:hAnsi="宋体" w:cs="宋体" w:eastAsia="宋体" w:hint="default"/>
                <w:sz w:val="21"/>
                <w:szCs w:val="21"/>
              </w:rPr>
              <w:t>新增可</w:t>
            </w:r>
          </w:p>
          <w:p>
            <w:pPr>
              <w:pStyle w:val="TableParagraph"/>
              <w:spacing w:line="237" w:lineRule="auto"/>
              <w:ind w:left="172" w:right="176"/>
              <w:jc w:val="both"/>
              <w:rPr>
                <w:rFonts w:ascii="宋体" w:hAnsi="宋体" w:cs="宋体" w:eastAsia="宋体" w:hint="default"/>
                <w:sz w:val="21"/>
                <w:szCs w:val="21"/>
              </w:rPr>
            </w:pPr>
            <w:r>
              <w:rPr>
                <w:rFonts w:ascii="宋体" w:hAnsi="宋体" w:cs="宋体" w:eastAsia="宋体" w:hint="default"/>
                <w:sz w:val="21"/>
                <w:szCs w:val="21"/>
              </w:rPr>
              <w:t>上市交</w:t>
            </w:r>
            <w:r>
              <w:rPr>
                <w:rFonts w:ascii="宋体" w:hAnsi="宋体" w:cs="宋体" w:eastAsia="宋体" w:hint="default"/>
                <w:spacing w:val="-102"/>
                <w:sz w:val="21"/>
                <w:szCs w:val="21"/>
              </w:rPr>
              <w:t> </w:t>
            </w:r>
            <w:r>
              <w:rPr>
                <w:rFonts w:ascii="宋体" w:hAnsi="宋体" w:cs="宋体" w:eastAsia="宋体" w:hint="default"/>
                <w:sz w:val="21"/>
                <w:szCs w:val="21"/>
              </w:rPr>
              <w:t>易股份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1</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严孟宇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25,256,000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2</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金石投资有限公司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18,396,000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福州爱派克电子有限公司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17,136,000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戴小戈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徐传秋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鄢继华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股权激励限售</w:t>
            </w:r>
          </w:p>
        </w:tc>
      </w:tr>
      <w:tr>
        <w:trPr>
          <w:trHeight w:val="35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王敏航</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60,480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40,320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董凤良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陈笑春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16,800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股权激励限售</w:t>
            </w:r>
          </w:p>
        </w:tc>
      </w:tr>
      <w:tr>
        <w:trPr>
          <w:trHeight w:val="826"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56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爱派克法定代表人林永正先生系公司实际控制人严孟宇之</w:t>
            </w:r>
          </w:p>
          <w:p>
            <w:pPr>
              <w:pStyle w:val="TableParagraph"/>
              <w:spacing w:line="240" w:lineRule="auto"/>
              <w:ind w:left="103" w:right="192"/>
              <w:jc w:val="left"/>
              <w:rPr>
                <w:rFonts w:ascii="宋体" w:hAnsi="宋体" w:cs="宋体" w:eastAsia="宋体" w:hint="default"/>
                <w:sz w:val="21"/>
                <w:szCs w:val="21"/>
              </w:rPr>
            </w:pPr>
            <w:r>
              <w:rPr>
                <w:rFonts w:ascii="宋体" w:hAnsi="宋体" w:cs="宋体" w:eastAsia="宋体" w:hint="default"/>
                <w:spacing w:val="-5"/>
                <w:sz w:val="21"/>
                <w:szCs w:val="21"/>
              </w:rPr>
              <w:t>岳父，除上述关联外，公司未知其他股东之间是否存在关联</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关系或一致行动关系。</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784" w:val="left" w:leader="none"/>
        </w:tabs>
        <w:spacing w:line="240" w:lineRule="auto" w:before="36"/>
        <w:ind w:right="227"/>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227"/>
        <w:jc w:val="left"/>
      </w:pPr>
      <w:r>
        <w:rPr/>
        <w:t>□适用</w:t>
      </w:r>
      <w:r>
        <w:rPr>
          <w:spacing w:val="-1"/>
        </w:rPr>
        <w:t> </w:t>
      </w:r>
      <w:r>
        <w:rPr/>
        <w:t>√不适用</w:t>
      </w:r>
    </w:p>
    <w:p>
      <w:pPr>
        <w:pStyle w:val="Heading4"/>
        <w:spacing w:line="240" w:lineRule="auto" w:before="56"/>
        <w:ind w:right="227"/>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tabs>
          <w:tab w:pos="637" w:val="left" w:leader="none"/>
        </w:tabs>
        <w:spacing w:line="290" w:lineRule="auto" w:before="37"/>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4"/>
        <w:ind w:right="22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公司董事长兼总经理</w:t>
            </w:r>
          </w:p>
        </w:tc>
      </w:tr>
    </w:tbl>
    <w:p>
      <w:pPr>
        <w:spacing w:line="240" w:lineRule="auto" w:before="13"/>
        <w:rPr>
          <w:rFonts w:ascii="宋体" w:hAnsi="宋体" w:cs="宋体" w:eastAsia="宋体" w:hint="default"/>
          <w:sz w:val="19"/>
          <w:szCs w:val="19"/>
        </w:rPr>
      </w:pPr>
    </w:p>
    <w:p>
      <w:pPr>
        <w:pStyle w:val="Heading4"/>
        <w:tabs>
          <w:tab w:pos="637" w:val="left" w:leader="none"/>
        </w:tabs>
        <w:spacing w:line="240" w:lineRule="auto" w:before="36"/>
        <w:ind w:right="227"/>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8"/>
        <w:ind w:right="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637" w:val="left" w:leader="none"/>
        </w:tabs>
        <w:spacing w:line="240" w:lineRule="auto"/>
        <w:ind w:right="227"/>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6"/>
        <w:ind w:right="227"/>
        <w:jc w:val="left"/>
      </w:pPr>
      <w:r>
        <w:rPr>
          <w:spacing w:val="-1"/>
        </w:rPr>
        <w:t>□适用</w:t>
        <w:tab/>
      </w:r>
      <w:r>
        <w:rPr>
          <w:spacing w:val="-2"/>
        </w:rPr>
        <w:t>√不适用</w:t>
      </w:r>
    </w:p>
    <w:p>
      <w:pPr>
        <w:pStyle w:val="Heading4"/>
        <w:tabs>
          <w:tab w:pos="637" w:val="left" w:leader="none"/>
        </w:tabs>
        <w:spacing w:line="240" w:lineRule="auto" w:before="58"/>
        <w:ind w:right="227"/>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6"/>
        <w:ind w:right="227"/>
        <w:jc w:val="left"/>
      </w:pPr>
      <w:r>
        <w:rPr>
          <w:spacing w:val="-1"/>
        </w:rPr>
        <w:t>√适用</w:t>
        <w:tab/>
      </w:r>
      <w:r>
        <w:rPr>
          <w:spacing w:val="-2"/>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4120" w:lineRule="exact"/>
        <w:ind w:left="217"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3944342" cy="261670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0" cstate="print"/>
                    <a:stretch>
                      <a:fillRect/>
                    </a:stretch>
                  </pic:blipFill>
                  <pic:spPr>
                    <a:xfrm>
                      <a:off x="0" y="0"/>
                      <a:ext cx="3944342" cy="2616707"/>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6"/>
        <w:rPr>
          <w:rFonts w:ascii="宋体" w:hAnsi="宋体" w:cs="宋体" w:eastAsia="宋体" w:hint="default"/>
          <w:sz w:val="19"/>
          <w:szCs w:val="19"/>
        </w:rPr>
      </w:pPr>
    </w:p>
    <w:p>
      <w:pPr>
        <w:pStyle w:val="Heading4"/>
        <w:tabs>
          <w:tab w:pos="642" w:val="left" w:leader="none"/>
        </w:tabs>
        <w:spacing w:line="266" w:lineRule="auto" w:before="36"/>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90" w:lineRule="auto" w:before="33"/>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2"/>
        <w:ind w:right="22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严孟宇</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公司董事长兼总经理</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sz w:val="20"/>
          <w:szCs w:val="20"/>
        </w:rPr>
      </w:pPr>
    </w:p>
    <w:p>
      <w:pPr>
        <w:pStyle w:val="Heading4"/>
        <w:tabs>
          <w:tab w:pos="642" w:val="left" w:leader="none"/>
        </w:tabs>
        <w:spacing w:line="240" w:lineRule="auto" w:before="36"/>
        <w:ind w:right="227"/>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6"/>
        <w:ind w:right="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642" w:val="left" w:leader="none"/>
        </w:tabs>
        <w:spacing w:line="240" w:lineRule="auto"/>
        <w:ind w:right="227"/>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6"/>
        <w:ind w:right="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642" w:val="left" w:leader="none"/>
        </w:tabs>
        <w:spacing w:line="240" w:lineRule="auto"/>
        <w:ind w:right="227"/>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58"/>
        <w:ind w:right="227"/>
        <w:jc w:val="left"/>
      </w:pPr>
      <w:r>
        <w:rPr>
          <w:spacing w:val="-1"/>
        </w:rPr>
        <w:t>√适用</w:t>
        <w:tab/>
      </w:r>
      <w:r>
        <w:rPr>
          <w:spacing w:val="-2"/>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3712" w:lineRule="exact"/>
        <w:ind w:left="217"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3553810" cy="2357628"/>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20" cstate="print"/>
                    <a:stretch>
                      <a:fillRect/>
                    </a:stretch>
                  </pic:blipFill>
                  <pic:spPr>
                    <a:xfrm>
                      <a:off x="0" y="0"/>
                      <a:ext cx="3553810" cy="2357628"/>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8"/>
        <w:rPr>
          <w:rFonts w:ascii="宋体" w:hAnsi="宋体" w:cs="宋体" w:eastAsia="宋体" w:hint="default"/>
          <w:sz w:val="21"/>
          <w:szCs w:val="21"/>
        </w:rPr>
      </w:pPr>
    </w:p>
    <w:p>
      <w:pPr>
        <w:pStyle w:val="Heading4"/>
        <w:tabs>
          <w:tab w:pos="642" w:val="left" w:leader="none"/>
        </w:tabs>
        <w:spacing w:line="240" w:lineRule="auto" w:before="36"/>
        <w:ind w:right="227"/>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060" w:val="left" w:leader="none"/>
        </w:tabs>
        <w:spacing w:line="240" w:lineRule="auto" w:before="58"/>
        <w:ind w:right="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060" w:val="left" w:leader="none"/>
        </w:tabs>
        <w:spacing w:line="240" w:lineRule="auto" w:before="29"/>
        <w:ind w:right="2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1"/>
          <w:pgSz w:w="11910" w:h="16840"/>
          <w:pgMar w:footer="1195" w:header="880" w:top="1120" w:bottom="1380" w:left="1580" w:right="1040"/>
        </w:sectPr>
      </w:pPr>
    </w:p>
    <w:p>
      <w:pPr>
        <w:pStyle w:val="Heading4"/>
        <w:spacing w:line="240" w:lineRule="auto" w:before="36"/>
        <w:ind w:right="-17"/>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44" w:space="2477"/>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73"/>
        <w:gridCol w:w="1263"/>
        <w:gridCol w:w="1265"/>
        <w:gridCol w:w="2136"/>
        <w:gridCol w:w="1599"/>
        <w:gridCol w:w="1414"/>
      </w:tblGrid>
      <w:tr>
        <w:trPr>
          <w:trHeight w:val="82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75" w:right="151" w:hanging="420"/>
              <w:jc w:val="left"/>
              <w:rPr>
                <w:rFonts w:ascii="宋体" w:hAnsi="宋体" w:cs="宋体" w:eastAsia="宋体" w:hint="default"/>
                <w:sz w:val="21"/>
                <w:szCs w:val="21"/>
              </w:rPr>
            </w:pPr>
            <w:r>
              <w:rPr>
                <w:rFonts w:ascii="宋体" w:hAnsi="宋体" w:cs="宋体" w:eastAsia="宋体" w:hint="default"/>
                <w:sz w:val="21"/>
                <w:szCs w:val="21"/>
              </w:rPr>
              <w:t>法人股东名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单位负责</w:t>
            </w:r>
          </w:p>
          <w:p>
            <w:pPr>
              <w:pStyle w:val="TableParagraph"/>
              <w:spacing w:line="240" w:lineRule="auto"/>
              <w:ind w:left="307" w:right="204" w:hanging="104"/>
              <w:jc w:val="left"/>
              <w:rPr>
                <w:rFonts w:ascii="宋体" w:hAnsi="宋体" w:cs="宋体" w:eastAsia="宋体" w:hint="default"/>
                <w:sz w:val="21"/>
                <w:szCs w:val="21"/>
              </w:rPr>
            </w:pPr>
            <w:r>
              <w:rPr>
                <w:rFonts w:ascii="宋体" w:hAnsi="宋体" w:cs="宋体" w:eastAsia="宋体" w:hint="default"/>
                <w:sz w:val="21"/>
                <w:szCs w:val="21"/>
              </w:rPr>
              <w:t>人或法定</w:t>
            </w:r>
            <w:r>
              <w:rPr>
                <w:rFonts w:ascii="宋体" w:hAnsi="宋体" w:cs="宋体" w:eastAsia="宋体" w:hint="default"/>
                <w:w w:val="100"/>
                <w:sz w:val="21"/>
                <w:szCs w:val="21"/>
              </w:rPr>
              <w:t> </w:t>
            </w:r>
            <w:r>
              <w:rPr>
                <w:rFonts w:ascii="宋体" w:hAnsi="宋体" w:cs="宋体" w:eastAsia="宋体" w:hint="default"/>
                <w:sz w:val="21"/>
                <w:szCs w:val="21"/>
              </w:rPr>
              <w:t>代表人</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852" w:right="639" w:hanging="210"/>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主要经营业</w:t>
            </w:r>
          </w:p>
          <w:p>
            <w:pPr>
              <w:pStyle w:val="TableParagraph"/>
              <w:spacing w:line="240" w:lineRule="auto"/>
              <w:ind w:left="283" w:right="170" w:hanging="106"/>
              <w:jc w:val="left"/>
              <w:rPr>
                <w:rFonts w:ascii="宋体" w:hAnsi="宋体" w:cs="宋体" w:eastAsia="宋体" w:hint="default"/>
                <w:sz w:val="21"/>
                <w:szCs w:val="21"/>
              </w:rPr>
            </w:pPr>
            <w:r>
              <w:rPr>
                <w:rFonts w:ascii="宋体" w:hAnsi="宋体" w:cs="宋体" w:eastAsia="宋体" w:hint="default"/>
                <w:sz w:val="21"/>
                <w:szCs w:val="21"/>
              </w:rPr>
              <w:t>务或管理活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动等情况</w:t>
            </w: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石</w:t>
            </w:r>
            <w:r>
              <w:rPr>
                <w:rFonts w:ascii="宋体" w:hAnsi="宋体" w:cs="宋体" w:eastAsia="宋体" w:hint="default"/>
                <w:spacing w:val="-77"/>
                <w:sz w:val="21"/>
                <w:szCs w:val="21"/>
              </w:rPr>
              <w:t> </w:t>
            </w:r>
            <w:r>
              <w:rPr>
                <w:rFonts w:ascii="宋体" w:hAnsi="宋体" w:cs="宋体" w:eastAsia="宋体" w:hint="default"/>
                <w:spacing w:val="11"/>
                <w:sz w:val="21"/>
                <w:szCs w:val="21"/>
              </w:rPr>
              <w:t>投资</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金剑华</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2007-10-11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91110000710935134P</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实业投资</w:t>
            </w:r>
            <w:r>
              <w:rPr>
                <w:rFonts w:ascii="宋体" w:hAnsi="宋体" w:cs="宋体" w:eastAsia="宋体" w:hint="default"/>
                <w:spacing w:val="5"/>
                <w:sz w:val="21"/>
                <w:szCs w:val="21"/>
              </w:rPr>
              <w:t>;</w:t>
            </w:r>
            <w:r>
              <w:rPr>
                <w:rFonts w:ascii="宋体" w:hAnsi="宋体" w:cs="宋体" w:eastAsia="宋体" w:hint="default"/>
                <w:spacing w:val="5"/>
                <w:sz w:val="21"/>
                <w:szCs w:val="21"/>
              </w:rPr>
              <w:t>投</w:t>
            </w:r>
          </w:p>
          <w:p>
            <w:pPr>
              <w:pStyle w:val="TableParagraph"/>
              <w:spacing w:line="272" w:lineRule="exact" w:before="27"/>
              <w:ind w:left="103" w:right="97"/>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咨</w:t>
            </w:r>
            <w:r>
              <w:rPr>
                <w:rFonts w:ascii="宋体" w:hAnsi="宋体" w:cs="宋体" w:eastAsia="宋体" w:hint="default"/>
                <w:spacing w:val="-69"/>
                <w:sz w:val="21"/>
                <w:szCs w:val="21"/>
              </w:rPr>
              <w:t> </w:t>
            </w:r>
            <w:r>
              <w:rPr>
                <w:rFonts w:ascii="宋体" w:hAnsi="宋体" w:cs="宋体" w:eastAsia="宋体" w:hint="default"/>
                <w:sz w:val="21"/>
                <w:szCs w:val="21"/>
              </w:rPr>
              <w:t>询</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理。</w:t>
            </w:r>
          </w:p>
        </w:tc>
      </w:tr>
      <w:tr>
        <w:trPr>
          <w:trHeight w:val="109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pacing w:val="11"/>
                <w:sz w:val="21"/>
                <w:szCs w:val="21"/>
              </w:rPr>
              <w:t>爱派</w:t>
            </w:r>
            <w:r>
              <w:rPr>
                <w:rFonts w:ascii="宋体" w:hAnsi="宋体" w:cs="宋体" w:eastAsia="宋体" w:hint="default"/>
                <w:spacing w:val="-77"/>
                <w:sz w:val="21"/>
                <w:szCs w:val="21"/>
              </w:rPr>
              <w:t> </w:t>
            </w:r>
            <w:r>
              <w:rPr>
                <w:rFonts w:ascii="宋体" w:hAnsi="宋体" w:cs="宋体" w:eastAsia="宋体" w:hint="default"/>
                <w:sz w:val="21"/>
                <w:szCs w:val="21"/>
              </w:rPr>
              <w:t>克</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77"/>
                <w:sz w:val="21"/>
                <w:szCs w:val="21"/>
              </w:rPr>
              <w:t> </w:t>
            </w:r>
            <w:r>
              <w:rPr>
                <w:rFonts w:ascii="宋体" w:hAnsi="宋体" w:cs="宋体" w:eastAsia="宋体" w:hint="default"/>
                <w:sz w:val="21"/>
                <w:szCs w:val="21"/>
              </w:rPr>
              <w:t>子</w:t>
            </w:r>
            <w:r>
              <w:rPr>
                <w:rFonts w:ascii="宋体" w:hAnsi="宋体" w:cs="宋体" w:eastAsia="宋体" w:hint="default"/>
                <w:spacing w:val="-77"/>
                <w:sz w:val="21"/>
                <w:szCs w:val="21"/>
              </w:rPr>
              <w:t> </w:t>
            </w:r>
            <w:r>
              <w:rPr>
                <w:rFonts w:ascii="宋体" w:hAnsi="宋体" w:cs="宋体" w:eastAsia="宋体" w:hint="default"/>
                <w:spacing w:val="11"/>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林永正</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2004-06-15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913501057617955494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子</w:t>
            </w:r>
            <w:r>
              <w:rPr>
                <w:rFonts w:ascii="宋体" w:hAnsi="宋体" w:cs="宋体" w:eastAsia="宋体" w:hint="default"/>
                <w:spacing w:val="-69"/>
                <w:sz w:val="21"/>
                <w:szCs w:val="21"/>
              </w:rPr>
              <w:t> </w:t>
            </w:r>
            <w:r>
              <w:rPr>
                <w:rFonts w:ascii="宋体" w:hAnsi="宋体" w:cs="宋体" w:eastAsia="宋体" w:hint="default"/>
                <w:sz w:val="21"/>
                <w:szCs w:val="21"/>
              </w:rPr>
              <w:t>原</w:t>
            </w:r>
            <w:r>
              <w:rPr>
                <w:rFonts w:ascii="宋体" w:hAnsi="宋体" w:cs="宋体" w:eastAsia="宋体" w:hint="default"/>
                <w:spacing w:val="-69"/>
                <w:sz w:val="21"/>
                <w:szCs w:val="21"/>
              </w:rPr>
              <w:t> </w:t>
            </w:r>
            <w:r>
              <w:rPr>
                <w:rFonts w:ascii="宋体" w:hAnsi="宋体" w:cs="宋体" w:eastAsia="宋体" w:hint="default"/>
                <w:sz w:val="21"/>
                <w:szCs w:val="21"/>
              </w:rPr>
              <w:t>器</w:t>
            </w:r>
            <w:r>
              <w:rPr>
                <w:rFonts w:ascii="宋体" w:hAnsi="宋体" w:cs="宋体" w:eastAsia="宋体" w:hint="default"/>
                <w:spacing w:val="-66"/>
                <w:sz w:val="21"/>
                <w:szCs w:val="21"/>
              </w:rPr>
              <w:t> </w:t>
            </w:r>
            <w:r>
              <w:rPr>
                <w:rFonts w:ascii="宋体" w:hAnsi="宋体" w:cs="宋体" w:eastAsia="宋体" w:hint="default"/>
                <w:sz w:val="21"/>
                <w:szCs w:val="21"/>
              </w:rPr>
              <w:t>件</w:t>
            </w: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批</w:t>
            </w:r>
            <w:r>
              <w:rPr>
                <w:rFonts w:ascii="宋体" w:hAnsi="宋体" w:cs="宋体" w:eastAsia="宋体" w:hint="default"/>
                <w:spacing w:val="-69"/>
                <w:sz w:val="21"/>
                <w:szCs w:val="21"/>
              </w:rPr>
              <w:t> </w:t>
            </w:r>
            <w:r>
              <w:rPr>
                <w:rFonts w:ascii="宋体" w:hAnsi="宋体" w:cs="宋体" w:eastAsia="宋体" w:hint="default"/>
                <w:sz w:val="21"/>
                <w:szCs w:val="21"/>
              </w:rPr>
              <w:t>发</w:t>
            </w:r>
            <w:r>
              <w:rPr>
                <w:rFonts w:ascii="宋体" w:hAnsi="宋体" w:cs="宋体" w:eastAsia="宋体" w:hint="default"/>
                <w:spacing w:val="-69"/>
                <w:sz w:val="21"/>
                <w:szCs w:val="21"/>
              </w:rPr>
              <w:t> </w:t>
            </w:r>
            <w:r>
              <w:rPr>
                <w:rFonts w:ascii="宋体" w:hAnsi="宋体" w:cs="宋体" w:eastAsia="宋体" w:hint="default"/>
                <w:sz w:val="21"/>
                <w:szCs w:val="21"/>
              </w:rPr>
              <w:t>及</w:t>
            </w:r>
            <w:r>
              <w:rPr>
                <w:rFonts w:ascii="宋体" w:hAnsi="宋体" w:cs="宋体" w:eastAsia="宋体" w:hint="default"/>
                <w:spacing w:val="-69"/>
                <w:sz w:val="21"/>
                <w:szCs w:val="21"/>
              </w:rPr>
              <w:t> </w:t>
            </w:r>
            <w:r>
              <w:rPr>
                <w:rFonts w:ascii="宋体" w:hAnsi="宋体" w:cs="宋体" w:eastAsia="宋体" w:hint="default"/>
                <w:sz w:val="21"/>
                <w:szCs w:val="21"/>
              </w:rPr>
              <w:t>相</w:t>
            </w:r>
            <w:r>
              <w:rPr>
                <w:rFonts w:ascii="宋体" w:hAnsi="宋体" w:cs="宋体" w:eastAsia="宋体" w:hint="default"/>
                <w:spacing w:val="-66"/>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pacing w:val="-69"/>
                <w:sz w:val="21"/>
                <w:szCs w:val="21"/>
              </w:rPr>
              <w:t> </w:t>
            </w:r>
            <w:r>
              <w:rPr>
                <w:rFonts w:ascii="宋体" w:hAnsi="宋体" w:cs="宋体" w:eastAsia="宋体" w:hint="default"/>
                <w:sz w:val="21"/>
                <w:szCs w:val="21"/>
              </w:rPr>
              <w:t>务</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咨</w:t>
            </w:r>
            <w:r>
              <w:rPr>
                <w:rFonts w:ascii="宋体" w:hAnsi="宋体" w:cs="宋体" w:eastAsia="宋体" w:hint="default"/>
                <w:spacing w:val="-66"/>
                <w:sz w:val="21"/>
                <w:szCs w:val="21"/>
              </w:rPr>
              <w:t> </w:t>
            </w:r>
            <w:r>
              <w:rPr>
                <w:rFonts w:ascii="宋体" w:hAnsi="宋体" w:cs="宋体" w:eastAsia="宋体" w:hint="default"/>
                <w:sz w:val="21"/>
                <w:szCs w:val="21"/>
              </w:rPr>
              <w:t>询</w:t>
            </w:r>
            <w:r>
              <w:rPr>
                <w:rFonts w:ascii="宋体" w:hAnsi="宋体" w:cs="宋体" w:eastAsia="宋体" w:hint="default"/>
                <w:w w:val="100"/>
                <w:sz w:val="21"/>
                <w:szCs w:val="21"/>
              </w:rPr>
              <w:t> </w:t>
            </w:r>
            <w:r>
              <w:rPr>
                <w:rFonts w:ascii="宋体" w:hAnsi="宋体" w:cs="宋体" w:eastAsia="宋体" w:hint="default"/>
                <w:sz w:val="21"/>
                <w:szCs w:val="21"/>
              </w:rPr>
              <w:t>服务。</w:t>
            </w:r>
          </w:p>
        </w:tc>
      </w:tr>
    </w:tbl>
    <w:p>
      <w:pPr>
        <w:spacing w:line="240" w:lineRule="auto" w:before="2"/>
        <w:rPr>
          <w:rFonts w:ascii="宋体" w:hAnsi="宋体" w:cs="宋体" w:eastAsia="宋体" w:hint="default"/>
          <w:sz w:val="20"/>
          <w:szCs w:val="20"/>
        </w:rPr>
      </w:pPr>
    </w:p>
    <w:p>
      <w:pPr>
        <w:pStyle w:val="Heading4"/>
        <w:spacing w:line="240" w:lineRule="auto" w:before="36"/>
        <w:ind w:right="227"/>
        <w:jc w:val="left"/>
        <w:rPr>
          <w:b w:val="0"/>
          <w:bCs w:val="0"/>
        </w:rPr>
      </w:pPr>
      <w:r>
        <w:rPr/>
        <w:t>六、</w:t>
      </w:r>
      <w:r>
        <w:rPr>
          <w:spacing w:val="-77"/>
        </w:rPr>
        <w:t> </w:t>
      </w:r>
      <w:r>
        <w:rPr/>
        <w:t>股份限制减持情况说明</w:t>
      </w:r>
      <w:r>
        <w:rPr>
          <w:b w:val="0"/>
          <w:bCs w:val="0"/>
        </w:rPr>
      </w:r>
    </w:p>
    <w:p>
      <w:pPr>
        <w:pStyle w:val="BodyText"/>
        <w:spacing w:line="272" w:lineRule="exact" w:before="84"/>
        <w:ind w:left="323" w:right="2096" w:hanging="106"/>
        <w:jc w:val="left"/>
      </w:pPr>
      <w:r>
        <w:rPr/>
        <w:t>√适用</w:t>
      </w:r>
      <w:r>
        <w:rPr>
          <w:spacing w:val="-2"/>
        </w:rPr>
        <w:t> </w:t>
      </w:r>
      <w:r>
        <w:rPr/>
        <w:t>□不适用</w:t>
      </w:r>
      <w:r>
        <w:rPr>
          <w:w w:val="100"/>
        </w:rPr>
        <w:t> </w:t>
      </w:r>
      <w:r>
        <w:rPr>
          <w:spacing w:val="-2"/>
        </w:rPr>
        <w:t>具体内容详见本报告第五节重要事项“二、承诺事项履行情况（一）”。</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1"/>
        <w:tabs>
          <w:tab w:pos="4279" w:val="left" w:leader="none"/>
        </w:tabs>
        <w:spacing w:line="240" w:lineRule="auto"/>
        <w:ind w:left="3019" w:right="227"/>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227"/>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2"/>
          <w:footerReference w:type="default" r:id="rId23"/>
          <w:pgSz w:w="16840" w:h="11910" w:orient="landscape"/>
          <w:pgMar w:header="880" w:footer="1195" w:top="1120" w:bottom="1380" w:left="1300" w:right="1200"/>
          <w:pgNumType w:start="51"/>
        </w:sectPr>
      </w:pPr>
    </w:p>
    <w:p>
      <w:pPr>
        <w:pStyle w:val="Heading4"/>
        <w:spacing w:line="240" w:lineRule="auto" w:before="36"/>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99"/>
        <w:gridCol w:w="1111"/>
        <w:gridCol w:w="816"/>
        <w:gridCol w:w="814"/>
        <w:gridCol w:w="1217"/>
        <w:gridCol w:w="1214"/>
        <w:gridCol w:w="1268"/>
        <w:gridCol w:w="1265"/>
        <w:gridCol w:w="1340"/>
        <w:gridCol w:w="1121"/>
        <w:gridCol w:w="1476"/>
        <w:gridCol w:w="1457"/>
      </w:tblGrid>
      <w:tr>
        <w:trPr>
          <w:trHeight w:val="1100"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5" w:right="177"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1" w:right="177"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132"/>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8" w:right="129"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报告期内从公</w:t>
            </w:r>
          </w:p>
          <w:p>
            <w:pPr>
              <w:pStyle w:val="TableParagraph"/>
              <w:spacing w:line="237" w:lineRule="auto"/>
              <w:ind w:left="105" w:right="96" w:hanging="3"/>
              <w:jc w:val="center"/>
              <w:rPr>
                <w:rFonts w:ascii="宋体" w:hAnsi="宋体" w:cs="宋体" w:eastAsia="宋体" w:hint="default"/>
                <w:sz w:val="21"/>
                <w:szCs w:val="21"/>
              </w:rPr>
            </w:pPr>
            <w:r>
              <w:rPr>
                <w:rFonts w:ascii="宋体" w:hAnsi="宋体" w:cs="宋体" w:eastAsia="宋体" w:hint="default"/>
                <w:spacing w:val="-2"/>
                <w:sz w:val="21"/>
                <w:szCs w:val="21"/>
              </w:rPr>
              <w:t>司获得的税前</w:t>
            </w:r>
            <w:r>
              <w:rPr>
                <w:rFonts w:ascii="宋体" w:hAnsi="宋体" w:cs="宋体" w:eastAsia="宋体" w:hint="default"/>
                <w:spacing w:val="-3"/>
                <w:w w:val="100"/>
                <w:sz w:val="21"/>
                <w:szCs w:val="21"/>
              </w:rPr>
              <w:t> </w:t>
            </w:r>
            <w:r>
              <w:rPr>
                <w:rFonts w:ascii="宋体" w:hAnsi="宋体" w:cs="宋体" w:eastAsia="宋体" w:hint="default"/>
                <w:spacing w:val="-1"/>
                <w:sz w:val="21"/>
                <w:szCs w:val="21"/>
              </w:rPr>
              <w:t>报酬总额（万</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15" w:right="192"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1099"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董事长、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center"/>
              <w:rPr>
                <w:rFonts w:ascii="宋体" w:hAnsi="宋体" w:cs="宋体" w:eastAsia="宋体" w:hint="default"/>
                <w:sz w:val="21"/>
                <w:szCs w:val="21"/>
              </w:rPr>
            </w:pPr>
            <w:r>
              <w:rPr>
                <w:rFonts w:ascii="宋体"/>
                <w:sz w:val="21"/>
              </w:rPr>
              <w:t>2017-6-26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18,040,000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25,634,010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7,594,010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pacing w:val="14"/>
                <w:sz w:val="21"/>
                <w:szCs w:val="21"/>
              </w:rPr>
              <w:t>资本公积</w:t>
            </w:r>
          </w:p>
          <w:p>
            <w:pPr>
              <w:pStyle w:val="TableParagraph"/>
              <w:spacing w:line="237" w:lineRule="auto"/>
              <w:ind w:left="105" w:right="77"/>
              <w:jc w:val="both"/>
              <w:rPr>
                <w:rFonts w:ascii="宋体" w:hAnsi="宋体" w:cs="宋体" w:eastAsia="宋体" w:hint="default"/>
                <w:sz w:val="21"/>
                <w:szCs w:val="21"/>
              </w:rPr>
            </w:pPr>
            <w:r>
              <w:rPr>
                <w:rFonts w:ascii="宋体" w:hAnsi="宋体" w:cs="宋体" w:eastAsia="宋体" w:hint="default"/>
                <w:sz w:val="21"/>
                <w:szCs w:val="21"/>
              </w:rPr>
              <w:t>转 增</w:t>
            </w:r>
            <w:r>
              <w:rPr>
                <w:rFonts w:ascii="宋体" w:hAnsi="宋体" w:cs="宋体" w:eastAsia="宋体" w:hint="default"/>
                <w:spacing w:val="65"/>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10"/>
                <w:sz w:val="21"/>
                <w:szCs w:val="21"/>
              </w:rPr>
              <w:t>本、</w:t>
            </w:r>
            <w:r>
              <w:rPr>
                <w:rFonts w:ascii="宋体" w:hAnsi="宋体" w:cs="宋体" w:eastAsia="宋体" w:hint="default"/>
                <w:spacing w:val="-82"/>
                <w:sz w:val="21"/>
                <w:szCs w:val="21"/>
              </w:rPr>
              <w:t> </w:t>
            </w:r>
            <w:r>
              <w:rPr>
                <w:rFonts w:ascii="宋体" w:hAnsi="宋体" w:cs="宋体" w:eastAsia="宋体" w:hint="default"/>
                <w:spacing w:val="9"/>
                <w:sz w:val="21"/>
                <w:szCs w:val="21"/>
              </w:rPr>
              <w:t>二级</w:t>
            </w:r>
            <w:r>
              <w:rPr>
                <w:rFonts w:ascii="宋体" w:hAnsi="宋体" w:cs="宋体" w:eastAsia="宋体" w:hint="default"/>
                <w:spacing w:val="-101"/>
                <w:sz w:val="21"/>
                <w:szCs w:val="21"/>
              </w:rPr>
              <w:t> </w:t>
            </w:r>
            <w:r>
              <w:rPr>
                <w:rFonts w:ascii="宋体" w:hAnsi="宋体" w:cs="宋体" w:eastAsia="宋体" w:hint="default"/>
                <w:sz w:val="21"/>
                <w:szCs w:val="21"/>
              </w:rPr>
              <w:t>市场买卖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56" w:right="0"/>
              <w:jc w:val="left"/>
              <w:rPr>
                <w:rFonts w:ascii="宋体" w:hAnsi="宋体" w:cs="宋体" w:eastAsia="宋体" w:hint="default"/>
                <w:sz w:val="22"/>
                <w:szCs w:val="22"/>
              </w:rPr>
            </w:pPr>
            <w:r>
              <w:rPr>
                <w:rFonts w:ascii="宋体"/>
                <w:sz w:val="22"/>
              </w:rPr>
              <w:t>65.52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100"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副 董</w:t>
            </w:r>
            <w:r>
              <w:rPr>
                <w:rFonts w:ascii="宋体" w:hAnsi="宋体" w:cs="宋体" w:eastAsia="宋体" w:hint="default"/>
                <w:spacing w:val="57"/>
                <w:sz w:val="21"/>
                <w:szCs w:val="21"/>
              </w:rPr>
              <w:t> </w:t>
            </w:r>
            <w:r>
              <w:rPr>
                <w:rFonts w:ascii="宋体" w:hAnsi="宋体" w:cs="宋体" w:eastAsia="宋体" w:hint="default"/>
                <w:sz w:val="21"/>
                <w:szCs w:val="21"/>
              </w:rPr>
              <w:t>事</w:t>
            </w:r>
          </w:p>
          <w:p>
            <w:pPr>
              <w:pStyle w:val="TableParagraph"/>
              <w:spacing w:line="237" w:lineRule="auto"/>
              <w:ind w:left="103" w:right="83"/>
              <w:jc w:val="both"/>
              <w:rPr>
                <w:rFonts w:ascii="宋体" w:hAnsi="宋体" w:cs="宋体" w:eastAsia="宋体" w:hint="default"/>
                <w:sz w:val="21"/>
                <w:szCs w:val="21"/>
              </w:rPr>
            </w:pPr>
            <w:r>
              <w:rPr>
                <w:rFonts w:ascii="宋体" w:hAnsi="宋体" w:cs="宋体" w:eastAsia="宋体" w:hint="default"/>
                <w:spacing w:val="15"/>
                <w:sz w:val="21"/>
                <w:szCs w:val="21"/>
              </w:rPr>
              <w:t>长、副总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2"/>
                <w:sz w:val="21"/>
                <w:szCs w:val="21"/>
              </w:rPr>
              <w:t>经理、董</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事会秘书</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center"/>
              <w:rPr>
                <w:rFonts w:ascii="宋体" w:hAnsi="宋体" w:cs="宋体" w:eastAsia="宋体" w:hint="default"/>
                <w:sz w:val="21"/>
                <w:szCs w:val="21"/>
              </w:rPr>
            </w:pPr>
            <w:r>
              <w:rPr>
                <w:rFonts w:ascii="宋体"/>
                <w:sz w:val="21"/>
              </w:rPr>
              <w:t>2017-6-26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6,180,000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8,652,000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2,472,000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4"/>
                <w:sz w:val="21"/>
                <w:szCs w:val="21"/>
              </w:rPr>
              <w:t>资本公积</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56" w:right="0"/>
              <w:jc w:val="left"/>
              <w:rPr>
                <w:rFonts w:ascii="宋体" w:hAnsi="宋体" w:cs="宋体" w:eastAsia="宋体" w:hint="default"/>
                <w:sz w:val="22"/>
                <w:szCs w:val="22"/>
              </w:rPr>
            </w:pPr>
            <w:r>
              <w:rPr>
                <w:rFonts w:ascii="宋体"/>
                <w:sz w:val="22"/>
              </w:rPr>
              <w:t>56.01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董事、副</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center"/>
              <w:rPr>
                <w:rFonts w:ascii="宋体" w:hAnsi="宋体" w:cs="宋体" w:eastAsia="宋体" w:hint="default"/>
                <w:sz w:val="21"/>
                <w:szCs w:val="21"/>
              </w:rPr>
            </w:pPr>
            <w:r>
              <w:rPr>
                <w:rFonts w:ascii="宋体"/>
                <w:sz w:val="21"/>
              </w:rPr>
              <w:t>2017-6-26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3,892,000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1,112,000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4"/>
                <w:sz w:val="21"/>
                <w:szCs w:val="21"/>
              </w:rPr>
              <w:t>资本公积</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56" w:right="0"/>
              <w:jc w:val="left"/>
              <w:rPr>
                <w:rFonts w:ascii="宋体" w:hAnsi="宋体" w:cs="宋体" w:eastAsia="宋体" w:hint="default"/>
                <w:sz w:val="22"/>
                <w:szCs w:val="22"/>
              </w:rPr>
            </w:pPr>
            <w:r>
              <w:rPr>
                <w:rFonts w:ascii="宋体"/>
                <w:sz w:val="22"/>
              </w:rPr>
              <w:t>59.75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9"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黄义青</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center"/>
              <w:rPr>
                <w:rFonts w:ascii="宋体" w:hAnsi="宋体" w:cs="宋体" w:eastAsia="宋体" w:hint="default"/>
                <w:sz w:val="21"/>
                <w:szCs w:val="21"/>
              </w:rPr>
            </w:pPr>
            <w:r>
              <w:rPr>
                <w:rFonts w:ascii="宋体"/>
                <w:sz w:val="21"/>
              </w:rPr>
              <w:t>2017-6-26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56" w:right="0"/>
              <w:jc w:val="left"/>
              <w:rPr>
                <w:rFonts w:ascii="宋体" w:hAnsi="宋体" w:cs="宋体" w:eastAsia="宋体" w:hint="default"/>
                <w:sz w:val="22"/>
                <w:szCs w:val="22"/>
              </w:rPr>
            </w:pPr>
            <w:r>
              <w:rPr>
                <w:rFonts w:ascii="宋体"/>
                <w:sz w:val="22"/>
              </w:rPr>
              <w:t>56.73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center"/>
              <w:rPr>
                <w:rFonts w:ascii="宋体" w:hAnsi="宋体" w:cs="宋体" w:eastAsia="宋体" w:hint="default"/>
                <w:sz w:val="21"/>
                <w:szCs w:val="21"/>
              </w:rPr>
            </w:pPr>
            <w:r>
              <w:rPr>
                <w:rFonts w:ascii="宋体"/>
                <w:sz w:val="21"/>
              </w:rPr>
              <w:t>2017-6-26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徐青</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
              <w:jc w:val="center"/>
              <w:rPr>
                <w:rFonts w:ascii="宋体" w:hAnsi="宋体" w:cs="宋体" w:eastAsia="宋体" w:hint="default"/>
                <w:sz w:val="21"/>
                <w:szCs w:val="21"/>
              </w:rPr>
            </w:pPr>
            <w:r>
              <w:rPr>
                <w:rFonts w:ascii="宋体"/>
                <w:sz w:val="21"/>
              </w:rPr>
              <w:t>2017-6-26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齐伟</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center"/>
              <w:rPr>
                <w:rFonts w:ascii="宋体" w:hAnsi="宋体" w:cs="宋体" w:eastAsia="宋体" w:hint="default"/>
                <w:sz w:val="21"/>
                <w:szCs w:val="21"/>
              </w:rPr>
            </w:pPr>
            <w:r>
              <w:rPr>
                <w:rFonts w:ascii="宋体"/>
                <w:sz w:val="21"/>
              </w:rPr>
              <w:t>2017-6-26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center"/>
              <w:rPr>
                <w:rFonts w:ascii="宋体" w:hAnsi="宋体" w:cs="宋体" w:eastAsia="宋体" w:hint="default"/>
                <w:sz w:val="21"/>
                <w:szCs w:val="21"/>
              </w:rPr>
            </w:pPr>
            <w:r>
              <w:rPr>
                <w:rFonts w:ascii="宋体"/>
                <w:sz w:val="21"/>
              </w:rPr>
              <w:t>2017-6-26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9"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欧永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监事会主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
              <w:jc w:val="center"/>
              <w:rPr>
                <w:rFonts w:ascii="宋体" w:hAnsi="宋体" w:cs="宋体" w:eastAsia="宋体" w:hint="default"/>
                <w:sz w:val="21"/>
                <w:szCs w:val="21"/>
              </w:rPr>
            </w:pPr>
            <w:r>
              <w:rPr>
                <w:rFonts w:ascii="宋体"/>
                <w:sz w:val="21"/>
              </w:rPr>
              <w:t>2017-6-26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728,000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208,000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4"/>
                <w:sz w:val="21"/>
                <w:szCs w:val="21"/>
              </w:rPr>
              <w:t>资本公积</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sz w:val="22"/>
              </w:rPr>
              <w:t>55.73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郑元通</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center"/>
              <w:rPr>
                <w:rFonts w:ascii="宋体" w:hAnsi="宋体" w:cs="宋体" w:eastAsia="宋体" w:hint="default"/>
                <w:sz w:val="21"/>
                <w:szCs w:val="21"/>
              </w:rPr>
            </w:pPr>
            <w:r>
              <w:rPr>
                <w:rFonts w:ascii="宋体"/>
                <w:sz w:val="21"/>
              </w:rPr>
              <w:t>2017-6-26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658,000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4"/>
                <w:sz w:val="21"/>
                <w:szCs w:val="21"/>
              </w:rPr>
              <w:t>资本公积</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40.15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萧锦峰</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
              <w:jc w:val="center"/>
              <w:rPr>
                <w:rFonts w:ascii="宋体" w:hAnsi="宋体" w:cs="宋体" w:eastAsia="宋体" w:hint="default"/>
                <w:sz w:val="21"/>
                <w:szCs w:val="21"/>
              </w:rPr>
            </w:pPr>
            <w:r>
              <w:rPr>
                <w:rFonts w:ascii="宋体"/>
                <w:sz w:val="21"/>
              </w:rPr>
              <w:t>2017-6-26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sz w:val="22"/>
              </w:rPr>
              <w:t>25.79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3"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99"/>
        <w:gridCol w:w="1111"/>
        <w:gridCol w:w="816"/>
        <w:gridCol w:w="814"/>
        <w:gridCol w:w="1217"/>
        <w:gridCol w:w="1214"/>
        <w:gridCol w:w="1268"/>
        <w:gridCol w:w="1265"/>
        <w:gridCol w:w="1340"/>
        <w:gridCol w:w="1121"/>
        <w:gridCol w:w="1476"/>
        <w:gridCol w:w="1457"/>
      </w:tblGrid>
      <w:tr>
        <w:trPr>
          <w:trHeight w:val="281" w:hRule="exact"/>
        </w:trPr>
        <w:tc>
          <w:tcPr>
            <w:tcW w:w="99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hAnsi="宋体" w:cs="宋体" w:eastAsia="宋体" w:hint="default"/>
                <w:sz w:val="21"/>
                <w:szCs w:val="21"/>
              </w:rPr>
              <w:t>董凤良</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center"/>
              <w:rPr>
                <w:rFonts w:ascii="宋体" w:hAnsi="宋体" w:cs="宋体" w:eastAsia="宋体" w:hint="default"/>
                <w:sz w:val="21"/>
                <w:szCs w:val="21"/>
              </w:rPr>
            </w:pPr>
            <w:r>
              <w:rPr>
                <w:rFonts w:ascii="宋体"/>
                <w:sz w:val="21"/>
              </w:rPr>
              <w:t>2017-7-10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2020-6-25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4"/>
                <w:sz w:val="21"/>
                <w:szCs w:val="21"/>
              </w:rPr>
              <w:t>资本公积</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36.79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1"/>
              <w:jc w:val="right"/>
              <w:rPr>
                <w:rFonts w:ascii="宋体" w:hAnsi="宋体" w:cs="宋体" w:eastAsia="宋体" w:hint="default"/>
                <w:sz w:val="21"/>
                <w:szCs w:val="21"/>
              </w:rPr>
            </w:pPr>
            <w:r>
              <w:rPr>
                <w:rFonts w:ascii="宋体" w:hAnsi="宋体" w:cs="宋体" w:eastAsia="宋体" w:hint="default"/>
                <w:sz w:val="21"/>
                <w:szCs w:val="21"/>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28,040,000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39,634,010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11,594,010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411.47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现任公司董事长，中国国籍，无境外永久居留权，</w:t>
            </w:r>
            <w:r>
              <w:rPr>
                <w:rFonts w:ascii="宋体" w:hAnsi="宋体" w:cs="宋体" w:eastAsia="宋体" w:hint="default"/>
                <w:sz w:val="21"/>
                <w:szCs w:val="21"/>
              </w:rPr>
              <w:t>1969</w:t>
            </w:r>
            <w:r>
              <w:rPr>
                <w:rFonts w:ascii="宋体" w:hAnsi="宋体" w:cs="宋体" w:eastAsia="宋体" w:hint="default"/>
                <w:spacing w:val="-58"/>
                <w:sz w:val="21"/>
                <w:szCs w:val="21"/>
              </w:rPr>
              <w:t> </w:t>
            </w:r>
            <w:r>
              <w:rPr>
                <w:rFonts w:ascii="宋体" w:hAnsi="宋体" w:cs="宋体" w:eastAsia="宋体" w:hint="default"/>
                <w:sz w:val="21"/>
                <w:szCs w:val="21"/>
              </w:rPr>
              <w:t>年生，毕业于北京理工大学机械设计与制造专业，工学学士。</w:t>
            </w:r>
            <w:r>
              <w:rPr>
                <w:rFonts w:ascii="宋体" w:hAnsi="宋体" w:cs="宋体" w:eastAsia="宋体" w:hint="default"/>
                <w:sz w:val="21"/>
                <w:szCs w:val="21"/>
              </w:rPr>
              <w:t>1996</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60"/>
                <w:sz w:val="21"/>
                <w:szCs w:val="21"/>
              </w:rPr>
              <w:t> </w:t>
            </w:r>
            <w:r>
              <w:rPr>
                <w:rFonts w:ascii="宋体" w:hAnsi="宋体" w:cs="宋体" w:eastAsia="宋体" w:hint="default"/>
                <w:sz w:val="21"/>
                <w:szCs w:val="21"/>
              </w:rPr>
              <w:t>月参与创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立顶点有限。全面负责公司的运营管理工作。</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现任公司副董事长、副总经理董事会秘书，中国国籍，无境外永久居留权，</w:t>
            </w:r>
            <w:r>
              <w:rPr>
                <w:rFonts w:ascii="宋体" w:hAnsi="宋体" w:cs="宋体" w:eastAsia="宋体" w:hint="default"/>
                <w:spacing w:val="-2"/>
                <w:sz w:val="21"/>
                <w:szCs w:val="21"/>
              </w:rPr>
              <w:t>1972</w:t>
            </w:r>
            <w:r>
              <w:rPr>
                <w:rFonts w:ascii="宋体" w:hAnsi="宋体" w:cs="宋体" w:eastAsia="宋体" w:hint="default"/>
                <w:sz w:val="21"/>
                <w:szCs w:val="21"/>
              </w:rPr>
              <w:t>  </w:t>
            </w:r>
            <w:r>
              <w:rPr>
                <w:rFonts w:ascii="宋体" w:hAnsi="宋体" w:cs="宋体" w:eastAsia="宋体" w:hint="default"/>
                <w:spacing w:val="-2"/>
                <w:sz w:val="21"/>
                <w:szCs w:val="21"/>
              </w:rPr>
              <w:t>年生，理学学士，清华大学计算机技术工程硕士，中欧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国际工商学院</w:t>
            </w:r>
            <w:r>
              <w:rPr>
                <w:rFonts w:ascii="宋体" w:hAnsi="宋体" w:cs="宋体" w:eastAsia="宋体" w:hint="default"/>
                <w:spacing w:val="-54"/>
                <w:sz w:val="21"/>
                <w:szCs w:val="21"/>
              </w:rPr>
              <w:t> </w:t>
            </w:r>
            <w:r>
              <w:rPr>
                <w:rFonts w:ascii="宋体" w:hAnsi="宋体" w:cs="宋体" w:eastAsia="宋体" w:hint="default"/>
                <w:sz w:val="21"/>
                <w:szCs w:val="21"/>
              </w:rPr>
              <w:t>EMBA</w:t>
            </w:r>
            <w:r>
              <w:rPr>
                <w:rFonts w:ascii="宋体" w:hAnsi="宋体" w:cs="宋体" w:eastAsia="宋体" w:hint="default"/>
                <w:sz w:val="21"/>
                <w:szCs w:val="21"/>
              </w:rPr>
              <w:t>。</w:t>
            </w:r>
            <w:r>
              <w:rPr>
                <w:rFonts w:ascii="宋体" w:hAnsi="宋体" w:cs="宋体" w:eastAsia="宋体" w:hint="default"/>
                <w:sz w:val="21"/>
                <w:szCs w:val="21"/>
              </w:rPr>
              <w:t>1996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月参与创立顶点有限。分管董事会办公室等事务。</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现任公司董事、副总经理，中国国籍，无境外永久居留权，</w:t>
            </w:r>
            <w:r>
              <w:rPr>
                <w:rFonts w:ascii="宋体" w:hAnsi="宋体" w:cs="宋体" w:eastAsia="宋体" w:hint="default"/>
                <w:spacing w:val="-2"/>
                <w:sz w:val="21"/>
                <w:szCs w:val="21"/>
              </w:rPr>
              <w:t>1969</w:t>
            </w:r>
            <w:r>
              <w:rPr>
                <w:rFonts w:ascii="宋体" w:hAnsi="宋体" w:cs="宋体" w:eastAsia="宋体" w:hint="default"/>
                <w:sz w:val="21"/>
                <w:szCs w:val="21"/>
              </w:rPr>
              <w:t>  </w:t>
            </w:r>
            <w:r>
              <w:rPr>
                <w:rFonts w:ascii="宋体" w:hAnsi="宋体" w:cs="宋体" w:eastAsia="宋体" w:hint="default"/>
                <w:spacing w:val="-2"/>
                <w:sz w:val="21"/>
                <w:szCs w:val="21"/>
              </w:rPr>
              <w:t>年生，毕业于中南民族学院电子技术专业。分管公司市场营销及软件开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发业务。</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黄义青</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4"/>
              <w:jc w:val="left"/>
              <w:rPr>
                <w:rFonts w:ascii="宋体" w:hAnsi="宋体" w:cs="宋体" w:eastAsia="宋体" w:hint="default"/>
                <w:sz w:val="21"/>
                <w:szCs w:val="21"/>
              </w:rPr>
            </w:pPr>
            <w:r>
              <w:rPr>
                <w:rFonts w:ascii="宋体" w:hAnsi="宋体" w:cs="宋体" w:eastAsia="宋体" w:hint="default"/>
                <w:spacing w:val="-2"/>
                <w:sz w:val="21"/>
                <w:szCs w:val="21"/>
              </w:rPr>
              <w:t>现任董事，中国国籍，无境外永久居留权，</w:t>
            </w:r>
            <w:r>
              <w:rPr>
                <w:rFonts w:ascii="Calibri" w:hAnsi="Calibri" w:cs="Calibri" w:eastAsia="Calibri" w:hint="default"/>
                <w:spacing w:val="-2"/>
                <w:sz w:val="21"/>
                <w:szCs w:val="21"/>
              </w:rPr>
              <w:t>1970</w:t>
            </w:r>
            <w:r>
              <w:rPr>
                <w:rFonts w:ascii="Calibri" w:hAnsi="Calibri" w:cs="Calibri" w:eastAsia="Calibri" w:hint="default"/>
                <w:sz w:val="21"/>
                <w:szCs w:val="21"/>
              </w:rPr>
              <w:t> </w:t>
            </w:r>
            <w:r>
              <w:rPr>
                <w:rFonts w:ascii="宋体" w:hAnsi="宋体" w:cs="宋体" w:eastAsia="宋体" w:hint="default"/>
                <w:spacing w:val="-2"/>
                <w:sz w:val="21"/>
                <w:szCs w:val="21"/>
              </w:rPr>
              <w:t>年生，毕业于北方工业大学工业自动化仪表专业，工学学士，新加坡南洋理工大学高级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工商管理硕士学位。</w:t>
            </w:r>
            <w:r>
              <w:rPr>
                <w:rFonts w:ascii="Calibri" w:hAnsi="Calibri" w:cs="Calibri" w:eastAsia="Calibri" w:hint="default"/>
                <w:spacing w:val="-2"/>
                <w:sz w:val="21"/>
                <w:szCs w:val="21"/>
              </w:rPr>
              <w:t>2002</w:t>
            </w:r>
            <w:r>
              <w:rPr>
                <w:rFonts w:ascii="Calibri" w:hAnsi="Calibri" w:cs="Calibri" w:eastAsia="Calibri" w:hint="default"/>
                <w:sz w:val="21"/>
                <w:szCs w:val="21"/>
              </w:rPr>
              <w:t> </w:t>
            </w:r>
            <w:r>
              <w:rPr>
                <w:rFonts w:ascii="Calibri" w:hAnsi="Calibri" w:cs="Calibri" w:eastAsia="Calibri" w:hint="default"/>
                <w:spacing w:val="43"/>
                <w:sz w:val="21"/>
                <w:szCs w:val="21"/>
              </w:rPr>
              <w:t> </w:t>
            </w:r>
            <w:r>
              <w:rPr>
                <w:rFonts w:ascii="宋体" w:hAnsi="宋体" w:cs="宋体" w:eastAsia="宋体" w:hint="default"/>
                <w:spacing w:val="-2"/>
                <w:sz w:val="21"/>
                <w:szCs w:val="21"/>
              </w:rPr>
              <w:t>年任福建顶点软件股份有限公司市场总监。主持公司证券行业市场营销工作。</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中国国籍，无境外永久居留权，</w:t>
            </w:r>
            <w:r>
              <w:rPr>
                <w:rFonts w:ascii="宋体" w:hAnsi="宋体" w:cs="宋体" w:eastAsia="宋体" w:hint="default"/>
                <w:spacing w:val="-1"/>
                <w:sz w:val="21"/>
                <w:szCs w:val="21"/>
              </w:rPr>
              <w:t>1967</w:t>
            </w:r>
            <w:r>
              <w:rPr>
                <w:rFonts w:ascii="宋体" w:hAnsi="宋体" w:cs="宋体" w:eastAsia="宋体" w:hint="default"/>
                <w:spacing w:val="88"/>
                <w:sz w:val="21"/>
                <w:szCs w:val="21"/>
              </w:rPr>
              <w:t> </w:t>
            </w:r>
            <w:r>
              <w:rPr>
                <w:rFonts w:ascii="宋体" w:hAnsi="宋体" w:cs="宋体" w:eastAsia="宋体" w:hint="default"/>
                <w:spacing w:val="-2"/>
                <w:sz w:val="21"/>
                <w:szCs w:val="21"/>
              </w:rPr>
              <w:t>年生，研究生学历，毕业于电子科技大学。曾任职于湖南省衡阳市南华大学、深圳华彤科技公司、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国泰君安证券股份有限公司，</w:t>
            </w:r>
            <w:r>
              <w:rPr>
                <w:rFonts w:ascii="宋体" w:hAnsi="宋体" w:cs="宋体" w:eastAsia="宋体" w:hint="default"/>
                <w:spacing w:val="-2"/>
                <w:sz w:val="21"/>
                <w:szCs w:val="21"/>
              </w:rPr>
              <w:t>2000</w:t>
            </w:r>
            <w:r>
              <w:rPr>
                <w:rFonts w:ascii="宋体" w:hAnsi="宋体" w:cs="宋体" w:eastAsia="宋体" w:hint="default"/>
                <w:spacing w:val="32"/>
                <w:sz w:val="21"/>
                <w:szCs w:val="21"/>
              </w:rPr>
              <w:t> </w:t>
            </w:r>
            <w:r>
              <w:rPr>
                <w:rFonts w:ascii="宋体" w:hAnsi="宋体" w:cs="宋体" w:eastAsia="宋体" w:hint="default"/>
                <w:spacing w:val="-2"/>
                <w:sz w:val="21"/>
                <w:szCs w:val="21"/>
              </w:rPr>
              <w:t>年起就职于中信证券。现任公司董事及中信证券执行总经理（</w:t>
            </w:r>
            <w:r>
              <w:rPr>
                <w:rFonts w:ascii="宋体" w:hAnsi="宋体" w:cs="宋体" w:eastAsia="宋体" w:hint="default"/>
                <w:spacing w:val="-2"/>
                <w:sz w:val="21"/>
                <w:szCs w:val="21"/>
              </w:rPr>
              <w:t>ED</w:t>
            </w:r>
            <w:r>
              <w:rPr>
                <w:rFonts w:ascii="宋体" w:hAnsi="宋体" w:cs="宋体" w:eastAsia="宋体" w:hint="default"/>
                <w:spacing w:val="-2"/>
                <w:sz w:val="21"/>
                <w:szCs w:val="21"/>
              </w:rPr>
              <w:t>）。</w:t>
            </w:r>
            <w:r>
              <w:rPr>
                <w:rFonts w:ascii="宋体" w:hAnsi="宋体" w:cs="宋体" w:eastAsia="宋体" w:hint="default"/>
                <w:sz w:val="21"/>
                <w:szCs w:val="21"/>
              </w:rPr>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徐青</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中国国籍，无境外永久居留权，</w:t>
            </w:r>
            <w:r>
              <w:rPr>
                <w:rFonts w:ascii="宋体" w:hAnsi="宋体" w:cs="宋体" w:eastAsia="宋体" w:hint="default"/>
                <w:spacing w:val="-2"/>
                <w:sz w:val="21"/>
                <w:szCs w:val="21"/>
              </w:rPr>
              <w:t>1974</w:t>
            </w:r>
            <w:r>
              <w:rPr>
                <w:rFonts w:ascii="宋体" w:hAnsi="宋体" w:cs="宋体" w:eastAsia="宋体" w:hint="default"/>
                <w:sz w:val="21"/>
                <w:szCs w:val="21"/>
              </w:rPr>
              <w:t> </w:t>
            </w:r>
            <w:r>
              <w:rPr>
                <w:rFonts w:ascii="宋体" w:hAnsi="宋体" w:cs="宋体" w:eastAsia="宋体" w:hint="default"/>
                <w:spacing w:val="-2"/>
                <w:sz w:val="21"/>
                <w:szCs w:val="21"/>
              </w:rPr>
              <w:t>年生，研究生学历，毕业于江苏大学，中国注册会计师、注册税务师。</w:t>
            </w:r>
            <w:r>
              <w:rPr>
                <w:rFonts w:ascii="宋体" w:hAnsi="宋体" w:cs="宋体" w:eastAsia="宋体" w:hint="default"/>
                <w:spacing w:val="-2"/>
                <w:sz w:val="21"/>
                <w:szCs w:val="21"/>
              </w:rPr>
              <w:t>2004</w:t>
            </w:r>
            <w:r>
              <w:rPr>
                <w:rFonts w:ascii="宋体" w:hAnsi="宋体" w:cs="宋体" w:eastAsia="宋体" w:hint="default"/>
                <w:spacing w:val="-3"/>
                <w:sz w:val="21"/>
                <w:szCs w:val="21"/>
              </w:rPr>
              <w:t> </w:t>
            </w:r>
            <w:r>
              <w:rPr>
                <w:rFonts w:ascii="宋体" w:hAnsi="宋体" w:cs="宋体" w:eastAsia="宋体" w:hint="default"/>
                <w:spacing w:val="-2"/>
                <w:sz w:val="21"/>
                <w:szCs w:val="21"/>
              </w:rPr>
              <w:t>年至今，任教于福建江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夏学院，现任会计学院副教授。</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中国国籍，无境外永久居留权，</w:t>
            </w:r>
            <w:r>
              <w:rPr>
                <w:rFonts w:ascii="宋体" w:hAnsi="宋体" w:cs="宋体" w:eastAsia="宋体" w:hint="default"/>
                <w:spacing w:val="-6"/>
                <w:sz w:val="21"/>
                <w:szCs w:val="21"/>
              </w:rPr>
              <w:t>1977 </w:t>
            </w:r>
            <w:r>
              <w:rPr>
                <w:rFonts w:ascii="宋体" w:hAnsi="宋体" w:cs="宋体" w:eastAsia="宋体" w:hint="default"/>
                <w:spacing w:val="-5"/>
                <w:sz w:val="21"/>
                <w:szCs w:val="21"/>
              </w:rPr>
              <w:t>年生，上海华东政法学院刑事司法专业毕业，具有律师执业资格。</w:t>
            </w:r>
            <w:r>
              <w:rPr>
                <w:rFonts w:ascii="宋体" w:hAnsi="宋体" w:cs="宋体" w:eastAsia="宋体" w:hint="default"/>
                <w:spacing w:val="-5"/>
                <w:sz w:val="21"/>
                <w:szCs w:val="21"/>
              </w:rPr>
              <w:t>2000</w:t>
            </w:r>
            <w:r>
              <w:rPr>
                <w:rFonts w:ascii="宋体" w:hAnsi="宋体" w:cs="宋体" w:eastAsia="宋体" w:hint="default"/>
                <w:spacing w:val="3"/>
                <w:sz w:val="21"/>
                <w:szCs w:val="21"/>
              </w:rPr>
              <w:t> </w:t>
            </w:r>
            <w:r>
              <w:rPr>
                <w:rFonts w:ascii="宋体" w:hAnsi="宋体" w:cs="宋体" w:eastAsia="宋体" w:hint="default"/>
                <w:spacing w:val="-4"/>
                <w:sz w:val="21"/>
                <w:szCs w:val="21"/>
              </w:rPr>
              <w:t>年加入创元律师事务所，</w:t>
            </w:r>
            <w:r>
              <w:rPr>
                <w:rFonts w:ascii="宋体" w:hAnsi="宋体" w:cs="宋体" w:eastAsia="宋体" w:hint="default"/>
                <w:spacing w:val="-4"/>
                <w:sz w:val="21"/>
                <w:szCs w:val="21"/>
              </w:rPr>
              <w:t>2005</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年成为创元律师事务所合伙人，</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月担任创元律师事务所主任，</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月加入北京大成（福州）律师事务所，现任</w:t>
            </w:r>
            <w:r>
              <w:rPr>
                <w:rFonts w:ascii="宋体" w:hAnsi="宋体" w:cs="宋体" w:eastAsia="宋体" w:hint="default"/>
                <w:w w:val="100"/>
                <w:sz w:val="21"/>
                <w:szCs w:val="21"/>
              </w:rPr>
              <w:t> </w:t>
            </w:r>
            <w:r>
              <w:rPr>
                <w:rFonts w:ascii="宋体" w:hAnsi="宋体" w:cs="宋体" w:eastAsia="宋体" w:hint="default"/>
                <w:sz w:val="21"/>
                <w:szCs w:val="21"/>
              </w:rPr>
              <w:t>高级合伙人并担任事务所管理委员会执行委员，目前兼任新中冠智能科技股份有限公司独立董事。</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中国国籍，无境外永久居留权，</w:t>
            </w:r>
            <w:r>
              <w:rPr>
                <w:rFonts w:ascii="宋体" w:hAnsi="宋体" w:cs="宋体" w:eastAsia="宋体" w:hint="default"/>
                <w:spacing w:val="-2"/>
                <w:sz w:val="21"/>
                <w:szCs w:val="21"/>
              </w:rPr>
              <w:t>1964</w:t>
            </w:r>
            <w:r>
              <w:rPr>
                <w:rFonts w:ascii="宋体" w:hAnsi="宋体" w:cs="宋体" w:eastAsia="宋体" w:hint="default"/>
                <w:spacing w:val="104"/>
                <w:sz w:val="21"/>
                <w:szCs w:val="21"/>
              </w:rPr>
              <w:t> </w:t>
            </w:r>
            <w:r>
              <w:rPr>
                <w:rFonts w:ascii="宋体" w:hAnsi="宋体" w:cs="宋体" w:eastAsia="宋体" w:hint="default"/>
                <w:spacing w:val="-2"/>
                <w:sz w:val="21"/>
                <w:szCs w:val="21"/>
              </w:rPr>
              <w:t>年生，法国图卢兹大学毕业，博士学位，研究生学历，福州大学数学与计算机科学学院教授、博士</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生导师，福建省信息产业专家委员会委员，福建省计算机学会副理事长，福建省人工智能学会常务理事，福建省软件行业协会理事，主</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要从事计算智能与数据挖掘等领域的教学与科研工作，研究成果分别获得国家科技进步二等奖、福建省科学技术三等奖、二等奖。目前</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兼任福建星网锐捷通讯股份有限公司独立董事。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欧永</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中国国籍，无境外永久居留权，</w:t>
            </w:r>
            <w:r>
              <w:rPr>
                <w:rFonts w:ascii="宋体" w:hAnsi="宋体" w:cs="宋体" w:eastAsia="宋体" w:hint="default"/>
                <w:spacing w:val="-3"/>
                <w:sz w:val="21"/>
                <w:szCs w:val="21"/>
              </w:rPr>
              <w:t>1971 </w:t>
            </w:r>
            <w:r>
              <w:rPr>
                <w:rFonts w:ascii="宋体" w:hAnsi="宋体" w:cs="宋体" w:eastAsia="宋体" w:hint="default"/>
                <w:spacing w:val="-3"/>
                <w:sz w:val="21"/>
                <w:szCs w:val="21"/>
              </w:rPr>
              <w:t>年生，中专学历。曾担任公司业务经理</w:t>
            </w:r>
            <w:r>
              <w:rPr>
                <w:rFonts w:ascii="宋体" w:hAnsi="宋体" w:cs="宋体" w:eastAsia="宋体" w:hint="default"/>
                <w:spacing w:val="-3"/>
                <w:sz w:val="21"/>
                <w:szCs w:val="21"/>
              </w:rPr>
              <w:t>,</w:t>
            </w:r>
            <w:r>
              <w:rPr>
                <w:rFonts w:ascii="宋体" w:hAnsi="宋体" w:cs="宋体" w:eastAsia="宋体" w:hint="default"/>
                <w:spacing w:val="-3"/>
                <w:sz w:val="21"/>
                <w:szCs w:val="21"/>
              </w:rPr>
              <w:t>现任公司 </w:t>
            </w:r>
            <w:r>
              <w:rPr>
                <w:rFonts w:ascii="宋体" w:hAnsi="宋体" w:cs="宋体" w:eastAsia="宋体" w:hint="default"/>
                <w:sz w:val="21"/>
                <w:szCs w:val="21"/>
              </w:rPr>
              <w:t>BPM</w:t>
            </w:r>
            <w:r>
              <w:rPr>
                <w:rFonts w:ascii="宋体" w:hAnsi="宋体" w:cs="宋体" w:eastAsia="宋体" w:hint="default"/>
                <w:spacing w:val="-49"/>
                <w:sz w:val="21"/>
                <w:szCs w:val="21"/>
              </w:rPr>
              <w:t> </w:t>
            </w:r>
            <w:r>
              <w:rPr>
                <w:rFonts w:ascii="宋体" w:hAnsi="宋体" w:cs="宋体" w:eastAsia="宋体" w:hint="default"/>
                <w:spacing w:val="-3"/>
                <w:sz w:val="21"/>
                <w:szCs w:val="21"/>
              </w:rPr>
              <w:t>发展事业部总经理、监事会主席，主持公司证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券以外市场营销工作。</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郑元通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中国国籍，无境外永久居留权，</w:t>
            </w:r>
            <w:r>
              <w:rPr>
                <w:rFonts w:ascii="宋体" w:hAnsi="宋体" w:cs="宋体" w:eastAsia="宋体" w:hint="default"/>
                <w:spacing w:val="-1"/>
                <w:sz w:val="21"/>
                <w:szCs w:val="21"/>
              </w:rPr>
              <w:t>1975</w:t>
            </w:r>
            <w:r>
              <w:rPr>
                <w:rFonts w:ascii="宋体" w:hAnsi="宋体" w:cs="宋体" w:eastAsia="宋体" w:hint="default"/>
                <w:spacing w:val="88"/>
                <w:sz w:val="21"/>
                <w:szCs w:val="21"/>
              </w:rPr>
              <w:t> </w:t>
            </w:r>
            <w:r>
              <w:rPr>
                <w:rFonts w:ascii="宋体" w:hAnsi="宋体" w:cs="宋体" w:eastAsia="宋体" w:hint="default"/>
                <w:spacing w:val="-2"/>
                <w:sz w:val="21"/>
                <w:szCs w:val="21"/>
              </w:rPr>
              <w:t>年生，毕业于福州大学技术软件及应用专业。曾担任公司软件开发工程师、开发经理、证券事业部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技术总监。现任公司职工监事，同时担任公司金融证券事业部技术总监，负责证券行业的软件开发业务。</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萧锦峰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中国国籍</w:t>
            </w:r>
            <w:r>
              <w:rPr>
                <w:rFonts w:ascii="宋体" w:hAnsi="宋体" w:cs="宋体" w:eastAsia="宋体" w:hint="default"/>
                <w:sz w:val="21"/>
                <w:szCs w:val="21"/>
              </w:rPr>
              <w:t>,</w:t>
            </w:r>
            <w:r>
              <w:rPr>
                <w:rFonts w:ascii="宋体" w:hAnsi="宋体" w:cs="宋体" w:eastAsia="宋体" w:hint="default"/>
                <w:sz w:val="21"/>
                <w:szCs w:val="21"/>
              </w:rPr>
              <w:t>无境外永久居留权。</w:t>
            </w:r>
            <w:r>
              <w:rPr>
                <w:rFonts w:ascii="宋体" w:hAnsi="宋体" w:cs="宋体" w:eastAsia="宋体" w:hint="default"/>
                <w:sz w:val="21"/>
                <w:szCs w:val="21"/>
              </w:rPr>
              <w:t>1977</w:t>
            </w:r>
            <w:r>
              <w:rPr>
                <w:rFonts w:ascii="宋体" w:hAnsi="宋体" w:cs="宋体" w:eastAsia="宋体" w:hint="default"/>
                <w:spacing w:val="-31"/>
                <w:sz w:val="21"/>
                <w:szCs w:val="21"/>
              </w:rPr>
              <w:t> </w:t>
            </w:r>
            <w:r>
              <w:rPr>
                <w:rFonts w:ascii="宋体" w:hAnsi="宋体" w:cs="宋体" w:eastAsia="宋体" w:hint="default"/>
                <w:sz w:val="21"/>
                <w:szCs w:val="21"/>
              </w:rPr>
              <w:t>年生，福州大学管理学院研究生，硕士学位。</w:t>
            </w:r>
            <w:r>
              <w:rPr>
                <w:rFonts w:ascii="宋体" w:hAnsi="宋体" w:cs="宋体" w:eastAsia="宋体" w:hint="default"/>
                <w:sz w:val="21"/>
                <w:szCs w:val="21"/>
              </w:rPr>
              <w:t>2000</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7</w:t>
            </w:r>
            <w:r>
              <w:rPr>
                <w:rFonts w:ascii="宋体" w:hAnsi="宋体" w:cs="宋体" w:eastAsia="宋体" w:hint="default"/>
                <w:spacing w:val="-32"/>
                <w:sz w:val="21"/>
                <w:szCs w:val="21"/>
              </w:rPr>
              <w:t> </w:t>
            </w:r>
            <w:r>
              <w:rPr>
                <w:rFonts w:ascii="宋体" w:hAnsi="宋体" w:cs="宋体" w:eastAsia="宋体" w:hint="default"/>
                <w:sz w:val="21"/>
                <w:szCs w:val="21"/>
              </w:rPr>
              <w:t>月加入顶点软件公司，曾任上海顶点软件技</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术副总，现任福建顶点软件股份有限公司证券交付中心总经理。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董凤良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w:t>
            </w:r>
            <w:r>
              <w:rPr>
                <w:rFonts w:ascii="宋体" w:hAnsi="宋体" w:cs="宋体" w:eastAsia="宋体" w:hint="default"/>
                <w:sz w:val="21"/>
                <w:szCs w:val="21"/>
              </w:rPr>
              <w:t>,</w:t>
            </w:r>
            <w:r>
              <w:rPr>
                <w:rFonts w:ascii="宋体" w:hAnsi="宋体" w:cs="宋体" w:eastAsia="宋体" w:hint="default"/>
                <w:sz w:val="21"/>
                <w:szCs w:val="21"/>
              </w:rPr>
              <w:t>无境外永久居留权。</w:t>
            </w:r>
            <w:r>
              <w:rPr>
                <w:rFonts w:ascii="宋体" w:hAnsi="宋体" w:cs="宋体" w:eastAsia="宋体" w:hint="default"/>
                <w:sz w:val="21"/>
                <w:szCs w:val="21"/>
              </w:rPr>
              <w:t>1976</w:t>
            </w:r>
            <w:r>
              <w:rPr>
                <w:rFonts w:ascii="宋体" w:hAnsi="宋体" w:cs="宋体" w:eastAsia="宋体" w:hint="default"/>
                <w:spacing w:val="5"/>
                <w:sz w:val="21"/>
                <w:szCs w:val="21"/>
              </w:rPr>
              <w:t> </w:t>
            </w:r>
            <w:r>
              <w:rPr>
                <w:rFonts w:ascii="宋体" w:hAnsi="宋体" w:cs="宋体" w:eastAsia="宋体" w:hint="default"/>
                <w:spacing w:val="-3"/>
                <w:sz w:val="21"/>
                <w:szCs w:val="21"/>
              </w:rPr>
              <w:t>年生，毕业于武汉理工大学会计专业，专科，中国注册会计师，曾任国脉科技股份有限公司财务部总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经理等职，</w:t>
            </w:r>
            <w:r>
              <w:rPr>
                <w:rFonts w:ascii="宋体" w:hAnsi="宋体" w:cs="宋体" w:eastAsia="宋体" w:hint="default"/>
                <w:spacing w:val="-1"/>
                <w:sz w:val="21"/>
                <w:szCs w:val="21"/>
              </w:rPr>
              <w:t>2010 </w:t>
            </w:r>
            <w:r>
              <w:rPr>
                <w:rFonts w:ascii="宋体" w:hAnsi="宋体" w:cs="宋体" w:eastAsia="宋体" w:hint="default"/>
                <w:spacing w:val="-2"/>
                <w:sz w:val="21"/>
                <w:szCs w:val="21"/>
              </w:rPr>
              <w:t>年加入公司，历任公司财务部经理，现任公司财务总监。</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left="224" w:right="7897"/>
        <w:jc w:val="left"/>
      </w:pPr>
      <w:r>
        <w:rPr/>
        <w:t>其它情况说明</w:t>
      </w:r>
    </w:p>
    <w:p>
      <w:pPr>
        <w:pStyle w:val="BodyText"/>
        <w:spacing w:line="274" w:lineRule="exact"/>
        <w:ind w:left="224" w:right="7897"/>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90" w:lineRule="auto" w:before="30"/>
        <w:ind w:left="224" w:right="78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4" w:right="7897"/>
        <w:jc w:val="left"/>
      </w:pPr>
      <w:r>
        <w:rPr/>
        <w:t>□适用 √不适用</w:t>
      </w:r>
    </w:p>
    <w:p>
      <w:pPr>
        <w:pStyle w:val="Heading4"/>
        <w:spacing w:line="240" w:lineRule="auto" w:before="56"/>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78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65"/>
        <w:gridCol w:w="3613"/>
        <w:gridCol w:w="2792"/>
        <w:gridCol w:w="2348"/>
        <w:gridCol w:w="2348"/>
      </w:tblGrid>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4"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5"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证券执行总经理（</w:t>
            </w:r>
            <w:r>
              <w:rPr>
                <w:rFonts w:ascii="宋体" w:hAnsi="宋体" w:cs="宋体" w:eastAsia="宋体" w:hint="default"/>
                <w:sz w:val="21"/>
                <w:szCs w:val="21"/>
              </w:rPr>
              <w:t>ED</w:t>
            </w:r>
            <w:r>
              <w:rPr>
                <w:rFonts w:ascii="宋体" w:hAnsi="宋体" w:cs="宋体" w:eastAsia="宋体" w:hint="default"/>
                <w:sz w:val="21"/>
                <w:szCs w:val="21"/>
              </w:rPr>
              <w:t>）</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2000</w:t>
            </w:r>
          </w:p>
        </w:tc>
        <w:tc>
          <w:tcPr>
            <w:tcW w:w="23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福州大学数学与计算机科学学院</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1998.07</w:t>
            </w:r>
          </w:p>
        </w:tc>
        <w:tc>
          <w:tcPr>
            <w:tcW w:w="23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徐青</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福建江夏学院会计学院</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2004.06</w:t>
            </w:r>
          </w:p>
        </w:tc>
        <w:tc>
          <w:tcPr>
            <w:tcW w:w="23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齐伟</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北京大成</w:t>
            </w:r>
            <w:r>
              <w:rPr>
                <w:rFonts w:ascii="宋体" w:hAnsi="宋体" w:cs="宋体" w:eastAsia="宋体" w:hint="default"/>
                <w:sz w:val="21"/>
                <w:szCs w:val="21"/>
              </w:rPr>
              <w:t>(</w:t>
            </w:r>
            <w:r>
              <w:rPr>
                <w:rFonts w:ascii="宋体" w:hAnsi="宋体" w:cs="宋体" w:eastAsia="宋体" w:hint="default"/>
                <w:sz w:val="21"/>
                <w:szCs w:val="21"/>
              </w:rPr>
              <w:t>福州</w:t>
            </w:r>
            <w:r>
              <w:rPr>
                <w:rFonts w:ascii="宋体" w:hAnsi="宋体" w:cs="宋体" w:eastAsia="宋体" w:hint="default"/>
                <w:sz w:val="21"/>
                <w:szCs w:val="21"/>
              </w:rPr>
              <w:t>)</w:t>
            </w:r>
            <w:r>
              <w:rPr>
                <w:rFonts w:ascii="宋体" w:hAnsi="宋体" w:cs="宋体" w:eastAsia="宋体" w:hint="default"/>
                <w:sz w:val="21"/>
                <w:szCs w:val="21"/>
              </w:rPr>
              <w:t>律师事务所</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资本市场部高级合伙人</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2016.02</w:t>
            </w:r>
          </w:p>
        </w:tc>
        <w:tc>
          <w:tcPr>
            <w:tcW w:w="23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1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详见本报告“董事、监事和高级管理人员主要工作经历”</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left="224" w:right="7897"/>
        <w:jc w:val="left"/>
        <w:rPr>
          <w:b w:val="0"/>
          <w:bCs w:val="0"/>
        </w:rPr>
      </w:pPr>
      <w:r>
        <w:rPr/>
        <w:t>三、董事、监事、高级管理人员报酬情况</w:t>
      </w:r>
      <w:r>
        <w:rPr>
          <w:b w:val="0"/>
          <w:bCs w:val="0"/>
        </w:rPr>
      </w:r>
    </w:p>
    <w:p>
      <w:pPr>
        <w:pStyle w:val="BodyText"/>
        <w:spacing w:line="240" w:lineRule="auto" w:before="57"/>
        <w:ind w:left="224" w:right="7897"/>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公司股东大会负责审议董事、监事的薪酬，公司董事会负责审议公司高级管理人员的薪酬，独立董事应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当对公司董事、高级管理人员的薪酬发表独立意见。</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在公司经营管理岗位任职的董事，按照在公司任职的职务与岗位责任确定薪酬标准；在公司经营管理岗</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位任职的监事，按照在公司任职的职务与岗位责任确定薪酬标准；独立董事实行津贴制度，津贴按月发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放；公司高级管理人员的薪酬由基本薪酬和绩效薪酬组成。</w:t>
            </w:r>
          </w:p>
        </w:tc>
      </w:tr>
      <w:tr>
        <w:trPr>
          <w:trHeight w:val="826"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报告期内，公司董事、监事和高级管理人员的薪酬均按规定获得，详见“现任及报告期内离任董事、监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事和高级管理人员持股变动及报酬情况”。</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报告期末，公司董事、监事和高级管理人员从公司实际获得的报酬合计 </w:t>
            </w:r>
            <w:r>
              <w:rPr>
                <w:rFonts w:ascii="宋体" w:hAnsi="宋体" w:cs="宋体" w:eastAsia="宋体" w:hint="default"/>
                <w:sz w:val="21"/>
                <w:szCs w:val="21"/>
              </w:rPr>
              <w:t>411.47</w:t>
            </w:r>
            <w:r>
              <w:rPr>
                <w:rFonts w:ascii="宋体" w:hAnsi="宋体" w:cs="宋体" w:eastAsia="宋体" w:hint="default"/>
                <w:spacing w:val="-32"/>
                <w:sz w:val="21"/>
                <w:szCs w:val="21"/>
              </w:rPr>
              <w:t> </w:t>
            </w:r>
            <w:r>
              <w:rPr>
                <w:rFonts w:ascii="宋体" w:hAnsi="宋体" w:cs="宋体" w:eastAsia="宋体" w:hint="default"/>
                <w:spacing w:val="-3"/>
                <w:sz w:val="21"/>
                <w:szCs w:val="21"/>
              </w:rPr>
              <w:t>万元，详见“现任及报告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期内离任董事、监事和高级管理人员持股变动及报酬情况”。</w:t>
            </w:r>
          </w:p>
        </w:tc>
      </w:tr>
    </w:tbl>
    <w:p>
      <w:pPr>
        <w:spacing w:line="240" w:lineRule="auto" w:before="12"/>
        <w:rPr>
          <w:rFonts w:ascii="宋体" w:hAnsi="宋体" w:cs="宋体" w:eastAsia="宋体" w:hint="default"/>
          <w:sz w:val="19"/>
          <w:szCs w:val="19"/>
        </w:rPr>
      </w:pPr>
    </w:p>
    <w:p>
      <w:pPr>
        <w:pStyle w:val="Heading4"/>
        <w:spacing w:line="240" w:lineRule="auto" w:before="36"/>
        <w:ind w:left="224" w:right="7897"/>
        <w:jc w:val="left"/>
        <w:rPr>
          <w:b w:val="0"/>
          <w:bCs w:val="0"/>
        </w:rPr>
      </w:pPr>
      <w:r>
        <w:rPr/>
        <w:t>四、公司董事、监事、高级管理人员变动情况</w:t>
      </w:r>
      <w:r>
        <w:rPr>
          <w:b w:val="0"/>
          <w:bCs w:val="0"/>
        </w:rPr>
      </w:r>
    </w:p>
    <w:p>
      <w:pPr>
        <w:spacing w:line="290" w:lineRule="auto" w:before="59"/>
        <w:ind w:left="224" w:right="85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五、近三年受证券监管机构处罚的情况说明</w:t>
      </w:r>
      <w:r>
        <w:rPr>
          <w:rFonts w:ascii="宋体" w:hAnsi="宋体" w:cs="宋体" w:eastAsia="宋体" w:hint="default"/>
          <w:spacing w:val="-1"/>
          <w:sz w:val="21"/>
          <w:szCs w:val="21"/>
        </w:rPr>
      </w:r>
    </w:p>
    <w:p>
      <w:pPr>
        <w:pStyle w:val="BodyText"/>
        <w:spacing w:line="240" w:lineRule="auto" w:before="14"/>
        <w:ind w:left="224" w:right="7897"/>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ind w:right="227"/>
        <w:jc w:val="left"/>
        <w:rPr>
          <w:b w:val="0"/>
          <w:bCs w:val="0"/>
        </w:rPr>
      </w:pPr>
      <w:r>
        <w:rPr/>
        <w:t>六、母公司和主要子公司的员工情况</w:t>
      </w:r>
      <w:r>
        <w:rPr>
          <w:b w:val="0"/>
          <w:bCs w:val="0"/>
        </w:rPr>
      </w:r>
    </w:p>
    <w:p>
      <w:pPr>
        <w:pStyle w:val="Heading4"/>
        <w:spacing w:line="240" w:lineRule="auto" w:before="56"/>
        <w:ind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441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992</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992</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专科以下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992</w:t>
            </w:r>
          </w:p>
        </w:tc>
      </w:tr>
    </w:tbl>
    <w:p>
      <w:pPr>
        <w:spacing w:line="240" w:lineRule="auto" w:before="2"/>
        <w:rPr>
          <w:rFonts w:ascii="宋体" w:hAnsi="宋体" w:cs="宋体" w:eastAsia="宋体" w:hint="default"/>
          <w:b/>
          <w:bCs/>
          <w:sz w:val="20"/>
          <w:szCs w:val="20"/>
        </w:rPr>
      </w:pPr>
    </w:p>
    <w:p>
      <w:pPr>
        <w:pStyle w:val="Heading4"/>
        <w:spacing w:line="240" w:lineRule="auto" w:before="36"/>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37" w:lineRule="auto" w:before="32"/>
        <w:ind w:right="227"/>
        <w:jc w:val="left"/>
      </w:pPr>
      <w:r>
        <w:rPr>
          <w:spacing w:val="-1"/>
        </w:rPr>
        <w:t>√适用</w:t>
        <w:tab/>
      </w:r>
      <w:r>
        <w:rPr>
          <w:spacing w:val="-2"/>
        </w:rPr>
        <w:t>□不适用</w:t>
      </w:r>
      <w:r>
        <w:rPr>
          <w:spacing w:val="-99"/>
        </w:rPr>
        <w:t> </w:t>
      </w:r>
      <w:r>
        <w:rPr>
          <w:spacing w:val="-99"/>
        </w:rPr>
      </w:r>
      <w:r>
        <w:rPr>
          <w:spacing w:val="-2"/>
        </w:rPr>
        <w:t>公司严格按照《中华人民共和国劳动法》等相关法律法规，与公司员工签订《劳动合同》，并向</w:t>
      </w:r>
      <w:r>
        <w:rPr>
          <w:spacing w:val="-25"/>
        </w:rPr>
        <w:t> </w:t>
      </w:r>
      <w:r>
        <w:rPr>
          <w:spacing w:val="-25"/>
        </w:rPr>
      </w:r>
      <w:r>
        <w:rPr>
          <w:spacing w:val="-3"/>
        </w:rPr>
        <w:t>员工提供在行业内具有竞争力的薪酬，充分发挥和调动员工的积极性、创造性。</w:t>
      </w:r>
      <w:r>
        <w:rPr>
          <w:spacing w:val="27"/>
        </w:rPr>
        <w:t> </w:t>
      </w:r>
      <w:r>
        <w:rPr>
          <w:spacing w:val="-5"/>
        </w:rPr>
        <w:t>同时，公司按照</w:t>
      </w:r>
      <w:r>
        <w:rPr>
          <w:spacing w:val="-93"/>
        </w:rPr>
        <w:t> </w:t>
      </w:r>
      <w:r>
        <w:rPr>
          <w:spacing w:val="-93"/>
        </w:rPr>
      </w:r>
      <w:r>
        <w:rPr>
          <w:spacing w:val="-2"/>
        </w:rPr>
        <w:t>国家法律法规的有关规定，为员工缴纳养老保险、医疗保险、失业保险、工伤保险和生育保险以</w:t>
      </w:r>
      <w:r>
        <w:rPr>
          <w:spacing w:val="-25"/>
        </w:rPr>
        <w:t> </w:t>
      </w:r>
      <w:r>
        <w:rPr>
          <w:spacing w:val="-25"/>
        </w:rPr>
      </w:r>
      <w:r>
        <w:rPr/>
        <w:t>及住房公积金。</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37" w:lineRule="auto" w:before="32"/>
        <w:ind w:right="292"/>
        <w:jc w:val="left"/>
      </w:pPr>
      <w:r>
        <w:rPr>
          <w:spacing w:val="-1"/>
        </w:rPr>
        <w:t>√适用</w:t>
        <w:tab/>
      </w:r>
      <w:r>
        <w:rPr>
          <w:spacing w:val="-2"/>
        </w:rPr>
        <w:t>□不适用</w:t>
      </w:r>
      <w:r>
        <w:rPr>
          <w:spacing w:val="-99"/>
        </w:rPr>
        <w:t> </w:t>
      </w:r>
      <w:r>
        <w:rPr>
          <w:spacing w:val="-99"/>
        </w:rPr>
      </w:r>
      <w:r>
        <w:rPr>
          <w:spacing w:val="-2"/>
        </w:rPr>
        <w:t>公司对新进员工到岗进行基础技能培训；根据工作需要组织员工参与岗位所需的相关职业技能培</w:t>
      </w:r>
      <w:r>
        <w:rPr>
          <w:spacing w:val="-25"/>
        </w:rPr>
        <w:t> </w:t>
      </w:r>
      <w:r>
        <w:rPr>
          <w:spacing w:val="-25"/>
        </w:rPr>
      </w:r>
      <w:r>
        <w:rPr/>
        <w:t>训和知识更新培训。</w:t>
      </w:r>
    </w:p>
    <w:p>
      <w:pPr>
        <w:spacing w:line="240" w:lineRule="auto" w:before="4"/>
        <w:rPr>
          <w:rFonts w:ascii="宋体" w:hAnsi="宋体" w:cs="宋体" w:eastAsia="宋体" w:hint="default"/>
          <w:sz w:val="25"/>
          <w:szCs w:val="25"/>
        </w:rPr>
      </w:pPr>
    </w:p>
    <w:p>
      <w:pPr>
        <w:pStyle w:val="Heading4"/>
        <w:spacing w:line="240" w:lineRule="auto"/>
        <w:ind w:right="22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1060" w:val="left" w:leader="none"/>
        </w:tabs>
        <w:spacing w:line="240" w:lineRule="auto" w:before="14"/>
        <w:ind w:right="22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ind w:right="227"/>
        <w:jc w:val="left"/>
        <w:rPr>
          <w:b w:val="0"/>
          <w:bCs w:val="0"/>
        </w:rPr>
      </w:pPr>
      <w:r>
        <w:rPr/>
        <w:t>一、公司治理相关情况说明</w:t>
      </w:r>
      <w:r>
        <w:rPr>
          <w:b w:val="0"/>
          <w:bCs w:val="0"/>
        </w:rPr>
      </w:r>
    </w:p>
    <w:p>
      <w:pPr>
        <w:pStyle w:val="BodyText"/>
        <w:tabs>
          <w:tab w:pos="1060" w:val="left" w:leader="none"/>
        </w:tabs>
        <w:spacing w:line="237" w:lineRule="auto" w:before="61"/>
        <w:ind w:right="292"/>
        <w:jc w:val="left"/>
      </w:pPr>
      <w:r>
        <w:rPr>
          <w:spacing w:val="-1"/>
        </w:rPr>
        <w:t>√适用</w:t>
        <w:tab/>
      </w:r>
      <w:r>
        <w:rPr>
          <w:spacing w:val="-2"/>
        </w:rPr>
        <w:t>□不适用</w:t>
      </w:r>
      <w:r>
        <w:rPr>
          <w:spacing w:val="-99"/>
        </w:rPr>
        <w:t> </w:t>
      </w:r>
      <w:r>
        <w:rPr>
          <w:spacing w:val="-99"/>
        </w:rPr>
      </w:r>
      <w:r>
        <w:rPr>
          <w:spacing w:val="-2"/>
        </w:rPr>
        <w:t>报告期内，公司严格按照《公司法》、《证券法》、《上市公司治理准则》和《上海证券交易所</w:t>
      </w:r>
      <w:r>
        <w:rPr>
          <w:spacing w:val="-25"/>
        </w:rPr>
        <w:t> </w:t>
      </w:r>
      <w:r>
        <w:rPr>
          <w:spacing w:val="-25"/>
        </w:rPr>
      </w:r>
      <w:r>
        <w:rPr>
          <w:spacing w:val="-2"/>
        </w:rPr>
        <w:t>股票上市规则》等有关法律法规以及证券监管部门的相关要求，确定了股东大会、董事会监事会</w:t>
      </w:r>
    </w:p>
    <w:p>
      <w:pPr>
        <w:spacing w:after="0" w:line="237" w:lineRule="auto"/>
        <w:jc w:val="left"/>
        <w:sectPr>
          <w:headerReference w:type="default" r:id="rId24"/>
          <w:footerReference w:type="default" r:id="rId25"/>
          <w:pgSz w:w="11910" w:h="16840"/>
          <w:pgMar w:header="877" w:footer="1195" w:top="1100" w:bottom="1380" w:left="1580" w:right="1040"/>
          <w:pgNumType w:start="55"/>
        </w:sectPr>
      </w:pPr>
    </w:p>
    <w:p>
      <w:pPr>
        <w:spacing w:line="240" w:lineRule="auto" w:before="9"/>
        <w:rPr>
          <w:rFonts w:ascii="宋体" w:hAnsi="宋体" w:cs="宋体" w:eastAsia="宋体" w:hint="default"/>
          <w:sz w:val="25"/>
          <w:szCs w:val="25"/>
        </w:rPr>
      </w:pPr>
    </w:p>
    <w:p>
      <w:pPr>
        <w:pStyle w:val="BodyText"/>
        <w:spacing w:line="237" w:lineRule="auto" w:before="38"/>
        <w:ind w:right="237"/>
        <w:jc w:val="both"/>
      </w:pPr>
      <w:r>
        <w:rPr>
          <w:spacing w:val="-2"/>
        </w:rPr>
        <w:t>及管理层的分层治理结构，不断完善公司法人治理结构，进一步规范公司运作提高治理水平。报</w:t>
      </w:r>
      <w:r>
        <w:rPr>
          <w:spacing w:val="-25"/>
        </w:rPr>
        <w:t> </w:t>
      </w:r>
      <w:r>
        <w:rPr>
          <w:spacing w:val="-25"/>
        </w:rPr>
      </w:r>
      <w:r>
        <w:rPr>
          <w:spacing w:val="-2"/>
        </w:rPr>
        <w:t>告期内，为进一步提高公司规范治理及科学决策水平，公司重点修订了《公司章程》、《公司内</w:t>
      </w:r>
      <w:r>
        <w:rPr>
          <w:spacing w:val="-25"/>
        </w:rPr>
        <w:t> </w:t>
      </w:r>
      <w:r>
        <w:rPr>
          <w:spacing w:val="-25"/>
        </w:rPr>
      </w:r>
      <w:r>
        <w:rPr>
          <w:spacing w:val="-2"/>
        </w:rPr>
        <w:t>部控制制度》、《公司内部控制评价制度》、《募集资金管理制度》，制定了《公司董事、监事</w:t>
      </w:r>
      <w:r>
        <w:rPr>
          <w:spacing w:val="-26"/>
        </w:rPr>
        <w:t> </w:t>
      </w:r>
      <w:r>
        <w:rPr>
          <w:spacing w:val="-26"/>
        </w:rPr>
      </w:r>
      <w:r>
        <w:rPr/>
        <w:t>和高级管理人员持有和买卖本公司股票管理制度》。</w:t>
      </w:r>
    </w:p>
    <w:p>
      <w:pPr>
        <w:pStyle w:val="BodyText"/>
        <w:spacing w:line="274" w:lineRule="exact" w:before="22"/>
        <w:ind w:left="429" w:right="227" w:hanging="212"/>
        <w:jc w:val="left"/>
      </w:pPr>
      <w:r>
        <w:rPr/>
        <w:t>（一）关于股东和股东大会</w:t>
      </w:r>
      <w:r>
        <w:rPr>
          <w:w w:val="100"/>
        </w:rPr>
        <w:t> </w:t>
      </w:r>
      <w:r>
        <w:rPr>
          <w:spacing w:val="-2"/>
        </w:rPr>
        <w:t>股东大会是公司的最高权力机构，决定公司经营方针和投资计划，审批董事会、监事会的工作</w:t>
      </w:r>
    </w:p>
    <w:p>
      <w:pPr>
        <w:pStyle w:val="BodyText"/>
        <w:spacing w:line="245" w:lineRule="exact"/>
        <w:ind w:right="99"/>
        <w:jc w:val="left"/>
      </w:pPr>
      <w:r>
        <w:rPr/>
        <w:t>报告，批准公司的年度财务预算方案、决算方案等，公司依照《公司法》、《公司章程》以及公</w:t>
      </w:r>
    </w:p>
    <w:p>
      <w:pPr>
        <w:pStyle w:val="BodyText"/>
        <w:spacing w:line="237" w:lineRule="auto" w:before="2"/>
        <w:ind w:right="228"/>
        <w:jc w:val="both"/>
      </w:pPr>
      <w:r>
        <w:rPr>
          <w:spacing w:val="-7"/>
        </w:rPr>
        <w:t>司制定的《股东大会议事规则》等规定，充分保障所有股东，尤其是中小股东的平等权利，同时，</w:t>
      </w:r>
      <w:r>
        <w:rPr>
          <w:spacing w:val="-13"/>
        </w:rPr>
        <w:t> </w:t>
      </w:r>
      <w:r>
        <w:rPr>
          <w:spacing w:val="-13"/>
        </w:rPr>
      </w:r>
      <w:r>
        <w:rPr>
          <w:spacing w:val="-2"/>
        </w:rPr>
        <w:t>公司聘请专业律师见证股东大会，确保股东大会的召集召开及表决程序程序符合法律有关规定，</w:t>
      </w:r>
      <w:r>
        <w:rPr>
          <w:spacing w:val="-25"/>
        </w:rPr>
        <w:t> </w:t>
      </w:r>
      <w:r>
        <w:rPr>
          <w:spacing w:val="-25"/>
        </w:rPr>
      </w:r>
      <w:r>
        <w:rPr>
          <w:spacing w:val="-3"/>
        </w:rPr>
        <w:t>保障所有股东能够切实行使各自的合法权利。报告期内，公司共召开</w:t>
      </w:r>
      <w:r>
        <w:rPr>
          <w:spacing w:val="-33"/>
        </w:rPr>
        <w:t> </w:t>
      </w:r>
      <w:r>
        <w:rPr>
          <w:rFonts w:ascii="宋体" w:hAnsi="宋体" w:cs="宋体" w:eastAsia="宋体" w:hint="default"/>
        </w:rPr>
        <w:t>4</w:t>
      </w:r>
      <w:r>
        <w:rPr>
          <w:rFonts w:ascii="宋体" w:hAnsi="宋体" w:cs="宋体" w:eastAsia="宋体" w:hint="default"/>
          <w:spacing w:val="-33"/>
        </w:rPr>
        <w:t> </w:t>
      </w:r>
      <w:r>
        <w:rPr>
          <w:spacing w:val="-3"/>
        </w:rPr>
        <w:t>次股东大会，审议通过</w:t>
      </w:r>
      <w:r>
        <w:rPr>
          <w:spacing w:val="-33"/>
        </w:rPr>
        <w:t> </w:t>
      </w:r>
      <w:r>
        <w:rPr>
          <w:rFonts w:ascii="宋体" w:hAnsi="宋体" w:cs="宋体" w:eastAsia="宋体" w:hint="default"/>
        </w:rPr>
        <w:t>12</w:t>
      </w:r>
      <w:r>
        <w:rPr>
          <w:rFonts w:ascii="宋体" w:hAnsi="宋体" w:cs="宋体" w:eastAsia="宋体" w:hint="default"/>
          <w:spacing w:val="-97"/>
        </w:rPr>
        <w:t> </w:t>
      </w:r>
      <w:r>
        <w:rPr/>
        <w:t>项议案。</w:t>
      </w:r>
    </w:p>
    <w:p>
      <w:pPr>
        <w:pStyle w:val="BodyText"/>
        <w:spacing w:line="237" w:lineRule="auto" w:before="1"/>
        <w:ind w:right="227"/>
        <w:jc w:val="left"/>
      </w:pPr>
      <w:r>
        <w:rPr/>
        <w:t>（二）控股股东与上市公司</w:t>
      </w:r>
      <w:r>
        <w:rPr>
          <w:w w:val="100"/>
        </w:rPr>
        <w:t> </w:t>
      </w:r>
      <w:r>
        <w:rPr>
          <w:spacing w:val="-2"/>
        </w:rPr>
        <w:t>公司控股股东严格规范自己的行为，依法通过股东大会行使出资人的权利，没有超越股东大会直</w:t>
      </w:r>
      <w:r>
        <w:rPr>
          <w:spacing w:val="-25"/>
        </w:rPr>
        <w:t> </w:t>
      </w:r>
      <w:r>
        <w:rPr>
          <w:spacing w:val="-25"/>
        </w:rPr>
      </w:r>
      <w:r>
        <w:rPr>
          <w:spacing w:val="-2"/>
        </w:rPr>
        <w:t>接或间接干预公司的决策和经营活动，控股股东在业务、人员、资产、机构、财务等方面独立于</w:t>
      </w:r>
      <w:r>
        <w:rPr>
          <w:spacing w:val="-25"/>
        </w:rPr>
        <w:t> </w:t>
      </w:r>
      <w:r>
        <w:rPr>
          <w:spacing w:val="-25"/>
        </w:rPr>
      </w:r>
      <w:r>
        <w:rPr/>
        <w:t>公司。</w:t>
      </w:r>
    </w:p>
    <w:p>
      <w:pPr>
        <w:pStyle w:val="BodyText"/>
        <w:spacing w:line="272" w:lineRule="exact" w:before="26"/>
        <w:ind w:left="429" w:right="224" w:hanging="212"/>
        <w:jc w:val="left"/>
      </w:pPr>
      <w:r>
        <w:rPr/>
        <w:t>（三）董事与董事会</w:t>
      </w:r>
      <w:r>
        <w:rPr>
          <w:w w:val="100"/>
        </w:rPr>
        <w:t> </w:t>
      </w:r>
      <w:r>
        <w:rPr>
          <w:spacing w:val="-3"/>
        </w:rPr>
        <w:t>公司严格按照《公司法》、《公司章程》规定的选聘程序选举董事；公司董事会由 </w:t>
      </w:r>
      <w:r>
        <w:rPr>
          <w:rFonts w:ascii="宋体" w:hAnsi="宋体" w:cs="宋体" w:eastAsia="宋体" w:hint="default"/>
        </w:rPr>
        <w:t>8</w:t>
      </w:r>
      <w:r>
        <w:rPr>
          <w:rFonts w:ascii="宋体" w:hAnsi="宋体" w:cs="宋体" w:eastAsia="宋体" w:hint="default"/>
          <w:spacing w:val="9"/>
        </w:rPr>
        <w:t> </w:t>
      </w:r>
      <w:r>
        <w:rPr/>
        <w:t>名董事组</w:t>
      </w:r>
    </w:p>
    <w:p>
      <w:pPr>
        <w:pStyle w:val="BodyText"/>
        <w:spacing w:line="272" w:lineRule="exact" w:before="1"/>
        <w:ind w:right="228"/>
        <w:jc w:val="both"/>
      </w:pPr>
      <w:r>
        <w:rPr>
          <w:spacing w:val="-8"/>
        </w:rPr>
        <w:t>成，其中独立董事</w:t>
      </w:r>
      <w:r>
        <w:rPr>
          <w:spacing w:val="28"/>
        </w:rPr>
        <w:t> </w:t>
      </w:r>
      <w:r>
        <w:rPr>
          <w:rFonts w:ascii="宋体" w:hAnsi="宋体" w:cs="宋体" w:eastAsia="宋体" w:hint="default"/>
        </w:rPr>
        <w:t>3</w:t>
      </w:r>
      <w:r>
        <w:rPr>
          <w:rFonts w:ascii="宋体" w:hAnsi="宋体" w:cs="宋体" w:eastAsia="宋体" w:hint="default"/>
          <w:spacing w:val="25"/>
        </w:rPr>
        <w:t> </w:t>
      </w:r>
      <w:r>
        <w:rPr>
          <w:spacing w:val="-9"/>
        </w:rPr>
        <w:t>名，人数和人员构成符合法律、法规要求。报告期内，各位董事均能按照《公</w:t>
      </w:r>
      <w:r>
        <w:rPr>
          <w:spacing w:val="-100"/>
        </w:rPr>
        <w:t> </w:t>
      </w:r>
      <w:r>
        <w:rPr>
          <w:spacing w:val="-100"/>
        </w:rPr>
      </w:r>
      <w:r>
        <w:rPr>
          <w:spacing w:val="-2"/>
        </w:rPr>
        <w:t>司章程》、《董事会议事规则》的规定，认真履行职责，持续关注公司的经营情况，依法行使职</w:t>
      </w:r>
      <w:r>
        <w:rPr>
          <w:spacing w:val="-25"/>
        </w:rPr>
        <w:t> </w:t>
      </w:r>
      <w:r>
        <w:rPr>
          <w:spacing w:val="-25"/>
        </w:rPr>
      </w:r>
      <w:r>
        <w:rPr>
          <w:spacing w:val="-6"/>
          <w:w w:val="100"/>
        </w:rPr>
        <w:t>权，以认真负责的态度出席公司董事会和股东大会，并能够严格执行和落实股东大会的各项决议；</w:t>
      </w:r>
    </w:p>
    <w:p>
      <w:pPr>
        <w:pStyle w:val="BodyText"/>
        <w:spacing w:line="272" w:lineRule="exact" w:before="1"/>
        <w:ind w:right="227"/>
        <w:jc w:val="left"/>
      </w:pPr>
      <w:r>
        <w:rPr>
          <w:spacing w:val="-7"/>
        </w:rPr>
        <w:t>公司董事会的召集、召开、议事程序符合《公司章程》、《董事会议事规则》的规定。董事诚信、</w:t>
      </w:r>
      <w:r>
        <w:rPr>
          <w:spacing w:val="-17"/>
        </w:rPr>
        <w:t> </w:t>
      </w:r>
      <w:r>
        <w:rPr>
          <w:spacing w:val="-17"/>
        </w:rPr>
      </w:r>
      <w:r>
        <w:rPr>
          <w:spacing w:val="-2"/>
        </w:rPr>
        <w:t>勤勉地履行职责，确保了董事会运作的规范性，切实维护了公司全体股东的利益。报告期内，公</w:t>
      </w:r>
    </w:p>
    <w:p>
      <w:pPr>
        <w:pStyle w:val="BodyText"/>
        <w:spacing w:line="247" w:lineRule="exact"/>
        <w:ind w:right="227"/>
        <w:jc w:val="left"/>
      </w:pPr>
      <w:r>
        <w:rPr/>
        <w:t>司共召开</w:t>
      </w:r>
      <w:r>
        <w:rPr>
          <w:spacing w:val="-53"/>
        </w:rPr>
        <w:t> </w:t>
      </w:r>
      <w:r>
        <w:rPr>
          <w:rFonts w:ascii="宋体" w:hAnsi="宋体" w:cs="宋体" w:eastAsia="宋体" w:hint="default"/>
        </w:rPr>
        <w:t>9</w:t>
      </w:r>
      <w:r>
        <w:rPr>
          <w:rFonts w:ascii="宋体" w:hAnsi="宋体" w:cs="宋体" w:eastAsia="宋体" w:hint="default"/>
          <w:spacing w:val="-55"/>
        </w:rPr>
        <w:t> </w:t>
      </w:r>
      <w:r>
        <w:rPr/>
        <w:t>次董事会，审议通过</w:t>
      </w:r>
      <w:r>
        <w:rPr>
          <w:spacing w:val="-52"/>
        </w:rPr>
        <w:t> </w:t>
      </w:r>
      <w:r>
        <w:rPr>
          <w:rFonts w:ascii="宋体" w:hAnsi="宋体" w:cs="宋体" w:eastAsia="宋体" w:hint="default"/>
        </w:rPr>
        <w:t>34</w:t>
      </w:r>
      <w:r>
        <w:rPr>
          <w:rFonts w:ascii="宋体" w:hAnsi="宋体" w:cs="宋体" w:eastAsia="宋体" w:hint="default"/>
          <w:spacing w:val="-55"/>
        </w:rPr>
        <w:t> </w:t>
      </w:r>
      <w:r>
        <w:rPr/>
        <w:t>项议案。</w:t>
      </w:r>
    </w:p>
    <w:p>
      <w:pPr>
        <w:pStyle w:val="BodyText"/>
        <w:spacing w:line="240" w:lineRule="auto"/>
        <w:ind w:right="224"/>
        <w:jc w:val="left"/>
      </w:pPr>
      <w:r>
        <w:rPr/>
        <w:t>（四）监事与监事会</w:t>
      </w:r>
      <w:r>
        <w:rPr>
          <w:w w:val="100"/>
        </w:rPr>
        <w:t> </w:t>
      </w:r>
      <w:r>
        <w:rPr>
          <w:spacing w:val="-10"/>
          <w:w w:val="100"/>
        </w:rPr>
        <w:t>公司严格按照《公司法》、《公司章程》规定的选聘程序选举监事，公司监事会由</w:t>
      </w:r>
      <w:r>
        <w:rPr>
          <w:w w:val="100"/>
        </w:rPr>
        <w:t> </w:t>
      </w:r>
      <w:r>
        <w:rPr>
          <w:rFonts w:ascii="宋体" w:hAnsi="宋体" w:cs="宋体" w:eastAsia="宋体" w:hint="default"/>
          <w:w w:val="100"/>
        </w:rPr>
        <w:t>3</w:t>
      </w:r>
      <w:r>
        <w:rPr>
          <w:rFonts w:ascii="宋体" w:hAnsi="宋体" w:cs="宋体" w:eastAsia="宋体" w:hint="default"/>
          <w:spacing w:val="3"/>
          <w:w w:val="100"/>
        </w:rPr>
        <w:t> </w:t>
      </w:r>
      <w:r>
        <w:rPr>
          <w:spacing w:val="-1"/>
          <w:w w:val="100"/>
        </w:rPr>
        <w:t>名监事组成，</w:t>
      </w:r>
    </w:p>
    <w:p>
      <w:pPr>
        <w:pStyle w:val="BodyText"/>
        <w:spacing w:line="237" w:lineRule="auto"/>
        <w:ind w:right="237"/>
        <w:jc w:val="both"/>
      </w:pPr>
      <w:r>
        <w:rPr/>
        <w:t>其中</w:t>
      </w:r>
      <w:r>
        <w:rPr>
          <w:spacing w:val="-54"/>
        </w:rPr>
        <w:t> </w:t>
      </w:r>
      <w:r>
        <w:rPr>
          <w:rFonts w:ascii="宋体" w:hAnsi="宋体" w:cs="宋体" w:eastAsia="宋体" w:hint="default"/>
        </w:rPr>
        <w:t>1</w:t>
      </w:r>
      <w:r>
        <w:rPr>
          <w:rFonts w:ascii="宋体" w:hAnsi="宋体" w:cs="宋体" w:eastAsia="宋体" w:hint="default"/>
          <w:spacing w:val="-56"/>
        </w:rPr>
        <w:t> </w:t>
      </w:r>
      <w:r>
        <w:rPr/>
        <w:t>名为职工代表监事公司监事的人数和人员构成符合法律、法规的要求，公司监事会严格按</w:t>
      </w:r>
      <w:r>
        <w:rPr>
          <w:w w:val="100"/>
        </w:rPr>
        <w:t> </w:t>
      </w:r>
      <w:r>
        <w:rPr>
          <w:spacing w:val="-2"/>
        </w:rPr>
        <w:t>照《公司章程》、《监事会议事规则》的规定，对财务以及公司董事、经理其他高级管人员履行</w:t>
      </w:r>
      <w:r>
        <w:rPr>
          <w:spacing w:val="-26"/>
        </w:rPr>
        <w:t> </w:t>
      </w:r>
      <w:r>
        <w:rPr>
          <w:spacing w:val="-26"/>
        </w:rPr>
      </w:r>
      <w:r>
        <w:rPr>
          <w:spacing w:val="-2"/>
        </w:rPr>
        <w:t>职责的合法合规性进行监督，本着从股东利益出发的原则，认真审议各项议案，维护公司及股东</w:t>
      </w:r>
      <w:r>
        <w:rPr>
          <w:spacing w:val="-25"/>
        </w:rPr>
        <w:t> </w:t>
      </w:r>
      <w:r>
        <w:rPr>
          <w:spacing w:val="-25"/>
        </w:rPr>
      </w:r>
      <w:r>
        <w:rPr/>
        <w:t>的合法权益。报告期内，公司共召开</w:t>
      </w:r>
      <w:r>
        <w:rPr>
          <w:spacing w:val="-55"/>
        </w:rPr>
        <w:t> </w:t>
      </w:r>
      <w:r>
        <w:rPr>
          <w:rFonts w:ascii="宋体" w:hAnsi="宋体" w:cs="宋体" w:eastAsia="宋体" w:hint="default"/>
        </w:rPr>
        <w:t>7</w:t>
      </w:r>
      <w:r>
        <w:rPr>
          <w:rFonts w:ascii="宋体" w:hAnsi="宋体" w:cs="宋体" w:eastAsia="宋体" w:hint="default"/>
          <w:spacing w:val="-55"/>
        </w:rPr>
        <w:t> </w:t>
      </w:r>
      <w:r>
        <w:rPr/>
        <w:t>次监事会，审议通过</w:t>
      </w:r>
      <w:r>
        <w:rPr>
          <w:spacing w:val="-55"/>
        </w:rPr>
        <w:t> </w:t>
      </w:r>
      <w:r>
        <w:rPr>
          <w:rFonts w:ascii="宋体" w:hAnsi="宋体" w:cs="宋体" w:eastAsia="宋体" w:hint="default"/>
        </w:rPr>
        <w:t>20</w:t>
      </w:r>
      <w:r>
        <w:rPr>
          <w:rFonts w:ascii="宋体" w:hAnsi="宋体" w:cs="宋体" w:eastAsia="宋体" w:hint="default"/>
          <w:spacing w:val="-55"/>
        </w:rPr>
        <w:t> </w:t>
      </w:r>
      <w:r>
        <w:rPr/>
        <w:t>项议案。</w:t>
      </w:r>
    </w:p>
    <w:p>
      <w:pPr>
        <w:pStyle w:val="BodyText"/>
        <w:spacing w:line="237" w:lineRule="auto"/>
        <w:ind w:right="227"/>
        <w:jc w:val="left"/>
      </w:pPr>
      <w:r>
        <w:rPr/>
        <w:t>（五）信息披露与透明度</w:t>
      </w:r>
      <w:r>
        <w:rPr>
          <w:w w:val="100"/>
        </w:rPr>
        <w:t> </w:t>
      </w:r>
      <w:r>
        <w:rPr>
          <w:spacing w:val="-2"/>
        </w:rPr>
        <w:t>公司严格按照国家有关法律、法规、规章、上海证券交易所业务规则以及公司《信息披露事务管</w:t>
      </w:r>
      <w:r>
        <w:rPr>
          <w:spacing w:val="-25"/>
        </w:rPr>
        <w:t> </w:t>
      </w:r>
      <w:r>
        <w:rPr>
          <w:spacing w:val="-25"/>
        </w:rPr>
      </w:r>
      <w:r>
        <w:rPr>
          <w:spacing w:val="-2"/>
        </w:rPr>
        <w:t>理制度》的规定，真实、准确、完整、及时的履行信息披露义务，做好信息披露前的保密工作的</w:t>
      </w:r>
      <w:r>
        <w:rPr>
          <w:spacing w:val="-25"/>
        </w:rPr>
        <w:t> </w:t>
      </w:r>
      <w:r>
        <w:rPr>
          <w:spacing w:val="-25"/>
        </w:rPr>
      </w:r>
      <w:r>
        <w:rPr>
          <w:spacing w:val="-2"/>
        </w:rPr>
        <w:t>同时按规定填报相关内幕信息知情人，保证公司信息披露的公开、公平、公正，确保所有股东有</w:t>
      </w:r>
      <w:r>
        <w:rPr>
          <w:spacing w:val="-25"/>
        </w:rPr>
        <w:t> </w:t>
      </w:r>
      <w:r>
        <w:rPr>
          <w:spacing w:val="-25"/>
        </w:rPr>
      </w:r>
      <w:r>
        <w:rPr/>
        <w:t>平等的机会获得信息。</w:t>
      </w:r>
    </w:p>
    <w:p>
      <w:pPr>
        <w:pStyle w:val="BodyText"/>
        <w:spacing w:line="237" w:lineRule="auto" w:before="1"/>
        <w:ind w:right="227"/>
        <w:jc w:val="left"/>
      </w:pPr>
      <w:r>
        <w:rPr/>
        <w:t>（六）投资者关系及相关利益者</w:t>
      </w:r>
      <w:r>
        <w:rPr>
          <w:w w:val="100"/>
        </w:rPr>
        <w:t> </w:t>
      </w:r>
      <w:r>
        <w:rPr>
          <w:spacing w:val="-2"/>
        </w:rPr>
        <w:t>公司持续加强投资者关系管理工作，认真做好投资者来电、来访的接待，及时回复互动平台的问</w:t>
      </w:r>
      <w:r>
        <w:rPr>
          <w:spacing w:val="-26"/>
        </w:rPr>
        <w:t> </w:t>
      </w:r>
      <w:r>
        <w:rPr>
          <w:spacing w:val="-26"/>
        </w:rPr>
      </w:r>
      <w:r>
        <w:rPr>
          <w:spacing w:val="-2"/>
        </w:rPr>
        <w:t>题。通过电话、实地及互动平台与投资者保持顺利沟通。公司为中小投资者参与股东大会提供便</w:t>
      </w:r>
      <w:r>
        <w:rPr>
          <w:spacing w:val="-26"/>
        </w:rPr>
        <w:t> </w:t>
      </w:r>
      <w:r>
        <w:rPr>
          <w:spacing w:val="-26"/>
        </w:rPr>
      </w:r>
      <w:r>
        <w:rPr>
          <w:spacing w:val="-7"/>
        </w:rPr>
        <w:t>利，充分尊重和维护相关利益者的合法权利。公司真实、准确、完整、及时公平的进行信息披露，</w:t>
      </w:r>
      <w:r>
        <w:rPr>
          <w:spacing w:val="-13"/>
        </w:rPr>
        <w:t> </w:t>
      </w:r>
      <w:r>
        <w:rPr>
          <w:spacing w:val="-13"/>
        </w:rPr>
      </w:r>
      <w:r>
        <w:rPr/>
        <w:t>让所有投资者公平获取公司信息。</w:t>
      </w:r>
    </w:p>
    <w:p>
      <w:pPr>
        <w:pStyle w:val="BodyText"/>
        <w:spacing w:line="270" w:lineRule="exact"/>
        <w:ind w:right="227"/>
        <w:jc w:val="left"/>
      </w:pPr>
      <w:r>
        <w:rPr/>
        <w:t>（七）同业竞争和关联交易</w:t>
      </w:r>
    </w:p>
    <w:p>
      <w:pPr>
        <w:pStyle w:val="BodyText"/>
        <w:spacing w:line="240" w:lineRule="auto"/>
        <w:ind w:right="227"/>
        <w:jc w:val="left"/>
      </w:pPr>
      <w:r>
        <w:rPr>
          <w:spacing w:val="-3"/>
        </w:rPr>
        <w:t>报告期内，公司与控股股东不存在同业竞争。</w:t>
      </w:r>
      <w:r>
        <w:rPr>
          <w:spacing w:val="34"/>
        </w:rPr>
        <w:t> </w:t>
      </w:r>
      <w:r>
        <w:rPr>
          <w:spacing w:val="-4"/>
        </w:rPr>
        <w:t>公司的关联交易严格遵守《公司章程》和《关联交</w:t>
      </w:r>
      <w:r>
        <w:rPr>
          <w:spacing w:val="-92"/>
        </w:rPr>
        <w:t> </w:t>
      </w:r>
      <w:r>
        <w:rPr>
          <w:spacing w:val="-92"/>
        </w:rPr>
      </w:r>
      <w:r>
        <w:rPr/>
        <w:t>易管理制度》的规定，履行相关程序，并及时进行披露。</w:t>
      </w:r>
    </w:p>
    <w:p>
      <w:pPr>
        <w:spacing w:line="240" w:lineRule="auto" w:before="8"/>
        <w:rPr>
          <w:rFonts w:ascii="宋体" w:hAnsi="宋体" w:cs="宋体" w:eastAsia="宋体" w:hint="default"/>
          <w:sz w:val="20"/>
          <w:szCs w:val="20"/>
        </w:rPr>
      </w:pPr>
    </w:p>
    <w:p>
      <w:pPr>
        <w:pStyle w:val="BodyText"/>
        <w:spacing w:line="273" w:lineRule="exact"/>
        <w:ind w:right="227"/>
        <w:jc w:val="left"/>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623627pt;width:453.2pt;height:42.4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4"/>
                    <w:gridCol w:w="1841"/>
                    <w:gridCol w:w="2240"/>
                    <w:gridCol w:w="2165"/>
                  </w:tblGrid>
                  <w:tr>
                    <w:trPr>
                      <w:trHeight w:val="55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
                          <w:jc w:val="center"/>
                          <w:rPr>
                            <w:rFonts w:ascii="宋体" w:hAnsi="宋体" w:cs="宋体" w:eastAsia="宋体" w:hint="default"/>
                            <w:sz w:val="21"/>
                            <w:szCs w:val="21"/>
                          </w:rPr>
                        </w:pPr>
                        <w:r>
                          <w:rPr>
                            <w:rFonts w:ascii="Calibri" w:hAnsi="Calibri" w:cs="Calibri" w:eastAsia="Calibri" w:hint="default"/>
                            <w:sz w:val="21"/>
                            <w:szCs w:val="21"/>
                          </w:rPr>
                          <w:t>2018 </w:t>
                        </w:r>
                        <w:r>
                          <w:rPr>
                            <w:rFonts w:ascii="宋体" w:hAnsi="宋体" w:cs="宋体" w:eastAsia="宋体" w:hint="default"/>
                            <w:sz w:val="21"/>
                            <w:szCs w:val="21"/>
                          </w:rPr>
                          <w:t>年第一次临时股东大会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上海证券交易所网站</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after="0" w:line="528" w:lineRule="auto"/>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804"/>
        <w:gridCol w:w="1841"/>
        <w:gridCol w:w="2240"/>
        <w:gridCol w:w="2165"/>
      </w:tblGrid>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w:t>
            </w:r>
            <w:hyperlink r:id="rId9">
              <w:r>
                <w:rPr>
                  <w:rFonts w:ascii="宋体" w:hAnsi="宋体" w:cs="宋体" w:eastAsia="宋体" w:hint="default"/>
                  <w:spacing w:val="-10"/>
                  <w:sz w:val="21"/>
                  <w:szCs w:val="21"/>
                </w:rPr>
                <w:t>www.sse.com.cn</w:t>
              </w:r>
            </w:hyperlink>
            <w:r>
              <w:rPr>
                <w:rFonts w:ascii="宋体" w:hAnsi="宋体" w:cs="宋体" w:eastAsia="宋体" w:hint="default"/>
                <w:spacing w:val="-10"/>
                <w:sz w:val="21"/>
                <w:szCs w:val="21"/>
              </w:rPr>
              <w:t>）公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告编号：</w:t>
            </w:r>
            <w:r>
              <w:rPr>
                <w:rFonts w:ascii="宋体" w:hAnsi="宋体" w:cs="宋体" w:eastAsia="宋体" w:hint="default"/>
                <w:sz w:val="21"/>
                <w:szCs w:val="21"/>
              </w:rPr>
              <w:t>2018-020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上海证券交易所网站</w:t>
            </w:r>
          </w:p>
          <w:p>
            <w:pPr>
              <w:pStyle w:val="TableParagraph"/>
              <w:spacing w:line="240" w:lineRule="auto"/>
              <w:ind w:left="103" w:right="175"/>
              <w:jc w:val="left"/>
              <w:rPr>
                <w:rFonts w:ascii="宋体" w:hAnsi="宋体" w:cs="宋体" w:eastAsia="宋体" w:hint="default"/>
                <w:sz w:val="21"/>
                <w:szCs w:val="21"/>
              </w:rPr>
            </w:pPr>
            <w:r>
              <w:rPr>
                <w:rFonts w:ascii="宋体" w:hAnsi="宋体" w:cs="宋体" w:eastAsia="宋体" w:hint="default"/>
                <w:spacing w:val="-10"/>
                <w:sz w:val="21"/>
                <w:szCs w:val="21"/>
              </w:rPr>
              <w:t>（</w:t>
            </w:r>
            <w:hyperlink r:id="rId9">
              <w:r>
                <w:rPr>
                  <w:rFonts w:ascii="宋体" w:hAnsi="宋体" w:cs="宋体" w:eastAsia="宋体" w:hint="default"/>
                  <w:spacing w:val="-10"/>
                  <w:sz w:val="21"/>
                  <w:szCs w:val="21"/>
                </w:rPr>
                <w:t>www.sse.com.cn</w:t>
              </w:r>
            </w:hyperlink>
            <w:r>
              <w:rPr>
                <w:rFonts w:ascii="宋体" w:hAnsi="宋体" w:cs="宋体" w:eastAsia="宋体" w:hint="default"/>
                <w:spacing w:val="-10"/>
                <w:sz w:val="21"/>
                <w:szCs w:val="21"/>
              </w:rPr>
              <w:t>）公</w:t>
            </w:r>
            <w:r>
              <w:rPr>
                <w:rFonts w:ascii="宋体" w:hAnsi="宋体" w:cs="宋体" w:eastAsia="宋体" w:hint="default"/>
                <w:spacing w:val="-89"/>
                <w:sz w:val="21"/>
                <w:szCs w:val="21"/>
              </w:rPr>
              <w:t> </w:t>
            </w:r>
            <w:r>
              <w:rPr>
                <w:rFonts w:ascii="宋体" w:hAnsi="宋体" w:cs="宋体" w:eastAsia="宋体" w:hint="default"/>
                <w:sz w:val="21"/>
                <w:szCs w:val="21"/>
              </w:rPr>
              <w:t>告编号：</w:t>
            </w:r>
            <w:r>
              <w:rPr>
                <w:rFonts w:ascii="宋体" w:hAnsi="宋体" w:cs="宋体" w:eastAsia="宋体" w:hint="default"/>
                <w:sz w:val="21"/>
                <w:szCs w:val="21"/>
              </w:rPr>
              <w:t>2018-036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年第二次临时股东大会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上海证券交易所网站</w:t>
            </w:r>
          </w:p>
          <w:p>
            <w:pPr>
              <w:pStyle w:val="TableParagraph"/>
              <w:spacing w:line="272" w:lineRule="exact" w:before="27"/>
              <w:ind w:left="103" w:right="175"/>
              <w:jc w:val="left"/>
              <w:rPr>
                <w:rFonts w:ascii="宋体" w:hAnsi="宋体" w:cs="宋体" w:eastAsia="宋体" w:hint="default"/>
                <w:sz w:val="21"/>
                <w:szCs w:val="21"/>
              </w:rPr>
            </w:pPr>
            <w:r>
              <w:rPr>
                <w:rFonts w:ascii="宋体" w:hAnsi="宋体" w:cs="宋体" w:eastAsia="宋体" w:hint="default"/>
                <w:spacing w:val="-10"/>
                <w:sz w:val="21"/>
                <w:szCs w:val="21"/>
              </w:rPr>
              <w:t>（</w:t>
            </w:r>
            <w:hyperlink r:id="rId9">
              <w:r>
                <w:rPr>
                  <w:rFonts w:ascii="宋体" w:hAnsi="宋体" w:cs="宋体" w:eastAsia="宋体" w:hint="default"/>
                  <w:spacing w:val="-10"/>
                  <w:sz w:val="21"/>
                  <w:szCs w:val="21"/>
                </w:rPr>
                <w:t>www.sse.com.cn</w:t>
              </w:r>
            </w:hyperlink>
            <w:r>
              <w:rPr>
                <w:rFonts w:ascii="宋体" w:hAnsi="宋体" w:cs="宋体" w:eastAsia="宋体" w:hint="default"/>
                <w:spacing w:val="-10"/>
                <w:sz w:val="21"/>
                <w:szCs w:val="21"/>
              </w:rPr>
              <w:t>）公</w:t>
            </w:r>
            <w:r>
              <w:rPr>
                <w:rFonts w:ascii="宋体" w:hAnsi="宋体" w:cs="宋体" w:eastAsia="宋体" w:hint="default"/>
                <w:spacing w:val="-89"/>
                <w:sz w:val="21"/>
                <w:szCs w:val="21"/>
              </w:rPr>
              <w:t> </w:t>
            </w:r>
            <w:r>
              <w:rPr>
                <w:rFonts w:ascii="宋体" w:hAnsi="宋体" w:cs="宋体" w:eastAsia="宋体" w:hint="default"/>
                <w:sz w:val="21"/>
                <w:szCs w:val="21"/>
              </w:rPr>
              <w:t>告编号：</w:t>
            </w:r>
            <w:r>
              <w:rPr>
                <w:rFonts w:ascii="宋体" w:hAnsi="宋体" w:cs="宋体" w:eastAsia="宋体" w:hint="default"/>
                <w:sz w:val="21"/>
                <w:szCs w:val="21"/>
              </w:rPr>
              <w:t>2018-051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6"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年第三次临时股东大会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上海证券交易所网站</w:t>
            </w:r>
          </w:p>
          <w:p>
            <w:pPr>
              <w:pStyle w:val="TableParagraph"/>
              <w:spacing w:line="240" w:lineRule="auto"/>
              <w:ind w:left="103" w:right="175"/>
              <w:jc w:val="left"/>
              <w:rPr>
                <w:rFonts w:ascii="宋体" w:hAnsi="宋体" w:cs="宋体" w:eastAsia="宋体" w:hint="default"/>
                <w:sz w:val="21"/>
                <w:szCs w:val="21"/>
              </w:rPr>
            </w:pPr>
            <w:r>
              <w:rPr>
                <w:rFonts w:ascii="宋体" w:hAnsi="宋体" w:cs="宋体" w:eastAsia="宋体" w:hint="default"/>
                <w:spacing w:val="-10"/>
                <w:sz w:val="21"/>
                <w:szCs w:val="21"/>
              </w:rPr>
              <w:t>（</w:t>
            </w:r>
            <w:hyperlink r:id="rId9">
              <w:r>
                <w:rPr>
                  <w:rFonts w:ascii="宋体" w:hAnsi="宋体" w:cs="宋体" w:eastAsia="宋体" w:hint="default"/>
                  <w:spacing w:val="-10"/>
                  <w:sz w:val="21"/>
                  <w:szCs w:val="21"/>
                </w:rPr>
                <w:t>www.sse.com.cn</w:t>
              </w:r>
            </w:hyperlink>
            <w:r>
              <w:rPr>
                <w:rFonts w:ascii="宋体" w:hAnsi="宋体" w:cs="宋体" w:eastAsia="宋体" w:hint="default"/>
                <w:spacing w:val="-10"/>
                <w:sz w:val="21"/>
                <w:szCs w:val="21"/>
              </w:rPr>
              <w:t>）公</w:t>
            </w:r>
            <w:r>
              <w:rPr>
                <w:rFonts w:ascii="宋体" w:hAnsi="宋体" w:cs="宋体" w:eastAsia="宋体" w:hint="default"/>
                <w:spacing w:val="-89"/>
                <w:sz w:val="21"/>
                <w:szCs w:val="21"/>
              </w:rPr>
              <w:t> </w:t>
            </w:r>
            <w:r>
              <w:rPr>
                <w:rFonts w:ascii="宋体" w:hAnsi="宋体" w:cs="宋体" w:eastAsia="宋体" w:hint="default"/>
                <w:sz w:val="21"/>
                <w:szCs w:val="21"/>
              </w:rPr>
              <w:t>告编号：</w:t>
            </w:r>
            <w:r>
              <w:rPr>
                <w:rFonts w:ascii="宋体" w:hAnsi="宋体" w:cs="宋体" w:eastAsia="宋体" w:hint="default"/>
                <w:sz w:val="21"/>
                <w:szCs w:val="21"/>
              </w:rPr>
              <w:t>2018-078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8"/>
        <w:rPr>
          <w:rFonts w:ascii="宋体" w:hAnsi="宋体" w:cs="宋体" w:eastAsia="宋体" w:hint="default"/>
          <w:b/>
          <w:bCs/>
          <w:sz w:val="15"/>
          <w:szCs w:val="15"/>
        </w:rPr>
      </w:pPr>
    </w:p>
    <w:p>
      <w:pPr>
        <w:pStyle w:val="BodyText"/>
        <w:spacing w:line="273" w:lineRule="exact" w:before="36"/>
        <w:ind w:right="227"/>
        <w:jc w:val="left"/>
      </w:pPr>
      <w:r>
        <w:rPr/>
        <w:t>股东大会情况说明</w:t>
      </w:r>
    </w:p>
    <w:p>
      <w:pPr>
        <w:pStyle w:val="BodyText"/>
        <w:spacing w:line="273" w:lineRule="exact"/>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t>三、董事履行职责情况</w:t>
      </w:r>
      <w:r>
        <w:rPr>
          <w:b w:val="0"/>
          <w:bCs w:val="0"/>
        </w:rPr>
      </w:r>
    </w:p>
    <w:p>
      <w:pPr>
        <w:pStyle w:val="Heading4"/>
        <w:spacing w:line="240" w:lineRule="auto" w:before="58"/>
        <w:ind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黄义青</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徐青</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b/>
          <w:bCs/>
          <w:sz w:val="15"/>
          <w:szCs w:val="15"/>
        </w:rPr>
      </w:pPr>
    </w:p>
    <w:p>
      <w:pPr>
        <w:pStyle w:val="BodyText"/>
        <w:spacing w:line="273" w:lineRule="exact" w:before="36"/>
        <w:ind w:right="227"/>
        <w:jc w:val="left"/>
      </w:pPr>
      <w:r>
        <w:rPr/>
        <w:t>连续两次未亲自出席董事会会议的说明</w:t>
      </w:r>
    </w:p>
    <w:p>
      <w:pPr>
        <w:pStyle w:val="BodyText"/>
        <w:spacing w:line="273" w:lineRule="exact"/>
        <w:ind w:right="227"/>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r>
    </w:tbl>
    <w:p>
      <w:pPr>
        <w:spacing w:line="240" w:lineRule="auto" w:before="12"/>
        <w:rPr>
          <w:rFonts w:ascii="宋体" w:hAnsi="宋体" w:cs="宋体" w:eastAsia="宋体" w:hint="default"/>
          <w:sz w:val="19"/>
          <w:szCs w:val="19"/>
        </w:rPr>
      </w:pPr>
    </w:p>
    <w:p>
      <w:pPr>
        <w:pStyle w:val="Heading4"/>
        <w:spacing w:line="240" w:lineRule="auto" w:before="36"/>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32"/>
        <w:ind w:right="227"/>
        <w:jc w:val="left"/>
      </w:pPr>
      <w:r>
        <w:rPr>
          <w:spacing w:val="-1"/>
        </w:rPr>
        <w:t>□适用</w:t>
        <w:tab/>
      </w:r>
      <w:r>
        <w:rPr>
          <w:spacing w:val="-2"/>
        </w:rPr>
        <w:t>√不适用</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4"/>
        <w:spacing w:line="240" w:lineRule="auto" w:before="36"/>
        <w:ind w:left="562" w:right="10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80" w:val="left" w:leader="none"/>
        </w:tabs>
        <w:spacing w:line="240" w:lineRule="auto" w:before="56"/>
        <w:ind w:left="138" w:right="25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2597"/>
        <w:jc w:val="left"/>
        <w:rPr>
          <w:b w:val="0"/>
          <w:bCs w:val="0"/>
        </w:rPr>
      </w:pPr>
      <w:r>
        <w:rPr/>
        <w:t>五、监事会发现公司存在风险的说明</w:t>
      </w:r>
      <w:r>
        <w:rPr>
          <w:b w:val="0"/>
          <w:bCs w:val="0"/>
        </w:rPr>
      </w:r>
    </w:p>
    <w:p>
      <w:pPr>
        <w:pStyle w:val="BodyText"/>
        <w:spacing w:line="240" w:lineRule="auto" w:before="58"/>
        <w:ind w:left="138" w:right="2597"/>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4"/>
        <w:spacing w:line="272" w:lineRule="exact"/>
        <w:ind w:left="562" w:right="10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34"/>
        <w:ind w:left="138" w:right="2597"/>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BodyText"/>
        <w:spacing w:line="273" w:lineRule="exact"/>
        <w:ind w:left="138" w:right="2597"/>
        <w:jc w:val="left"/>
      </w:pPr>
      <w:r>
        <w:rPr/>
        <w:t>存在同业竞争的，公司相应的解决措施、工作进度及后续工作计划</w:t>
      </w:r>
    </w:p>
    <w:p>
      <w:pPr>
        <w:pStyle w:val="BodyText"/>
        <w:tabs>
          <w:tab w:pos="980" w:val="left" w:leader="none"/>
        </w:tabs>
        <w:spacing w:line="273" w:lineRule="exact"/>
        <w:ind w:left="138" w:right="25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100"/>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72" w:lineRule="exact" w:before="86"/>
        <w:ind w:left="558" w:right="217" w:hanging="420"/>
        <w:jc w:val="left"/>
      </w:pPr>
      <w:r>
        <w:rPr>
          <w:spacing w:val="-1"/>
        </w:rPr>
        <w:t>√适用</w:t>
        <w:tab/>
      </w:r>
      <w:r>
        <w:rPr>
          <w:spacing w:val="-2"/>
        </w:rPr>
        <w:t>□不适用</w:t>
      </w:r>
      <w:r>
        <w:rPr>
          <w:spacing w:val="-99"/>
        </w:rPr>
        <w:t> </w:t>
      </w:r>
      <w:r>
        <w:rPr>
          <w:spacing w:val="-99"/>
        </w:rPr>
      </w:r>
      <w:r>
        <w:rPr>
          <w:spacing w:val="-2"/>
        </w:rPr>
        <w:t>根据公司业务发展情况和行业状况，经公司管理层探讨后制定考核目标，提交董事会审议后</w:t>
      </w:r>
    </w:p>
    <w:p>
      <w:pPr>
        <w:pStyle w:val="BodyText"/>
        <w:spacing w:line="249" w:lineRule="exact"/>
        <w:ind w:left="138" w:right="2597"/>
        <w:jc w:val="left"/>
      </w:pPr>
      <w:r>
        <w:rPr/>
        <w:t>执行。</w:t>
      </w:r>
    </w:p>
    <w:p>
      <w:pPr>
        <w:spacing w:line="240" w:lineRule="auto" w:before="0"/>
        <w:rPr>
          <w:rFonts w:ascii="宋体" w:hAnsi="宋体" w:cs="宋体" w:eastAsia="宋体" w:hint="default"/>
          <w:sz w:val="25"/>
          <w:szCs w:val="25"/>
        </w:rPr>
      </w:pPr>
    </w:p>
    <w:p>
      <w:pPr>
        <w:pStyle w:val="Heading4"/>
        <w:spacing w:line="240" w:lineRule="auto"/>
        <w:ind w:left="138" w:right="2597"/>
        <w:jc w:val="left"/>
        <w:rPr>
          <w:b w:val="0"/>
          <w:bCs w:val="0"/>
        </w:rPr>
      </w:pPr>
      <w:r>
        <w:rPr/>
        <w:t>八、是否披露内部控制自我评价报告</w:t>
      </w:r>
      <w:r>
        <w:rPr>
          <w:b w:val="0"/>
          <w:bCs w:val="0"/>
        </w:rPr>
      </w:r>
    </w:p>
    <w:p>
      <w:pPr>
        <w:pStyle w:val="BodyText"/>
        <w:spacing w:line="273" w:lineRule="exact" w:before="58"/>
        <w:ind w:left="138" w:right="2597"/>
        <w:jc w:val="left"/>
      </w:pPr>
      <w:r>
        <w:rPr/>
        <w:t>√适用</w:t>
      </w:r>
      <w:r>
        <w:rPr>
          <w:spacing w:val="-1"/>
        </w:rPr>
        <w:t> </w:t>
      </w:r>
      <w:r>
        <w:rPr/>
        <w:t>□不适用</w:t>
      </w:r>
    </w:p>
    <w:p>
      <w:pPr>
        <w:pStyle w:val="BodyText"/>
        <w:spacing w:line="240" w:lineRule="auto"/>
        <w:ind w:left="138" w:right="480"/>
        <w:jc w:val="left"/>
      </w:pPr>
      <w:r>
        <w:rPr/>
        <w:t>公司编制并披露了《</w:t>
      </w:r>
      <w:r>
        <w:rPr>
          <w:rFonts w:ascii="宋体" w:hAnsi="宋体" w:cs="宋体" w:eastAsia="宋体" w:hint="default"/>
        </w:rPr>
        <w:t>2018</w:t>
      </w:r>
      <w:r>
        <w:rPr>
          <w:rFonts w:ascii="宋体" w:hAnsi="宋体" w:cs="宋体" w:eastAsia="宋体" w:hint="default"/>
          <w:spacing w:val="-3"/>
        </w:rPr>
        <w:t> </w:t>
      </w:r>
      <w:r>
        <w:rPr/>
        <w:t>年内部控制自我评价报告》，详见</w:t>
      </w:r>
      <w:r>
        <w:rPr>
          <w:spacing w:val="1"/>
        </w:rPr>
        <w:t> </w:t>
      </w:r>
      <w:r>
        <w:rPr>
          <w:rFonts w:ascii="宋体" w:hAnsi="宋体" w:cs="宋体" w:eastAsia="宋体" w:hint="default"/>
        </w:rPr>
        <w:t>2019</w:t>
      </w:r>
      <w:r>
        <w:rPr>
          <w:rFonts w:ascii="宋体" w:hAnsi="宋体" w:cs="宋体" w:eastAsia="宋体" w:hint="default"/>
          <w:spacing w:val="-1"/>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3"/>
        </w:rPr>
        <w:t> </w:t>
      </w:r>
      <w:r>
        <w:rPr/>
        <w:t>日上海证券交易</w:t>
      </w:r>
      <w:r>
        <w:rPr>
          <w:w w:val="100"/>
        </w:rPr>
        <w:t> </w:t>
      </w:r>
      <w:r>
        <w:rPr/>
        <w:t>所网站（</w:t>
      </w:r>
      <w:hyperlink r:id="rId9">
        <w:r>
          <w:rPr>
            <w:rFonts w:ascii="宋体" w:hAnsi="宋体" w:cs="宋体" w:eastAsia="宋体" w:hint="default"/>
          </w:rPr>
          <w:t>www.sse.com.cn</w:t>
        </w:r>
      </w:hyperlink>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left="138" w:right="2597"/>
        <w:jc w:val="left"/>
      </w:pPr>
      <w:r>
        <w:rPr/>
        <w:t>报告期内部控制存在重大缺陷情况的说明</w:t>
      </w:r>
    </w:p>
    <w:p>
      <w:pPr>
        <w:pStyle w:val="BodyText"/>
        <w:spacing w:line="274" w:lineRule="exact"/>
        <w:ind w:left="138" w:right="25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2597"/>
        <w:jc w:val="left"/>
        <w:rPr>
          <w:b w:val="0"/>
          <w:bCs w:val="0"/>
        </w:rPr>
      </w:pPr>
      <w:r>
        <w:rPr/>
        <w:t>九、内部控制审计报告的相关情况说明</w:t>
      </w:r>
      <w:r>
        <w:rPr>
          <w:b w:val="0"/>
          <w:bCs w:val="0"/>
        </w:rPr>
      </w:r>
    </w:p>
    <w:p>
      <w:pPr>
        <w:pStyle w:val="BodyText"/>
        <w:tabs>
          <w:tab w:pos="980" w:val="left" w:leader="none"/>
        </w:tabs>
        <w:spacing w:line="274" w:lineRule="exact" w:before="56"/>
        <w:ind w:left="138" w:right="2597"/>
        <w:jc w:val="left"/>
      </w:pPr>
      <w:r>
        <w:rPr>
          <w:spacing w:val="-1"/>
        </w:rPr>
        <w:t>√适用</w:t>
        <w:tab/>
      </w:r>
      <w:r>
        <w:rPr>
          <w:spacing w:val="-2"/>
        </w:rPr>
        <w:t>□不适用</w:t>
      </w:r>
    </w:p>
    <w:p>
      <w:pPr>
        <w:pStyle w:val="BodyText"/>
        <w:spacing w:line="272" w:lineRule="exact"/>
        <w:ind w:left="138" w:right="100"/>
        <w:jc w:val="left"/>
      </w:pPr>
      <w:r>
        <w:rPr/>
        <w:t>公司披露了《</w:t>
      </w:r>
      <w:r>
        <w:rPr>
          <w:rFonts w:ascii="宋体" w:hAnsi="宋体" w:cs="宋体" w:eastAsia="宋体" w:hint="default"/>
        </w:rPr>
        <w:t>2018</w:t>
      </w:r>
      <w:r>
        <w:rPr>
          <w:rFonts w:ascii="宋体" w:hAnsi="宋体" w:cs="宋体" w:eastAsia="宋体" w:hint="default"/>
          <w:spacing w:val="-4"/>
        </w:rPr>
        <w:t> </w:t>
      </w:r>
      <w:r>
        <w:rPr/>
        <w:t>年内部控制审计报告》，详见</w:t>
      </w:r>
      <w:r>
        <w:rPr>
          <w:spacing w:val="-1"/>
        </w:rPr>
        <w:t> </w:t>
      </w:r>
      <w:r>
        <w:rPr>
          <w:rFonts w:ascii="宋体" w:hAnsi="宋体" w:cs="宋体" w:eastAsia="宋体" w:hint="default"/>
        </w:rPr>
        <w:t>2019</w:t>
      </w:r>
      <w:r>
        <w:rPr>
          <w:rFonts w:ascii="宋体" w:hAnsi="宋体" w:cs="宋体" w:eastAsia="宋体" w:hint="default"/>
          <w:spacing w:val="-2"/>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w:t>
      </w:r>
      <w:r>
        <w:rPr>
          <w:rFonts w:ascii="宋体" w:hAnsi="宋体" w:cs="宋体" w:eastAsia="宋体" w:hint="default"/>
          <w:spacing w:val="-54"/>
        </w:rPr>
        <w:t> </w:t>
      </w:r>
      <w:r>
        <w:rPr/>
        <w:t>日上海证券交易所网站</w:t>
      </w:r>
    </w:p>
    <w:p>
      <w:pPr>
        <w:pStyle w:val="BodyText"/>
        <w:spacing w:line="240" w:lineRule="auto"/>
        <w:ind w:left="138" w:right="4056"/>
        <w:jc w:val="left"/>
      </w:pPr>
      <w:r>
        <w:rPr/>
        <w:t>（</w:t>
      </w:r>
      <w:hyperlink r:id="rId9">
        <w:r>
          <w:rPr>
            <w:rFonts w:ascii="宋体" w:hAnsi="宋体" w:cs="宋体" w:eastAsia="宋体" w:hint="default"/>
          </w:rPr>
          <w:t>www.sse.com.cn</w:t>
        </w:r>
      </w:hyperlink>
      <w:r>
        <w:rPr/>
        <w:t>）。</w:t>
      </w:r>
      <w:r>
        <w:rPr>
          <w:spacing w:val="-3"/>
          <w:w w:val="100"/>
        </w:rPr>
        <w:t> </w:t>
      </w:r>
      <w:r>
        <w:rPr>
          <w:spacing w:val="-2"/>
        </w:rPr>
        <w:t>是否披露内部控制审计报告：是</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100" w:bottom="1380" w:left="1660" w:right="1060"/>
        </w:sectPr>
      </w:pPr>
    </w:p>
    <w:p>
      <w:pPr>
        <w:pStyle w:val="Heading4"/>
        <w:spacing w:line="240" w:lineRule="auto" w:before="36"/>
        <w:ind w:left="138" w:right="-12"/>
        <w:jc w:val="left"/>
        <w:rPr>
          <w:b w:val="0"/>
          <w:bCs w:val="0"/>
        </w:rPr>
      </w:pPr>
      <w:r>
        <w:rPr/>
        <w:t>十、其他</w:t>
      </w:r>
      <w:r>
        <w:rPr>
          <w:b w:val="0"/>
          <w:bCs w:val="0"/>
        </w:rPr>
      </w:r>
    </w:p>
    <w:p>
      <w:pPr>
        <w:pStyle w:val="BodyText"/>
        <w:tabs>
          <w:tab w:pos="980" w:val="left" w:leader="none"/>
        </w:tabs>
        <w:spacing w:line="240" w:lineRule="auto" w:before="56"/>
        <w:ind w:left="138" w:right="-12"/>
        <w:jc w:val="left"/>
      </w:pPr>
      <w:r>
        <w:rPr>
          <w:spacing w:val="-1"/>
        </w:rPr>
        <w:t>□适用</w:t>
        <w:tab/>
      </w:r>
      <w:r>
        <w:rPr>
          <w:spacing w:val="-2"/>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398" w:val="left" w:leader="none"/>
        </w:tabs>
        <w:spacing w:line="240" w:lineRule="auto"/>
        <w:ind w:left="138" w:right="0"/>
        <w:jc w:val="left"/>
        <w:rPr>
          <w:b w:val="0"/>
          <w:bCs w:val="0"/>
        </w:rPr>
      </w:pPr>
      <w:bookmarkStart w:name="_TOC_250002" w:id="10"/>
      <w:r>
        <w:rPr>
          <w:w w:val="95"/>
        </w:rPr>
        <w:t>第十节</w:t>
        <w:tab/>
      </w:r>
      <w:r>
        <w:rPr/>
        <w:t>公司债券相关情况</w:t>
      </w:r>
      <w:bookmarkEnd w:id="10"/>
      <w:r>
        <w:rPr>
          <w:b w:val="0"/>
          <w:bCs w:val="0"/>
        </w:rPr>
      </w:r>
    </w:p>
    <w:p>
      <w:pPr>
        <w:spacing w:after="0" w:line="240" w:lineRule="auto"/>
        <w:jc w:val="left"/>
        <w:sectPr>
          <w:type w:val="continuous"/>
          <w:pgSz w:w="11910" w:h="16840"/>
          <w:pgMar w:top="1120" w:bottom="1380" w:left="1660" w:right="1060"/>
          <w:cols w:num="2" w:equalWidth="0">
            <w:col w:w="1821" w:space="841"/>
            <w:col w:w="6528"/>
          </w:cols>
        </w:sectPr>
      </w:pPr>
    </w:p>
    <w:p>
      <w:pPr>
        <w:spacing w:line="240" w:lineRule="auto" w:before="7"/>
        <w:rPr>
          <w:rFonts w:ascii="黑体" w:hAnsi="黑体" w:cs="黑体" w:eastAsia="黑体" w:hint="default"/>
          <w:b/>
          <w:bCs/>
          <w:sz w:val="16"/>
          <w:szCs w:val="16"/>
        </w:rPr>
      </w:pPr>
    </w:p>
    <w:p>
      <w:pPr>
        <w:pStyle w:val="BodyText"/>
        <w:spacing w:line="240" w:lineRule="auto" w:before="36"/>
        <w:ind w:left="138" w:right="2597"/>
        <w:jc w:val="left"/>
      </w:pPr>
      <w:r>
        <w:rPr/>
        <w:t>□适用</w:t>
      </w:r>
      <w:r>
        <w:rPr>
          <w:spacing w:val="-1"/>
        </w:rPr>
        <w:t> </w:t>
      </w:r>
      <w:r>
        <w:rPr/>
        <w:t>√不适用</w:t>
      </w:r>
    </w:p>
    <w:p>
      <w:pPr>
        <w:spacing w:after="0" w:line="240" w:lineRule="auto"/>
        <w:jc w:val="left"/>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before="14"/>
        <w:ind w:left="3343" w:right="353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4"/>
        <w:spacing w:line="240" w:lineRule="auto" w:before="36"/>
        <w:ind w:left="138" w:right="0"/>
        <w:jc w:val="left"/>
        <w:rPr>
          <w:b w:val="0"/>
          <w:bCs w:val="0"/>
        </w:rPr>
      </w:pPr>
      <w:r>
        <w:rPr/>
        <w:t>一、审计报告</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32"/>
        <w:ind w:left="3343" w:right="343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审计报告</w:t>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19"/>
          <w:szCs w:val="19"/>
        </w:rPr>
      </w:pPr>
    </w:p>
    <w:p>
      <w:pPr>
        <w:pStyle w:val="Heading3"/>
        <w:spacing w:line="240" w:lineRule="auto" w:before="0"/>
        <w:ind w:left="5107" w:right="0"/>
        <w:jc w:val="left"/>
      </w:pPr>
      <w:r>
        <w:rPr>
          <w:spacing w:val="5"/>
        </w:rPr>
        <w:t>致同审字（</w:t>
      </w:r>
      <w:r>
        <w:rPr>
          <w:rFonts w:ascii="Arial Narrow" w:hAnsi="Arial Narrow" w:cs="Arial Narrow" w:eastAsia="Arial Narrow" w:hint="default"/>
          <w:spacing w:val="5"/>
        </w:rPr>
        <w:t>2019</w:t>
      </w:r>
      <w:r>
        <w:rPr>
          <w:spacing w:val="5"/>
        </w:rPr>
        <w:t>）第</w:t>
      </w:r>
      <w:r>
        <w:rPr>
          <w:spacing w:val="-45"/>
        </w:rPr>
        <w:t> </w:t>
      </w:r>
      <w:r>
        <w:rPr>
          <w:rFonts w:ascii="Arial Narrow" w:hAnsi="Arial Narrow" w:cs="Arial Narrow" w:eastAsia="Arial Narrow" w:hint="default"/>
          <w:spacing w:val="3"/>
        </w:rPr>
        <w:t>351ZA0046</w:t>
      </w:r>
      <w:r>
        <w:rPr>
          <w:rFonts w:ascii="Arial Narrow" w:hAnsi="Arial Narrow" w:cs="Arial Narrow" w:eastAsia="Arial Narrow" w:hint="default"/>
          <w:spacing w:val="14"/>
        </w:rPr>
        <w:t> </w:t>
      </w:r>
      <w:r>
        <w:rPr/>
        <w:t>号</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9"/>
          <w:szCs w:val="29"/>
        </w:rPr>
      </w:pPr>
    </w:p>
    <w:p>
      <w:pPr>
        <w:pStyle w:val="Heading2"/>
        <w:spacing w:line="292" w:lineRule="auto"/>
        <w:ind w:left="634" w:right="5069"/>
        <w:jc w:val="left"/>
        <w:rPr>
          <w:b w:val="0"/>
          <w:bCs w:val="0"/>
        </w:rPr>
      </w:pPr>
      <w:r>
        <w:rPr/>
        <w:t>福建顶点软件股份有限公司全体股东：</w:t>
      </w:r>
      <w:r>
        <w:rPr>
          <w:spacing w:val="-47"/>
        </w:rPr>
        <w:t> </w:t>
      </w:r>
      <w:r>
        <w:rPr>
          <w:spacing w:val="-47"/>
        </w:rPr>
      </w:r>
      <w:r>
        <w:rPr>
          <w:spacing w:val="7"/>
        </w:rPr>
        <w:t>一、审计意见</w:t>
      </w:r>
      <w:r>
        <w:rPr>
          <w:b w:val="0"/>
          <w:bCs w:val="0"/>
          <w:spacing w:val="7"/>
        </w:rPr>
      </w:r>
    </w:p>
    <w:p>
      <w:pPr>
        <w:pStyle w:val="Heading3"/>
        <w:spacing w:line="290" w:lineRule="auto" w:before="97"/>
        <w:ind w:right="330" w:firstLine="479"/>
        <w:jc w:val="both"/>
      </w:pPr>
      <w:r>
        <w:rPr>
          <w:spacing w:val="5"/>
        </w:rPr>
        <w:t>我们审计了福建顶点软件股份有限公司（以下简称顶点软件公司）财务报表，</w:t>
      </w:r>
      <w:r>
        <w:rPr/>
        <w:t> 包括</w:t>
      </w:r>
      <w:r>
        <w:rPr>
          <w:spacing w:val="-58"/>
        </w:rPr>
        <w:t> </w:t>
      </w:r>
      <w:r>
        <w:rPr>
          <w:rFonts w:ascii="Arial Narrow" w:hAnsi="Arial Narrow" w:cs="Arial Narrow" w:eastAsia="Arial Narrow" w:hint="default"/>
        </w:rPr>
        <w:t>2018</w:t>
      </w:r>
      <w:r>
        <w:rPr>
          <w:rFonts w:ascii="Arial Narrow" w:hAnsi="Arial Narrow" w:cs="Arial Narrow" w:eastAsia="Arial Narrow" w:hint="default"/>
          <w:spacing w:val="9"/>
        </w:rPr>
        <w:t> </w:t>
      </w:r>
      <w:r>
        <w:rPr/>
        <w:t>年</w:t>
      </w:r>
      <w:r>
        <w:rPr>
          <w:spacing w:val="-57"/>
        </w:rPr>
        <w:t> </w:t>
      </w:r>
      <w:r>
        <w:rPr>
          <w:rFonts w:ascii="Arial Narrow" w:hAnsi="Arial Narrow" w:cs="Arial Narrow" w:eastAsia="Arial Narrow" w:hint="default"/>
        </w:rPr>
        <w:t>12</w:t>
      </w:r>
      <w:r>
        <w:rPr>
          <w:rFonts w:ascii="Arial Narrow" w:hAnsi="Arial Narrow" w:cs="Arial Narrow" w:eastAsia="Arial Narrow" w:hint="default"/>
          <w:spacing w:val="9"/>
        </w:rPr>
        <w:t> </w:t>
      </w:r>
      <w:r>
        <w:rPr/>
        <w:t>月</w:t>
      </w:r>
      <w:r>
        <w:rPr>
          <w:spacing w:val="-60"/>
        </w:rPr>
        <w:t> </w:t>
      </w:r>
      <w:r>
        <w:rPr>
          <w:rFonts w:ascii="Arial Narrow" w:hAnsi="Arial Narrow" w:cs="Arial Narrow" w:eastAsia="Arial Narrow" w:hint="default"/>
        </w:rPr>
        <w:t>31</w:t>
      </w:r>
      <w:r>
        <w:rPr>
          <w:rFonts w:ascii="Arial Narrow" w:hAnsi="Arial Narrow" w:cs="Arial Narrow" w:eastAsia="Arial Narrow" w:hint="default"/>
          <w:spacing w:val="9"/>
        </w:rPr>
        <w:t> </w:t>
      </w:r>
      <w:r>
        <w:rPr>
          <w:spacing w:val="-4"/>
        </w:rPr>
        <w:t>日的合并及公司资产负债表，</w:t>
      </w:r>
      <w:r>
        <w:rPr>
          <w:rFonts w:ascii="Arial Narrow" w:hAnsi="Arial Narrow" w:cs="Arial Narrow" w:eastAsia="Arial Narrow" w:hint="default"/>
          <w:spacing w:val="-4"/>
        </w:rPr>
        <w:t>2018</w:t>
      </w:r>
      <w:r>
        <w:rPr>
          <w:rFonts w:ascii="Arial Narrow" w:hAnsi="Arial Narrow" w:cs="Arial Narrow" w:eastAsia="Arial Narrow" w:hint="default"/>
          <w:spacing w:val="9"/>
        </w:rPr>
        <w:t> </w:t>
      </w:r>
      <w:r>
        <w:rPr>
          <w:spacing w:val="-5"/>
        </w:rPr>
        <w:t>年度的合并及公司利润表、合</w:t>
      </w:r>
      <w:r>
        <w:rPr/>
        <w:t> 并及公司现金流量表、合并及公司股东权益变动表以及相关财务报表附注。</w:t>
      </w:r>
    </w:p>
    <w:p>
      <w:pPr>
        <w:pStyle w:val="Heading3"/>
        <w:spacing w:line="290" w:lineRule="auto" w:before="144"/>
        <w:ind w:right="330" w:firstLine="479"/>
        <w:jc w:val="both"/>
      </w:pPr>
      <w:r>
        <w:rPr>
          <w:spacing w:val="-2"/>
        </w:rPr>
        <w:t>我们认为，后附的财务报表在所有重大方面按照企业会计准则的规定编制，公允</w:t>
      </w:r>
      <w:r>
        <w:rPr/>
        <w:t> </w:t>
      </w:r>
      <w:r>
        <w:rPr>
          <w:spacing w:val="3"/>
        </w:rPr>
        <w:t>反映了顶点软件公司</w:t>
      </w:r>
      <w:r>
        <w:rPr>
          <w:spacing w:val="-55"/>
        </w:rPr>
        <w:t> </w:t>
      </w:r>
      <w:r>
        <w:rPr>
          <w:rFonts w:ascii="Arial Narrow" w:hAnsi="Arial Narrow" w:cs="Arial Narrow" w:eastAsia="Arial Narrow" w:hint="default"/>
        </w:rPr>
        <w:t>2018</w:t>
      </w:r>
      <w:r>
        <w:rPr>
          <w:rFonts w:ascii="Arial Narrow" w:hAnsi="Arial Narrow" w:cs="Arial Narrow" w:eastAsia="Arial Narrow" w:hint="default"/>
          <w:spacing w:val="11"/>
        </w:rPr>
        <w:t> </w:t>
      </w:r>
      <w:r>
        <w:rPr/>
        <w:t>年</w:t>
      </w:r>
      <w:r>
        <w:rPr>
          <w:spacing w:val="-56"/>
        </w:rPr>
        <w:t> </w:t>
      </w:r>
      <w:r>
        <w:rPr>
          <w:rFonts w:ascii="Arial Narrow" w:hAnsi="Arial Narrow" w:cs="Arial Narrow" w:eastAsia="Arial Narrow" w:hint="default"/>
        </w:rPr>
        <w:t>12</w:t>
      </w:r>
      <w:r>
        <w:rPr>
          <w:rFonts w:ascii="Arial Narrow" w:hAnsi="Arial Narrow" w:cs="Arial Narrow" w:eastAsia="Arial Narrow" w:hint="default"/>
          <w:spacing w:val="11"/>
        </w:rPr>
        <w:t> </w:t>
      </w:r>
      <w:r>
        <w:rPr/>
        <w:t>月</w:t>
      </w:r>
      <w:r>
        <w:rPr>
          <w:spacing w:val="-56"/>
        </w:rPr>
        <w:t> </w:t>
      </w:r>
      <w:r>
        <w:rPr>
          <w:rFonts w:ascii="Arial Narrow" w:hAnsi="Arial Narrow" w:cs="Arial Narrow" w:eastAsia="Arial Narrow" w:hint="default"/>
        </w:rPr>
        <w:t>31</w:t>
      </w:r>
      <w:r>
        <w:rPr>
          <w:rFonts w:ascii="Arial Narrow" w:hAnsi="Arial Narrow" w:cs="Arial Narrow" w:eastAsia="Arial Narrow" w:hint="default"/>
          <w:spacing w:val="11"/>
        </w:rPr>
        <w:t> </w:t>
      </w:r>
      <w:r>
        <w:rPr/>
        <w:t>日的合并及公司财务状况以及</w:t>
      </w:r>
      <w:r>
        <w:rPr>
          <w:spacing w:val="-55"/>
        </w:rPr>
        <w:t> </w:t>
      </w:r>
      <w:r>
        <w:rPr>
          <w:rFonts w:ascii="Arial Narrow" w:hAnsi="Arial Narrow" w:cs="Arial Narrow" w:eastAsia="Arial Narrow" w:hint="default"/>
        </w:rPr>
        <w:t>2018</w:t>
      </w:r>
      <w:r>
        <w:rPr>
          <w:rFonts w:ascii="Arial Narrow" w:hAnsi="Arial Narrow" w:cs="Arial Narrow" w:eastAsia="Arial Narrow" w:hint="default"/>
          <w:spacing w:val="11"/>
        </w:rPr>
        <w:t> </w:t>
      </w:r>
      <w:r>
        <w:rPr/>
        <w:t>年度的合并 及公司的经营成果和现金流量。</w:t>
      </w:r>
    </w:p>
    <w:p>
      <w:pPr>
        <w:spacing w:line="336" w:lineRule="auto" w:before="68"/>
        <w:ind w:left="634" w:right="0" w:hanging="15"/>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二、形成审计意见的基础</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4"/>
          <w:sz w:val="24"/>
          <w:szCs w:val="24"/>
        </w:rPr>
        <w:t>我们按照中国注册会计师审计准则的规定执行了审计工作。审计报告的“注册</w:t>
      </w:r>
    </w:p>
    <w:p>
      <w:pPr>
        <w:pStyle w:val="Heading3"/>
        <w:spacing w:line="293" w:lineRule="exact" w:before="0"/>
        <w:ind w:right="0"/>
        <w:jc w:val="both"/>
      </w:pPr>
      <w:r>
        <w:rPr>
          <w:spacing w:val="4"/>
        </w:rPr>
        <w:t>会计师对财务报表审计的责任”部分进一步阐述了我们在这些准则下的责任。按照</w:t>
      </w:r>
    </w:p>
    <w:p>
      <w:pPr>
        <w:pStyle w:val="Heading3"/>
        <w:spacing w:line="297" w:lineRule="auto" w:before="74"/>
        <w:ind w:right="340"/>
        <w:jc w:val="both"/>
      </w:pPr>
      <w:r>
        <w:rPr>
          <w:spacing w:val="4"/>
        </w:rPr>
        <w:t>中国注册会计师职业道德守则，我们独立于顶点软件公司，并履行了职业道德方面</w:t>
      </w:r>
      <w:r>
        <w:rPr>
          <w:spacing w:val="-103"/>
        </w:rPr>
        <w:t> </w:t>
      </w:r>
      <w:r>
        <w:rPr>
          <w:spacing w:val="-103"/>
        </w:rPr>
      </w:r>
      <w:r>
        <w:rPr>
          <w:spacing w:val="4"/>
        </w:rPr>
        <w:t>的其他责任。我们相信，我们获取的审计证据是充分、适当的，为发表审计意见提</w:t>
      </w:r>
      <w:r>
        <w:rPr>
          <w:spacing w:val="-108"/>
        </w:rPr>
        <w:t> </w:t>
      </w:r>
      <w:r>
        <w:rPr>
          <w:spacing w:val="-108"/>
        </w:rPr>
      </w:r>
      <w:r>
        <w:rPr>
          <w:spacing w:val="6"/>
        </w:rPr>
        <w:t>供了基础。</w:t>
      </w:r>
    </w:p>
    <w:p>
      <w:pPr>
        <w:spacing w:line="336" w:lineRule="auto" w:before="60"/>
        <w:ind w:left="634"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pacing w:val="7"/>
          <w:sz w:val="24"/>
          <w:szCs w:val="24"/>
        </w:rPr>
        <w:t>三、关键审计事项</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pacing w:val="-57"/>
          <w:sz w:val="24"/>
          <w:szCs w:val="24"/>
        </w:rPr>
      </w:r>
      <w:r>
        <w:rPr>
          <w:rFonts w:ascii="宋体" w:hAnsi="宋体" w:cs="宋体" w:eastAsia="宋体" w:hint="default"/>
          <w:spacing w:val="4"/>
          <w:sz w:val="24"/>
          <w:szCs w:val="24"/>
        </w:rPr>
        <w:t>关键审计事项是我们根据职业判断，认为对本期财务报表审计最为重要的事项。</w:t>
      </w:r>
    </w:p>
    <w:p>
      <w:pPr>
        <w:pStyle w:val="Heading3"/>
        <w:spacing w:line="293" w:lineRule="exact" w:before="0"/>
        <w:ind w:right="0"/>
        <w:jc w:val="both"/>
      </w:pPr>
      <w:r>
        <w:rPr>
          <w:spacing w:val="4"/>
        </w:rPr>
        <w:t>这些事项的应对以对财务报表整体进行审计并形成审计意见为背景，我们不对这些</w:t>
      </w:r>
    </w:p>
    <w:p>
      <w:pPr>
        <w:pStyle w:val="Heading3"/>
        <w:spacing w:line="240" w:lineRule="auto" w:before="74"/>
        <w:ind w:right="0"/>
        <w:jc w:val="both"/>
      </w:pPr>
      <w:r>
        <w:rPr>
          <w:spacing w:val="6"/>
        </w:rPr>
        <w:t>事项单独发表意见。</w:t>
      </w:r>
    </w:p>
    <w:p>
      <w:pPr>
        <w:pStyle w:val="Heading3"/>
        <w:spacing w:line="240" w:lineRule="auto" w:before="194"/>
        <w:ind w:left="634" w:right="0"/>
        <w:jc w:val="left"/>
      </w:pPr>
      <w:r>
        <w:rPr>
          <w:spacing w:val="6"/>
        </w:rPr>
        <w:t>（一）收入确认</w:t>
      </w:r>
    </w:p>
    <w:p>
      <w:pPr>
        <w:pStyle w:val="Heading3"/>
        <w:spacing w:line="240" w:lineRule="auto" w:before="195"/>
        <w:ind w:left="634" w:right="0"/>
        <w:jc w:val="left"/>
      </w:pPr>
      <w:r>
        <w:rPr>
          <w:spacing w:val="6"/>
        </w:rPr>
        <w:t>相关信息披露详见财务报表附注三</w:t>
      </w:r>
      <w:r>
        <w:rPr>
          <w:rFonts w:ascii="Arial Narrow" w:hAnsi="Arial Narrow" w:cs="Arial Narrow" w:eastAsia="Arial Narrow" w:hint="default"/>
          <w:spacing w:val="6"/>
        </w:rPr>
        <w:t>-20 </w:t>
      </w:r>
      <w:r>
        <w:rPr>
          <w:spacing w:val="7"/>
        </w:rPr>
        <w:t>收入、附注五</w:t>
      </w:r>
      <w:r>
        <w:rPr>
          <w:rFonts w:ascii="Arial Narrow" w:hAnsi="Arial Narrow" w:cs="Arial Narrow" w:eastAsia="Arial Narrow" w:hint="default"/>
          <w:spacing w:val="7"/>
        </w:rPr>
        <w:t>-24</w:t>
      </w:r>
      <w:r>
        <w:rPr>
          <w:rFonts w:ascii="Arial Narrow" w:hAnsi="Arial Narrow" w:cs="Arial Narrow" w:eastAsia="Arial Narrow" w:hint="default"/>
          <w:spacing w:val="52"/>
        </w:rPr>
        <w:t> </w:t>
      </w:r>
      <w:r>
        <w:rPr>
          <w:spacing w:val="8"/>
        </w:rPr>
        <w:t>营业收入和营业成本。</w:t>
      </w:r>
    </w:p>
    <w:p>
      <w:pPr>
        <w:pStyle w:val="Heading3"/>
        <w:spacing w:line="240" w:lineRule="auto" w:before="178"/>
        <w:ind w:left="634" w:right="0"/>
        <w:jc w:val="left"/>
      </w:pPr>
      <w:r>
        <w:rPr>
          <w:rFonts w:ascii="Arial Narrow" w:hAnsi="Arial Narrow" w:cs="Arial Narrow" w:eastAsia="Arial Narrow" w:hint="default"/>
          <w:spacing w:val="5"/>
        </w:rPr>
        <w:t>1</w:t>
      </w:r>
      <w:r>
        <w:rPr>
          <w:spacing w:val="5"/>
        </w:rPr>
        <w:t>、事项描述</w:t>
      </w:r>
    </w:p>
    <w:p>
      <w:pPr>
        <w:spacing w:after="0" w:line="240" w:lineRule="auto"/>
        <w:jc w:val="left"/>
        <w:sectPr>
          <w:pgSz w:w="11910" w:h="16840"/>
          <w:pgMar w:header="877" w:footer="1195" w:top="1100" w:bottom="1380" w:left="1660" w:right="940"/>
        </w:sectPr>
      </w:pPr>
    </w:p>
    <w:p>
      <w:pPr>
        <w:spacing w:line="240" w:lineRule="auto" w:before="2"/>
        <w:rPr>
          <w:rFonts w:ascii="宋体" w:hAnsi="宋体" w:cs="宋体" w:eastAsia="宋体" w:hint="default"/>
          <w:sz w:val="26"/>
          <w:szCs w:val="26"/>
        </w:rPr>
      </w:pPr>
    </w:p>
    <w:p>
      <w:pPr>
        <w:pStyle w:val="Heading3"/>
        <w:spacing w:line="292" w:lineRule="auto" w:before="26"/>
        <w:ind w:right="138" w:firstLine="496"/>
        <w:jc w:val="both"/>
      </w:pPr>
      <w:r>
        <w:rPr>
          <w:spacing w:val="3"/>
        </w:rPr>
        <w:t>顶点软件公司的收入主要来源于向券商等客户提供软件开发业务。</w:t>
      </w:r>
      <w:r>
        <w:rPr>
          <w:rFonts w:ascii="Arial Narrow" w:hAnsi="Arial Narrow" w:cs="Arial Narrow" w:eastAsia="Arial Narrow" w:hint="default"/>
          <w:spacing w:val="3"/>
        </w:rPr>
        <w:t>2018</w:t>
      </w:r>
      <w:r>
        <w:rPr>
          <w:rFonts w:ascii="Arial Narrow" w:hAnsi="Arial Narrow" w:cs="Arial Narrow" w:eastAsia="Arial Narrow" w:hint="default"/>
          <w:spacing w:val="17"/>
        </w:rPr>
        <w:t> </w:t>
      </w:r>
      <w:r>
        <w:rPr>
          <w:spacing w:val="5"/>
        </w:rPr>
        <w:t>年度软</w:t>
      </w:r>
      <w:r>
        <w:rPr/>
        <w:t> </w:t>
      </w:r>
      <w:r>
        <w:rPr>
          <w:spacing w:val="6"/>
        </w:rPr>
        <w:t>件开发业务收入为 </w:t>
      </w:r>
      <w:r>
        <w:rPr>
          <w:rFonts w:ascii="Arial Narrow" w:hAnsi="Arial Narrow" w:cs="Arial Narrow" w:eastAsia="Arial Narrow" w:hint="default"/>
          <w:spacing w:val="3"/>
        </w:rPr>
        <w:t>244,602,431.85 </w:t>
      </w:r>
      <w:r>
        <w:rPr>
          <w:spacing w:val="6"/>
        </w:rPr>
        <w:t>元，占顶点软件公司营业收入的</w:t>
      </w:r>
      <w:r>
        <w:rPr>
          <w:spacing w:val="-51"/>
        </w:rPr>
        <w:t> </w:t>
      </w:r>
      <w:r>
        <w:rPr>
          <w:rFonts w:ascii="Arial Narrow" w:hAnsi="Arial Narrow" w:cs="Arial Narrow" w:eastAsia="Arial Narrow" w:hint="default"/>
          <w:spacing w:val="4"/>
        </w:rPr>
        <w:t>82.77%</w:t>
      </w:r>
      <w:r>
        <w:rPr>
          <w:spacing w:val="4"/>
        </w:rPr>
        <w:t>。顶点软</w:t>
      </w:r>
      <w:r>
        <w:rPr/>
        <w:t> </w:t>
      </w:r>
      <w:r>
        <w:rPr>
          <w:spacing w:val="4"/>
        </w:rPr>
        <w:t>件公司对于产品化软件开发业务、定制软件开发业务均需在产品已交付并完成安装</w:t>
      </w:r>
      <w:r>
        <w:rPr>
          <w:spacing w:val="-112"/>
        </w:rPr>
        <w:t> </w:t>
      </w:r>
      <w:r>
        <w:rPr>
          <w:spacing w:val="-112"/>
        </w:rPr>
      </w:r>
      <w:r>
        <w:rPr>
          <w:spacing w:val="4"/>
        </w:rPr>
        <w:t>和试运行，在取得客户验收时确认收入。由于软件开发业务收入是顶点软件公司关</w:t>
      </w:r>
      <w:r>
        <w:rPr>
          <w:spacing w:val="-110"/>
        </w:rPr>
        <w:t> </w:t>
      </w:r>
      <w:r>
        <w:rPr>
          <w:spacing w:val="-110"/>
        </w:rPr>
      </w:r>
      <w:r>
        <w:rPr>
          <w:spacing w:val="4"/>
        </w:rPr>
        <w:t>键业绩指标之一，相关验收单据由分布在国内不同地区的众多券商等客户提供，因</w:t>
      </w:r>
      <w:r>
        <w:rPr>
          <w:spacing w:val="-110"/>
        </w:rPr>
        <w:t> </w:t>
      </w:r>
      <w:r>
        <w:rPr>
          <w:spacing w:val="-110"/>
        </w:rPr>
      </w:r>
      <w:r>
        <w:rPr>
          <w:spacing w:val="4"/>
        </w:rPr>
        <w:t>此客户的验收时点和收入确认时点可能存在差异，进而可能存在销售收入未在恰当</w:t>
      </w:r>
      <w:r>
        <w:rPr>
          <w:spacing w:val="-107"/>
        </w:rPr>
        <w:t> </w:t>
      </w:r>
      <w:r>
        <w:rPr>
          <w:spacing w:val="-107"/>
        </w:rPr>
      </w:r>
      <w:r>
        <w:rPr>
          <w:spacing w:val="6"/>
        </w:rPr>
        <w:t>期间确认的风险。因此我们将收入确认识别为关键审计事项。</w:t>
      </w:r>
    </w:p>
    <w:p>
      <w:pPr>
        <w:pStyle w:val="Heading3"/>
        <w:spacing w:line="369" w:lineRule="auto" w:before="142"/>
        <w:ind w:left="634" w:right="1821"/>
        <w:jc w:val="left"/>
      </w:pPr>
      <w:r>
        <w:rPr>
          <w:rFonts w:ascii="Arial Narrow" w:hAnsi="Arial Narrow" w:cs="Arial Narrow" w:eastAsia="Arial Narrow" w:hint="default"/>
          <w:spacing w:val="5"/>
        </w:rPr>
        <w:t>2</w:t>
      </w:r>
      <w:r>
        <w:rPr>
          <w:spacing w:val="5"/>
        </w:rPr>
        <w:t>、审计应对</w:t>
      </w:r>
      <w:r>
        <w:rPr/>
        <w:t> </w:t>
      </w:r>
      <w:r>
        <w:rPr>
          <w:spacing w:val="6"/>
        </w:rPr>
        <w:t>我们针对这一关键审计事项实施的审计程序主要包括：</w:t>
      </w:r>
    </w:p>
    <w:p>
      <w:pPr>
        <w:pStyle w:val="Heading3"/>
        <w:spacing w:line="240" w:lineRule="auto" w:before="65"/>
        <w:ind w:left="634" w:right="0"/>
        <w:jc w:val="left"/>
      </w:pPr>
      <w:r>
        <w:rPr>
          <w:spacing w:val="6"/>
        </w:rPr>
        <w:t>（</w:t>
      </w:r>
      <w:r>
        <w:rPr>
          <w:rFonts w:ascii="Arial Narrow" w:hAnsi="Arial Narrow" w:cs="Arial Narrow" w:eastAsia="Arial Narrow" w:hint="default"/>
          <w:spacing w:val="6"/>
        </w:rPr>
        <w:t>1</w:t>
      </w:r>
      <w:r>
        <w:rPr>
          <w:spacing w:val="6"/>
        </w:rPr>
        <w:t>）了解、评估顶点软件公司相关内部控制，并测试其运行有效性；</w:t>
      </w:r>
    </w:p>
    <w:p>
      <w:pPr>
        <w:pStyle w:val="Heading3"/>
        <w:spacing w:line="283" w:lineRule="auto" w:before="180"/>
        <w:ind w:right="146" w:firstLine="496"/>
        <w:jc w:val="both"/>
      </w:pPr>
      <w:r>
        <w:rPr>
          <w:spacing w:val="8"/>
        </w:rPr>
        <w:t>（</w:t>
      </w:r>
      <w:r>
        <w:rPr>
          <w:rFonts w:ascii="Arial Narrow" w:hAnsi="Arial Narrow" w:cs="Arial Narrow" w:eastAsia="Arial Narrow" w:hint="default"/>
          <w:spacing w:val="8"/>
        </w:rPr>
        <w:t>2</w:t>
      </w:r>
      <w:r>
        <w:rPr>
          <w:spacing w:val="8"/>
        </w:rPr>
        <w:t>）通过检查软件开发合同及与管理层的访谈，了解和评估了顶点软件公司</w:t>
      </w:r>
      <w:r>
        <w:rPr/>
        <w:t> </w:t>
      </w:r>
      <w:r>
        <w:rPr>
          <w:spacing w:val="6"/>
        </w:rPr>
        <w:t>的收入确认政策；</w:t>
      </w:r>
    </w:p>
    <w:p>
      <w:pPr>
        <w:pStyle w:val="Heading3"/>
        <w:spacing w:line="283" w:lineRule="auto"/>
        <w:ind w:right="146" w:firstLine="496"/>
        <w:jc w:val="both"/>
      </w:pPr>
      <w:r>
        <w:rPr>
          <w:spacing w:val="8"/>
        </w:rPr>
        <w:t>（</w:t>
      </w:r>
      <w:r>
        <w:rPr>
          <w:rFonts w:ascii="Arial Narrow" w:hAnsi="Arial Narrow" w:cs="Arial Narrow" w:eastAsia="Arial Narrow" w:hint="default"/>
          <w:spacing w:val="8"/>
        </w:rPr>
        <w:t>3</w:t>
      </w:r>
      <w:r>
        <w:rPr>
          <w:spacing w:val="8"/>
        </w:rPr>
        <w:t>）针对券商等客户的销售收入进行了抽样测试，核对至相关软件开发合同</w:t>
      </w:r>
      <w:r>
        <w:rPr/>
        <w:t> </w:t>
      </w:r>
      <w:r>
        <w:rPr>
          <w:spacing w:val="6"/>
        </w:rPr>
        <w:t>中风险及报酬条款和客户提供的验收单据等支持性文件；</w:t>
      </w:r>
    </w:p>
    <w:p>
      <w:pPr>
        <w:pStyle w:val="Heading3"/>
        <w:spacing w:line="283" w:lineRule="auto"/>
        <w:ind w:right="146" w:firstLine="496"/>
        <w:jc w:val="both"/>
      </w:pPr>
      <w:r>
        <w:rPr>
          <w:spacing w:val="8"/>
        </w:rPr>
        <w:t>（</w:t>
      </w:r>
      <w:r>
        <w:rPr>
          <w:rFonts w:ascii="Arial Narrow" w:hAnsi="Arial Narrow" w:cs="Arial Narrow" w:eastAsia="Arial Narrow" w:hint="default"/>
          <w:spacing w:val="8"/>
        </w:rPr>
        <w:t>4</w:t>
      </w:r>
      <w:r>
        <w:rPr>
          <w:spacing w:val="8"/>
        </w:rPr>
        <w:t>）通过检查合同中风险及报酬条款相关约定可评价收入确认是否符合企业</w:t>
      </w:r>
      <w:r>
        <w:rPr/>
        <w:t> </w:t>
      </w:r>
      <w:r>
        <w:rPr>
          <w:spacing w:val="6"/>
        </w:rPr>
        <w:t>会计准则及收入确认政策；</w:t>
      </w:r>
    </w:p>
    <w:p>
      <w:pPr>
        <w:pStyle w:val="Heading3"/>
        <w:spacing w:line="283" w:lineRule="auto"/>
        <w:ind w:right="146" w:firstLine="496"/>
        <w:jc w:val="both"/>
      </w:pPr>
      <w:r>
        <w:rPr>
          <w:spacing w:val="8"/>
        </w:rPr>
        <w:t>（</w:t>
      </w:r>
      <w:r>
        <w:rPr>
          <w:rFonts w:ascii="Arial Narrow" w:hAnsi="Arial Narrow" w:cs="Arial Narrow" w:eastAsia="Arial Narrow" w:hint="default"/>
          <w:spacing w:val="8"/>
        </w:rPr>
        <w:t>5</w:t>
      </w:r>
      <w:r>
        <w:rPr>
          <w:spacing w:val="8"/>
        </w:rPr>
        <w:t>）选取样本对合同金额、已收款项、已结算开票金额、是否已验收等实施</w:t>
      </w:r>
      <w:r>
        <w:rPr/>
        <w:t> </w:t>
      </w:r>
      <w:r>
        <w:rPr>
          <w:spacing w:val="5"/>
        </w:rPr>
        <w:t>函证；</w:t>
      </w:r>
    </w:p>
    <w:p>
      <w:pPr>
        <w:pStyle w:val="Heading3"/>
        <w:spacing w:line="283" w:lineRule="auto"/>
        <w:ind w:right="146" w:firstLine="496"/>
        <w:jc w:val="both"/>
      </w:pPr>
      <w:r>
        <w:rPr>
          <w:spacing w:val="8"/>
        </w:rPr>
        <w:t>（</w:t>
      </w:r>
      <w:r>
        <w:rPr>
          <w:rFonts w:ascii="Arial Narrow" w:hAnsi="Arial Narrow" w:cs="Arial Narrow" w:eastAsia="Arial Narrow" w:hint="default"/>
          <w:spacing w:val="8"/>
        </w:rPr>
        <w:t>6</w:t>
      </w:r>
      <w:r>
        <w:rPr>
          <w:spacing w:val="8"/>
        </w:rPr>
        <w:t>）对资产负债表日前后确认的收入核对至验收单据等支持性文件，以评价</w:t>
      </w:r>
      <w:r>
        <w:rPr/>
        <w:t> </w:t>
      </w:r>
      <w:r>
        <w:rPr>
          <w:spacing w:val="6"/>
        </w:rPr>
        <w:t>销售收入是否计入恰当的期间。</w:t>
      </w:r>
    </w:p>
    <w:p>
      <w:pPr>
        <w:pStyle w:val="Heading3"/>
        <w:spacing w:line="240" w:lineRule="auto" w:before="154"/>
        <w:ind w:left="634" w:right="0"/>
        <w:jc w:val="left"/>
      </w:pPr>
      <w:r>
        <w:rPr>
          <w:spacing w:val="6"/>
        </w:rPr>
        <w:t>（二）理财产品的确认</w:t>
      </w:r>
    </w:p>
    <w:p>
      <w:pPr>
        <w:pStyle w:val="Heading3"/>
        <w:spacing w:line="240" w:lineRule="auto" w:before="194"/>
        <w:ind w:left="634" w:right="0"/>
        <w:jc w:val="left"/>
      </w:pPr>
      <w:r>
        <w:rPr>
          <w:spacing w:val="6"/>
        </w:rPr>
        <w:t>相关信息披露详见财务报表附注五</w:t>
      </w:r>
      <w:r>
        <w:rPr>
          <w:rFonts w:ascii="Arial Narrow" w:hAnsi="Arial Narrow" w:cs="Arial Narrow" w:eastAsia="Arial Narrow" w:hint="default"/>
          <w:spacing w:val="6"/>
        </w:rPr>
        <w:t>-7 </w:t>
      </w:r>
      <w:r>
        <w:rPr>
          <w:spacing w:val="6"/>
        </w:rPr>
        <w:t>其他流动资产、五</w:t>
      </w:r>
      <w:r>
        <w:rPr>
          <w:rFonts w:ascii="Arial Narrow" w:hAnsi="Arial Narrow" w:cs="Arial Narrow" w:eastAsia="Arial Narrow" w:hint="default"/>
          <w:spacing w:val="6"/>
        </w:rPr>
        <w:t>-30</w:t>
      </w:r>
      <w:r>
        <w:rPr>
          <w:rFonts w:ascii="Arial Narrow" w:hAnsi="Arial Narrow" w:cs="Arial Narrow" w:eastAsia="Arial Narrow" w:hint="default"/>
          <w:spacing w:val="30"/>
        </w:rPr>
        <w:t> </w:t>
      </w:r>
      <w:r>
        <w:rPr>
          <w:spacing w:val="5"/>
        </w:rPr>
        <w:t>投资收益。</w:t>
      </w:r>
    </w:p>
    <w:p>
      <w:pPr>
        <w:pStyle w:val="Heading3"/>
        <w:spacing w:line="240" w:lineRule="auto" w:before="178"/>
        <w:ind w:left="634" w:right="0"/>
        <w:jc w:val="left"/>
      </w:pPr>
      <w:r>
        <w:rPr>
          <w:rFonts w:ascii="Arial Narrow" w:hAnsi="Arial Narrow" w:cs="Arial Narrow" w:eastAsia="Arial Narrow" w:hint="default"/>
          <w:spacing w:val="5"/>
        </w:rPr>
        <w:t>1</w:t>
      </w:r>
      <w:r>
        <w:rPr>
          <w:spacing w:val="5"/>
        </w:rPr>
        <w:t>、事项描述</w:t>
      </w:r>
    </w:p>
    <w:p>
      <w:pPr>
        <w:pStyle w:val="Heading3"/>
        <w:spacing w:line="285" w:lineRule="auto" w:before="178"/>
        <w:ind w:right="140" w:firstLine="496"/>
        <w:jc w:val="both"/>
      </w:pPr>
      <w:r>
        <w:rPr>
          <w:rFonts w:ascii="Arial Narrow" w:hAnsi="Arial Narrow" w:cs="Arial Narrow" w:eastAsia="Arial Narrow" w:hint="default"/>
          <w:spacing w:val="2"/>
        </w:rPr>
        <w:t>2018</w:t>
      </w:r>
      <w:r>
        <w:rPr>
          <w:rFonts w:ascii="Arial Narrow" w:hAnsi="Arial Narrow" w:cs="Arial Narrow" w:eastAsia="Arial Narrow" w:hint="default"/>
          <w:spacing w:val="15"/>
        </w:rPr>
        <w:t> </w:t>
      </w:r>
      <w:r>
        <w:rPr/>
        <w:t>年</w:t>
      </w:r>
      <w:r>
        <w:rPr>
          <w:spacing w:val="-47"/>
        </w:rPr>
        <w:t> </w:t>
      </w:r>
      <w:r>
        <w:rPr>
          <w:rFonts w:ascii="Arial Narrow" w:hAnsi="Arial Narrow" w:cs="Arial Narrow" w:eastAsia="Arial Narrow" w:hint="default"/>
        </w:rPr>
        <w:t>12</w:t>
      </w:r>
      <w:r>
        <w:rPr>
          <w:rFonts w:ascii="Arial Narrow" w:hAnsi="Arial Narrow" w:cs="Arial Narrow" w:eastAsia="Arial Narrow" w:hint="default"/>
          <w:spacing w:val="17"/>
        </w:rPr>
        <w:t> </w:t>
      </w:r>
      <w:r>
        <w:rPr/>
        <w:t>月</w:t>
      </w:r>
      <w:r>
        <w:rPr>
          <w:spacing w:val="-47"/>
        </w:rPr>
        <w:t> </w:t>
      </w:r>
      <w:r>
        <w:rPr>
          <w:rFonts w:ascii="Arial Narrow" w:hAnsi="Arial Narrow" w:cs="Arial Narrow" w:eastAsia="Arial Narrow" w:hint="default"/>
        </w:rPr>
        <w:t>31</w:t>
      </w:r>
      <w:r>
        <w:rPr>
          <w:rFonts w:ascii="Arial Narrow" w:hAnsi="Arial Narrow" w:cs="Arial Narrow" w:eastAsia="Arial Narrow" w:hint="default"/>
          <w:spacing w:val="15"/>
        </w:rPr>
        <w:t> </w:t>
      </w:r>
      <w:r>
        <w:rPr>
          <w:spacing w:val="3"/>
        </w:rPr>
        <w:t>日，顶点软件公司理财产品余额为</w:t>
      </w:r>
      <w:r>
        <w:rPr>
          <w:spacing w:val="-43"/>
        </w:rPr>
        <w:t> </w:t>
      </w:r>
      <w:r>
        <w:rPr>
          <w:rFonts w:ascii="Arial Narrow" w:hAnsi="Arial Narrow" w:cs="Arial Narrow" w:eastAsia="Arial Narrow" w:hint="default"/>
          <w:spacing w:val="2"/>
        </w:rPr>
        <w:t>5.80</w:t>
      </w:r>
      <w:r>
        <w:rPr>
          <w:rFonts w:ascii="Arial Narrow" w:hAnsi="Arial Narrow" w:cs="Arial Narrow" w:eastAsia="Arial Narrow" w:hint="default"/>
          <w:spacing w:val="15"/>
        </w:rPr>
        <w:t> </w:t>
      </w:r>
      <w:r>
        <w:rPr/>
        <w:t>亿元，占顶点软件公司 </w:t>
      </w:r>
      <w:r>
        <w:rPr>
          <w:spacing w:val="6"/>
        </w:rPr>
        <w:t>总资产的 </w:t>
      </w:r>
      <w:r>
        <w:rPr>
          <w:rFonts w:ascii="Arial Narrow" w:hAnsi="Arial Narrow" w:cs="Arial Narrow" w:eastAsia="Arial Narrow" w:hint="default"/>
          <w:spacing w:val="5"/>
        </w:rPr>
        <w:t>46.86%</w:t>
      </w:r>
      <w:r>
        <w:rPr>
          <w:spacing w:val="5"/>
        </w:rPr>
        <w:t>。理财产品相关投资收益为 </w:t>
      </w:r>
      <w:r>
        <w:rPr>
          <w:rFonts w:ascii="Arial Narrow" w:hAnsi="Arial Narrow" w:cs="Arial Narrow" w:eastAsia="Arial Narrow" w:hint="default"/>
          <w:spacing w:val="3"/>
        </w:rPr>
        <w:t>24,144,042.40</w:t>
      </w:r>
      <w:r>
        <w:rPr>
          <w:rFonts w:ascii="Arial Narrow" w:hAnsi="Arial Narrow" w:cs="Arial Narrow" w:eastAsia="Arial Narrow" w:hint="default"/>
          <w:spacing w:val="57"/>
        </w:rPr>
        <w:t> </w:t>
      </w:r>
      <w:r>
        <w:rPr>
          <w:spacing w:val="6"/>
        </w:rPr>
        <w:t>元，占本年利润总额的</w:t>
      </w:r>
      <w:r>
        <w:rPr/>
        <w:t> </w:t>
      </w:r>
      <w:r>
        <w:rPr>
          <w:rFonts w:ascii="Arial Narrow" w:hAnsi="Arial Narrow" w:cs="Arial Narrow" w:eastAsia="Arial Narrow" w:hint="default"/>
          <w:spacing w:val="5"/>
        </w:rPr>
        <w:t>19.13%</w:t>
      </w:r>
      <w:r>
        <w:rPr>
          <w:spacing w:val="5"/>
        </w:rPr>
        <w:t>。理财产品期末余额较大，为顶点软件公司的重要资产，理财产品投资收益</w:t>
      </w:r>
      <w:r>
        <w:rPr>
          <w:spacing w:val="-110"/>
        </w:rPr>
        <w:t> </w:t>
      </w:r>
      <w:r>
        <w:rPr>
          <w:spacing w:val="-110"/>
        </w:rPr>
      </w:r>
      <w:r>
        <w:rPr>
          <w:spacing w:val="6"/>
        </w:rPr>
        <w:t>为顶点软件公司</w:t>
      </w:r>
      <w:r>
        <w:rPr>
          <w:spacing w:val="-4"/>
        </w:rPr>
        <w:t> </w:t>
      </w:r>
      <w:r>
        <w:rPr>
          <w:rFonts w:ascii="Arial Narrow" w:hAnsi="Arial Narrow" w:cs="Arial Narrow" w:eastAsia="Arial Narrow" w:hint="default"/>
          <w:spacing w:val="2"/>
        </w:rPr>
        <w:t>2018</w:t>
      </w:r>
      <w:r>
        <w:rPr>
          <w:rFonts w:ascii="Arial Narrow" w:hAnsi="Arial Narrow" w:cs="Arial Narrow" w:eastAsia="Arial Narrow" w:hint="default"/>
          <w:spacing w:val="57"/>
        </w:rPr>
        <w:t> </w:t>
      </w:r>
      <w:r>
        <w:rPr>
          <w:spacing w:val="6"/>
        </w:rPr>
        <w:t>年度主要利润来源之一，且理财产品的发行方涉及多家银行</w:t>
      </w:r>
      <w:r>
        <w:rPr>
          <w:spacing w:val="-117"/>
        </w:rPr>
        <w:t> </w:t>
      </w:r>
      <w:r>
        <w:rPr>
          <w:spacing w:val="-117"/>
        </w:rPr>
      </w:r>
      <w:r>
        <w:rPr>
          <w:spacing w:val="4"/>
        </w:rPr>
        <w:t>及证券公司，可能存在理财产品未真实存在的风险。因此我们将理财产品的确认识</w:t>
      </w:r>
      <w:r>
        <w:rPr>
          <w:spacing w:val="-111"/>
        </w:rPr>
        <w:t> </w:t>
      </w:r>
      <w:r>
        <w:rPr>
          <w:spacing w:val="-111"/>
        </w:rPr>
      </w:r>
      <w:r>
        <w:rPr>
          <w:spacing w:val="6"/>
        </w:rPr>
        <w:t>别为关键审计事项。</w:t>
      </w:r>
    </w:p>
    <w:p>
      <w:pPr>
        <w:pStyle w:val="Heading3"/>
        <w:spacing w:line="369" w:lineRule="auto"/>
        <w:ind w:left="634" w:right="1821"/>
        <w:jc w:val="left"/>
      </w:pPr>
      <w:r>
        <w:rPr>
          <w:rFonts w:ascii="Arial Narrow" w:hAnsi="Arial Narrow" w:cs="Arial Narrow" w:eastAsia="Arial Narrow" w:hint="default"/>
          <w:spacing w:val="5"/>
        </w:rPr>
        <w:t>2</w:t>
      </w:r>
      <w:r>
        <w:rPr>
          <w:spacing w:val="5"/>
        </w:rPr>
        <w:t>、审计应对</w:t>
      </w:r>
      <w:r>
        <w:rPr/>
        <w:t> </w:t>
      </w:r>
      <w:r>
        <w:rPr>
          <w:spacing w:val="6"/>
        </w:rPr>
        <w:t>我们针对这一关键审计事项实施的审计程序主要包括：</w:t>
      </w:r>
    </w:p>
    <w:p>
      <w:pPr>
        <w:spacing w:after="0" w:line="369" w:lineRule="auto"/>
        <w:jc w:val="left"/>
        <w:sectPr>
          <w:footerReference w:type="default" r:id="rId26"/>
          <w:pgSz w:w="11910" w:h="16840"/>
          <w:pgMar w:footer="1195" w:header="877" w:top="1100" w:bottom="1380" w:left="1660" w:right="1140"/>
          <w:pgNumType w:start="60"/>
        </w:sectPr>
      </w:pPr>
    </w:p>
    <w:p>
      <w:pPr>
        <w:spacing w:line="240" w:lineRule="auto" w:before="2"/>
        <w:rPr>
          <w:rFonts w:ascii="宋体" w:hAnsi="宋体" w:cs="宋体" w:eastAsia="宋体" w:hint="default"/>
          <w:sz w:val="26"/>
          <w:szCs w:val="26"/>
        </w:rPr>
      </w:pPr>
    </w:p>
    <w:p>
      <w:pPr>
        <w:pStyle w:val="Heading3"/>
        <w:spacing w:line="240" w:lineRule="auto" w:before="26"/>
        <w:ind w:left="634" w:right="0"/>
        <w:jc w:val="left"/>
      </w:pPr>
      <w:r>
        <w:rPr>
          <w:spacing w:val="6"/>
        </w:rPr>
        <w:t>（</w:t>
      </w:r>
      <w:r>
        <w:rPr>
          <w:rFonts w:ascii="Arial Narrow" w:hAnsi="Arial Narrow" w:cs="Arial Narrow" w:eastAsia="Arial Narrow" w:hint="default"/>
          <w:spacing w:val="6"/>
        </w:rPr>
        <w:t>1</w:t>
      </w:r>
      <w:r>
        <w:rPr>
          <w:spacing w:val="6"/>
        </w:rPr>
        <w:t>）了解、评估顶点软件公司相关内部控制，并测试其运行有效性；</w:t>
      </w:r>
    </w:p>
    <w:p>
      <w:pPr>
        <w:pStyle w:val="Heading3"/>
        <w:spacing w:line="283" w:lineRule="auto" w:before="180"/>
        <w:ind w:right="146" w:firstLine="496"/>
        <w:jc w:val="both"/>
      </w:pPr>
      <w:r>
        <w:rPr>
          <w:spacing w:val="8"/>
        </w:rPr>
        <w:t>（</w:t>
      </w:r>
      <w:r>
        <w:rPr>
          <w:rFonts w:ascii="Arial Narrow" w:hAnsi="Arial Narrow" w:cs="Arial Narrow" w:eastAsia="Arial Narrow" w:hint="default"/>
          <w:spacing w:val="8"/>
        </w:rPr>
        <w:t>2</w:t>
      </w:r>
      <w:r>
        <w:rPr>
          <w:spacing w:val="8"/>
        </w:rPr>
        <w:t>）通过检查理财协议，了解和评估了顶点软件公司的理财产品相关的金融</w:t>
      </w:r>
      <w:r>
        <w:rPr/>
        <w:t> </w:t>
      </w:r>
      <w:r>
        <w:rPr>
          <w:spacing w:val="6"/>
        </w:rPr>
        <w:t>工具确认政策；</w:t>
      </w:r>
    </w:p>
    <w:p>
      <w:pPr>
        <w:pStyle w:val="Heading3"/>
        <w:spacing w:line="283" w:lineRule="auto"/>
        <w:ind w:right="146" w:firstLine="496"/>
        <w:jc w:val="both"/>
      </w:pPr>
      <w:r>
        <w:rPr>
          <w:spacing w:val="8"/>
        </w:rPr>
        <w:t>（</w:t>
      </w:r>
      <w:r>
        <w:rPr>
          <w:rFonts w:ascii="Arial Narrow" w:hAnsi="Arial Narrow" w:cs="Arial Narrow" w:eastAsia="Arial Narrow" w:hint="default"/>
          <w:spacing w:val="8"/>
        </w:rPr>
        <w:t>3</w:t>
      </w:r>
      <w:r>
        <w:rPr>
          <w:spacing w:val="8"/>
        </w:rPr>
        <w:t>）检查理财产品，核对至相关理财产品协议中的关键条款、理财投资的审</w:t>
      </w:r>
      <w:r>
        <w:rPr/>
        <w:t> </w:t>
      </w:r>
      <w:r>
        <w:rPr>
          <w:spacing w:val="6"/>
        </w:rPr>
        <w:t>批程序、理财产品转账回单等支持性文件；</w:t>
      </w:r>
    </w:p>
    <w:p>
      <w:pPr>
        <w:pStyle w:val="Heading3"/>
        <w:spacing w:line="283" w:lineRule="auto"/>
        <w:ind w:right="146" w:firstLine="496"/>
        <w:jc w:val="both"/>
      </w:pPr>
      <w:r>
        <w:rPr>
          <w:spacing w:val="8"/>
        </w:rPr>
        <w:t>（</w:t>
      </w:r>
      <w:r>
        <w:rPr>
          <w:rFonts w:ascii="Arial Narrow" w:hAnsi="Arial Narrow" w:cs="Arial Narrow" w:eastAsia="Arial Narrow" w:hint="default"/>
          <w:spacing w:val="8"/>
        </w:rPr>
        <w:t>4</w:t>
      </w:r>
      <w:r>
        <w:rPr>
          <w:spacing w:val="8"/>
        </w:rPr>
        <w:t>）通过检查相关理财产品协议可评价理财产品的确认是否符合企业会计准</w:t>
      </w:r>
      <w:r>
        <w:rPr/>
        <w:t> </w:t>
      </w:r>
      <w:r>
        <w:rPr>
          <w:spacing w:val="6"/>
        </w:rPr>
        <w:t>则及金融工具确认政策；</w:t>
      </w:r>
    </w:p>
    <w:p>
      <w:pPr>
        <w:pStyle w:val="Heading3"/>
        <w:spacing w:line="240" w:lineRule="auto" w:before="152"/>
        <w:ind w:left="634" w:right="0"/>
        <w:jc w:val="left"/>
      </w:pPr>
      <w:r>
        <w:rPr>
          <w:spacing w:val="6"/>
        </w:rPr>
        <w:t>（</w:t>
      </w:r>
      <w:r>
        <w:rPr>
          <w:rFonts w:ascii="Arial Narrow" w:hAnsi="Arial Narrow" w:cs="Arial Narrow" w:eastAsia="Arial Narrow" w:hint="default"/>
          <w:spacing w:val="6"/>
        </w:rPr>
        <w:t>4</w:t>
      </w:r>
      <w:r>
        <w:rPr>
          <w:spacing w:val="6"/>
        </w:rPr>
        <w:t>）实施函证程序以确认理财产品的金额、收益率、期限等关键信息；</w:t>
      </w:r>
    </w:p>
    <w:p>
      <w:pPr>
        <w:pStyle w:val="Heading3"/>
        <w:spacing w:line="283" w:lineRule="auto" w:before="178"/>
        <w:ind w:right="146" w:firstLine="496"/>
        <w:jc w:val="both"/>
      </w:pPr>
      <w:r>
        <w:rPr>
          <w:spacing w:val="8"/>
        </w:rPr>
        <w:t>（</w:t>
      </w:r>
      <w:r>
        <w:rPr>
          <w:rFonts w:ascii="Arial Narrow" w:hAnsi="Arial Narrow" w:cs="Arial Narrow" w:eastAsia="Arial Narrow" w:hint="default"/>
          <w:spacing w:val="8"/>
        </w:rPr>
        <w:t>5</w:t>
      </w:r>
      <w:r>
        <w:rPr>
          <w:spacing w:val="8"/>
        </w:rPr>
        <w:t>）重新计算了理财产品投资收益，并检查了投资收益汇至顶点软件公司的</w:t>
      </w:r>
      <w:r>
        <w:rPr/>
        <w:t> </w:t>
      </w:r>
      <w:r>
        <w:rPr>
          <w:spacing w:val="6"/>
        </w:rPr>
        <w:t>银行进账单等原始凭证。</w:t>
      </w:r>
    </w:p>
    <w:p>
      <w:pPr>
        <w:pStyle w:val="Heading3"/>
        <w:spacing w:line="336" w:lineRule="auto" w:before="77"/>
        <w:ind w:left="634" w:right="0"/>
        <w:jc w:val="left"/>
      </w:pPr>
      <w:r>
        <w:rPr>
          <w:rFonts w:ascii="Microsoft JhengHei" w:hAnsi="Microsoft JhengHei" w:cs="Microsoft JhengHei" w:eastAsia="Microsoft JhengHei" w:hint="default"/>
          <w:b/>
          <w:bCs/>
          <w:spacing w:val="7"/>
        </w:rPr>
        <w:t>四、其他信息</w:t>
      </w:r>
      <w:r>
        <w:rPr>
          <w:rFonts w:ascii="Microsoft JhengHei" w:hAnsi="Microsoft JhengHei" w:cs="Microsoft JhengHei" w:eastAsia="Microsoft JhengHei" w:hint="default"/>
          <w:b/>
          <w:bCs/>
        </w:rPr>
        <w:t> </w:t>
      </w:r>
      <w:r>
        <w:rPr>
          <w:spacing w:val="6"/>
        </w:rPr>
        <w:t>顶点软件公司管理层对其他信息负责。其他信息包括顶点软件公司 </w:t>
      </w:r>
      <w:r>
        <w:rPr>
          <w:rFonts w:ascii="Arial Narrow" w:hAnsi="Arial Narrow" w:cs="Arial Narrow" w:eastAsia="Arial Narrow" w:hint="default"/>
          <w:spacing w:val="2"/>
        </w:rPr>
        <w:t>2018</w:t>
      </w:r>
      <w:r>
        <w:rPr>
          <w:rFonts w:ascii="Arial Narrow" w:hAnsi="Arial Narrow" w:cs="Arial Narrow" w:eastAsia="Arial Narrow" w:hint="default"/>
          <w:spacing w:val="58"/>
        </w:rPr>
        <w:t> </w:t>
      </w:r>
      <w:r>
        <w:rPr>
          <w:spacing w:val="9"/>
        </w:rPr>
        <w:t>年年</w:t>
      </w:r>
      <w:r>
        <w:rPr/>
      </w:r>
    </w:p>
    <w:p>
      <w:pPr>
        <w:pStyle w:val="Heading3"/>
        <w:spacing w:line="263" w:lineRule="exact" w:before="0"/>
        <w:ind w:right="0"/>
        <w:jc w:val="left"/>
      </w:pPr>
      <w:r>
        <w:rPr>
          <w:spacing w:val="6"/>
        </w:rPr>
        <w:t>度报告中涵盖的信息，但不包括财务报表和我们的审计报告。</w:t>
      </w:r>
    </w:p>
    <w:p>
      <w:pPr>
        <w:pStyle w:val="Heading3"/>
        <w:spacing w:line="297" w:lineRule="auto" w:before="194"/>
        <w:ind w:right="144" w:firstLine="496"/>
        <w:jc w:val="both"/>
      </w:pPr>
      <w:r>
        <w:rPr>
          <w:spacing w:val="4"/>
        </w:rPr>
        <w:t>我们对财务报表发表的审计意见不涵盖其他信息，我们也不对其他信息发表任</w:t>
      </w:r>
      <w:r>
        <w:rPr/>
        <w:t> </w:t>
      </w:r>
      <w:r>
        <w:rPr>
          <w:spacing w:val="6"/>
        </w:rPr>
        <w:t>何形式的鉴证结论。</w:t>
      </w:r>
    </w:p>
    <w:p>
      <w:pPr>
        <w:pStyle w:val="Heading3"/>
        <w:spacing w:line="297" w:lineRule="auto" w:before="137"/>
        <w:ind w:right="146" w:firstLine="496"/>
        <w:jc w:val="both"/>
      </w:pPr>
      <w:r>
        <w:rPr>
          <w:spacing w:val="4"/>
        </w:rPr>
        <w:t>结合我们对财务报表的审计，我们的责任是阅读其他信息，在此过程中，考虑</w:t>
      </w:r>
      <w:r>
        <w:rPr/>
        <w:t> </w:t>
      </w:r>
      <w:r>
        <w:rPr>
          <w:spacing w:val="11"/>
        </w:rPr>
        <w:t>其他信息是否与财务报表或我们在审计过程中了解到的情况存在重大不一致或者</w:t>
      </w:r>
      <w:r>
        <w:rPr>
          <w:spacing w:val="-108"/>
        </w:rPr>
        <w:t> </w:t>
      </w:r>
      <w:r>
        <w:rPr>
          <w:spacing w:val="-108"/>
        </w:rPr>
      </w:r>
      <w:r>
        <w:rPr>
          <w:spacing w:val="6"/>
        </w:rPr>
        <w:t>似乎存在重大错报。</w:t>
      </w:r>
    </w:p>
    <w:p>
      <w:pPr>
        <w:pStyle w:val="Heading3"/>
        <w:spacing w:line="297" w:lineRule="auto" w:before="137"/>
        <w:ind w:right="146" w:firstLine="496"/>
        <w:jc w:val="both"/>
      </w:pPr>
      <w:r>
        <w:rPr>
          <w:spacing w:val="4"/>
        </w:rPr>
        <w:t>基于我们已执行的工作，如果我们确定其他信息存在重大错报，我们应当报告</w:t>
      </w:r>
      <w:r>
        <w:rPr/>
        <w:t> </w:t>
      </w:r>
      <w:r>
        <w:rPr>
          <w:spacing w:val="6"/>
        </w:rPr>
        <w:t>该事实。在这方面，我们无任何事项需要报告。</w:t>
      </w:r>
    </w:p>
    <w:p>
      <w:pPr>
        <w:spacing w:line="336" w:lineRule="auto" w:before="63"/>
        <w:ind w:left="634"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pacing w:val="7"/>
          <w:sz w:val="24"/>
          <w:szCs w:val="24"/>
        </w:rPr>
        <w:t>五、管理层和治理层对财务报表的责任</w:t>
      </w:r>
      <w:r>
        <w:rPr>
          <w:rFonts w:ascii="Microsoft JhengHei" w:hAnsi="Microsoft JhengHei" w:cs="Microsoft JhengHei" w:eastAsia="Microsoft JhengHei" w:hint="default"/>
          <w:b/>
          <w:bCs/>
          <w:spacing w:val="-45"/>
          <w:sz w:val="24"/>
          <w:szCs w:val="24"/>
        </w:rPr>
        <w:t> </w:t>
      </w:r>
      <w:r>
        <w:rPr>
          <w:rFonts w:ascii="Microsoft JhengHei" w:hAnsi="Microsoft JhengHei" w:cs="Microsoft JhengHei" w:eastAsia="Microsoft JhengHei" w:hint="default"/>
          <w:b/>
          <w:bCs/>
          <w:spacing w:val="-45"/>
          <w:sz w:val="24"/>
          <w:szCs w:val="24"/>
        </w:rPr>
      </w:r>
      <w:r>
        <w:rPr>
          <w:rFonts w:ascii="宋体" w:hAnsi="宋体" w:cs="宋体" w:eastAsia="宋体" w:hint="default"/>
          <w:spacing w:val="4"/>
          <w:sz w:val="24"/>
          <w:szCs w:val="24"/>
        </w:rPr>
        <w:t>顶点软件公司管理层负责按照企业会计准则的规定编制财务报表，使其实现公</w:t>
      </w:r>
    </w:p>
    <w:p>
      <w:pPr>
        <w:pStyle w:val="Heading3"/>
        <w:spacing w:line="293" w:lineRule="exact" w:before="0"/>
        <w:ind w:right="0"/>
        <w:jc w:val="left"/>
      </w:pPr>
      <w:r>
        <w:rPr>
          <w:spacing w:val="4"/>
        </w:rPr>
        <w:t>允反映，并设计、执行和维护必要的内部控制，以使财务报表不存在由于舞弊或错</w:t>
      </w:r>
      <w:r>
        <w:rPr/>
      </w:r>
    </w:p>
    <w:p>
      <w:pPr>
        <w:pStyle w:val="Heading3"/>
        <w:spacing w:line="388" w:lineRule="auto" w:before="74"/>
        <w:ind w:left="634" w:right="0" w:hanging="497"/>
        <w:jc w:val="left"/>
      </w:pPr>
      <w:r>
        <w:rPr>
          <w:spacing w:val="6"/>
        </w:rPr>
        <w:t>误导致的重大错报。</w:t>
      </w:r>
      <w:r>
        <w:rPr>
          <w:spacing w:val="-118"/>
        </w:rPr>
        <w:t> </w:t>
      </w:r>
      <w:r>
        <w:rPr>
          <w:spacing w:val="-118"/>
        </w:rPr>
      </w:r>
      <w:r>
        <w:rPr>
          <w:spacing w:val="4"/>
        </w:rPr>
        <w:t>在编制财务报表时，管理层负责评估顶点软件公司的持续经营能力，披露与持</w:t>
      </w:r>
    </w:p>
    <w:p>
      <w:pPr>
        <w:pStyle w:val="Heading3"/>
        <w:spacing w:line="240" w:lineRule="exact" w:before="0"/>
        <w:ind w:right="0"/>
        <w:jc w:val="left"/>
      </w:pPr>
      <w:r>
        <w:rPr>
          <w:spacing w:val="4"/>
        </w:rPr>
        <w:t>续经营相关的事项（如适用），并运用持续经营假设，除非管理层计划清算顶点软</w:t>
      </w:r>
    </w:p>
    <w:p>
      <w:pPr>
        <w:pStyle w:val="Heading3"/>
        <w:spacing w:line="240" w:lineRule="auto" w:before="74"/>
        <w:ind w:right="0"/>
        <w:jc w:val="left"/>
      </w:pPr>
      <w:r>
        <w:rPr>
          <w:spacing w:val="6"/>
        </w:rPr>
        <w:t>件公司、终止运营或别无其他现实的选择。</w:t>
      </w:r>
    </w:p>
    <w:p>
      <w:pPr>
        <w:spacing w:line="331" w:lineRule="auto" w:before="194"/>
        <w:ind w:left="634" w:right="0" w:firstLine="0"/>
        <w:jc w:val="left"/>
        <w:rPr>
          <w:rFonts w:ascii="Microsoft JhengHei" w:hAnsi="Microsoft JhengHei" w:cs="Microsoft JhengHei" w:eastAsia="Microsoft JhengHei" w:hint="default"/>
          <w:sz w:val="24"/>
          <w:szCs w:val="24"/>
        </w:rPr>
      </w:pPr>
      <w:r>
        <w:rPr>
          <w:rFonts w:ascii="宋体" w:hAnsi="宋体" w:cs="宋体" w:eastAsia="宋体" w:hint="default"/>
          <w:spacing w:val="6"/>
          <w:sz w:val="24"/>
          <w:szCs w:val="24"/>
        </w:rPr>
        <w:t>治理层负责监督顶点软件公司的财务报告过程。</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Microsoft JhengHei" w:hAnsi="Microsoft JhengHei" w:cs="Microsoft JhengHei" w:eastAsia="Microsoft JhengHei" w:hint="default"/>
          <w:b/>
          <w:bCs/>
          <w:spacing w:val="7"/>
          <w:sz w:val="24"/>
          <w:szCs w:val="24"/>
        </w:rPr>
        <w:t>六、注册会计师对财务报表审计的责任</w:t>
      </w:r>
      <w:r>
        <w:rPr>
          <w:rFonts w:ascii="Microsoft JhengHei" w:hAnsi="Microsoft JhengHei" w:cs="Microsoft JhengHei" w:eastAsia="Microsoft JhengHei" w:hint="default"/>
          <w:spacing w:val="7"/>
          <w:sz w:val="24"/>
          <w:szCs w:val="24"/>
        </w:rPr>
      </w:r>
    </w:p>
    <w:p>
      <w:pPr>
        <w:spacing w:after="0" w:line="331" w:lineRule="auto"/>
        <w:jc w:val="left"/>
        <w:rPr>
          <w:rFonts w:ascii="Microsoft JhengHei" w:hAnsi="Microsoft JhengHei" w:cs="Microsoft JhengHei" w:eastAsia="Microsoft JhengHei" w:hint="default"/>
          <w:sz w:val="24"/>
          <w:szCs w:val="24"/>
        </w:rPr>
        <w:sectPr>
          <w:pgSz w:w="11910" w:h="16840"/>
          <w:pgMar w:header="877" w:footer="1195" w:top="1100" w:bottom="1380" w:left="1660" w:right="1140"/>
        </w:sectPr>
      </w:pPr>
    </w:p>
    <w:p>
      <w:pPr>
        <w:spacing w:line="240" w:lineRule="auto" w:before="11"/>
        <w:rPr>
          <w:rFonts w:ascii="Microsoft JhengHei" w:hAnsi="Microsoft JhengHei" w:cs="Microsoft JhengHei" w:eastAsia="Microsoft JhengHei" w:hint="default"/>
          <w:b/>
          <w:bCs/>
          <w:sz w:val="19"/>
          <w:szCs w:val="19"/>
        </w:rPr>
      </w:pPr>
    </w:p>
    <w:p>
      <w:pPr>
        <w:pStyle w:val="Heading3"/>
        <w:spacing w:line="297" w:lineRule="auto" w:before="26"/>
        <w:ind w:right="346" w:firstLine="496"/>
        <w:jc w:val="both"/>
      </w:pPr>
      <w:r>
        <w:rPr>
          <w:spacing w:val="11"/>
        </w:rPr>
        <w:t>我们的目标是对财务报表整体是否不存在由于舞弊或错误导致的重大错报获</w:t>
      </w:r>
      <w:r>
        <w:rPr/>
        <w:t> </w:t>
      </w:r>
      <w:r>
        <w:rPr>
          <w:spacing w:val="4"/>
        </w:rPr>
        <w:t>取合理保证，并出具包含审计意见的审计报告。合理保证是高水平的保证，但并不</w:t>
      </w:r>
      <w:r>
        <w:rPr>
          <w:spacing w:val="-114"/>
        </w:rPr>
        <w:t> </w:t>
      </w:r>
      <w:r>
        <w:rPr>
          <w:spacing w:val="-114"/>
        </w:rPr>
      </w:r>
      <w:r>
        <w:rPr>
          <w:spacing w:val="4"/>
        </w:rPr>
        <w:t>能保证按照审计准则执行的审计在某一重大错报存在时总能发现。错报可能由于舞</w:t>
      </w:r>
      <w:r>
        <w:rPr>
          <w:spacing w:val="-111"/>
        </w:rPr>
        <w:t> </w:t>
      </w:r>
      <w:r>
        <w:rPr>
          <w:spacing w:val="-111"/>
        </w:rPr>
      </w:r>
      <w:r>
        <w:rPr>
          <w:spacing w:val="4"/>
        </w:rPr>
        <w:t>弊或错误导致，如果合理预期错报单独或汇总起来可能影响财务报表使用者依据财</w:t>
      </w:r>
      <w:r>
        <w:rPr>
          <w:spacing w:val="-111"/>
        </w:rPr>
        <w:t> </w:t>
      </w:r>
      <w:r>
        <w:rPr>
          <w:spacing w:val="-111"/>
        </w:rPr>
      </w:r>
      <w:r>
        <w:rPr>
          <w:spacing w:val="6"/>
        </w:rPr>
        <w:t>务报表作出的经济决策，则通常认为错报是重大的。</w:t>
      </w:r>
    </w:p>
    <w:p>
      <w:pPr>
        <w:pStyle w:val="Heading3"/>
        <w:spacing w:line="297" w:lineRule="auto" w:before="137"/>
        <w:ind w:right="0" w:firstLine="496"/>
        <w:jc w:val="left"/>
      </w:pPr>
      <w:r>
        <w:rPr/>
        <w:t>在按照审计准则执行审计工作的过程中，我们运用职业判断，并保持职业怀疑。 </w:t>
      </w:r>
      <w:r>
        <w:rPr>
          <w:spacing w:val="6"/>
        </w:rPr>
        <w:t>同时，我们也执行以下工作：</w:t>
      </w:r>
    </w:p>
    <w:p>
      <w:pPr>
        <w:pStyle w:val="Heading3"/>
        <w:spacing w:line="292" w:lineRule="auto" w:before="137"/>
        <w:ind w:right="0" w:firstLine="496"/>
        <w:jc w:val="left"/>
      </w:pPr>
      <w:r>
        <w:rPr>
          <w:spacing w:val="8"/>
        </w:rPr>
        <w:t>（</w:t>
      </w:r>
      <w:r>
        <w:rPr>
          <w:rFonts w:ascii="Arial Narrow" w:hAnsi="Arial Narrow" w:cs="Arial Narrow" w:eastAsia="Arial Narrow" w:hint="default"/>
          <w:spacing w:val="8"/>
        </w:rPr>
        <w:t>1</w:t>
      </w:r>
      <w:r>
        <w:rPr>
          <w:spacing w:val="8"/>
        </w:rPr>
        <w:t>）识别和评估由于舞弊或错误导致的财务报表重大错报风险，设计和实施</w:t>
      </w:r>
      <w:r>
        <w:rPr/>
        <w:t> </w:t>
      </w:r>
      <w:r>
        <w:rPr>
          <w:spacing w:val="4"/>
        </w:rPr>
        <w:t>审计程序以应对这些风险，并获取充分、适当的审计证据，作为发表审计意见的基</w:t>
      </w:r>
      <w:r>
        <w:rPr>
          <w:spacing w:val="-111"/>
        </w:rPr>
        <w:t> </w:t>
      </w:r>
      <w:r>
        <w:rPr>
          <w:spacing w:val="-111"/>
        </w:rPr>
      </w:r>
      <w:r>
        <w:rPr>
          <w:spacing w:val="7"/>
        </w:rPr>
        <w:t>础。由于舞弊可能涉及串通、伪造、故意遗漏、虚假陈述或凌驾于内部控制之上，</w:t>
      </w:r>
      <w:r>
        <w:rPr>
          <w:spacing w:val="-91"/>
        </w:rPr>
        <w:t> </w:t>
      </w:r>
      <w:r>
        <w:rPr>
          <w:spacing w:val="-91"/>
        </w:rPr>
      </w:r>
      <w:r>
        <w:rPr>
          <w:spacing w:val="11"/>
        </w:rPr>
        <w:t>未能发现由于舞弊导致的重大错报的风险高于未能发现由于错误导致的重大错报</w:t>
      </w:r>
      <w:r>
        <w:rPr>
          <w:spacing w:val="-108"/>
        </w:rPr>
        <w:t> </w:t>
      </w:r>
      <w:r>
        <w:rPr>
          <w:spacing w:val="-108"/>
        </w:rPr>
      </w:r>
      <w:r>
        <w:rPr>
          <w:spacing w:val="5"/>
        </w:rPr>
        <w:t>的风险。</w:t>
      </w:r>
    </w:p>
    <w:p>
      <w:pPr>
        <w:pStyle w:val="Heading3"/>
        <w:spacing w:line="240" w:lineRule="auto" w:before="142"/>
        <w:ind w:left="634" w:right="0"/>
        <w:jc w:val="left"/>
      </w:pPr>
      <w:r>
        <w:rPr>
          <w:spacing w:val="6"/>
        </w:rPr>
        <w:t>（</w:t>
      </w:r>
      <w:r>
        <w:rPr>
          <w:rFonts w:ascii="Arial Narrow" w:hAnsi="Arial Narrow" w:cs="Arial Narrow" w:eastAsia="Arial Narrow" w:hint="default"/>
          <w:spacing w:val="6"/>
        </w:rPr>
        <w:t>2</w:t>
      </w:r>
      <w:r>
        <w:rPr>
          <w:spacing w:val="6"/>
        </w:rPr>
        <w:t>）了解与审计相关的内部控制，以设计恰当的审计程序。</w:t>
      </w:r>
    </w:p>
    <w:p>
      <w:pPr>
        <w:pStyle w:val="Heading3"/>
        <w:spacing w:line="240" w:lineRule="auto" w:before="178"/>
        <w:ind w:left="634" w:right="0"/>
        <w:jc w:val="left"/>
      </w:pPr>
      <w:r>
        <w:rPr>
          <w:spacing w:val="4"/>
        </w:rPr>
        <w:t>（</w:t>
      </w:r>
      <w:r>
        <w:rPr>
          <w:rFonts w:ascii="Arial Narrow" w:hAnsi="Arial Narrow" w:cs="Arial Narrow" w:eastAsia="Arial Narrow" w:hint="default"/>
          <w:spacing w:val="4"/>
        </w:rPr>
        <w:t>3</w:t>
      </w:r>
      <w:r>
        <w:rPr>
          <w:spacing w:val="4"/>
        </w:rPr>
        <w:t>）评价管理层选用会计政策的恰当性和作出会计估计及相关披露的合理性。</w:t>
      </w:r>
    </w:p>
    <w:p>
      <w:pPr>
        <w:pStyle w:val="Heading3"/>
        <w:spacing w:line="295" w:lineRule="auto" w:before="178"/>
        <w:ind w:right="0" w:firstLine="496"/>
        <w:jc w:val="left"/>
      </w:pPr>
      <w:r>
        <w:rPr>
          <w:spacing w:val="8"/>
        </w:rPr>
        <w:t>（</w:t>
      </w:r>
      <w:r>
        <w:rPr>
          <w:rFonts w:ascii="Arial Narrow" w:hAnsi="Arial Narrow" w:cs="Arial Narrow" w:eastAsia="Arial Narrow" w:hint="default"/>
          <w:spacing w:val="8"/>
        </w:rPr>
        <w:t>4</w:t>
      </w:r>
      <w:r>
        <w:rPr>
          <w:spacing w:val="8"/>
        </w:rPr>
        <w:t>）对管理层使用持续经营假设的恰当性得出结论。同时，根据获取的审计</w:t>
      </w:r>
      <w:r>
        <w:rPr/>
        <w:t> </w:t>
      </w:r>
      <w:r>
        <w:rPr>
          <w:spacing w:val="4"/>
        </w:rPr>
        <w:t>证据，就可能导致对顶点软件公司的持续经营能力产生重大疑虑的事项或情况是否</w:t>
      </w:r>
      <w:r>
        <w:rPr>
          <w:spacing w:val="-112"/>
        </w:rPr>
        <w:t> </w:t>
      </w:r>
      <w:r>
        <w:rPr>
          <w:spacing w:val="-112"/>
        </w:rPr>
      </w:r>
      <w:r>
        <w:rPr>
          <w:spacing w:val="4"/>
        </w:rPr>
        <w:t>存在重大不确定性得出结论。如果我们得出结论认为存在重大不确定性，审计准则</w:t>
      </w:r>
      <w:r>
        <w:rPr>
          <w:spacing w:val="-110"/>
        </w:rPr>
        <w:t> </w:t>
      </w:r>
      <w:r>
        <w:rPr>
          <w:spacing w:val="-110"/>
        </w:rPr>
      </w:r>
      <w:r>
        <w:rPr>
          <w:spacing w:val="4"/>
        </w:rPr>
        <w:t>要求我们在审计报告中提请报表使用者注意财务报表中的相关披露；如果披露不充</w:t>
      </w:r>
      <w:r>
        <w:rPr>
          <w:spacing w:val="-112"/>
        </w:rPr>
        <w:t> </w:t>
      </w:r>
      <w:r>
        <w:rPr>
          <w:spacing w:val="-112"/>
        </w:rPr>
      </w:r>
      <w:r>
        <w:rPr>
          <w:spacing w:val="7"/>
        </w:rPr>
        <w:t>分，我们应当发表非无保留意见。我们的结论基于截至审计报告日可获得的信息。</w:t>
      </w:r>
      <w:r>
        <w:rPr>
          <w:spacing w:val="-91"/>
        </w:rPr>
        <w:t> </w:t>
      </w:r>
      <w:r>
        <w:rPr>
          <w:spacing w:val="-91"/>
        </w:rPr>
      </w:r>
      <w:r>
        <w:rPr>
          <w:spacing w:val="6"/>
        </w:rPr>
        <w:t>然而，未来的事项或情况可能导致顶点软件公司不能持续经营。</w:t>
      </w:r>
    </w:p>
    <w:p>
      <w:pPr>
        <w:pStyle w:val="Heading3"/>
        <w:spacing w:line="283" w:lineRule="auto" w:before="142"/>
        <w:ind w:right="0" w:firstLine="496"/>
        <w:jc w:val="left"/>
      </w:pPr>
      <w:r>
        <w:rPr>
          <w:spacing w:val="8"/>
        </w:rPr>
        <w:t>（</w:t>
      </w:r>
      <w:r>
        <w:rPr>
          <w:rFonts w:ascii="Arial Narrow" w:hAnsi="Arial Narrow" w:cs="Arial Narrow" w:eastAsia="Arial Narrow" w:hint="default"/>
          <w:spacing w:val="8"/>
        </w:rPr>
        <w:t>5</w:t>
      </w:r>
      <w:r>
        <w:rPr>
          <w:spacing w:val="8"/>
        </w:rPr>
        <w:t>）评价财务报表的总体列报、结构和内容（包括披露），并评价财务报表</w:t>
      </w:r>
      <w:r>
        <w:rPr/>
        <w:t> </w:t>
      </w:r>
      <w:r>
        <w:rPr>
          <w:spacing w:val="6"/>
        </w:rPr>
        <w:t>是否公允反映相关交易和事项。</w:t>
      </w:r>
    </w:p>
    <w:p>
      <w:pPr>
        <w:pStyle w:val="Heading3"/>
        <w:spacing w:line="290" w:lineRule="auto"/>
        <w:ind w:right="346" w:firstLine="496"/>
        <w:jc w:val="both"/>
      </w:pPr>
      <w:r>
        <w:rPr>
          <w:spacing w:val="8"/>
        </w:rPr>
        <w:t>（</w:t>
      </w:r>
      <w:r>
        <w:rPr>
          <w:rFonts w:ascii="Arial Narrow" w:hAnsi="Arial Narrow" w:cs="Arial Narrow" w:eastAsia="Arial Narrow" w:hint="default"/>
          <w:spacing w:val="8"/>
        </w:rPr>
        <w:t>6</w:t>
      </w:r>
      <w:r>
        <w:rPr>
          <w:spacing w:val="8"/>
        </w:rPr>
        <w:t>）就顶点软件公司中实体或业务活动的财务信息获取充分、适当的审计证</w:t>
      </w:r>
      <w:r>
        <w:rPr/>
        <w:t> </w:t>
      </w:r>
      <w:r>
        <w:rPr>
          <w:spacing w:val="4"/>
        </w:rPr>
        <w:t>据，以对财务报表发表意见。我们负责指导、监督和执行集团审计，并对审计意见</w:t>
      </w:r>
      <w:r>
        <w:rPr>
          <w:spacing w:val="-112"/>
        </w:rPr>
        <w:t> </w:t>
      </w:r>
      <w:r>
        <w:rPr>
          <w:spacing w:val="-112"/>
        </w:rPr>
      </w:r>
      <w:r>
        <w:rPr>
          <w:spacing w:val="6"/>
        </w:rPr>
        <w:t>承担全部责任。</w:t>
      </w:r>
    </w:p>
    <w:p>
      <w:pPr>
        <w:pStyle w:val="Heading3"/>
        <w:spacing w:line="297" w:lineRule="auto" w:before="144"/>
        <w:ind w:right="0" w:firstLine="496"/>
        <w:jc w:val="left"/>
      </w:pPr>
      <w:r>
        <w:rPr>
          <w:spacing w:val="7"/>
        </w:rPr>
        <w:t>我们与治理层就计划的审计范围、时间安排和重大审计发现等事项进行沟通，</w:t>
      </w:r>
      <w:r>
        <w:rPr/>
        <w:t> </w:t>
      </w:r>
      <w:r>
        <w:rPr>
          <w:spacing w:val="6"/>
        </w:rPr>
        <w:t>包括沟通我们在审计中识别出的值得关注的内部控制缺陷。</w:t>
      </w:r>
    </w:p>
    <w:p>
      <w:pPr>
        <w:pStyle w:val="Heading3"/>
        <w:spacing w:line="297" w:lineRule="auto" w:before="137"/>
        <w:ind w:right="0" w:firstLine="496"/>
        <w:jc w:val="left"/>
      </w:pPr>
      <w:r>
        <w:rPr>
          <w:spacing w:val="9"/>
        </w:rPr>
        <w:t>我</w:t>
      </w:r>
      <w:r>
        <w:rPr>
          <w:spacing w:val="6"/>
        </w:rPr>
        <w:t>们还</w:t>
      </w:r>
      <w:r>
        <w:rPr>
          <w:spacing w:val="9"/>
        </w:rPr>
        <w:t>就</w:t>
      </w:r>
      <w:r>
        <w:rPr>
          <w:spacing w:val="6"/>
        </w:rPr>
        <w:t>已遵</w:t>
      </w:r>
      <w:r>
        <w:rPr>
          <w:spacing w:val="9"/>
        </w:rPr>
        <w:t>守</w:t>
      </w:r>
      <w:r>
        <w:rPr>
          <w:spacing w:val="6"/>
        </w:rPr>
        <w:t>与独</w:t>
      </w:r>
      <w:r>
        <w:rPr>
          <w:spacing w:val="9"/>
        </w:rPr>
        <w:t>立</w:t>
      </w:r>
      <w:r>
        <w:rPr>
          <w:spacing w:val="6"/>
        </w:rPr>
        <w:t>性相</w:t>
      </w:r>
      <w:r>
        <w:rPr>
          <w:spacing w:val="9"/>
        </w:rPr>
        <w:t>关</w:t>
      </w:r>
      <w:r>
        <w:rPr>
          <w:spacing w:val="6"/>
        </w:rPr>
        <w:t>的职</w:t>
      </w:r>
      <w:r>
        <w:rPr>
          <w:spacing w:val="9"/>
        </w:rPr>
        <w:t>业</w:t>
      </w:r>
      <w:r>
        <w:rPr>
          <w:spacing w:val="6"/>
        </w:rPr>
        <w:t>道德</w:t>
      </w:r>
      <w:r>
        <w:rPr>
          <w:spacing w:val="9"/>
        </w:rPr>
        <w:t>要</w:t>
      </w:r>
      <w:r>
        <w:rPr>
          <w:spacing w:val="6"/>
        </w:rPr>
        <w:t>求向</w:t>
      </w:r>
      <w:r>
        <w:rPr>
          <w:spacing w:val="9"/>
        </w:rPr>
        <w:t>治</w:t>
      </w:r>
      <w:r>
        <w:rPr>
          <w:spacing w:val="6"/>
        </w:rPr>
        <w:t>理层</w:t>
      </w:r>
      <w:r>
        <w:rPr>
          <w:spacing w:val="9"/>
        </w:rPr>
        <w:t>提</w:t>
      </w:r>
      <w:r>
        <w:rPr>
          <w:spacing w:val="6"/>
        </w:rPr>
        <w:t>供声</w:t>
      </w:r>
      <w:r>
        <w:rPr>
          <w:spacing w:val="9"/>
        </w:rPr>
        <w:t>明</w:t>
      </w:r>
      <w:r>
        <w:rPr>
          <w:spacing w:val="-89"/>
        </w:rPr>
        <w:t>，</w:t>
      </w:r>
      <w:r>
        <w:rPr>
          <w:spacing w:val="9"/>
        </w:rPr>
        <w:t>并</w:t>
      </w:r>
      <w:r>
        <w:rPr>
          <w:spacing w:val="6"/>
        </w:rPr>
        <w:t>与治</w:t>
      </w:r>
      <w:r>
        <w:rPr>
          <w:spacing w:val="9"/>
        </w:rPr>
        <w:t>理</w:t>
      </w:r>
      <w:r>
        <w:rPr/>
        <w:t>层</w:t>
      </w:r>
      <w:r>
        <w:rPr/>
        <w:t> </w:t>
      </w:r>
      <w:r>
        <w:rPr>
          <w:spacing w:val="9"/>
        </w:rPr>
        <w:t>沟</w:t>
      </w:r>
      <w:r>
        <w:rPr>
          <w:spacing w:val="6"/>
        </w:rPr>
        <w:t>通可</w:t>
      </w:r>
      <w:r>
        <w:rPr>
          <w:spacing w:val="9"/>
        </w:rPr>
        <w:t>能</w:t>
      </w:r>
      <w:r>
        <w:rPr>
          <w:spacing w:val="6"/>
        </w:rPr>
        <w:t>被合</w:t>
      </w:r>
      <w:r>
        <w:rPr>
          <w:spacing w:val="9"/>
        </w:rPr>
        <w:t>理</w:t>
      </w:r>
      <w:r>
        <w:rPr>
          <w:spacing w:val="6"/>
        </w:rPr>
        <w:t>认为</w:t>
      </w:r>
      <w:r>
        <w:rPr>
          <w:spacing w:val="9"/>
        </w:rPr>
        <w:t>影</w:t>
      </w:r>
      <w:r>
        <w:rPr>
          <w:spacing w:val="6"/>
        </w:rPr>
        <w:t>响我</w:t>
      </w:r>
      <w:r>
        <w:rPr>
          <w:spacing w:val="9"/>
        </w:rPr>
        <w:t>们</w:t>
      </w:r>
      <w:r>
        <w:rPr>
          <w:spacing w:val="6"/>
        </w:rPr>
        <w:t>独立</w:t>
      </w:r>
      <w:r>
        <w:rPr>
          <w:spacing w:val="9"/>
        </w:rPr>
        <w:t>性</w:t>
      </w:r>
      <w:r>
        <w:rPr>
          <w:spacing w:val="6"/>
        </w:rPr>
        <w:t>的所</w:t>
      </w:r>
      <w:r>
        <w:rPr>
          <w:spacing w:val="9"/>
        </w:rPr>
        <w:t>有</w:t>
      </w:r>
      <w:r>
        <w:rPr>
          <w:spacing w:val="6"/>
        </w:rPr>
        <w:t>关系</w:t>
      </w:r>
      <w:r>
        <w:rPr>
          <w:spacing w:val="9"/>
        </w:rPr>
        <w:t>和</w:t>
      </w:r>
      <w:r>
        <w:rPr>
          <w:spacing w:val="6"/>
        </w:rPr>
        <w:t>其他</w:t>
      </w:r>
      <w:r>
        <w:rPr>
          <w:spacing w:val="9"/>
        </w:rPr>
        <w:t>事项</w:t>
      </w:r>
      <w:r>
        <w:rPr>
          <w:spacing w:val="-89"/>
        </w:rPr>
        <w:t>，</w:t>
      </w:r>
      <w:r>
        <w:rPr>
          <w:spacing w:val="6"/>
        </w:rPr>
        <w:t>以</w:t>
      </w:r>
      <w:r>
        <w:rPr>
          <w:spacing w:val="9"/>
        </w:rPr>
        <w:t>及</w:t>
      </w:r>
      <w:r>
        <w:rPr>
          <w:spacing w:val="6"/>
        </w:rPr>
        <w:t>相关</w:t>
      </w:r>
      <w:r>
        <w:rPr>
          <w:spacing w:val="9"/>
        </w:rPr>
        <w:t>的</w:t>
      </w:r>
      <w:r>
        <w:rPr>
          <w:spacing w:val="6"/>
        </w:rPr>
        <w:t>防范</w:t>
      </w:r>
      <w:r>
        <w:rPr>
          <w:spacing w:val="9"/>
        </w:rPr>
        <w:t>措</w:t>
      </w:r>
      <w:r>
        <w:rPr/>
        <w:t>施</w:t>
      </w:r>
    </w:p>
    <w:p>
      <w:pPr>
        <w:pStyle w:val="Heading3"/>
        <w:spacing w:line="240" w:lineRule="auto" w:before="19"/>
        <w:ind w:right="0"/>
        <w:jc w:val="left"/>
      </w:pPr>
      <w:r>
        <w:rPr>
          <w:spacing w:val="6"/>
        </w:rPr>
        <w:t>（如适用）。</w:t>
      </w:r>
    </w:p>
    <w:p>
      <w:pPr>
        <w:pStyle w:val="Heading3"/>
        <w:spacing w:line="297" w:lineRule="auto" w:before="194"/>
        <w:ind w:right="0" w:firstLine="496"/>
        <w:jc w:val="left"/>
      </w:pPr>
      <w:r>
        <w:rPr>
          <w:spacing w:val="4"/>
        </w:rPr>
        <w:t>从与治理层沟通过的事项中，我们确定哪些事项对本期财务报表审计最为重要，</w:t>
      </w:r>
      <w:r>
        <w:rPr/>
        <w:t> </w:t>
      </w:r>
      <w:r>
        <w:rPr>
          <w:spacing w:val="4"/>
        </w:rPr>
        <w:t>因而构成关键审计事项。我们在审计报告中描述这些事项，除非法律法规禁止公开</w:t>
      </w:r>
    </w:p>
    <w:p>
      <w:pPr>
        <w:spacing w:after="0" w:line="297" w:lineRule="auto"/>
        <w:jc w:val="left"/>
        <w:sectPr>
          <w:pgSz w:w="11910" w:h="16840"/>
          <w:pgMar w:header="877" w:footer="1195" w:top="1100" w:bottom="1380" w:left="1660" w:right="940"/>
        </w:sectPr>
      </w:pPr>
    </w:p>
    <w:p>
      <w:pPr>
        <w:spacing w:line="240" w:lineRule="auto" w:before="2"/>
        <w:rPr>
          <w:rFonts w:ascii="宋体" w:hAnsi="宋体" w:cs="宋体" w:eastAsia="宋体" w:hint="default"/>
          <w:sz w:val="26"/>
          <w:szCs w:val="26"/>
        </w:rPr>
      </w:pPr>
    </w:p>
    <w:p>
      <w:pPr>
        <w:pStyle w:val="Heading3"/>
        <w:spacing w:line="300" w:lineRule="auto" w:before="26"/>
        <w:ind w:left="218" w:right="0"/>
        <w:jc w:val="left"/>
      </w:pPr>
      <w:r>
        <w:rPr>
          <w:spacing w:val="4"/>
        </w:rPr>
        <w:t>披露这些事项，或在极少数情形下，如果合理预期在审计报告中沟通某事项造成的</w:t>
      </w:r>
      <w:r>
        <w:rPr>
          <w:spacing w:val="-111"/>
        </w:rPr>
        <w:t> </w:t>
      </w:r>
      <w:r>
        <w:rPr>
          <w:spacing w:val="-111"/>
        </w:rPr>
      </w:r>
      <w:r>
        <w:rPr>
          <w:spacing w:val="4"/>
        </w:rPr>
        <w:t>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267" w:type="dxa"/>
        <w:tblLayout w:type="fixed"/>
        <w:tblCellMar>
          <w:top w:w="0" w:type="dxa"/>
          <w:left w:w="0" w:type="dxa"/>
          <w:bottom w:w="0" w:type="dxa"/>
          <w:right w:w="0" w:type="dxa"/>
        </w:tblCellMar>
        <w:tblLook w:val="01E0"/>
      </w:tblPr>
      <w:tblGrid>
        <w:gridCol w:w="3402"/>
        <w:gridCol w:w="3587"/>
      </w:tblGrid>
      <w:tr>
        <w:trPr>
          <w:trHeight w:val="1989"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pacing w:val="6"/>
                <w:sz w:val="24"/>
                <w:szCs w:val="24"/>
              </w:rPr>
              <w:t>致同会计师事务所</w:t>
            </w:r>
          </w:p>
          <w:p>
            <w:pPr>
              <w:pStyle w:val="TableParagraph"/>
              <w:spacing w:line="240" w:lineRule="auto" w:before="24"/>
              <w:ind w:left="200" w:right="0"/>
              <w:jc w:val="left"/>
              <w:rPr>
                <w:rFonts w:ascii="宋体" w:hAnsi="宋体" w:cs="宋体" w:eastAsia="宋体" w:hint="default"/>
                <w:sz w:val="24"/>
                <w:szCs w:val="24"/>
              </w:rPr>
            </w:pPr>
            <w:r>
              <w:rPr>
                <w:rFonts w:ascii="宋体" w:hAnsi="宋体" w:cs="宋体" w:eastAsia="宋体" w:hint="default"/>
                <w:spacing w:val="6"/>
                <w:sz w:val="24"/>
                <w:szCs w:val="24"/>
              </w:rPr>
              <w:t>（特殊普通合伙）</w:t>
            </w:r>
          </w:p>
        </w:tc>
        <w:tc>
          <w:tcPr>
            <w:tcW w:w="3587" w:type="dxa"/>
            <w:tcBorders>
              <w:top w:val="nil" w:sz="6" w:space="0" w:color="auto"/>
              <w:left w:val="nil" w:sz="6" w:space="0" w:color="auto"/>
              <w:bottom w:val="nil" w:sz="6" w:space="0" w:color="auto"/>
              <w:right w:val="nil" w:sz="6" w:space="0" w:color="auto"/>
            </w:tcBorders>
          </w:tcPr>
          <w:p>
            <w:pPr>
              <w:pStyle w:val="TableParagraph"/>
              <w:spacing w:line="240" w:lineRule="exact"/>
              <w:ind w:left="1248" w:right="0"/>
              <w:jc w:val="left"/>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spacing w:line="240" w:lineRule="auto" w:before="24"/>
              <w:ind w:left="1248" w:right="0"/>
              <w:jc w:val="left"/>
              <w:rPr>
                <w:rFonts w:ascii="宋体" w:hAnsi="宋体" w:cs="宋体" w:eastAsia="宋体" w:hint="default"/>
                <w:sz w:val="24"/>
                <w:szCs w:val="24"/>
              </w:rPr>
            </w:pPr>
            <w:r>
              <w:rPr>
                <w:rFonts w:ascii="宋体" w:hAnsi="宋体" w:cs="宋体" w:eastAsia="宋体" w:hint="default"/>
                <w:sz w:val="24"/>
                <w:szCs w:val="24"/>
              </w:rPr>
              <w:t>（项目合伙人）</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248"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630"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35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6" w:right="0"/>
              <w:jc w:val="left"/>
              <w:rPr>
                <w:rFonts w:ascii="宋体" w:hAnsi="宋体" w:cs="宋体" w:eastAsia="宋体" w:hint="default"/>
                <w:sz w:val="24"/>
                <w:szCs w:val="24"/>
              </w:rPr>
            </w:pPr>
            <w:r>
              <w:rPr>
                <w:rFonts w:ascii="宋体" w:hAnsi="宋体" w:cs="宋体" w:eastAsia="宋体" w:hint="default"/>
                <w:sz w:val="24"/>
                <w:szCs w:val="24"/>
              </w:rPr>
              <w:t>二Ｏ一九年四月一日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580" w:right="940"/>
        </w:sectPr>
      </w:pPr>
    </w:p>
    <w:p>
      <w:pPr>
        <w:pStyle w:val="Heading4"/>
        <w:spacing w:line="240" w:lineRule="auto" w:before="36"/>
        <w:ind w:right="-16"/>
        <w:jc w:val="left"/>
        <w:rPr>
          <w:b w:val="0"/>
          <w:bCs w:val="0"/>
        </w:rPr>
      </w:pPr>
      <w:r>
        <w:rPr/>
        <w:t>二、财务报表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spacing w:before="0"/>
        <w:ind w:left="218" w:right="38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120" w:bottom="1380" w:left="1580" w:right="940"/>
          <w:cols w:num="2" w:equalWidth="0">
            <w:col w:w="1488" w:space="2062"/>
            <w:col w:w="5840"/>
          </w:cols>
        </w:sectPr>
      </w:pPr>
    </w:p>
    <w:p>
      <w:pPr>
        <w:pStyle w:val="BodyText"/>
        <w:spacing w:line="271" w:lineRule="exact"/>
        <w:ind w:right="0"/>
        <w:jc w:val="left"/>
      </w:pPr>
      <w:r>
        <w:rPr/>
        <w:t>编制单位</w:t>
      </w:r>
      <w:r>
        <w:rPr>
          <w:rFonts w:ascii="宋体" w:hAnsi="宋体" w:cs="宋体" w:eastAsia="宋体" w:hint="default"/>
        </w:rPr>
        <w:t>:</w:t>
      </w:r>
      <w:r>
        <w:rPr>
          <w:rFonts w:ascii="宋体" w:hAnsi="宋体" w:cs="宋体" w:eastAsia="宋体" w:hint="default"/>
          <w:spacing w:val="-2"/>
        </w:rPr>
        <w:t> </w:t>
      </w:r>
      <w:r>
        <w:rPr/>
        <w:t>福建顶点软件股份有限公司</w:t>
      </w:r>
    </w:p>
    <w:p>
      <w:pPr>
        <w:pStyle w:val="BodyText"/>
        <w:tabs>
          <w:tab w:pos="946" w:val="left" w:leader="none"/>
        </w:tabs>
        <w:spacing w:line="274" w:lineRule="exact"/>
        <w:ind w:left="0" w:right="3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53"/>
        <w:gridCol w:w="950"/>
        <w:gridCol w:w="2268"/>
        <w:gridCol w:w="2266"/>
      </w:tblGrid>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457,414,432.91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366,596,590.26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22,009,392.41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17,867,104.24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417,000.64</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21,592,391.77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17,867,104.24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3,714,506.37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2,450,002.82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9,259,994.10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8,514,189.73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4,536,920.09</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6,723,842.57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53,260,407.99</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52,301,835.62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9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950"/>
        <w:gridCol w:w="2268"/>
        <w:gridCol w:w="2266"/>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580,003,100.89</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601,083,933.53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1,125,661,834.67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1,048,813,656.20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2,434,950.53</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54,719,235.65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38,782,885.33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39,028,538.69</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1,321,663.52</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1,485,621.30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129,691.96</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310,363.54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14,371,129.22</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15,059,469.92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53,751,050.57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112,005,209.57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109,389,390.66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1,237,667,044.24</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1,158,203,046.86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1,594,734.59</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1,103,508.23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138,926,785.76</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146,986,314.76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22,136,742.50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18,961,150.00</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10,523,924.16</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9,714,176.46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23,251,034.17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38,572,334.17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2,116,989.88</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2,459,976.09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198,550,211.06</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217,797,459.71</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950"/>
        <w:gridCol w:w="2268"/>
        <w:gridCol w:w="2266"/>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198,550,211.06</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217,797,459.71</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120,213,800.00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85,867,000.00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439,028,919.74</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466,682,533.24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22,599,252.00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38,503,920.00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55,804,601.80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42,933,500.00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444,724,729.59</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380,752,173.85</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1,037,172,799.13</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937,731,287.09</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1,944,034.05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2,674,300.06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1,039,116,833.18</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940,405,587.15</w:t>
            </w:r>
          </w:p>
        </w:tc>
      </w:tr>
      <w:tr>
        <w:trPr>
          <w:trHeight w:val="557"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1,237,667,044.24</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1,158,203,046.86</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227"/>
        <w:jc w:val="left"/>
      </w:pPr>
      <w:r>
        <w:rPr/>
        <w:t>法定代表人：严孟宇 主管会计工作负责人：董凤良</w:t>
      </w:r>
      <w:r>
        <w:rPr>
          <w:spacing w:val="-6"/>
        </w:rPr>
        <w:t> </w:t>
      </w:r>
      <w:r>
        <w:rPr/>
        <w:t>会计机构负责人：熊婵静</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福建顶点软件股份有限公司</w:t>
      </w:r>
    </w:p>
    <w:p>
      <w:pPr>
        <w:spacing w:line="272" w:lineRule="exact" w:before="64"/>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687" w:space="40"/>
            <w:col w:w="1778" w:space="1229"/>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0"/>
        <w:gridCol w:w="1080"/>
        <w:gridCol w:w="2410"/>
        <w:gridCol w:w="2420"/>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408,675,363.56</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254,699,282.69</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21,593,779.96</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16,557,888.30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417,000.64</w:t>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21,176,779.32</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16,557,888.30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2,697,433.74</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1,265,419.79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10,225,970.15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7,789,671.29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4,268,712.47</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6,676,191.78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38,088,831.08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34,226,216.35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0"/>
        <w:gridCol w:w="1080"/>
        <w:gridCol w:w="2410"/>
        <w:gridCol w:w="2420"/>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550,002,800.39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601,083,740.44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1,031,284,178.88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915,622,218.86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106,277,750.53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101,802,800.00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39,445,975.75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23,133,352.63</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39,028,538.69</w:t>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1,312,561.55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1,470,858.93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111,811.74</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277,366.44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8,523,863.72</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9,561,975.01</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53,751,050.57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194,700,501.98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189,997,403.58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1,225,984,680.86</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1,105,619,622.44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12,512,203.02</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626,048.23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112,402,001.64</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114,408,493.87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15,122,930.50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12,279,400.00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8,097,882.40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6,773,308.89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61,052,199.04</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63,009,087.76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2,041,235.23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2,142,427.16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211,228,451.83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199,238,765.91</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0"/>
        <w:gridCol w:w="1080"/>
        <w:gridCol w:w="2410"/>
        <w:gridCol w:w="2420"/>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211,228,451.83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199,238,765.91</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120,213,800.00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85,867,000.00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439,014,165.60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466,667,779.10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22,599,252.00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38,503,920.00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55,804,601.80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42,933,500.00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422,322,913.63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349,416,497.43</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1,014,756,229.03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906,380,856.53</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1,225,984,680.86</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1,105,619,622.44</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227"/>
        <w:jc w:val="left"/>
      </w:pPr>
      <w:r>
        <w:rPr/>
        <w:t>法定代表人：严孟宇 主管会计工作负责人：董凤良</w:t>
      </w:r>
      <w:r>
        <w:rPr>
          <w:spacing w:val="-6"/>
        </w:rPr>
        <w:t> </w:t>
      </w:r>
      <w:r>
        <w:rPr/>
        <w:t>会计机构负责人：熊婵静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280"/>
        <w:gridCol w:w="1985"/>
        <w:gridCol w:w="2278"/>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295,522,213.41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243,776,725.70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295,522,213.41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243,776,725.70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215,469,456.27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165,591,116.09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76,152,585.29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51,728,254.04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4,267,738.42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3,665,687.71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32,768,149.47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29,197,043.35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44,609,808.80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35,343,398.72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61,369,666.35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49,771,599.02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-5,161,466.61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-4,607,679.58</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-5,277,331.09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-4,672,350.17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1,462,974.55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492,812.83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280"/>
        <w:gridCol w:w="1985"/>
        <w:gridCol w:w="2278"/>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21,994,019.61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15,800,979.82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24,578,992.93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13,066,725.74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434,950.53</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34,978.11</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126,660,747.79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107,053,315.17</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1,750,665.00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421,495.34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539,769.41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126,239,252.45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108,264,210.76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9,152,360.92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8,165,943.07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9"/>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spacing w:val="-1"/>
                <w:w w:val="100"/>
                <w:sz w:val="21"/>
                <w:szCs w:val="21"/>
              </w:rPr>
              <w:t>以</w:t>
            </w:r>
            <w:r>
              <w:rPr>
                <w:rFonts w:ascii="宋体" w:hAnsi="宋体" w:cs="宋体" w:eastAsia="宋体" w:hint="default"/>
                <w:spacing w:val="-2"/>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117,086,891.53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100,098,267.69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117,086,891.53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100,098,267.69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119,777,157.54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101,908,339.29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-2,690,266.01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-1,810,071.60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（一）不能重分类进损益的其他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（二）将重分类进损益的其他综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280"/>
        <w:gridCol w:w="1985"/>
        <w:gridCol w:w="2278"/>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117,086,891.53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100,098,267.69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119,777,157.54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101,908,339.29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-2,690,266.01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-1,810,071.60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1.13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0.96</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227"/>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pStyle w:val="BodyText"/>
        <w:spacing w:line="271" w:lineRule="exact"/>
        <w:ind w:right="227"/>
        <w:jc w:val="left"/>
      </w:pPr>
      <w:r>
        <w:rPr/>
        <w:t>法定代表人：严孟宇 主管会计工作负责人：董凤良</w:t>
      </w:r>
      <w:r>
        <w:rPr>
          <w:spacing w:val="-6"/>
        </w:rPr>
        <w:t> </w:t>
      </w:r>
      <w:r>
        <w:rPr/>
        <w:t>会计机构负责人：熊婵静</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280"/>
        <w:gridCol w:w="1985"/>
        <w:gridCol w:w="2278"/>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236,013,198.64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176,062,724.27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67,008,503.21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45,084,758.63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3,312,989.41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2,420,101.68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19,321,508.19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17,441,296.68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30,853,210.74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22,816,613.15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38,219,389.31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31,433,417.53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-3,158,057.00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-3,200,782.92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1,947,571.24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1,106,613.70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-5,196,592.38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-4,341,904.98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1,944,386.47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353,432.29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16,634,597.27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11,324,725.47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42,816,715.85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91,499,137.22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434,950.53</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137,962,581.43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162,537,749.92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900,000.00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501,344.26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137,562,581.43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162,936,405.66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8,851,563.43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7,497,094.65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128,711,018.00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155,439,311.01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6"/>
                <w:sz w:val="21"/>
                <w:szCs w:val="21"/>
              </w:rPr>
              <w:t>（一）持续经营净利润（净亏损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128,711,018.00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155,439,311.01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pacing w:val="-6"/>
                <w:sz w:val="21"/>
                <w:szCs w:val="21"/>
              </w:rPr>
              <w:t>（二）终止经营净利润（净亏损</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280"/>
        <w:gridCol w:w="1985"/>
        <w:gridCol w:w="2278"/>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128,711,018.00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6" w:right="0"/>
              <w:jc w:val="left"/>
              <w:rPr>
                <w:rFonts w:ascii="宋体" w:hAnsi="宋体" w:cs="宋体" w:eastAsia="宋体" w:hint="default"/>
                <w:sz w:val="21"/>
                <w:szCs w:val="21"/>
              </w:rPr>
            </w:pPr>
            <w:r>
              <w:rPr>
                <w:rFonts w:ascii="宋体"/>
                <w:sz w:val="21"/>
              </w:rPr>
              <w:t>155,439,311.01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2"/>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12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227"/>
        <w:jc w:val="left"/>
      </w:pPr>
      <w:r>
        <w:rPr/>
        <w:t>法定代表人：严孟宇 主管会计工作负责人：董凤良</w:t>
      </w:r>
      <w:r>
        <w:rPr>
          <w:spacing w:val="-6"/>
        </w:rPr>
        <w:t> </w:t>
      </w:r>
      <w:r>
        <w:rPr/>
        <w:t>会计机构负责人：熊婵静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7"/>
          <w:pgSz w:w="11910" w:h="16840"/>
          <w:pgMar w:footer="1195" w:header="877" w:top="1100" w:bottom="138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sz w:val="21"/>
              </w:rPr>
              <w:t>311,711,084.12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sz w:val="21"/>
              </w:rPr>
              <w:t>293,549,391.87</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处置以公允价值计量且其变</w:t>
            </w:r>
          </w:p>
          <w:p>
            <w:pPr>
              <w:pStyle w:val="TableParagraph"/>
              <w:spacing w:line="272" w:lineRule="exact" w:before="27"/>
              <w:ind w:left="103" w:right="293"/>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动计入当期损益的金融资产净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18,334,937.61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14,132,979.82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9,586,258.92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9,331,610.03</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339,632,280.65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317,013,981.72</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11,297,734.97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11,345,598.67</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137,386,185.11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113,783,001.55</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40,108,000.63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39,884,832.82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58,187,810.53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48,335,012.49</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246,979,731.24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213,348,445.53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92,652,549.41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103,665,536.19</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1,920,000,000.00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910,000,000.00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27,779,465.78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7,174,537.49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53,000.00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1,947,832,465.78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917,174,537.49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6,766,672.54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58,645,193.83</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1,902,000,000.00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1,510,000,000.00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1,908,766,672.54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1,568,645,193.83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39,065,793.24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-651,470,656.34</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409,436,245.00</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1,960,000.00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1910" w:h="16840"/>
          <w:pgMar w:footer="1195" w:header="877" w:top="1100" w:bottom="1380" w:left="1580" w:right="104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409,436,245.00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42,933,500.00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7,894,050.00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42,933,500.00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7,894,050.00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-40,973,500.00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401,542,195.00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90,744,842.65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-146,262,925.15</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366,571,590.26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512,834,515.41</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457,316,432.91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366,571,590.26</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227"/>
        <w:jc w:val="left"/>
      </w:pPr>
      <w:r>
        <w:rPr/>
        <w:t>法定代表人：严孟宇 主管会计工作负责人：董凤良</w:t>
      </w:r>
      <w:r>
        <w:rPr>
          <w:spacing w:val="-6"/>
        </w:rPr>
        <w:t> </w:t>
      </w:r>
      <w:r>
        <w:rPr/>
        <w:t>会计机构负责人：熊婵静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hAnsi="宋体" w:cs="宋体" w:eastAsia="宋体" w:hint="default"/>
                <w:b/>
                <w:bCs/>
                <w:spacing w:val="-1"/>
                <w:sz w:val="21"/>
                <w:szCs w:val="21"/>
              </w:rPr>
              <w:t>一、经营活动产生的现金流量：</w:t>
            </w:r>
            <w:r>
              <w:rPr>
                <w:rFonts w:ascii="宋体" w:hAnsi="宋体" w:cs="宋体" w:eastAsia="宋体" w:hint="default"/>
                <w:spacing w:val="-1"/>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257,261,269.20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217,986,317.41</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14,545,597.27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9,656,725.47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25,381,880.53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27,981,415.01</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297,188,747.00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255,624,457.89</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31,498,539.10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22,307,955.47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81,548,194.93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72,866,023.61</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31,143,372.67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27,094,081.66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43,025,391.34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110,086,203.66</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187,215,498.04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232,354,264.40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109,973,248.96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23,270,193.49</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hAnsi="宋体" w:cs="宋体" w:eastAsia="宋体" w:hint="default"/>
                <w:b/>
                <w:bCs/>
                <w:spacing w:val="-1"/>
                <w:sz w:val="21"/>
                <w:szCs w:val="21"/>
              </w:rPr>
              <w:t>二、投资活动产生的现金流量：</w:t>
            </w:r>
            <w:r>
              <w:rPr>
                <w:rFonts w:ascii="宋体" w:hAnsi="宋体" w:cs="宋体" w:eastAsia="宋体" w:hint="default"/>
                <w:spacing w:val="-1"/>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1,860,000,000.00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850,000,000.00</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46,200,191.81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85,572,893.66</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1,906,200,191.81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935,572,893.66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5,296,859.90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57,745,582.93</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1,814,040,000.00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1,513,347,800.00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1,819,336,859.90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1,571,093,382.93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86,863,331.91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-635,520,489.27</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409,436,245.00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409,436,245.00</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42,933,500.00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7,894,050.00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42,933,500.00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7,894,050.00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-42,933,500.00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401,542,195.00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153,903,080.87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-210,708,100.78</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254,699,282.69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465,407,383.47</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408,602,363.56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254,699,282.69</w:t>
            </w:r>
          </w:p>
        </w:tc>
      </w:tr>
    </w:tbl>
    <w:p>
      <w:pPr>
        <w:spacing w:line="240" w:lineRule="auto" w:before="7"/>
        <w:rPr>
          <w:rFonts w:ascii="宋体" w:hAnsi="宋体" w:cs="宋体" w:eastAsia="宋体" w:hint="default"/>
          <w:sz w:val="15"/>
          <w:szCs w:val="15"/>
        </w:rPr>
      </w:pPr>
    </w:p>
    <w:p>
      <w:pPr>
        <w:pStyle w:val="BodyText"/>
        <w:spacing w:line="240" w:lineRule="auto" w:before="36"/>
        <w:ind w:right="227"/>
        <w:jc w:val="left"/>
      </w:pPr>
      <w:r>
        <w:rPr/>
        <w:t>法定代表人：严孟宇 主管会计工作负责人：董凤良</w:t>
      </w:r>
      <w:r>
        <w:rPr>
          <w:spacing w:val="-6"/>
        </w:rPr>
        <w:t> </w:t>
      </w:r>
      <w:r>
        <w:rPr/>
        <w:t>会计机构负责人：熊婵静</w:t>
      </w:r>
    </w:p>
    <w:p>
      <w:pPr>
        <w:spacing w:after="0" w:line="240" w:lineRule="auto"/>
        <w:jc w:val="left"/>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29"/>
          <w:footerReference w:type="default" r:id="rId30"/>
          <w:pgSz w:w="16840" w:h="11910" w:orient="landscape"/>
          <w:pgMar w:header="882" w:footer="1195" w:top="1120" w:bottom="1380" w:left="1300" w:right="1220"/>
          <w:pgNumType w:start="74"/>
        </w:sectPr>
      </w:pPr>
    </w:p>
    <w:p>
      <w:pPr>
        <w:spacing w:before="36"/>
        <w:ind w:left="638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220"/>
          <w:cols w:num="2" w:equalWidth="0">
            <w:col w:w="8206" w:space="40"/>
            <w:col w:w="6074"/>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0"/>
        <w:gridCol w:w="1476"/>
        <w:gridCol w:w="396"/>
        <w:gridCol w:w="397"/>
        <w:gridCol w:w="396"/>
        <w:gridCol w:w="1476"/>
        <w:gridCol w:w="1476"/>
        <w:gridCol w:w="396"/>
        <w:gridCol w:w="396"/>
        <w:gridCol w:w="1387"/>
        <w:gridCol w:w="396"/>
        <w:gridCol w:w="1477"/>
        <w:gridCol w:w="1385"/>
        <w:gridCol w:w="1656"/>
      </w:tblGrid>
      <w:tr>
        <w:trPr>
          <w:trHeight w:val="250" w:hRule="exact"/>
        </w:trPr>
        <w:tc>
          <w:tcPr>
            <w:tcW w:w="1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1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380" w:type="dxa"/>
            <w:vMerge/>
            <w:tcBorders>
              <w:left w:val="single" w:sz="4" w:space="0" w:color="000000"/>
              <w:right w:val="single" w:sz="4" w:space="0" w:color="000000"/>
            </w:tcBorders>
          </w:tcPr>
          <w:p>
            <w:pPr/>
          </w:p>
        </w:tc>
        <w:tc>
          <w:tcPr>
            <w:tcW w:w="96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4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9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380" w:type="dxa"/>
            <w:vMerge/>
            <w:tcBorders>
              <w:left w:val="single" w:sz="4" w:space="0" w:color="000000"/>
              <w:right w:val="single" w:sz="4" w:space="0" w:color="000000"/>
            </w:tcBorders>
          </w:tcPr>
          <w:p>
            <w:pP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05" w:right="98"/>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01"/>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5"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961" w:hRule="exact"/>
        </w:trPr>
        <w:tc>
          <w:tcPr>
            <w:tcW w:w="1380"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9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9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5"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147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47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85,867,000.00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466,682,533.24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38,503,920.00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42,933,500.00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380,752,173.85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2,674,300.06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940,405,587.15</w:t>
            </w:r>
          </w:p>
        </w:tc>
      </w:tr>
      <w:tr>
        <w:trPr>
          <w:trHeight w:val="475"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85,867,000.00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466,682,533.24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38,503,920.00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42,933,500.00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380,752,173.85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2,674,300.06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940,405,587.15</w:t>
            </w:r>
          </w:p>
        </w:tc>
      </w:tr>
      <w:tr>
        <w:trPr>
          <w:trHeight w:val="943"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三、本期增减</w:t>
            </w:r>
          </w:p>
          <w:p>
            <w:pPr>
              <w:pStyle w:val="TableParagraph"/>
              <w:spacing w:line="237" w:lineRule="auto"/>
              <w:ind w:left="103" w:right="185"/>
              <w:jc w:val="both"/>
              <w:rPr>
                <w:rFonts w:ascii="宋体" w:hAnsi="宋体" w:cs="宋体" w:eastAsia="宋体" w:hint="default"/>
                <w:sz w:val="18"/>
                <w:szCs w:val="18"/>
              </w:rPr>
            </w:pPr>
            <w:r>
              <w:rPr>
                <w:rFonts w:ascii="宋体" w:hAnsi="宋体" w:cs="宋体" w:eastAsia="宋体" w:hint="default"/>
                <w:sz w:val="18"/>
                <w:szCs w:val="18"/>
              </w:rPr>
              <w:t>变动金额（减 少以“－”号 填列）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34,346,800.00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-27,653,613.50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-15,904,668.00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12,871,101.80</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63,972,555.74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-730,266.01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98,711,246.03</w:t>
            </w:r>
          </w:p>
        </w:tc>
      </w:tr>
      <w:tr>
        <w:trPr>
          <w:trHeight w:val="47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119,777,157.54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-2,690,266.01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117,086,891.53</w:t>
            </w:r>
          </w:p>
        </w:tc>
      </w:tr>
      <w:tr>
        <w:trPr>
          <w:trHeight w:val="711"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w:t>
            </w:r>
          </w:p>
          <w:p>
            <w:pPr>
              <w:pStyle w:val="TableParagraph"/>
              <w:spacing w:line="240" w:lineRule="auto"/>
              <w:ind w:left="103" w:right="185"/>
              <w:jc w:val="left"/>
              <w:rPr>
                <w:rFonts w:ascii="宋体" w:hAnsi="宋体" w:cs="宋体" w:eastAsia="宋体" w:hint="default"/>
                <w:sz w:val="18"/>
                <w:szCs w:val="18"/>
              </w:rPr>
            </w:pPr>
            <w:r>
              <w:rPr>
                <w:rFonts w:ascii="宋体" w:hAnsi="宋体" w:cs="宋体" w:eastAsia="宋体" w:hint="default"/>
                <w:sz w:val="18"/>
                <w:szCs w:val="18"/>
              </w:rPr>
              <w:t>投入和减少资 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6,693,186.50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-15,904,668.00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1,960,000.00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24,557,854.50</w:t>
            </w:r>
          </w:p>
        </w:tc>
      </w:tr>
      <w:tr>
        <w:trPr>
          <w:trHeight w:val="47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的普通股</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1,960,000.00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1,960,000.00</w:t>
            </w:r>
          </w:p>
        </w:tc>
      </w:tr>
      <w:tr>
        <w:trPr>
          <w:trHeight w:val="242"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0"/>
        <w:gridCol w:w="1476"/>
        <w:gridCol w:w="396"/>
        <w:gridCol w:w="397"/>
        <w:gridCol w:w="396"/>
        <w:gridCol w:w="1476"/>
        <w:gridCol w:w="1476"/>
        <w:gridCol w:w="396"/>
        <w:gridCol w:w="396"/>
        <w:gridCol w:w="1387"/>
        <w:gridCol w:w="396"/>
        <w:gridCol w:w="1477"/>
        <w:gridCol w:w="1385"/>
        <w:gridCol w:w="1656"/>
      </w:tblGrid>
      <w:tr>
        <w:trPr>
          <w:trHeight w:val="475"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w:t>
            </w:r>
          </w:p>
          <w:p>
            <w:pPr>
              <w:pStyle w:val="TableParagraph"/>
              <w:spacing w:line="232" w:lineRule="exact" w:before="23"/>
              <w:ind w:left="103" w:right="185"/>
              <w:jc w:val="left"/>
              <w:rPr>
                <w:rFonts w:ascii="宋体" w:hAnsi="宋体" w:cs="宋体" w:eastAsia="宋体" w:hint="default"/>
                <w:sz w:val="18"/>
                <w:szCs w:val="18"/>
              </w:rPr>
            </w:pPr>
            <w:r>
              <w:rPr>
                <w:rFonts w:ascii="宋体" w:hAnsi="宋体" w:cs="宋体" w:eastAsia="宋体" w:hint="default"/>
                <w:sz w:val="18"/>
                <w:szCs w:val="18"/>
              </w:rPr>
              <w:t>入所有者权益 的金额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6,693,186.50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-15,904,668.00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22,597,854.50</w:t>
            </w:r>
          </w:p>
        </w:tc>
      </w:tr>
      <w:tr>
        <w:trPr>
          <w:trHeight w:val="245"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12,871,101.80</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-55,804,601.80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-42,933,500.00</w:t>
            </w:r>
          </w:p>
        </w:tc>
      </w:tr>
      <w:tr>
        <w:trPr>
          <w:trHeight w:val="47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sz w:val="18"/>
              </w:rPr>
              <w:t>12,871,101.80</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-12,871,101.80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-42,933,500.00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-42,933,500.00</w:t>
            </w:r>
          </w:p>
        </w:tc>
      </w:tr>
      <w:tr>
        <w:trPr>
          <w:trHeight w:val="71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p>
          <w:p>
            <w:pPr>
              <w:pStyle w:val="TableParagraph"/>
              <w:spacing w:line="240" w:lineRule="auto"/>
              <w:ind w:left="103" w:right="185"/>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权益内部结转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34,346,800.00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-34,346,800.00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w:t>
            </w:r>
          </w:p>
          <w:p>
            <w:pPr>
              <w:pStyle w:val="TableParagraph"/>
              <w:spacing w:line="240" w:lineRule="auto"/>
              <w:ind w:left="103" w:right="185"/>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34,346,800.00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-34,346,800.00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w:t>
            </w:r>
          </w:p>
          <w:p>
            <w:pPr>
              <w:pStyle w:val="TableParagraph"/>
              <w:spacing w:line="240" w:lineRule="auto"/>
              <w:ind w:left="103" w:right="185"/>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w:t>
            </w:r>
          </w:p>
          <w:p>
            <w:pPr>
              <w:pStyle w:val="TableParagraph"/>
              <w:spacing w:line="232" w:lineRule="exact" w:before="23"/>
              <w:ind w:left="103" w:right="185"/>
              <w:jc w:val="left"/>
              <w:rPr>
                <w:rFonts w:ascii="宋体" w:hAnsi="宋体" w:cs="宋体" w:eastAsia="宋体" w:hint="default"/>
                <w:sz w:val="18"/>
                <w:szCs w:val="18"/>
              </w:rPr>
            </w:pPr>
            <w:r>
              <w:rPr>
                <w:rFonts w:ascii="宋体" w:hAnsi="宋体" w:cs="宋体" w:eastAsia="宋体" w:hint="default"/>
                <w:sz w:val="18"/>
                <w:szCs w:val="18"/>
              </w:rPr>
              <w:t>划变动额结转 留存收益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120,213,800.00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439,028,919.74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22,599,252.00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55,804,601.80</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444,724,729.59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1,944,034.05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1,039,116,833.18</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0"/>
        <w:gridCol w:w="1476"/>
        <w:gridCol w:w="396"/>
        <w:gridCol w:w="397"/>
        <w:gridCol w:w="396"/>
        <w:gridCol w:w="1476"/>
        <w:gridCol w:w="1476"/>
        <w:gridCol w:w="396"/>
        <w:gridCol w:w="396"/>
        <w:gridCol w:w="1387"/>
        <w:gridCol w:w="396"/>
        <w:gridCol w:w="1477"/>
        <w:gridCol w:w="1385"/>
        <w:gridCol w:w="1656"/>
      </w:tblGrid>
      <w:tr>
        <w:trPr>
          <w:trHeight w:val="242"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532"/>
        <w:gridCol w:w="1387"/>
        <w:gridCol w:w="427"/>
        <w:gridCol w:w="433"/>
        <w:gridCol w:w="430"/>
        <w:gridCol w:w="1478"/>
        <w:gridCol w:w="1385"/>
        <w:gridCol w:w="432"/>
        <w:gridCol w:w="430"/>
        <w:gridCol w:w="1387"/>
        <w:gridCol w:w="432"/>
        <w:gridCol w:w="1477"/>
        <w:gridCol w:w="1385"/>
        <w:gridCol w:w="1476"/>
      </w:tblGrid>
      <w:tr>
        <w:trPr>
          <w:trHeight w:val="250" w:hRule="exact"/>
        </w:trPr>
        <w:tc>
          <w:tcPr>
            <w:tcW w:w="1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5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1532" w:type="dxa"/>
            <w:vMerge/>
            <w:tcBorders>
              <w:left w:val="single" w:sz="4" w:space="0" w:color="000000"/>
              <w:right w:val="single" w:sz="4" w:space="0" w:color="000000"/>
            </w:tcBorders>
          </w:tcPr>
          <w:p>
            <w:pPr/>
          </w:p>
        </w:tc>
        <w:tc>
          <w:tcPr>
            <w:tcW w:w="969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532" w:type="dxa"/>
            <w:vMerge/>
            <w:tcBorders>
              <w:left w:val="single" w:sz="4" w:space="0" w:color="000000"/>
              <w:right w:val="single" w:sz="4" w:space="0" w:color="000000"/>
            </w:tcBorders>
          </w:tcPr>
          <w:p>
            <w:pP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4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32" w:type="dxa"/>
            <w:vMerge w:val="restart"/>
            <w:tcBorders>
              <w:top w:val="single" w:sz="4" w:space="0" w:color="000000"/>
              <w:left w:val="single" w:sz="4" w:space="0" w:color="000000"/>
              <w:right w:val="single" w:sz="4" w:space="0" w:color="000000"/>
            </w:tcBorders>
          </w:tcPr>
          <w:p>
            <w:pPr>
              <w:pStyle w:val="TableParagraph"/>
              <w:spacing w:line="213" w:lineRule="exact"/>
              <w:ind w:left="122"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22" w:right="119"/>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4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20" w:right="119"/>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32" w:type="dxa"/>
            <w:vMerge w:val="restart"/>
            <w:tcBorders>
              <w:top w:val="single" w:sz="4" w:space="0" w:color="000000"/>
              <w:left w:val="single" w:sz="4" w:space="0" w:color="000000"/>
              <w:right w:val="single" w:sz="4" w:space="0" w:color="000000"/>
            </w:tcBorders>
          </w:tcPr>
          <w:p>
            <w:pPr>
              <w:pStyle w:val="TableParagraph"/>
              <w:spacing w:line="213" w:lineRule="exact"/>
              <w:ind w:left="119"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19" w:right="120"/>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5" w:type="dxa"/>
            <w:vMerge/>
            <w:tcBorders>
              <w:left w:val="single" w:sz="4" w:space="0" w:color="000000"/>
              <w:right w:val="single" w:sz="4" w:space="0" w:color="000000"/>
            </w:tcBorders>
          </w:tcPr>
          <w:p>
            <w:pPr/>
          </w:p>
        </w:tc>
        <w:tc>
          <w:tcPr>
            <w:tcW w:w="1476" w:type="dxa"/>
            <w:vMerge/>
            <w:tcBorders>
              <w:left w:val="single" w:sz="4" w:space="0" w:color="000000"/>
              <w:right w:val="single" w:sz="4" w:space="0" w:color="000000"/>
            </w:tcBorders>
          </w:tcPr>
          <w:p>
            <w:pPr/>
          </w:p>
        </w:tc>
      </w:tr>
      <w:tr>
        <w:trPr>
          <w:trHeight w:val="961" w:hRule="exact"/>
        </w:trPr>
        <w:tc>
          <w:tcPr>
            <w:tcW w:w="1532"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17" w:right="11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22" w:right="11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34" w:lineRule="exact"/>
              <w:ind w:left="120" w:right="119"/>
              <w:jc w:val="left"/>
              <w:rPr>
                <w:rFonts w:ascii="宋体" w:hAnsi="宋体" w:cs="宋体" w:eastAsia="宋体" w:hint="default"/>
                <w:sz w:val="18"/>
                <w:szCs w:val="18"/>
              </w:rPr>
            </w:pPr>
            <w:r>
              <w:rPr>
                <w:rFonts w:ascii="宋体" w:hAnsi="宋体" w:cs="宋体" w:eastAsia="宋体" w:hint="default"/>
                <w:sz w:val="18"/>
                <w:szCs w:val="18"/>
              </w:rPr>
              <w:t>其 他</w:t>
            </w:r>
          </w:p>
        </w:tc>
        <w:tc>
          <w:tcPr>
            <w:tcW w:w="1478"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c>
          <w:tcPr>
            <w:tcW w:w="430"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63,140,000.00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87,014,744.17</w:t>
            </w: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29,117,862.13</w:t>
            </w: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292,659,472.43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4,484,371.66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476,416,450.39</w:t>
            </w:r>
          </w:p>
        </w:tc>
      </w:tr>
      <w:tr>
        <w:trPr>
          <w:trHeight w:val="475"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2"/>
              <w:jc w:val="center"/>
              <w:rPr>
                <w:rFonts w:ascii="宋体" w:hAnsi="宋体" w:cs="宋体" w:eastAsia="宋体" w:hint="default"/>
                <w:sz w:val="18"/>
                <w:szCs w:val="18"/>
              </w:rPr>
            </w:pPr>
            <w:r>
              <w:rPr>
                <w:rFonts w:ascii="宋体" w:hAnsi="宋体" w:cs="宋体" w:eastAsia="宋体" w:hint="default"/>
                <w:sz w:val="18"/>
                <w:szCs w:val="18"/>
              </w:rPr>
              <w:t>其他</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63,140,000.00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87,014,744.17</w:t>
            </w: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29,117,862.13</w:t>
            </w: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292,659,472.43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4,484,371.66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476,416,450.39</w:t>
            </w:r>
          </w:p>
        </w:tc>
      </w:tr>
      <w:tr>
        <w:trPr>
          <w:trHeight w:val="710"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动金额（减少以 “－”号填列）</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22,727,000.00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379,667,789.07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38,503,920.00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13,815,637.87</w:t>
            </w: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88,092,701.42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-1,810,071.60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463,989,136.76</w:t>
            </w: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101,908,339.29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-1,810,071.60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100,098,267.69</w:t>
            </w:r>
          </w:p>
        </w:tc>
      </w:tr>
      <w:tr>
        <w:trPr>
          <w:trHeight w:val="475"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22,727,000.00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379,667,789.07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38,503,920.00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363,890,869.07</w:t>
            </w: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．所有者投入的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22,727,000.00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377,777,320.94</w:t>
            </w: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400,504,320.94</w:t>
            </w: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所有者权益的金</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center"/>
              <w:rPr>
                <w:rFonts w:ascii="宋体" w:hAnsi="宋体" w:cs="宋体" w:eastAsia="宋体" w:hint="default"/>
                <w:sz w:val="18"/>
                <w:szCs w:val="18"/>
              </w:rPr>
            </w:pPr>
            <w:r>
              <w:rPr>
                <w:rFonts w:ascii="宋体"/>
                <w:sz w:val="18"/>
              </w:rPr>
              <w:t>1,890,468.13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38,503,920.00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-36,613,451.87</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32"/>
        <w:gridCol w:w="1387"/>
        <w:gridCol w:w="427"/>
        <w:gridCol w:w="433"/>
        <w:gridCol w:w="430"/>
        <w:gridCol w:w="1478"/>
        <w:gridCol w:w="1385"/>
        <w:gridCol w:w="432"/>
        <w:gridCol w:w="430"/>
        <w:gridCol w:w="1387"/>
        <w:gridCol w:w="432"/>
        <w:gridCol w:w="1477"/>
        <w:gridCol w:w="1385"/>
        <w:gridCol w:w="1476"/>
      </w:tblGrid>
      <w:tr>
        <w:trPr>
          <w:trHeight w:val="242"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13,815,637.87</w:t>
            </w: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-13,815,637.87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．提取盈余公积</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13,815,637.87</w:t>
            </w: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-13,815,637.87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．提取一般风险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．对所有者（或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．设定受益计划</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8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85,867,000.00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466,682,533.24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38,503,920.00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42,933,500.00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380,752,173.85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2,674,300.06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940,405,587.15</w:t>
            </w:r>
          </w:p>
        </w:tc>
      </w:tr>
    </w:tbl>
    <w:p>
      <w:pPr>
        <w:pStyle w:val="BodyText"/>
        <w:spacing w:line="241" w:lineRule="exact"/>
        <w:ind w:left="224" w:right="0"/>
        <w:jc w:val="left"/>
      </w:pPr>
      <w:r>
        <w:rPr/>
        <w:t>法定代表人：严孟宇 主管会计工作负责人：董凤良</w:t>
      </w:r>
      <w:r>
        <w:rPr>
          <w:spacing w:val="-7"/>
        </w:rPr>
        <w:t> </w:t>
      </w:r>
      <w:r>
        <w:rPr/>
        <w:t>会计机构负责人：熊婵静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300" w:right="1220"/>
        </w:sectPr>
      </w:pPr>
    </w:p>
    <w:p>
      <w:pPr>
        <w:spacing w:before="36"/>
        <w:ind w:left="638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220"/>
          <w:cols w:num="2" w:equalWidth="0">
            <w:col w:w="8311" w:space="40"/>
            <w:col w:w="5969"/>
          </w:cols>
        </w:sectPr>
      </w:pP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1616"/>
        <w:gridCol w:w="1560"/>
        <w:gridCol w:w="1275"/>
        <w:gridCol w:w="1560"/>
        <w:gridCol w:w="1558"/>
        <w:gridCol w:w="994"/>
        <w:gridCol w:w="708"/>
        <w:gridCol w:w="1419"/>
        <w:gridCol w:w="1560"/>
        <w:gridCol w:w="1712"/>
      </w:tblGrid>
      <w:tr>
        <w:trPr>
          <w:trHeight w:val="242" w:hRule="exact"/>
        </w:trPr>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345"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161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其他权益工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2"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8"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bl>
    <w:p>
      <w:pPr>
        <w:spacing w:after="0" w:line="240" w:lineRule="auto"/>
        <w:jc w:val="left"/>
        <w:rPr>
          <w:rFonts w:ascii="宋体" w:hAnsi="宋体" w:cs="宋体" w:eastAsia="宋体" w:hint="default"/>
          <w:sz w:val="18"/>
          <w:szCs w:val="18"/>
        </w:rPr>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616"/>
        <w:gridCol w:w="1560"/>
        <w:gridCol w:w="425"/>
        <w:gridCol w:w="425"/>
        <w:gridCol w:w="425"/>
        <w:gridCol w:w="1560"/>
        <w:gridCol w:w="1558"/>
        <w:gridCol w:w="994"/>
        <w:gridCol w:w="708"/>
        <w:gridCol w:w="1419"/>
        <w:gridCol w:w="1560"/>
        <w:gridCol w:w="1712"/>
      </w:tblGrid>
      <w:tr>
        <w:trPr>
          <w:trHeight w:val="324" w:hRule="exact"/>
        </w:trPr>
        <w:tc>
          <w:tcPr>
            <w:tcW w:w="1616"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560" w:type="dxa"/>
            <w:vMerge w:val="restart"/>
            <w:tcBorders>
              <w:top w:val="single" w:sz="4" w:space="0" w:color="000000"/>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05" w:lineRule="exact"/>
              <w:ind w:left="31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08" w:type="dxa"/>
            <w:vMerge w:val="restart"/>
            <w:tcBorders>
              <w:top w:val="single" w:sz="4" w:space="0" w:color="000000"/>
              <w:left w:val="single" w:sz="4" w:space="0" w:color="000000"/>
              <w:right w:val="single" w:sz="4" w:space="0" w:color="000000"/>
            </w:tcBorders>
          </w:tcPr>
          <w:p>
            <w:pPr>
              <w:pStyle w:val="TableParagraph"/>
              <w:spacing w:line="205" w:lineRule="exact"/>
              <w:ind w:left="168"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419"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712" w:type="dxa"/>
            <w:vMerge w:val="restart"/>
            <w:tcBorders>
              <w:top w:val="single" w:sz="4" w:space="0" w:color="000000"/>
              <w:left w:val="single" w:sz="4" w:space="0" w:color="000000"/>
              <w:right w:val="single" w:sz="4" w:space="0" w:color="000000"/>
            </w:tcBorders>
          </w:tcPr>
          <w:p>
            <w:pPr/>
          </w:p>
        </w:tc>
      </w:tr>
      <w:tr>
        <w:trPr>
          <w:trHeight w:val="710" w:hRule="exact"/>
        </w:trPr>
        <w:tc>
          <w:tcPr>
            <w:tcW w:w="161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4"/>
              <w:ind w:left="117" w:right="116"/>
              <w:jc w:val="left"/>
              <w:rPr>
                <w:rFonts w:ascii="宋体" w:hAnsi="宋体" w:cs="宋体" w:eastAsia="宋体" w:hint="default"/>
                <w:sz w:val="18"/>
                <w:szCs w:val="18"/>
              </w:rPr>
            </w:pPr>
            <w:r>
              <w:rPr>
                <w:rFonts w:ascii="宋体" w:hAnsi="宋体" w:cs="宋体" w:eastAsia="宋体" w:hint="default"/>
                <w:sz w:val="18"/>
                <w:szCs w:val="18"/>
              </w:rPr>
              <w:t>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4"/>
              <w:ind w:left="117" w:right="115"/>
              <w:jc w:val="left"/>
              <w:rPr>
                <w:rFonts w:ascii="宋体" w:hAnsi="宋体" w:cs="宋体" w:eastAsia="宋体" w:hint="default"/>
                <w:sz w:val="18"/>
                <w:szCs w:val="18"/>
              </w:rPr>
            </w:pPr>
            <w:r>
              <w:rPr>
                <w:rFonts w:ascii="宋体" w:hAnsi="宋体" w:cs="宋体" w:eastAsia="宋体" w:hint="default"/>
                <w:sz w:val="18"/>
                <w:szCs w:val="18"/>
              </w:rPr>
              <w:t>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12" w:type="dxa"/>
            <w:vMerge/>
            <w:tcBorders>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一、上年期末余额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85,867,000.00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466,667,779.10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38,503,920.00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42,933,500.00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349,416,497.43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906,380,856.53</w:t>
            </w: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二、本年期初余额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85,867,000.00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466,667,779.10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38,503,920.00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42,933,500.00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349,416,497.43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906,380,856.53</w:t>
            </w:r>
          </w:p>
        </w:tc>
      </w:tr>
      <w:tr>
        <w:trPr>
          <w:trHeight w:val="711"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w:t>
            </w:r>
          </w:p>
          <w:p>
            <w:pPr>
              <w:pStyle w:val="TableParagraph"/>
              <w:spacing w:line="232" w:lineRule="exact" w:before="23"/>
              <w:ind w:left="103" w:right="240"/>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34,346,800.00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-27,653,613.50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-15,904,668.00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12,871,101.80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72,906,416.20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108,375,372.50</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（一）综合收益总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128,711,018.00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128,711,018.00</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6,693,186.50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-15,904,668.00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22,597,854.50</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2" w:lineRule="exact" w:before="24"/>
              <w:ind w:left="103" w:right="240"/>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6,693,186.50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-15,904,668.00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22,597,854.50</w:t>
            </w: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12,871,101.80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-55,804,601.80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-42,933,500.00</w:t>
            </w: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12,871,101.80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-12,871,101.80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-42,933,500.00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-42,933,500.00</w:t>
            </w: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34,346,800.00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-34,346,800.00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34,346,800.00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-34,346,800.00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616"/>
        <w:gridCol w:w="1560"/>
        <w:gridCol w:w="425"/>
        <w:gridCol w:w="425"/>
        <w:gridCol w:w="425"/>
        <w:gridCol w:w="1560"/>
        <w:gridCol w:w="1558"/>
        <w:gridCol w:w="994"/>
        <w:gridCol w:w="708"/>
        <w:gridCol w:w="1419"/>
        <w:gridCol w:w="1560"/>
        <w:gridCol w:w="1712"/>
      </w:tblGrid>
      <w:tr>
        <w:trPr>
          <w:trHeight w:val="47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w:t>
            </w:r>
          </w:p>
          <w:p>
            <w:pPr>
              <w:pStyle w:val="TableParagraph"/>
              <w:spacing w:line="232" w:lineRule="exact" w:before="23"/>
              <w:ind w:left="103" w:right="240"/>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四、本期期末余额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7" w:right="0"/>
              <w:jc w:val="left"/>
              <w:rPr>
                <w:rFonts w:ascii="宋体" w:hAnsi="宋体" w:cs="宋体" w:eastAsia="宋体" w:hint="default"/>
                <w:sz w:val="18"/>
                <w:szCs w:val="18"/>
              </w:rPr>
            </w:pPr>
            <w:r>
              <w:rPr>
                <w:rFonts w:ascii="宋体"/>
                <w:sz w:val="18"/>
              </w:rPr>
              <w:t>120,213,800.00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9" w:right="0"/>
              <w:jc w:val="left"/>
              <w:rPr>
                <w:rFonts w:ascii="宋体" w:hAnsi="宋体" w:cs="宋体" w:eastAsia="宋体" w:hint="default"/>
                <w:sz w:val="18"/>
                <w:szCs w:val="18"/>
              </w:rPr>
            </w:pPr>
            <w:r>
              <w:rPr>
                <w:rFonts w:ascii="宋体"/>
                <w:sz w:val="18"/>
              </w:rPr>
              <w:t>439,014,165.60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sz w:val="18"/>
              </w:rPr>
              <w:t>22,599,252.00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6" w:right="0"/>
              <w:jc w:val="left"/>
              <w:rPr>
                <w:rFonts w:ascii="宋体" w:hAnsi="宋体" w:cs="宋体" w:eastAsia="宋体" w:hint="default"/>
                <w:sz w:val="18"/>
                <w:szCs w:val="18"/>
              </w:rPr>
            </w:pPr>
            <w:r>
              <w:rPr>
                <w:rFonts w:ascii="宋体"/>
                <w:sz w:val="18"/>
              </w:rPr>
              <w:t>55,804,601.80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7" w:right="0"/>
              <w:jc w:val="left"/>
              <w:rPr>
                <w:rFonts w:ascii="宋体" w:hAnsi="宋体" w:cs="宋体" w:eastAsia="宋体" w:hint="default"/>
                <w:sz w:val="18"/>
                <w:szCs w:val="18"/>
              </w:rPr>
            </w:pPr>
            <w:r>
              <w:rPr>
                <w:rFonts w:ascii="宋体"/>
                <w:sz w:val="18"/>
              </w:rPr>
              <w:t>422,322,913.63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0" w:right="0"/>
              <w:jc w:val="left"/>
              <w:rPr>
                <w:rFonts w:ascii="宋体" w:hAnsi="宋体" w:cs="宋体" w:eastAsia="宋体" w:hint="default"/>
                <w:sz w:val="18"/>
                <w:szCs w:val="18"/>
              </w:rPr>
            </w:pPr>
            <w:r>
              <w:rPr>
                <w:rFonts w:ascii="宋体"/>
                <w:sz w:val="18"/>
              </w:rPr>
              <w:t>1,014,756,229.03</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56" w:type="dxa"/>
        <w:tblLayout w:type="fixed"/>
        <w:tblCellMar>
          <w:top w:w="0" w:type="dxa"/>
          <w:left w:w="0" w:type="dxa"/>
          <w:bottom w:w="0" w:type="dxa"/>
          <w:right w:w="0" w:type="dxa"/>
        </w:tblCellMar>
        <w:tblLook w:val="01E0"/>
      </w:tblPr>
      <w:tblGrid>
        <w:gridCol w:w="1560"/>
        <w:gridCol w:w="1560"/>
        <w:gridCol w:w="425"/>
        <w:gridCol w:w="425"/>
        <w:gridCol w:w="425"/>
        <w:gridCol w:w="1560"/>
        <w:gridCol w:w="1558"/>
        <w:gridCol w:w="994"/>
        <w:gridCol w:w="708"/>
        <w:gridCol w:w="1419"/>
        <w:gridCol w:w="1560"/>
        <w:gridCol w:w="1712"/>
      </w:tblGrid>
      <w:tr>
        <w:trPr>
          <w:trHeight w:val="250"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45"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78" w:hRule="exact"/>
        </w:trPr>
        <w:tc>
          <w:tcPr>
            <w:tcW w:w="1560" w:type="dxa"/>
            <w:vMerge/>
            <w:tcBorders>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5" w:type="dxa"/>
            <w:gridSpan w:val="3"/>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5"/>
              <w:ind w:left="309" w:right="12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5"/>
              <w:ind w:left="165"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17" w:right="11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17"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7"/>
              <w:ind w:left="117"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712" w:type="dxa"/>
            <w:vMerge/>
            <w:tcBorders>
              <w:left w:val="single" w:sz="6" w:space="0" w:color="000000"/>
              <w:bottom w:val="single" w:sz="6" w:space="0" w:color="000000"/>
              <w:right w:val="single" w:sz="6" w:space="0" w:color="000000"/>
            </w:tcBorders>
          </w:tcPr>
          <w:p>
            <w:pPr/>
          </w:p>
        </w:tc>
      </w:tr>
      <w:tr>
        <w:trPr>
          <w:trHeight w:val="483"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63,140,000.00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86,999,990.03</w:t>
            </w: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29,117,862.13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207,792,824.29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387,050,676.45</w:t>
            </w: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41"/>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63,140,000.00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86,999,990.03</w:t>
            </w: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29,117,862.13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207,792,824.29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387,050,676.45</w:t>
            </w:r>
          </w:p>
        </w:tc>
      </w:tr>
      <w:tr>
        <w:trPr>
          <w:trHeight w:val="715"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w:t>
            </w:r>
          </w:p>
          <w:p>
            <w:pPr>
              <w:pStyle w:val="TableParagraph"/>
              <w:spacing w:line="232" w:lineRule="exact" w:before="24"/>
              <w:ind w:left="101" w:right="182"/>
              <w:jc w:val="left"/>
              <w:rPr>
                <w:rFonts w:ascii="宋体" w:hAnsi="宋体" w:cs="宋体" w:eastAsia="宋体" w:hint="default"/>
                <w:sz w:val="18"/>
                <w:szCs w:val="18"/>
              </w:rPr>
            </w:pPr>
            <w:r>
              <w:rPr>
                <w:rFonts w:ascii="宋体" w:hAnsi="宋体" w:cs="宋体" w:eastAsia="宋体" w:hint="default"/>
                <w:sz w:val="18"/>
                <w:szCs w:val="18"/>
              </w:rPr>
              <w:t>动金额（减少以 “－”号填列）</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22,727,000.00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379,667,789.07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38,503,920.00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13,815,637.87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141,623,673.14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519,330,180.08</w:t>
            </w:r>
          </w:p>
        </w:tc>
      </w:tr>
      <w:tr>
        <w:trPr>
          <w:trHeight w:val="483"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155,439,311.01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155,439,311.01</w:t>
            </w: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22,727,000.00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379,667,789.07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38,503,920.00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363,890,869.07</w:t>
            </w: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22,727,000.00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377,777,320.94</w:t>
            </w: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400,504,320.94</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1560"/>
        <w:gridCol w:w="1560"/>
        <w:gridCol w:w="425"/>
        <w:gridCol w:w="425"/>
        <w:gridCol w:w="425"/>
        <w:gridCol w:w="1560"/>
        <w:gridCol w:w="1558"/>
        <w:gridCol w:w="994"/>
        <w:gridCol w:w="708"/>
        <w:gridCol w:w="1419"/>
        <w:gridCol w:w="1560"/>
        <w:gridCol w:w="1712"/>
      </w:tblGrid>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40" w:lineRule="auto"/>
              <w:ind w:left="101" w:right="182"/>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1,890,468.13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38,503,920.00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-36,613,451.87</w:t>
            </w: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13,815,637.87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-13,815,637.87</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13,815,637.87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-13,815,637.87</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w:t>
            </w:r>
          </w:p>
          <w:p>
            <w:pPr>
              <w:pStyle w:val="TableParagraph"/>
              <w:spacing w:line="240" w:lineRule="auto"/>
              <w:ind w:left="101" w:right="182"/>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sz w:val="18"/>
              </w:rPr>
              <w:t>85,867,000.00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466,667,779.10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38,503,920.00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42,933,500.00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349,416,497.43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906,380,856.53</w:t>
            </w:r>
          </w:p>
        </w:tc>
      </w:tr>
    </w:tbl>
    <w:p>
      <w:pPr>
        <w:pStyle w:val="BodyText"/>
        <w:spacing w:line="241" w:lineRule="exact"/>
        <w:ind w:left="144" w:right="0"/>
        <w:jc w:val="left"/>
      </w:pPr>
      <w:r>
        <w:rPr/>
        <w:t>法定代表人：严孟宇 主管会计工作负责人：董凤良</w:t>
      </w:r>
      <w:r>
        <w:rPr>
          <w:spacing w:val="-7"/>
        </w:rPr>
        <w:t> </w:t>
      </w:r>
      <w:r>
        <w:rPr/>
        <w:t>会计机构负责人：熊婵静</w:t>
      </w:r>
    </w:p>
    <w:p>
      <w:pPr>
        <w:spacing w:after="0" w:line="241" w:lineRule="exact"/>
        <w:jc w:val="left"/>
        <w:sectPr>
          <w:footerReference w:type="default" r:id="rId31"/>
          <w:pgSz w:w="16840" w:h="11910" w:orient="landscape"/>
          <w:pgMar w:footer="1195" w:header="882" w:top="1120" w:bottom="1380" w:left="1380" w:right="1280"/>
        </w:sectPr>
      </w:pPr>
    </w:p>
    <w:p>
      <w:pPr>
        <w:spacing w:line="240" w:lineRule="auto" w:before="4"/>
        <w:rPr>
          <w:rFonts w:ascii="宋体" w:hAnsi="宋体" w:cs="宋体" w:eastAsia="宋体" w:hint="default"/>
          <w:sz w:val="23"/>
          <w:szCs w:val="23"/>
        </w:rPr>
      </w:pPr>
    </w:p>
    <w:p>
      <w:pPr>
        <w:pStyle w:val="Heading4"/>
        <w:tabs>
          <w:tab w:pos="557" w:val="left" w:leader="none"/>
        </w:tabs>
        <w:spacing w:line="290" w:lineRule="auto" w:before="36"/>
        <w:ind w:left="137" w:right="735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79" w:val="left" w:leader="none"/>
        </w:tabs>
        <w:spacing w:line="237" w:lineRule="auto" w:before="17"/>
        <w:ind w:left="137" w:right="103"/>
        <w:jc w:val="left"/>
      </w:pPr>
      <w:r>
        <w:rPr/>
        <w:t>√适用</w:t>
        <w:tab/>
        <w:t>□不适用</w:t>
      </w:r>
      <w:r>
        <w:rPr>
          <w:w w:val="100"/>
        </w:rPr>
        <w:t> </w:t>
      </w:r>
      <w:r>
        <w:rPr>
          <w:spacing w:val="-5"/>
        </w:rPr>
        <w:t>福建顶点软件股份有限公司（以下简称本公司）是经福建省人民政府闽政体股</w:t>
      </w:r>
      <w:r>
        <w:rPr>
          <w:rFonts w:ascii="宋体" w:hAnsi="宋体" w:cs="宋体" w:eastAsia="宋体" w:hint="default"/>
          <w:spacing w:val="-5"/>
        </w:rPr>
        <w:t>[2000]25 </w:t>
      </w:r>
      <w:r>
        <w:rPr/>
        <w:t>号文批准，</w:t>
      </w:r>
      <w:r>
        <w:rPr>
          <w:spacing w:val="-95"/>
        </w:rPr>
        <w:t> </w:t>
      </w:r>
      <w:r>
        <w:rPr>
          <w:spacing w:val="-95"/>
        </w:rPr>
      </w:r>
      <w:r>
        <w:rPr/>
        <w:t>以福州顶点软件公司</w:t>
      </w:r>
      <w:r>
        <w:rPr>
          <w:spacing w:val="-49"/>
        </w:rPr>
        <w:t> </w:t>
      </w:r>
      <w:r>
        <w:rPr>
          <w:rFonts w:ascii="宋体" w:hAnsi="宋体" w:cs="宋体" w:eastAsia="宋体" w:hint="default"/>
        </w:rPr>
        <w:t>2000</w:t>
      </w:r>
      <w:r>
        <w:rPr>
          <w:rFonts w:ascii="宋体" w:hAnsi="宋体" w:cs="宋体" w:eastAsia="宋体" w:hint="default"/>
          <w:spacing w:val="-52"/>
        </w:rPr>
        <w:t> </w:t>
      </w:r>
      <w:r>
        <w:rPr/>
        <w:t>年</w:t>
      </w:r>
      <w:r>
        <w:rPr>
          <w:spacing w:val="-48"/>
        </w:rPr>
        <w:t> </w:t>
      </w:r>
      <w:r>
        <w:rPr>
          <w:rFonts w:ascii="宋体" w:hAnsi="宋体" w:cs="宋体" w:eastAsia="宋体" w:hint="default"/>
        </w:rPr>
        <w:t>7</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52"/>
        </w:rPr>
        <w:t> </w:t>
      </w:r>
      <w:r>
        <w:rPr>
          <w:spacing w:val="-4"/>
        </w:rPr>
        <w:t>日账面净资产折股变更为股份有限公司。</w:t>
      </w:r>
      <w:r>
        <w:rPr>
          <w:rFonts w:ascii="宋体" w:hAnsi="宋体" w:cs="宋体" w:eastAsia="宋体" w:hint="default"/>
          <w:spacing w:val="-4"/>
        </w:rPr>
        <w:t>2017</w:t>
      </w:r>
      <w:r>
        <w:rPr>
          <w:rFonts w:ascii="宋体" w:hAnsi="宋体" w:cs="宋体" w:eastAsia="宋体" w:hint="default"/>
          <w:spacing w:val="-49"/>
        </w:rPr>
        <w:t> </w:t>
      </w:r>
      <w:r>
        <w:rPr/>
        <w:t>年</w:t>
      </w:r>
      <w:r>
        <w:rPr>
          <w:spacing w:val="-50"/>
        </w:rPr>
        <w:t> </w:t>
      </w:r>
      <w:r>
        <w:rPr>
          <w:rFonts w:ascii="宋体" w:hAnsi="宋体" w:cs="宋体" w:eastAsia="宋体" w:hint="default"/>
        </w:rPr>
        <w:t>4</w:t>
      </w:r>
      <w:r>
        <w:rPr>
          <w:rFonts w:ascii="宋体" w:hAnsi="宋体" w:cs="宋体" w:eastAsia="宋体" w:hint="default"/>
          <w:spacing w:val="-49"/>
        </w:rPr>
        <w:t> </w:t>
      </w:r>
      <w:r>
        <w:rPr/>
        <w:t>月经中国</w:t>
      </w:r>
      <w:r>
        <w:rPr>
          <w:spacing w:val="-95"/>
        </w:rPr>
        <w:t> </w:t>
      </w:r>
      <w:r>
        <w:rPr>
          <w:spacing w:val="-95"/>
        </w:rPr>
      </w:r>
      <w:r>
        <w:rPr/>
        <w:t>证券监督管理委员会证监许可〔</w:t>
      </w:r>
      <w:r>
        <w:rPr>
          <w:rFonts w:ascii="宋体" w:hAnsi="宋体" w:cs="宋体" w:eastAsia="宋体" w:hint="default"/>
        </w:rPr>
        <w:t>2017</w:t>
      </w:r>
      <w:r>
        <w:rPr/>
        <w:t>〕</w:t>
      </w:r>
      <w:r>
        <w:rPr>
          <w:rFonts w:ascii="宋体" w:hAnsi="宋体" w:cs="宋体" w:eastAsia="宋体" w:hint="default"/>
        </w:rPr>
        <w:t>615</w:t>
      </w:r>
      <w:r>
        <w:rPr>
          <w:rFonts w:ascii="宋体" w:hAnsi="宋体" w:cs="宋体" w:eastAsia="宋体" w:hint="default"/>
          <w:spacing w:val="-54"/>
        </w:rPr>
        <w:t> </w:t>
      </w:r>
      <w:r>
        <w:rPr/>
        <w:t>号“关于核准福建顶点软件股份有限公司首次公开发</w:t>
      </w:r>
      <w:r>
        <w:rPr>
          <w:w w:val="100"/>
        </w:rPr>
        <w:t> </w:t>
      </w:r>
      <w:r>
        <w:rPr/>
        <w:t>行股票的批复”核准，本公司向社会公众发行人民币普通股（</w:t>
      </w:r>
      <w:r>
        <w:rPr>
          <w:rFonts w:ascii="宋体" w:hAnsi="宋体" w:cs="宋体" w:eastAsia="宋体" w:hint="default"/>
        </w:rPr>
        <w:t>A</w:t>
      </w:r>
      <w:r>
        <w:rPr>
          <w:rFonts w:ascii="宋体" w:hAnsi="宋体" w:cs="宋体" w:eastAsia="宋体" w:hint="default"/>
          <w:spacing w:val="-53"/>
        </w:rPr>
        <w:t> </w:t>
      </w:r>
      <w:r>
        <w:rPr/>
        <w:t>股）</w:t>
      </w:r>
      <w:r>
        <w:rPr>
          <w:rFonts w:ascii="宋体" w:hAnsi="宋体" w:cs="宋体" w:eastAsia="宋体" w:hint="default"/>
        </w:rPr>
        <w:t>2,105</w:t>
      </w:r>
      <w:r>
        <w:rPr>
          <w:rFonts w:ascii="宋体" w:hAnsi="宋体" w:cs="宋体" w:eastAsia="宋体" w:hint="default"/>
          <w:spacing w:val="-55"/>
        </w:rPr>
        <w:t> </w:t>
      </w:r>
      <w:r>
        <w:rPr/>
        <w:t>万股，每股面值</w:t>
      </w:r>
      <w:r>
        <w:rPr>
          <w:spacing w:val="-50"/>
        </w:rPr>
        <w:t> </w:t>
      </w:r>
      <w:r>
        <w:rPr>
          <w:rFonts w:ascii="宋体" w:hAnsi="宋体" w:cs="宋体" w:eastAsia="宋体" w:hint="default"/>
        </w:rPr>
        <w:t>1</w:t>
      </w:r>
      <w:r>
        <w:rPr>
          <w:rFonts w:ascii="宋体" w:hAnsi="宋体" w:cs="宋体" w:eastAsia="宋体" w:hint="default"/>
          <w:spacing w:val="-53"/>
        </w:rPr>
        <w:t> </w:t>
      </w:r>
      <w:r>
        <w:rPr/>
        <w:t>元，</w:t>
      </w:r>
      <w:r>
        <w:rPr>
          <w:spacing w:val="2"/>
          <w:w w:val="100"/>
        </w:rPr>
        <w:t> </w:t>
      </w:r>
      <w:r>
        <w:rPr/>
        <w:t>每股发行价为</w:t>
      </w:r>
      <w:r>
        <w:rPr>
          <w:spacing w:val="-53"/>
        </w:rPr>
        <w:t> </w:t>
      </w:r>
      <w:r>
        <w:rPr>
          <w:rFonts w:ascii="宋体" w:hAnsi="宋体" w:cs="宋体" w:eastAsia="宋体" w:hint="default"/>
        </w:rPr>
        <w:t>19.05</w:t>
      </w:r>
      <w:r>
        <w:rPr>
          <w:rFonts w:ascii="宋体" w:hAnsi="宋体" w:cs="宋体" w:eastAsia="宋体" w:hint="default"/>
          <w:spacing w:val="-55"/>
        </w:rPr>
        <w:t> </w:t>
      </w:r>
      <w:r>
        <w:rPr/>
        <w:t>元。本次发行后公司总股本变更为</w:t>
      </w:r>
      <w:r>
        <w:rPr>
          <w:spacing w:val="-52"/>
        </w:rPr>
        <w:t> </w:t>
      </w:r>
      <w:r>
        <w:rPr>
          <w:rFonts w:ascii="宋体" w:hAnsi="宋体" w:cs="宋体" w:eastAsia="宋体" w:hint="default"/>
        </w:rPr>
        <w:t>8,419</w:t>
      </w:r>
      <w:r>
        <w:rPr>
          <w:rFonts w:ascii="宋体" w:hAnsi="宋体" w:cs="宋体" w:eastAsia="宋体" w:hint="default"/>
          <w:spacing w:val="-55"/>
        </w:rPr>
        <w:t> </w:t>
      </w:r>
      <w:r>
        <w:rPr/>
        <w:t>万股，每股面值</w:t>
      </w:r>
      <w:r>
        <w:rPr>
          <w:spacing w:val="-53"/>
        </w:rPr>
        <w:t> </w:t>
      </w:r>
      <w:r>
        <w:rPr>
          <w:rFonts w:ascii="宋体" w:hAnsi="宋体" w:cs="宋体" w:eastAsia="宋体" w:hint="default"/>
        </w:rPr>
        <w:t>1</w:t>
      </w:r>
      <w:r>
        <w:rPr>
          <w:rFonts w:ascii="宋体" w:hAnsi="宋体" w:cs="宋体" w:eastAsia="宋体" w:hint="default"/>
          <w:spacing w:val="-53"/>
        </w:rPr>
        <w:t> </w:t>
      </w:r>
      <w:r>
        <w:rPr/>
        <w:t>元，公司注册资</w:t>
      </w:r>
    </w:p>
    <w:p>
      <w:pPr>
        <w:pStyle w:val="BodyText"/>
        <w:spacing w:line="274" w:lineRule="exact"/>
        <w:ind w:left="137" w:right="2597"/>
        <w:jc w:val="left"/>
      </w:pPr>
      <w:r>
        <w:rPr/>
        <w:t>本变更为</w:t>
      </w:r>
      <w:r>
        <w:rPr>
          <w:spacing w:val="-52"/>
        </w:rPr>
        <w:t> </w:t>
      </w:r>
      <w:r>
        <w:rPr>
          <w:rFonts w:ascii="宋体" w:hAnsi="宋体" w:cs="宋体" w:eastAsia="宋体" w:hint="default"/>
        </w:rPr>
        <w:t>8,419</w:t>
      </w:r>
      <w:r>
        <w:rPr>
          <w:rFonts w:ascii="宋体" w:hAnsi="宋体" w:cs="宋体" w:eastAsia="宋体" w:hint="default"/>
          <w:spacing w:val="-54"/>
        </w:rPr>
        <w:t> </w:t>
      </w:r>
      <w:r>
        <w:rPr/>
        <w:t>万元。</w:t>
      </w:r>
    </w:p>
    <w:p>
      <w:pPr>
        <w:pStyle w:val="BodyText"/>
        <w:spacing w:line="274" w:lineRule="exact" w:before="116"/>
        <w:ind w:left="137" w:right="100"/>
        <w:jc w:val="left"/>
        <w:rPr>
          <w:rFonts w:ascii="宋体" w:hAnsi="宋体" w:cs="宋体" w:eastAsia="宋体" w:hint="default"/>
        </w:rPr>
      </w:pPr>
      <w:r>
        <w:rPr>
          <w:rFonts w:ascii="宋体" w:hAnsi="宋体" w:cs="宋体" w:eastAsia="宋体" w:hint="default"/>
        </w:rPr>
        <w:t>2017 </w:t>
      </w:r>
      <w:r>
        <w:rPr/>
        <w:t>年 </w:t>
      </w:r>
      <w:r>
        <w:rPr>
          <w:rFonts w:ascii="宋体" w:hAnsi="宋体" w:cs="宋体" w:eastAsia="宋体" w:hint="default"/>
        </w:rPr>
        <w:t>7 </w:t>
      </w:r>
      <w:r>
        <w:rPr/>
        <w:t>月 </w:t>
      </w:r>
      <w:r>
        <w:rPr>
          <w:rFonts w:ascii="宋体" w:hAnsi="宋体" w:cs="宋体" w:eastAsia="宋体" w:hint="default"/>
        </w:rPr>
        <w:t>26 </w:t>
      </w:r>
      <w:r>
        <w:rPr/>
        <w:t>日召开 </w:t>
      </w:r>
      <w:r>
        <w:rPr>
          <w:rFonts w:ascii="宋体" w:hAnsi="宋体" w:cs="宋体" w:eastAsia="宋体" w:hint="default"/>
        </w:rPr>
        <w:t>2017</w:t>
      </w:r>
      <w:r>
        <w:rPr>
          <w:rFonts w:ascii="宋体" w:hAnsi="宋体" w:cs="宋体" w:eastAsia="宋体" w:hint="default"/>
          <w:spacing w:val="-10"/>
        </w:rPr>
        <w:t> </w:t>
      </w:r>
      <w:r>
        <w:rPr/>
        <w:t>年第三次临时股东大会审议通过了股票激励计划相关议案，</w:t>
      </w:r>
      <w:r>
        <w:rPr>
          <w:rFonts w:ascii="宋体" w:hAnsi="宋体" w:cs="宋体" w:eastAsia="宋体" w:hint="default"/>
        </w:rPr>
        <w:t>2017</w:t>
      </w:r>
    </w:p>
    <w:p>
      <w:pPr>
        <w:pStyle w:val="BodyText"/>
        <w:spacing w:line="273" w:lineRule="exact"/>
        <w:ind w:left="137" w:right="100"/>
        <w:jc w:val="left"/>
      </w:pPr>
      <w:r>
        <w:rPr/>
        <w:t>年</w:t>
      </w:r>
      <w:r>
        <w:rPr>
          <w:spacing w:val="-78"/>
        </w:rPr>
        <w:t> </w:t>
      </w:r>
      <w:r>
        <w:rPr>
          <w:rFonts w:ascii="宋体" w:hAnsi="宋体" w:cs="宋体" w:eastAsia="宋体" w:hint="default"/>
        </w:rPr>
        <w:t>7</w:t>
      </w:r>
      <w:r>
        <w:rPr>
          <w:rFonts w:ascii="宋体" w:hAnsi="宋体" w:cs="宋体" w:eastAsia="宋体" w:hint="default"/>
          <w:spacing w:val="-78"/>
        </w:rPr>
        <w:t> </w:t>
      </w:r>
      <w:r>
        <w:rPr/>
        <w:t>月</w:t>
      </w:r>
      <w:r>
        <w:rPr>
          <w:spacing w:val="-78"/>
        </w:rPr>
        <w:t> </w:t>
      </w:r>
      <w:r>
        <w:rPr>
          <w:rFonts w:ascii="宋体" w:hAnsi="宋体" w:cs="宋体" w:eastAsia="宋体" w:hint="default"/>
        </w:rPr>
        <w:t>27</w:t>
      </w:r>
      <w:r>
        <w:rPr>
          <w:rFonts w:ascii="宋体" w:hAnsi="宋体" w:cs="宋体" w:eastAsia="宋体" w:hint="default"/>
          <w:spacing w:val="-78"/>
        </w:rPr>
        <w:t> </w:t>
      </w:r>
      <w:r>
        <w:rPr/>
        <w:t>日第七届董事会第二次会议审议通过了调整公司限制性股票激励计划激励对象和授予数</w:t>
      </w:r>
    </w:p>
    <w:p>
      <w:pPr>
        <w:pStyle w:val="BodyText"/>
        <w:spacing w:line="273" w:lineRule="exact"/>
        <w:ind w:left="137" w:right="100"/>
        <w:jc w:val="left"/>
        <w:rPr>
          <w:rFonts w:ascii="宋体" w:hAnsi="宋体" w:cs="宋体" w:eastAsia="宋体" w:hint="default"/>
        </w:rPr>
      </w:pPr>
      <w:r>
        <w:rPr>
          <w:spacing w:val="-9"/>
        </w:rPr>
        <w:t>量的议案，确定授予</w:t>
      </w:r>
      <w:r>
        <w:rPr>
          <w:spacing w:val="9"/>
        </w:rPr>
        <w:t> </w:t>
      </w:r>
      <w:r>
        <w:rPr>
          <w:rFonts w:ascii="宋体" w:hAnsi="宋体" w:cs="宋体" w:eastAsia="宋体" w:hint="default"/>
        </w:rPr>
        <w:t>134</w:t>
      </w:r>
      <w:r>
        <w:rPr>
          <w:rFonts w:ascii="宋体" w:hAnsi="宋体" w:cs="宋体" w:eastAsia="宋体" w:hint="default"/>
          <w:spacing w:val="7"/>
        </w:rPr>
        <w:t> </w:t>
      </w:r>
      <w:r>
        <w:rPr/>
        <w:t>名激励对象</w:t>
      </w:r>
      <w:r>
        <w:rPr>
          <w:spacing w:val="7"/>
        </w:rPr>
        <w:t> </w:t>
      </w:r>
      <w:r>
        <w:rPr>
          <w:rFonts w:ascii="宋体" w:hAnsi="宋体" w:cs="宋体" w:eastAsia="宋体" w:hint="default"/>
        </w:rPr>
        <w:t>167.70</w:t>
      </w:r>
      <w:r>
        <w:rPr>
          <w:rFonts w:ascii="宋体" w:hAnsi="宋体" w:cs="宋体" w:eastAsia="宋体" w:hint="default"/>
          <w:spacing w:val="-51"/>
        </w:rPr>
        <w:t> </w:t>
      </w:r>
      <w:r>
        <w:rPr>
          <w:spacing w:val="-7"/>
        </w:rPr>
        <w:t>万股限制性股票，股票面值</w:t>
      </w:r>
      <w:r>
        <w:rPr>
          <w:spacing w:val="-51"/>
        </w:rPr>
        <w:t> </w:t>
      </w:r>
      <w:r>
        <w:rPr>
          <w:rFonts w:ascii="宋体" w:hAnsi="宋体" w:cs="宋体" w:eastAsia="宋体" w:hint="default"/>
        </w:rPr>
        <w:t>1</w:t>
      </w:r>
      <w:r>
        <w:rPr>
          <w:rFonts w:ascii="宋体" w:hAnsi="宋体" w:cs="宋体" w:eastAsia="宋体" w:hint="default"/>
          <w:spacing w:val="-49"/>
        </w:rPr>
        <w:t> </w:t>
      </w:r>
      <w:r>
        <w:rPr>
          <w:spacing w:val="-11"/>
        </w:rPr>
        <w:t>元，授予价格为</w:t>
      </w:r>
      <w:r>
        <w:rPr>
          <w:spacing w:val="-51"/>
        </w:rPr>
        <w:t> </w:t>
      </w:r>
      <w:r>
        <w:rPr>
          <w:rFonts w:ascii="宋体" w:hAnsi="宋体" w:cs="宋体" w:eastAsia="宋体" w:hint="default"/>
        </w:rPr>
        <w:t>22.96</w:t>
      </w:r>
    </w:p>
    <w:p>
      <w:pPr>
        <w:pStyle w:val="BodyText"/>
        <w:spacing w:line="274" w:lineRule="exact"/>
        <w:ind w:left="137" w:right="100"/>
        <w:jc w:val="left"/>
      </w:pPr>
      <w:r>
        <w:rPr/>
        <w:t>元</w:t>
      </w:r>
      <w:r>
        <w:rPr>
          <w:rFonts w:ascii="宋体" w:hAnsi="宋体" w:cs="宋体" w:eastAsia="宋体" w:hint="default"/>
        </w:rPr>
        <w:t>/</w:t>
      </w:r>
      <w:r>
        <w:rPr/>
        <w:t>股。增加注册资本人民币</w:t>
      </w:r>
      <w:r>
        <w:rPr>
          <w:spacing w:val="-56"/>
        </w:rPr>
        <w:t> </w:t>
      </w:r>
      <w:r>
        <w:rPr>
          <w:rFonts w:ascii="宋体" w:hAnsi="宋体" w:cs="宋体" w:eastAsia="宋体" w:hint="default"/>
        </w:rPr>
        <w:t>167.70</w:t>
      </w:r>
      <w:r>
        <w:rPr>
          <w:rFonts w:ascii="宋体" w:hAnsi="宋体" w:cs="宋体" w:eastAsia="宋体" w:hint="default"/>
          <w:spacing w:val="-58"/>
        </w:rPr>
        <w:t> </w:t>
      </w:r>
      <w:r>
        <w:rPr/>
        <w:t>万元，变更后的注册资本为人民币</w:t>
      </w:r>
      <w:r>
        <w:rPr>
          <w:spacing w:val="-56"/>
        </w:rPr>
        <w:t> </w:t>
      </w:r>
      <w:r>
        <w:rPr>
          <w:rFonts w:ascii="宋体" w:hAnsi="宋体" w:cs="宋体" w:eastAsia="宋体" w:hint="default"/>
        </w:rPr>
        <w:t>8,586.70</w:t>
      </w:r>
      <w:r>
        <w:rPr>
          <w:rFonts w:ascii="宋体" w:hAnsi="宋体" w:cs="宋体" w:eastAsia="宋体" w:hint="default"/>
          <w:spacing w:val="-56"/>
        </w:rPr>
        <w:t> </w:t>
      </w:r>
      <w:r>
        <w:rPr/>
        <w:t>万元。</w:t>
      </w:r>
    </w:p>
    <w:p>
      <w:pPr>
        <w:pStyle w:val="BodyText"/>
        <w:spacing w:line="274" w:lineRule="exact" w:before="116"/>
        <w:ind w:left="137" w:right="100"/>
        <w:jc w:val="left"/>
      </w:pPr>
      <w:r>
        <w:rPr>
          <w:rFonts w:ascii="宋体" w:hAnsi="宋体" w:cs="宋体" w:eastAsia="宋体" w:hint="default"/>
          <w:w w:val="100"/>
        </w:rPr>
        <w:t>2018</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5</w:t>
      </w:r>
      <w:r>
        <w:rPr>
          <w:rFonts w:ascii="宋体" w:hAnsi="宋体" w:cs="宋体" w:eastAsia="宋体" w:hint="default"/>
          <w:spacing w:val="-70"/>
        </w:rPr>
        <w:t> </w:t>
      </w:r>
      <w:r>
        <w:rPr>
          <w:w w:val="100"/>
        </w:rPr>
        <w:t>月</w:t>
      </w:r>
      <w:r>
        <w:rPr>
          <w:spacing w:val="-72"/>
        </w:rPr>
        <w:t> </w:t>
      </w:r>
      <w:r>
        <w:rPr>
          <w:rFonts w:ascii="宋体" w:hAnsi="宋体" w:cs="宋体" w:eastAsia="宋体" w:hint="default"/>
          <w:w w:val="100"/>
        </w:rPr>
        <w:t>3</w:t>
      </w:r>
      <w:r>
        <w:rPr>
          <w:rFonts w:ascii="宋体" w:hAnsi="宋体" w:cs="宋体" w:eastAsia="宋体" w:hint="default"/>
          <w:spacing w:val="-69"/>
        </w:rPr>
        <w:t> </w:t>
      </w:r>
      <w:r>
        <w:rPr>
          <w:w w:val="100"/>
        </w:rPr>
        <w:t>日</w:t>
      </w:r>
      <w:r>
        <w:rPr>
          <w:spacing w:val="-108"/>
          <w:w w:val="100"/>
        </w:rPr>
        <w:t>，</w:t>
      </w:r>
      <w:r>
        <w:rPr>
          <w:w w:val="100"/>
        </w:rPr>
        <w:t>公司</w:t>
      </w:r>
      <w:r>
        <w:rPr>
          <w:spacing w:val="-70"/>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70"/>
        </w:rPr>
        <w:t> </w:t>
      </w:r>
      <w:r>
        <w:rPr>
          <w:w w:val="100"/>
        </w:rPr>
        <w:t>年</w:t>
      </w:r>
      <w:r>
        <w:rPr>
          <w:spacing w:val="-3"/>
          <w:w w:val="100"/>
        </w:rPr>
        <w:t>度</w:t>
      </w:r>
      <w:r>
        <w:rPr>
          <w:w w:val="100"/>
        </w:rPr>
        <w:t>股</w:t>
      </w:r>
      <w:r>
        <w:rPr>
          <w:spacing w:val="-3"/>
          <w:w w:val="100"/>
        </w:rPr>
        <w:t>东</w:t>
      </w:r>
      <w:r>
        <w:rPr>
          <w:w w:val="100"/>
        </w:rPr>
        <w:t>大</w:t>
      </w:r>
      <w:r>
        <w:rPr>
          <w:spacing w:val="-3"/>
          <w:w w:val="100"/>
        </w:rPr>
        <w:t>会</w:t>
      </w:r>
      <w:r>
        <w:rPr>
          <w:w w:val="100"/>
        </w:rPr>
        <w:t>审议</w:t>
      </w:r>
      <w:r>
        <w:rPr>
          <w:spacing w:val="-3"/>
          <w:w w:val="100"/>
        </w:rPr>
        <w:t>通</w:t>
      </w:r>
      <w:r>
        <w:rPr>
          <w:w w:val="100"/>
        </w:rPr>
        <w:t>过</w:t>
      </w:r>
      <w:r>
        <w:rPr>
          <w:spacing w:val="-69"/>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70"/>
        </w:rPr>
        <w:t> </w:t>
      </w:r>
      <w:r>
        <w:rPr>
          <w:spacing w:val="-3"/>
          <w:w w:val="100"/>
        </w:rPr>
        <w:t>年</w:t>
      </w:r>
      <w:r>
        <w:rPr>
          <w:w w:val="100"/>
        </w:rPr>
        <w:t>度</w:t>
      </w:r>
      <w:r>
        <w:rPr>
          <w:spacing w:val="-3"/>
          <w:w w:val="100"/>
        </w:rPr>
        <w:t>利</w:t>
      </w:r>
      <w:r>
        <w:rPr>
          <w:w w:val="100"/>
        </w:rPr>
        <w:t>润</w:t>
      </w:r>
      <w:r>
        <w:rPr>
          <w:spacing w:val="-3"/>
          <w:w w:val="100"/>
        </w:rPr>
        <w:t>分</w:t>
      </w:r>
      <w:r>
        <w:rPr>
          <w:w w:val="100"/>
        </w:rPr>
        <w:t>配及</w:t>
      </w:r>
      <w:r>
        <w:rPr>
          <w:spacing w:val="-3"/>
          <w:w w:val="100"/>
        </w:rPr>
        <w:t>资</w:t>
      </w:r>
      <w:r>
        <w:rPr>
          <w:w w:val="100"/>
        </w:rPr>
        <w:t>本</w:t>
      </w:r>
      <w:r>
        <w:rPr>
          <w:spacing w:val="-3"/>
          <w:w w:val="100"/>
        </w:rPr>
        <w:t>公</w:t>
      </w:r>
      <w:r>
        <w:rPr>
          <w:w w:val="100"/>
        </w:rPr>
        <w:t>积转</w:t>
      </w:r>
      <w:r>
        <w:rPr>
          <w:spacing w:val="-3"/>
          <w:w w:val="100"/>
        </w:rPr>
        <w:t>增</w:t>
      </w:r>
      <w:r>
        <w:rPr>
          <w:w w:val="100"/>
        </w:rPr>
        <w:t>股</w:t>
      </w:r>
      <w:r>
        <w:rPr>
          <w:spacing w:val="-3"/>
          <w:w w:val="100"/>
        </w:rPr>
        <w:t>本</w:t>
      </w:r>
      <w:r>
        <w:rPr>
          <w:w w:val="100"/>
        </w:rPr>
        <w:t>方</w:t>
      </w:r>
      <w:r>
        <w:rPr>
          <w:spacing w:val="-3"/>
          <w:w w:val="100"/>
        </w:rPr>
        <w:t>案</w:t>
      </w:r>
      <w:r>
        <w:rPr>
          <w:w w:val="100"/>
        </w:rPr>
        <w:t>，</w:t>
      </w:r>
    </w:p>
    <w:p>
      <w:pPr>
        <w:pStyle w:val="BodyText"/>
        <w:spacing w:line="272" w:lineRule="exact"/>
        <w:ind w:left="137" w:right="0"/>
        <w:jc w:val="left"/>
      </w:pPr>
      <w:r>
        <w:rPr/>
        <w:t>以公司</w:t>
      </w:r>
      <w:r>
        <w:rPr>
          <w:spacing w:val="-52"/>
        </w:rPr>
        <w:t> </w:t>
      </w:r>
      <w:r>
        <w:rPr>
          <w:rFonts w:ascii="宋体" w:hAnsi="宋体" w:cs="宋体" w:eastAsia="宋体" w:hint="default"/>
        </w:rPr>
        <w:t>2017</w:t>
      </w:r>
      <w:r>
        <w:rPr>
          <w:rFonts w:ascii="宋体" w:hAnsi="宋体" w:cs="宋体" w:eastAsia="宋体" w:hint="default"/>
          <w:spacing w:val="-52"/>
        </w:rPr>
        <w:t> </w:t>
      </w:r>
      <w:r>
        <w:rPr/>
        <w:t>年度总股本</w:t>
      </w:r>
      <w:r>
        <w:rPr>
          <w:spacing w:val="-54"/>
        </w:rPr>
        <w:t> </w:t>
      </w:r>
      <w:r>
        <w:rPr>
          <w:rFonts w:ascii="宋体" w:hAnsi="宋体" w:cs="宋体" w:eastAsia="宋体" w:hint="default"/>
        </w:rPr>
        <w:t>85,867,000.00</w:t>
      </w:r>
      <w:r>
        <w:rPr>
          <w:rFonts w:ascii="宋体" w:hAnsi="宋体" w:cs="宋体" w:eastAsia="宋体" w:hint="default"/>
          <w:spacing w:val="-54"/>
        </w:rPr>
        <w:t> </w:t>
      </w:r>
      <w:r>
        <w:rPr/>
        <w:t>为基数，向全体股东每股派送现金股利</w:t>
      </w:r>
      <w:r>
        <w:rPr>
          <w:spacing w:val="-52"/>
        </w:rPr>
        <w:t> </w:t>
      </w:r>
      <w:r>
        <w:rPr>
          <w:rFonts w:ascii="宋体" w:hAnsi="宋体" w:cs="宋体" w:eastAsia="宋体" w:hint="default"/>
        </w:rPr>
        <w:t>0.5</w:t>
      </w:r>
      <w:r>
        <w:rPr>
          <w:rFonts w:ascii="宋体" w:hAnsi="宋体" w:cs="宋体" w:eastAsia="宋体" w:hint="default"/>
          <w:spacing w:val="-53"/>
        </w:rPr>
        <w:t> </w:t>
      </w:r>
      <w:r>
        <w:rPr/>
        <w:t>元（含税），</w:t>
      </w:r>
    </w:p>
    <w:p>
      <w:pPr>
        <w:pStyle w:val="BodyText"/>
        <w:spacing w:line="272" w:lineRule="exact"/>
        <w:ind w:left="137" w:right="100"/>
        <w:jc w:val="left"/>
      </w:pPr>
      <w:r>
        <w:rPr>
          <w:w w:val="100"/>
        </w:rPr>
        <w:t>同时</w:t>
      </w:r>
      <w:r>
        <w:rPr>
          <w:spacing w:val="-3"/>
          <w:w w:val="100"/>
        </w:rPr>
        <w:t>向</w:t>
      </w:r>
      <w:r>
        <w:rPr>
          <w:w w:val="100"/>
        </w:rPr>
        <w:t>全</w:t>
      </w:r>
      <w:r>
        <w:rPr>
          <w:spacing w:val="-3"/>
          <w:w w:val="100"/>
        </w:rPr>
        <w:t>体</w:t>
      </w:r>
      <w:r>
        <w:rPr>
          <w:w w:val="100"/>
        </w:rPr>
        <w:t>股</w:t>
      </w:r>
      <w:r>
        <w:rPr>
          <w:spacing w:val="-3"/>
          <w:w w:val="100"/>
        </w:rPr>
        <w:t>东</w:t>
      </w:r>
      <w:r>
        <w:rPr>
          <w:w w:val="100"/>
        </w:rPr>
        <w:t>以</w:t>
      </w:r>
      <w:r>
        <w:rPr>
          <w:spacing w:val="-3"/>
          <w:w w:val="100"/>
        </w:rPr>
        <w:t>资</w:t>
      </w:r>
      <w:r>
        <w:rPr>
          <w:w w:val="100"/>
        </w:rPr>
        <w:t>本</w:t>
      </w:r>
      <w:r>
        <w:rPr>
          <w:spacing w:val="-3"/>
          <w:w w:val="100"/>
        </w:rPr>
        <w:t>公</w:t>
      </w:r>
      <w:r>
        <w:rPr>
          <w:w w:val="100"/>
        </w:rPr>
        <w:t>积每</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股</w:t>
      </w:r>
      <w:r>
        <w:rPr>
          <w:w w:val="100"/>
        </w:rPr>
        <w:t>转增</w:t>
      </w:r>
      <w:r>
        <w:rPr>
          <w:spacing w:val="-55"/>
        </w:rPr>
        <w:t> </w:t>
      </w:r>
      <w:r>
        <w:rPr>
          <w:rFonts w:ascii="宋体" w:hAnsi="宋体" w:cs="宋体" w:eastAsia="宋体" w:hint="default"/>
          <w:w w:val="100"/>
        </w:rPr>
        <w:t>4</w:t>
      </w:r>
      <w:r>
        <w:rPr>
          <w:rFonts w:ascii="宋体" w:hAnsi="宋体" w:cs="宋体" w:eastAsia="宋体" w:hint="default"/>
          <w:spacing w:val="-53"/>
        </w:rPr>
        <w:t> </w:t>
      </w:r>
      <w:r>
        <w:rPr>
          <w:spacing w:val="-3"/>
          <w:w w:val="100"/>
        </w:rPr>
        <w:t>股</w:t>
      </w:r>
      <w:r>
        <w:rPr>
          <w:spacing w:val="-94"/>
          <w:w w:val="100"/>
        </w:rPr>
        <w:t>。</w:t>
      </w:r>
      <w:r>
        <w:rPr>
          <w:w w:val="100"/>
        </w:rPr>
        <w:t>该</w:t>
      </w:r>
      <w:r>
        <w:rPr>
          <w:spacing w:val="-3"/>
          <w:w w:val="100"/>
        </w:rPr>
        <w:t>利</w:t>
      </w:r>
      <w:r>
        <w:rPr>
          <w:w w:val="100"/>
        </w:rPr>
        <w:t>润分</w:t>
      </w:r>
      <w:r>
        <w:rPr>
          <w:spacing w:val="-3"/>
          <w:w w:val="100"/>
        </w:rPr>
        <w:t>配</w:t>
      </w:r>
      <w:r>
        <w:rPr>
          <w:w w:val="100"/>
        </w:rPr>
        <w:t>方</w:t>
      </w:r>
      <w:r>
        <w:rPr>
          <w:spacing w:val="-3"/>
          <w:w w:val="100"/>
        </w:rPr>
        <w:t>案</w:t>
      </w:r>
      <w:r>
        <w:rPr>
          <w:w w:val="100"/>
        </w:rPr>
        <w:t>及</w:t>
      </w:r>
      <w:r>
        <w:rPr>
          <w:spacing w:val="-3"/>
          <w:w w:val="100"/>
        </w:rPr>
        <w:t>资</w:t>
      </w:r>
      <w:r>
        <w:rPr>
          <w:w w:val="100"/>
        </w:rPr>
        <w:t>本</w:t>
      </w:r>
      <w:r>
        <w:rPr>
          <w:spacing w:val="-3"/>
          <w:w w:val="100"/>
        </w:rPr>
        <w:t>公</w:t>
      </w:r>
      <w:r>
        <w:rPr>
          <w:w w:val="100"/>
        </w:rPr>
        <w:t>积</w:t>
      </w:r>
      <w:r>
        <w:rPr>
          <w:spacing w:val="-3"/>
          <w:w w:val="100"/>
        </w:rPr>
        <w:t>转</w:t>
      </w:r>
      <w:r>
        <w:rPr>
          <w:w w:val="100"/>
        </w:rPr>
        <w:t>增股</w:t>
      </w:r>
      <w:r>
        <w:rPr>
          <w:spacing w:val="-3"/>
          <w:w w:val="100"/>
        </w:rPr>
        <w:t>本</w:t>
      </w:r>
      <w:r>
        <w:rPr>
          <w:w w:val="100"/>
        </w:rPr>
        <w:t>方</w:t>
      </w:r>
      <w:r>
        <w:rPr>
          <w:spacing w:val="-3"/>
          <w:w w:val="100"/>
        </w:rPr>
        <w:t>案</w:t>
      </w:r>
      <w:r>
        <w:rPr>
          <w:w w:val="100"/>
        </w:rPr>
        <w:t>实</w:t>
      </w:r>
      <w:r>
        <w:rPr>
          <w:spacing w:val="-3"/>
          <w:w w:val="100"/>
        </w:rPr>
        <w:t>施后</w:t>
      </w:r>
      <w:r>
        <w:rPr>
          <w:w w:val="100"/>
        </w:rPr>
        <w:t>公</w:t>
      </w:r>
    </w:p>
    <w:p>
      <w:pPr>
        <w:pStyle w:val="BodyText"/>
        <w:spacing w:line="274" w:lineRule="exact"/>
        <w:ind w:left="137" w:right="2597"/>
        <w:jc w:val="left"/>
      </w:pPr>
      <w:r>
        <w:rPr/>
        <w:t>司总股本由</w:t>
      </w:r>
      <w:r>
        <w:rPr>
          <w:spacing w:val="-53"/>
        </w:rPr>
        <w:t> </w:t>
      </w:r>
      <w:r>
        <w:rPr>
          <w:rFonts w:ascii="宋体" w:hAnsi="宋体" w:cs="宋体" w:eastAsia="宋体" w:hint="default"/>
        </w:rPr>
        <w:t>85,867,000</w:t>
      </w:r>
      <w:r>
        <w:rPr>
          <w:rFonts w:ascii="宋体" w:hAnsi="宋体" w:cs="宋体" w:eastAsia="宋体" w:hint="default"/>
          <w:spacing w:val="-55"/>
        </w:rPr>
        <w:t> </w:t>
      </w:r>
      <w:r>
        <w:rPr/>
        <w:t>股增加至</w:t>
      </w:r>
      <w:r>
        <w:rPr>
          <w:spacing w:val="-52"/>
        </w:rPr>
        <w:t> </w:t>
      </w:r>
      <w:r>
        <w:rPr>
          <w:rFonts w:ascii="宋体" w:hAnsi="宋体" w:cs="宋体" w:eastAsia="宋体" w:hint="default"/>
        </w:rPr>
        <w:t>120,213,800</w:t>
      </w:r>
      <w:r>
        <w:rPr>
          <w:rFonts w:ascii="宋体" w:hAnsi="宋体" w:cs="宋体" w:eastAsia="宋体" w:hint="default"/>
          <w:spacing w:val="-55"/>
        </w:rPr>
        <w:t> </w:t>
      </w:r>
      <w:r>
        <w:rPr/>
        <w:t>股。</w:t>
      </w:r>
    </w:p>
    <w:p>
      <w:pPr>
        <w:pStyle w:val="BodyText"/>
        <w:spacing w:line="240" w:lineRule="auto" w:before="116"/>
        <w:ind w:left="137" w:right="204"/>
        <w:jc w:val="left"/>
      </w:pPr>
      <w:r>
        <w:rPr>
          <w:spacing w:val="-2"/>
        </w:rPr>
        <w:t>本公司统一社会信用代码：</w:t>
      </w:r>
      <w:r>
        <w:rPr>
          <w:rFonts w:ascii="宋体" w:hAnsi="宋体" w:cs="宋体" w:eastAsia="宋体" w:hint="default"/>
          <w:spacing w:val="-2"/>
        </w:rPr>
        <w:t>91350000260188521B</w:t>
      </w:r>
      <w:r>
        <w:rPr>
          <w:spacing w:val="-2"/>
        </w:rPr>
        <w:t>；注册地址：福建省福州市鼓楼区铜盘路软件大</w:t>
      </w:r>
      <w:r>
        <w:rPr>
          <w:spacing w:val="-8"/>
        </w:rPr>
        <w:t> </w:t>
      </w:r>
      <w:r>
        <w:rPr>
          <w:spacing w:val="-8"/>
        </w:rPr>
      </w:r>
      <w:r>
        <w:rPr/>
        <w:t>道</w:t>
      </w:r>
      <w:r>
        <w:rPr>
          <w:spacing w:val="-52"/>
        </w:rPr>
        <w:t> </w:t>
      </w:r>
      <w:r>
        <w:rPr>
          <w:rFonts w:ascii="宋体" w:hAnsi="宋体" w:cs="宋体" w:eastAsia="宋体" w:hint="default"/>
        </w:rPr>
        <w:t>89</w:t>
      </w:r>
      <w:r>
        <w:rPr>
          <w:rFonts w:ascii="宋体" w:hAnsi="宋体" w:cs="宋体" w:eastAsia="宋体" w:hint="default"/>
          <w:spacing w:val="-54"/>
        </w:rPr>
        <w:t> </w:t>
      </w:r>
      <w:r>
        <w:rPr/>
        <w:t>号</w:t>
      </w:r>
      <w:r>
        <w:rPr>
          <w:spacing w:val="-52"/>
        </w:rPr>
        <w:t> </w:t>
      </w:r>
      <w:r>
        <w:rPr>
          <w:rFonts w:ascii="宋体" w:hAnsi="宋体" w:cs="宋体" w:eastAsia="宋体" w:hint="default"/>
        </w:rPr>
        <w:t>A</w:t>
      </w:r>
      <w:r>
        <w:rPr>
          <w:rFonts w:ascii="宋体" w:hAnsi="宋体" w:cs="宋体" w:eastAsia="宋体" w:hint="default"/>
          <w:spacing w:val="-54"/>
        </w:rPr>
        <w:t> </w:t>
      </w:r>
      <w:r>
        <w:rPr/>
        <w:t>区</w:t>
      </w:r>
      <w:r>
        <w:rPr>
          <w:spacing w:val="-52"/>
        </w:rPr>
        <w:t> </w:t>
      </w:r>
      <w:r>
        <w:rPr>
          <w:rFonts w:ascii="宋体" w:hAnsi="宋体" w:cs="宋体" w:eastAsia="宋体" w:hint="default"/>
        </w:rPr>
        <w:t>13</w:t>
      </w:r>
      <w:r>
        <w:rPr>
          <w:rFonts w:ascii="宋体" w:hAnsi="宋体" w:cs="宋体" w:eastAsia="宋体" w:hint="default"/>
          <w:spacing w:val="-54"/>
        </w:rPr>
        <w:t> </w:t>
      </w:r>
      <w:r>
        <w:rPr/>
        <w:t>号楼；公司法定代表人：严孟宇。</w:t>
      </w:r>
    </w:p>
    <w:p>
      <w:pPr>
        <w:pStyle w:val="BodyText"/>
        <w:spacing w:line="237" w:lineRule="auto" w:before="119"/>
        <w:ind w:left="137" w:right="209"/>
        <w:jc w:val="both"/>
      </w:pPr>
      <w:r>
        <w:rPr>
          <w:spacing w:val="-2"/>
        </w:rPr>
        <w:t>本公司建立了股东大会、董事会、监事会的法人治理结构，目前设事业部、核心平台研发中心、</w:t>
      </w:r>
      <w:r>
        <w:rPr>
          <w:spacing w:val="-25"/>
        </w:rPr>
        <w:t> </w:t>
      </w:r>
      <w:r>
        <w:rPr>
          <w:spacing w:val="-25"/>
        </w:rPr>
      </w:r>
      <w:r>
        <w:rPr>
          <w:spacing w:val="-2"/>
        </w:rPr>
        <w:t>财务部、人力资源部等部门，拥有福州顶点数码科技有限公司（以下简称“顶点数码公司”）、</w:t>
      </w:r>
      <w:r>
        <w:rPr>
          <w:spacing w:val="-25"/>
        </w:rPr>
        <w:t> </w:t>
      </w:r>
      <w:r>
        <w:rPr>
          <w:spacing w:val="-25"/>
        </w:rPr>
      </w:r>
      <w:r>
        <w:rPr>
          <w:spacing w:val="-2"/>
        </w:rPr>
        <w:t>北京顶点时代软件技术有限公司（以下简称“北京顶点公司”）、上海顶点软件有限公司（以下</w:t>
      </w:r>
      <w:r>
        <w:rPr>
          <w:spacing w:val="-25"/>
        </w:rPr>
        <w:t> </w:t>
      </w:r>
      <w:r>
        <w:rPr>
          <w:spacing w:val="-25"/>
        </w:rPr>
      </w:r>
      <w:r>
        <w:rPr>
          <w:spacing w:val="-2"/>
        </w:rPr>
        <w:t>简称“上海顶点公司”）、福州顶点信息管理有限公司（以下简称“顶点信息公司”）、武汉顶</w:t>
      </w:r>
      <w:r>
        <w:rPr>
          <w:spacing w:val="-25"/>
        </w:rPr>
        <w:t> </w:t>
      </w:r>
      <w:r>
        <w:rPr>
          <w:spacing w:val="-25"/>
        </w:rPr>
      </w:r>
      <w:r>
        <w:rPr>
          <w:spacing w:val="-2"/>
        </w:rPr>
        <w:t>点软件有限公司（以下简称“武汉顶点公司”）以及上海亿维航软件有限公司（以下简称“亿维</w:t>
      </w:r>
      <w:r>
        <w:rPr>
          <w:spacing w:val="-25"/>
        </w:rPr>
        <w:t> </w:t>
      </w:r>
      <w:r>
        <w:rPr>
          <w:spacing w:val="-25"/>
        </w:rPr>
      </w:r>
      <w:r>
        <w:rPr/>
        <w:t>航公司”）共</w:t>
      </w:r>
      <w:r>
        <w:rPr>
          <w:spacing w:val="-53"/>
        </w:rPr>
        <w:t> </w:t>
      </w:r>
      <w:r>
        <w:rPr>
          <w:rFonts w:ascii="宋体" w:hAnsi="宋体" w:cs="宋体" w:eastAsia="宋体" w:hint="default"/>
        </w:rPr>
        <w:t>6</w:t>
      </w:r>
      <w:r>
        <w:rPr>
          <w:rFonts w:ascii="宋体" w:hAnsi="宋体" w:cs="宋体" w:eastAsia="宋体" w:hint="default"/>
          <w:spacing w:val="-55"/>
        </w:rPr>
        <w:t> </w:t>
      </w:r>
      <w:r>
        <w:rPr/>
        <w:t>家子公司。</w:t>
      </w:r>
    </w:p>
    <w:p>
      <w:pPr>
        <w:pStyle w:val="BodyText"/>
        <w:spacing w:line="272" w:lineRule="exact" w:before="146"/>
        <w:ind w:left="137" w:right="100"/>
        <w:jc w:val="left"/>
      </w:pPr>
      <w:r>
        <w:rPr>
          <w:spacing w:val="-6"/>
        </w:rPr>
        <w:t>本公司业务性质为电子计算机软件开发、销售，经营范围主要包括：电子计算机软件开发、销售；</w:t>
      </w:r>
      <w:r>
        <w:rPr>
          <w:spacing w:val="-53"/>
        </w:rPr>
        <w:t> </w:t>
      </w:r>
      <w:r>
        <w:rPr>
          <w:spacing w:val="-53"/>
        </w:rPr>
      </w:r>
      <w:r>
        <w:rPr>
          <w:spacing w:val="-2"/>
        </w:rPr>
        <w:t>电子计算机批发、零售；计算机网络工程的设计及安装服务；电子计算机技术服务、技术咨询。</w:t>
      </w:r>
    </w:p>
    <w:p>
      <w:pPr>
        <w:pStyle w:val="BodyText"/>
        <w:spacing w:line="240" w:lineRule="auto" w:before="94"/>
        <w:ind w:left="137" w:right="100"/>
        <w:jc w:val="left"/>
      </w:pPr>
      <w:r>
        <w:rPr/>
        <w:t>本财务报表及财务报表附注业经本公司第七届董事会第十八次会议于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日批准。</w:t>
      </w:r>
    </w:p>
    <w:p>
      <w:pPr>
        <w:pStyle w:val="Heading4"/>
        <w:tabs>
          <w:tab w:pos="557" w:val="left" w:leader="none"/>
        </w:tabs>
        <w:spacing w:line="240" w:lineRule="auto" w:before="116"/>
        <w:ind w:left="137" w:right="2597"/>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79" w:val="left" w:leader="none"/>
        </w:tabs>
        <w:spacing w:line="273" w:lineRule="exact" w:before="58"/>
        <w:ind w:left="137" w:right="2597"/>
        <w:jc w:val="left"/>
      </w:pPr>
      <w:r>
        <w:rPr/>
        <w:t>√适用</w:t>
        <w:tab/>
        <w:t>□不适用</w:t>
      </w:r>
    </w:p>
    <w:p>
      <w:pPr>
        <w:pStyle w:val="BodyText"/>
        <w:spacing w:line="240" w:lineRule="auto"/>
        <w:ind w:left="137" w:right="321"/>
        <w:jc w:val="left"/>
      </w:pPr>
      <w:r>
        <w:rPr/>
        <w:t>本公司本期合并财务报表范围无变动，子公司具体情况详见</w:t>
      </w:r>
      <w:r>
        <w:rPr>
          <w:spacing w:val="-7"/>
        </w:rPr>
        <w:t> </w:t>
      </w:r>
      <w:r>
        <w:rPr/>
        <w:t>“财务报告九、在其他主体中的权</w:t>
      </w:r>
      <w:r>
        <w:rPr>
          <w:w w:val="100"/>
        </w:rPr>
        <w:t> </w:t>
      </w:r>
      <w:r>
        <w:rPr/>
        <w:t>益”。</w:t>
      </w:r>
    </w:p>
    <w:p>
      <w:pPr>
        <w:spacing w:line="240" w:lineRule="auto" w:before="3"/>
        <w:rPr>
          <w:rFonts w:ascii="宋体" w:hAnsi="宋体" w:cs="宋体" w:eastAsia="宋体" w:hint="default"/>
          <w:sz w:val="25"/>
          <w:szCs w:val="25"/>
        </w:rPr>
      </w:pPr>
    </w:p>
    <w:p>
      <w:pPr>
        <w:pStyle w:val="Heading4"/>
        <w:tabs>
          <w:tab w:pos="562" w:val="left" w:leader="none"/>
        </w:tabs>
        <w:spacing w:line="290" w:lineRule="auto"/>
        <w:ind w:left="137" w:right="672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4"/>
        <w:ind w:left="137" w:right="2597"/>
        <w:jc w:val="left"/>
      </w:pPr>
      <w:r>
        <w:rPr/>
        <w:t>本公司财务报表以持续经营为编制基础。</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ind w:left="137" w:right="2597"/>
        <w:jc w:val="left"/>
        <w:rPr>
          <w:b w:val="0"/>
          <w:bCs w:val="0"/>
        </w:rPr>
      </w:pPr>
      <w:r>
        <w:rPr>
          <w:rFonts w:ascii="宋体" w:hAnsi="宋体" w:cs="宋体" w:eastAsia="宋体" w:hint="default"/>
          <w:w w:val="95"/>
        </w:rPr>
        <w:t>2.</w:t>
        <w:tab/>
      </w:r>
      <w:r>
        <w:rPr/>
        <w:t>持续经营</w:t>
      </w:r>
      <w:r>
        <w:rPr>
          <w:b w:val="0"/>
          <w:bCs w:val="0"/>
        </w:rPr>
      </w:r>
    </w:p>
    <w:p>
      <w:pPr>
        <w:pStyle w:val="BodyText"/>
        <w:tabs>
          <w:tab w:pos="979" w:val="left" w:leader="none"/>
        </w:tabs>
        <w:spacing w:line="237" w:lineRule="auto" w:before="59"/>
        <w:ind w:left="137" w:right="208"/>
        <w:jc w:val="left"/>
      </w:pPr>
      <w:r>
        <w:rPr/>
        <w:t>√适用</w:t>
        <w:tab/>
        <w:t>□不适用</w:t>
      </w:r>
      <w:r>
        <w:rPr>
          <w:w w:val="100"/>
        </w:rPr>
        <w:t> </w:t>
      </w:r>
      <w:r>
        <w:rPr>
          <w:spacing w:val="-6"/>
          <w:w w:val="100"/>
        </w:rPr>
        <w:t>本公司会计核算以权责发生制为基础。除某些金融工具外，本财务报表均以历史成本为计量基础。</w:t>
      </w:r>
      <w:r>
        <w:rPr>
          <w:w w:val="100"/>
        </w:rPr>
        <w:t> </w:t>
      </w:r>
      <w:r>
        <w:rPr/>
        <w:t>资产如果发生减值，则按照相关规定计提相应的减值准备。</w:t>
      </w:r>
    </w:p>
    <w:p>
      <w:pPr>
        <w:spacing w:line="240" w:lineRule="auto" w:before="3"/>
        <w:rPr>
          <w:rFonts w:ascii="宋体" w:hAnsi="宋体" w:cs="宋体" w:eastAsia="宋体" w:hint="default"/>
          <w:sz w:val="25"/>
          <w:szCs w:val="25"/>
        </w:rPr>
      </w:pPr>
    </w:p>
    <w:p>
      <w:pPr>
        <w:spacing w:line="290" w:lineRule="auto" w:before="0"/>
        <w:ind w:left="137" w:right="4056"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30" w:lineRule="exact"/>
        <w:ind w:left="137" w:right="2597"/>
        <w:jc w:val="left"/>
      </w:pPr>
      <w:r>
        <w:rPr/>
        <w:t>√适用 □不适用</w:t>
      </w:r>
    </w:p>
    <w:p>
      <w:pPr>
        <w:spacing w:after="0" w:line="230" w:lineRule="exact"/>
        <w:jc w:val="left"/>
        <w:sectPr>
          <w:headerReference w:type="default" r:id="rId32"/>
          <w:footerReference w:type="default" r:id="rId33"/>
          <w:pgSz w:w="11910" w:h="16840"/>
          <w:pgMar w:header="882" w:footer="1195" w:top="1120" w:bottom="1380" w:left="1140" w:right="1580"/>
          <w:pgNumType w:start="81"/>
        </w:sectPr>
      </w:pPr>
    </w:p>
    <w:p>
      <w:pPr>
        <w:spacing w:line="240" w:lineRule="auto" w:before="9"/>
        <w:rPr>
          <w:rFonts w:ascii="宋体" w:hAnsi="宋体" w:cs="宋体" w:eastAsia="宋体" w:hint="default"/>
          <w:sz w:val="18"/>
          <w:szCs w:val="18"/>
        </w:rPr>
      </w:pPr>
    </w:p>
    <w:p>
      <w:pPr>
        <w:pStyle w:val="BodyText"/>
        <w:spacing w:line="272" w:lineRule="exact" w:before="64"/>
        <w:ind w:left="137" w:right="138"/>
        <w:jc w:val="both"/>
      </w:pPr>
      <w:r>
        <w:rPr>
          <w:spacing w:val="-2"/>
        </w:rPr>
        <w:t>本公司根据自身生产经营特点，确定固定资产折旧、无形资产摊销、研发费用资本化条件以及收</w:t>
      </w:r>
      <w:r>
        <w:rPr>
          <w:spacing w:val="-25"/>
        </w:rPr>
        <w:t> </w:t>
      </w:r>
      <w:r>
        <w:rPr>
          <w:spacing w:val="-25"/>
        </w:rPr>
      </w:r>
      <w:r>
        <w:rPr/>
        <w:t>入确认政策，具体会计政策参见财务报告五、</w:t>
      </w:r>
      <w:r>
        <w:rPr>
          <w:rFonts w:ascii="宋体" w:hAnsi="宋体" w:cs="宋体" w:eastAsia="宋体" w:hint="default"/>
        </w:rPr>
        <w:t>16</w:t>
      </w:r>
      <w:r>
        <w:rPr/>
        <w:t>、财务报告五、</w:t>
      </w:r>
      <w:r>
        <w:rPr>
          <w:rFonts w:ascii="宋体" w:hAnsi="宋体" w:cs="宋体" w:eastAsia="宋体" w:hint="default"/>
        </w:rPr>
        <w:t>21</w:t>
      </w:r>
      <w:r>
        <w:rPr/>
        <w:t>、和财务报告五、</w:t>
      </w:r>
      <w:r>
        <w:rPr>
          <w:rFonts w:ascii="宋体" w:hAnsi="宋体" w:cs="宋体" w:eastAsia="宋体" w:hint="default"/>
        </w:rPr>
        <w:t>28</w:t>
      </w:r>
      <w:r>
        <w:rPr/>
        <w:t>。</w:t>
      </w:r>
    </w:p>
    <w:p>
      <w:pPr>
        <w:spacing w:line="240" w:lineRule="auto" w:before="4"/>
        <w:rPr>
          <w:rFonts w:ascii="宋体" w:hAnsi="宋体" w:cs="宋体" w:eastAsia="宋体" w:hint="default"/>
          <w:sz w:val="23"/>
          <w:szCs w:val="23"/>
        </w:rPr>
      </w:pPr>
    </w:p>
    <w:p>
      <w:pPr>
        <w:pStyle w:val="Heading4"/>
        <w:spacing w:line="240" w:lineRule="auto"/>
        <w:ind w:left="137" w:right="0"/>
        <w:jc w:val="both"/>
        <w:rPr>
          <w:b w:val="0"/>
          <w:bCs w:val="0"/>
        </w:rPr>
      </w:pPr>
      <w:r>
        <w:rPr>
          <w:rFonts w:ascii="宋体" w:hAnsi="宋体" w:cs="宋体" w:eastAsia="宋体" w:hint="default"/>
        </w:rPr>
        <w:t>1. </w:t>
      </w:r>
      <w:r>
        <w:rPr>
          <w:rFonts w:ascii="宋体" w:hAnsi="宋体" w:cs="宋体" w:eastAsia="宋体" w:hint="default"/>
          <w:spacing w:val="1"/>
        </w:rPr>
        <w:t> </w:t>
      </w:r>
      <w:r>
        <w:rPr/>
        <w:t>遵循企业会计准则的声明</w:t>
      </w:r>
      <w:r>
        <w:rPr>
          <w:b w:val="0"/>
          <w:bCs w:val="0"/>
        </w:rPr>
      </w:r>
    </w:p>
    <w:p>
      <w:pPr>
        <w:pStyle w:val="BodyText"/>
        <w:spacing w:line="272" w:lineRule="exact" w:before="86"/>
        <w:ind w:left="137" w:right="138"/>
        <w:jc w:val="both"/>
      </w:pP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4"/>
        <w:rPr>
          <w:rFonts w:ascii="宋体" w:hAnsi="宋体" w:cs="宋体" w:eastAsia="宋体" w:hint="default"/>
          <w:sz w:val="23"/>
          <w:szCs w:val="23"/>
        </w:rPr>
      </w:pPr>
    </w:p>
    <w:p>
      <w:pPr>
        <w:pStyle w:val="Heading4"/>
        <w:spacing w:line="240" w:lineRule="auto"/>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8"/>
        <w:ind w:left="137" w:right="0"/>
        <w:jc w:val="both"/>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4"/>
        <w:spacing w:line="240" w:lineRule="auto"/>
        <w:ind w:left="137"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tabs>
          <w:tab w:pos="979" w:val="left" w:leader="none"/>
        </w:tabs>
        <w:spacing w:line="240" w:lineRule="auto" w:before="57"/>
        <w:ind w:left="137" w:right="6130"/>
        <w:jc w:val="left"/>
      </w:pPr>
      <w:r>
        <w:rPr/>
        <w:t>√适用</w:t>
        <w:tab/>
        <w:t>□不适用</w:t>
      </w:r>
      <w:r>
        <w:rPr>
          <w:w w:val="100"/>
        </w:rPr>
        <w:t> </w:t>
      </w:r>
      <w:r>
        <w:rPr/>
        <w:t>本公司的营业周期为</w:t>
      </w:r>
      <w:r>
        <w:rPr>
          <w:spacing w:val="-53"/>
        </w:rPr>
        <w:t> </w:t>
      </w:r>
      <w:r>
        <w:rPr>
          <w:rFonts w:ascii="宋体" w:hAnsi="宋体" w:cs="宋体" w:eastAsia="宋体" w:hint="default"/>
        </w:rPr>
        <w:t>12</w:t>
      </w:r>
      <w:r>
        <w:rPr>
          <w:rFonts w:ascii="宋体" w:hAnsi="宋体" w:cs="宋体" w:eastAsia="宋体" w:hint="default"/>
          <w:spacing w:val="-55"/>
        </w:rPr>
        <w:t> </w:t>
      </w:r>
      <w:r>
        <w:rPr/>
        <w:t>个月。</w:t>
      </w:r>
    </w:p>
    <w:p>
      <w:pPr>
        <w:spacing w:line="240" w:lineRule="auto" w:before="3"/>
        <w:rPr>
          <w:rFonts w:ascii="宋体" w:hAnsi="宋体" w:cs="宋体" w:eastAsia="宋体" w:hint="default"/>
          <w:sz w:val="25"/>
          <w:szCs w:val="25"/>
        </w:rPr>
      </w:pPr>
    </w:p>
    <w:p>
      <w:pPr>
        <w:tabs>
          <w:tab w:pos="562" w:val="left" w:leader="none"/>
        </w:tabs>
        <w:spacing w:line="290" w:lineRule="auto" w:before="0"/>
        <w:ind w:left="137" w:right="602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4"/>
        <w:spacing w:line="240" w:lineRule="auto"/>
        <w:ind w:left="137"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40" w:lineRule="auto" w:before="58"/>
        <w:ind w:left="137"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137"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273" w:lineRule="exact" w:before="56"/>
        <w:ind w:left="137" w:right="0"/>
        <w:jc w:val="both"/>
      </w:pPr>
      <w:r>
        <w:rPr/>
        <w:t>√适用  □不适用</w:t>
      </w:r>
    </w:p>
    <w:p>
      <w:pPr>
        <w:pStyle w:val="BodyText"/>
        <w:spacing w:line="273" w:lineRule="exact"/>
        <w:ind w:left="137" w:right="0"/>
        <w:jc w:val="both"/>
      </w:pPr>
      <w:r>
        <w:rPr/>
        <w:t>（</w:t>
      </w:r>
      <w:r>
        <w:rPr>
          <w:rFonts w:ascii="宋体" w:hAnsi="宋体" w:cs="宋体" w:eastAsia="宋体" w:hint="default"/>
        </w:rPr>
        <w:t>1</w:t>
      </w:r>
      <w:r>
        <w:rPr/>
        <w:t>）合并范围</w:t>
      </w:r>
    </w:p>
    <w:p>
      <w:pPr>
        <w:pStyle w:val="BodyText"/>
        <w:spacing w:line="237" w:lineRule="auto" w:before="121"/>
        <w:ind w:left="137" w:right="138"/>
        <w:jc w:val="both"/>
      </w:pPr>
      <w:r>
        <w:rPr>
          <w:spacing w:val="-2"/>
        </w:rPr>
        <w:t>合并财务报表的合并范围以控制为基础予以确定。控制，是指本公司拥有对被投资单位的权力，</w:t>
      </w:r>
      <w:r>
        <w:rPr>
          <w:spacing w:val="-25"/>
        </w:rPr>
        <w:t> </w:t>
      </w:r>
      <w:r>
        <w:rPr>
          <w:spacing w:val="-25"/>
        </w:rPr>
      </w:r>
      <w:r>
        <w:rPr>
          <w:spacing w:val="-2"/>
        </w:rPr>
        <w:t>通过参与被投资单位的相关活动而享有可变回报，并且有能力运用对被投资单位的权力影响其回</w:t>
      </w:r>
      <w:r>
        <w:rPr>
          <w:spacing w:val="-25"/>
        </w:rPr>
        <w:t> </w:t>
      </w:r>
      <w:r>
        <w:rPr>
          <w:spacing w:val="-25"/>
        </w:rPr>
      </w:r>
      <w:r>
        <w:rPr>
          <w:spacing w:val="-2"/>
        </w:rPr>
        <w:t>报金额。子公司，是指被本公司控制的主体（含企业、被投资单位中可分割的部分、结构化主体</w:t>
      </w:r>
      <w:r>
        <w:rPr>
          <w:spacing w:val="-25"/>
        </w:rPr>
        <w:t> </w:t>
      </w:r>
      <w:r>
        <w:rPr>
          <w:spacing w:val="-25"/>
        </w:rPr>
      </w:r>
      <w:r>
        <w:rPr/>
        <w:t>等）。</w:t>
      </w:r>
    </w:p>
    <w:p>
      <w:pPr>
        <w:pStyle w:val="BodyText"/>
        <w:spacing w:line="240" w:lineRule="auto" w:before="119"/>
        <w:ind w:left="137" w:right="0"/>
        <w:jc w:val="both"/>
      </w:pPr>
      <w:r>
        <w:rPr/>
        <w:t>（</w:t>
      </w:r>
      <w:r>
        <w:rPr>
          <w:rFonts w:ascii="宋体" w:hAnsi="宋体" w:cs="宋体" w:eastAsia="宋体" w:hint="default"/>
        </w:rPr>
        <w:t>2</w:t>
      </w:r>
      <w:r>
        <w:rPr/>
        <w:t>）合并财务报表的编制方法</w:t>
      </w:r>
    </w:p>
    <w:p>
      <w:pPr>
        <w:pStyle w:val="BodyText"/>
        <w:spacing w:line="237" w:lineRule="auto" w:before="119"/>
        <w:ind w:left="137" w:right="138"/>
        <w:jc w:val="both"/>
      </w:pPr>
      <w:r>
        <w:rPr>
          <w:spacing w:val="-2"/>
        </w:rPr>
        <w:t>合并财务报表以本公司和子公司的财务报表为基础，根据其他有关资料，由本公司编制。在编制</w:t>
      </w:r>
      <w:r>
        <w:rPr>
          <w:spacing w:val="-25"/>
        </w:rPr>
        <w:t> </w:t>
      </w:r>
      <w:r>
        <w:rPr>
          <w:spacing w:val="-25"/>
        </w:rPr>
      </w:r>
      <w:r>
        <w:rPr>
          <w:spacing w:val="-2"/>
        </w:rPr>
        <w:t>合并财务报表时，本公司和子公司的会计政策和会计期间要求保持一致，公司间的重大交易和往</w:t>
      </w:r>
      <w:r>
        <w:rPr>
          <w:spacing w:val="-25"/>
        </w:rPr>
        <w:t> </w:t>
      </w:r>
      <w:r>
        <w:rPr>
          <w:spacing w:val="-25"/>
        </w:rPr>
      </w:r>
      <w:r>
        <w:rPr/>
        <w:t>来余额予以抵销。</w:t>
      </w:r>
    </w:p>
    <w:p>
      <w:pPr>
        <w:pStyle w:val="BodyText"/>
        <w:spacing w:line="237" w:lineRule="auto" w:before="121"/>
        <w:ind w:left="137" w:right="138"/>
        <w:jc w:val="both"/>
      </w:pPr>
      <w:r>
        <w:rPr>
          <w:spacing w:val="-2"/>
        </w:rPr>
        <w:t>在报告期内因同一控制下企业合并增加的子公司以及业务，视同该子公司以及业务自同受最终控</w:t>
      </w:r>
      <w:r>
        <w:rPr>
          <w:spacing w:val="-25"/>
        </w:rPr>
        <w:t> </w:t>
      </w:r>
      <w:r>
        <w:rPr>
          <w:spacing w:val="-25"/>
        </w:rPr>
      </w:r>
      <w:r>
        <w:rPr>
          <w:spacing w:val="-2"/>
        </w:rPr>
        <w:t>制方控制之日起纳入本公司的合并范围，将其自同受最终控制方控制之日起的经营成果、现金流</w:t>
      </w:r>
      <w:r>
        <w:rPr>
          <w:spacing w:val="-25"/>
        </w:rPr>
        <w:t> </w:t>
      </w:r>
      <w:r>
        <w:rPr>
          <w:spacing w:val="-25"/>
        </w:rPr>
      </w:r>
      <w:r>
        <w:rPr/>
        <w:t>量分别纳入合并利润表、合并现金流量表中。</w:t>
      </w:r>
    </w:p>
    <w:p>
      <w:pPr>
        <w:pStyle w:val="BodyText"/>
        <w:spacing w:line="240" w:lineRule="auto" w:before="116"/>
        <w:ind w:left="137" w:right="138"/>
        <w:jc w:val="both"/>
      </w:pPr>
      <w:r>
        <w:rPr>
          <w:spacing w:val="-2"/>
        </w:rPr>
        <w:t>在报告期内因非同一控制下企业合并增加的子公司以及业务，将该子公司以及业务自购买日至报</w:t>
      </w:r>
      <w:r>
        <w:rPr>
          <w:spacing w:val="-25"/>
        </w:rPr>
        <w:t> </w:t>
      </w:r>
      <w:r>
        <w:rPr>
          <w:spacing w:val="-25"/>
        </w:rPr>
      </w:r>
      <w:r>
        <w:rPr/>
        <w:t>告期末的收入、费用、利润纳入合并利润表，将其现金流量纳入合并现金流量表。</w:t>
      </w:r>
    </w:p>
    <w:p>
      <w:pPr>
        <w:pStyle w:val="BodyText"/>
        <w:spacing w:line="237" w:lineRule="auto" w:before="119"/>
        <w:ind w:left="137" w:right="138"/>
        <w:jc w:val="both"/>
      </w:pPr>
      <w:r>
        <w:rPr>
          <w:spacing w:val="-2"/>
        </w:rPr>
        <w:t>子公司的股东权益中不属于本公司所拥有的部分，作为少数股东权益在合并资产负债表中股东权</w:t>
      </w:r>
      <w:r>
        <w:rPr>
          <w:spacing w:val="-25"/>
        </w:rPr>
        <w:t> </w:t>
      </w:r>
      <w:r>
        <w:rPr>
          <w:spacing w:val="-25"/>
        </w:rPr>
      </w:r>
      <w:r>
        <w:rPr>
          <w:spacing w:val="-2"/>
        </w:rPr>
        <w:t>益项下单独列示；子公司当期净损益中属于少数股东权益的份额，在合并利润表中净利润项目下</w:t>
      </w:r>
      <w:r>
        <w:rPr>
          <w:spacing w:val="-25"/>
        </w:rPr>
        <w:t> </w:t>
      </w:r>
      <w:r>
        <w:rPr>
          <w:spacing w:val="-25"/>
        </w:rPr>
      </w:r>
      <w:r>
        <w:rPr>
          <w:spacing w:val="-2"/>
        </w:rPr>
        <w:t>以“少数股东损益”项目列示。少数股东分担的子公司的亏损超过了少数股东在该子公司期初所</w:t>
      </w:r>
      <w:r>
        <w:rPr>
          <w:spacing w:val="-25"/>
        </w:rPr>
        <w:t> </w:t>
      </w:r>
      <w:r>
        <w:rPr>
          <w:spacing w:val="-25"/>
        </w:rPr>
      </w:r>
      <w:r>
        <w:rPr/>
        <w:t>有者权益中所享有的份额，其余额仍冲减少数股东权益。</w:t>
      </w:r>
    </w:p>
    <w:p>
      <w:pPr>
        <w:pStyle w:val="BodyText"/>
        <w:spacing w:line="240" w:lineRule="auto" w:before="116"/>
        <w:ind w:left="137" w:right="0"/>
        <w:jc w:val="both"/>
      </w:pPr>
      <w:r>
        <w:rPr/>
        <w:t>（</w:t>
      </w:r>
      <w:r>
        <w:rPr>
          <w:rFonts w:ascii="宋体" w:hAnsi="宋体" w:cs="宋体" w:eastAsia="宋体" w:hint="default"/>
        </w:rPr>
        <w:t>3</w:t>
      </w:r>
      <w:r>
        <w:rPr/>
        <w:t>）购买子公司少数股东股权</w:t>
      </w:r>
    </w:p>
    <w:p>
      <w:pPr>
        <w:pStyle w:val="BodyText"/>
        <w:spacing w:line="237" w:lineRule="auto" w:before="121"/>
        <w:ind w:left="137" w:right="138"/>
        <w:jc w:val="both"/>
      </w:pPr>
      <w:r>
        <w:rPr>
          <w:spacing w:val="-2"/>
        </w:rPr>
        <w:t>因购买少数股权新取得的长期股权投资成本与按照新增持股比例计算应享有子公司自购买日或合</w:t>
      </w:r>
      <w:r>
        <w:rPr>
          <w:spacing w:val="-25"/>
        </w:rPr>
        <w:t> </w:t>
      </w:r>
      <w:r>
        <w:rPr>
          <w:spacing w:val="-25"/>
        </w:rPr>
      </w:r>
      <w:r>
        <w:rPr>
          <w:spacing w:val="-2"/>
        </w:rPr>
        <w:t>并日开始持续计算的净资产份额之间的差额，以及在不丧失控制权的情况下因部分处置对子公司</w:t>
      </w:r>
      <w:r>
        <w:rPr>
          <w:spacing w:val="-25"/>
        </w:rPr>
        <w:t> </w:t>
      </w:r>
      <w:r>
        <w:rPr>
          <w:spacing w:val="-25"/>
        </w:rPr>
      </w:r>
      <w:r>
        <w:rPr>
          <w:spacing w:val="-2"/>
        </w:rPr>
        <w:t>的股权投资而取得的处置价款与处置长期股权投资相对应享有子公司自购买日或合并日开始持续</w:t>
      </w:r>
    </w:p>
    <w:p>
      <w:pPr>
        <w:spacing w:after="0" w:line="23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72" w:lineRule="exact" w:before="64"/>
        <w:ind w:left="137" w:right="138"/>
        <w:jc w:val="both"/>
      </w:pPr>
      <w:r>
        <w:rPr>
          <w:spacing w:val="-2"/>
        </w:rPr>
        <w:t>计算的净资产份额之间的差额，均调整合并资产负债表中的资本公积，资本公积不足冲减的，调</w:t>
      </w:r>
      <w:r>
        <w:rPr>
          <w:spacing w:val="-25"/>
        </w:rPr>
        <w:t> </w:t>
      </w:r>
      <w:r>
        <w:rPr>
          <w:spacing w:val="-25"/>
        </w:rPr>
      </w:r>
      <w:r>
        <w:rPr/>
        <w:t>整留存收益。</w:t>
      </w:r>
    </w:p>
    <w:p>
      <w:pPr>
        <w:pStyle w:val="BodyText"/>
        <w:spacing w:line="240" w:lineRule="auto" w:before="94"/>
        <w:ind w:left="137" w:right="0"/>
        <w:jc w:val="both"/>
      </w:pPr>
      <w:r>
        <w:rPr/>
        <w:t>（</w:t>
      </w:r>
      <w:r>
        <w:rPr>
          <w:rFonts w:ascii="宋体" w:hAnsi="宋体" w:cs="宋体" w:eastAsia="宋体" w:hint="default"/>
        </w:rPr>
        <w:t>4</w:t>
      </w:r>
      <w:r>
        <w:rPr/>
        <w:t>）丧失子公司控制权的处理</w:t>
      </w:r>
    </w:p>
    <w:p>
      <w:pPr>
        <w:pStyle w:val="BodyText"/>
        <w:spacing w:line="237" w:lineRule="auto" w:before="119"/>
        <w:ind w:left="137" w:right="138"/>
        <w:jc w:val="both"/>
      </w:pPr>
      <w:r>
        <w:rPr>
          <w:spacing w:val="-2"/>
        </w:rPr>
        <w:t>因处置部分股权投资或其他原因丧失了对原有子公司控制权的，剩余股权按照其在丧失控制权日</w:t>
      </w:r>
      <w:r>
        <w:rPr>
          <w:spacing w:val="-25"/>
        </w:rPr>
        <w:t> </w:t>
      </w:r>
      <w:r>
        <w:rPr>
          <w:spacing w:val="-25"/>
        </w:rPr>
      </w:r>
      <w:r>
        <w:rPr>
          <w:spacing w:val="-2"/>
        </w:rPr>
        <w:t>的公允价值进行重新计量；处置股权取得的对价与剩余股权公允价值之和，减去按原持股比例计</w:t>
      </w:r>
      <w:r>
        <w:rPr>
          <w:spacing w:val="-26"/>
        </w:rPr>
        <w:t> </w:t>
      </w:r>
      <w:r>
        <w:rPr>
          <w:spacing w:val="-26"/>
        </w:rPr>
      </w:r>
      <w:r>
        <w:rPr>
          <w:spacing w:val="-2"/>
        </w:rPr>
        <w:t>算应享有原有子公司自购买日开始持续计算的净资产账面价值的份额与商誉之和，形成的差额计</w:t>
      </w:r>
      <w:r>
        <w:rPr>
          <w:spacing w:val="-25"/>
        </w:rPr>
        <w:t> </w:t>
      </w:r>
      <w:r>
        <w:rPr>
          <w:spacing w:val="-25"/>
        </w:rPr>
      </w:r>
      <w:r>
        <w:rPr/>
        <w:t>入丧失控制权当期的投资收益。</w:t>
      </w:r>
    </w:p>
    <w:p>
      <w:pPr>
        <w:pStyle w:val="BodyText"/>
        <w:spacing w:line="240" w:lineRule="auto" w:before="116"/>
        <w:ind w:left="137" w:right="138"/>
        <w:jc w:val="both"/>
      </w:pPr>
      <w:r>
        <w:rPr>
          <w:spacing w:val="-2"/>
        </w:rPr>
        <w:t>与原有子公司的股权投资相关的其他综合收益等，在丧失控制权时转入当期损益，由于被投资方</w:t>
      </w:r>
      <w:r>
        <w:rPr>
          <w:spacing w:val="-25"/>
        </w:rPr>
        <w:t> </w:t>
      </w:r>
      <w:r>
        <w:rPr>
          <w:spacing w:val="-25"/>
        </w:rPr>
      </w:r>
      <w:r>
        <w:rPr/>
        <w:t>重新计量设定收益计划净负债或净资产变动而产生的其他综合收益除外。</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ind w:left="137" w:right="0"/>
        <w:jc w:val="both"/>
        <w:rPr>
          <w:b w:val="0"/>
          <w:bCs w:val="0"/>
        </w:rPr>
      </w:pPr>
      <w:r>
        <w:rPr>
          <w:rFonts w:ascii="宋体" w:hAnsi="宋体" w:cs="宋体" w:eastAsia="宋体" w:hint="default"/>
        </w:rPr>
        <w:t>7.  </w:t>
      </w:r>
      <w:r>
        <w:rPr/>
        <w:t>合营安排分类及共同经营会计处理方法</w:t>
      </w:r>
      <w:r>
        <w:rPr>
          <w:b w:val="0"/>
          <w:bCs w:val="0"/>
        </w:rPr>
      </w:r>
    </w:p>
    <w:p>
      <w:pPr>
        <w:pStyle w:val="BodyText"/>
        <w:spacing w:line="240" w:lineRule="auto" w:before="56"/>
        <w:ind w:left="137"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137" w:right="0"/>
        <w:jc w:val="both"/>
        <w:rPr>
          <w:b w:val="0"/>
          <w:bCs w:val="0"/>
        </w:rPr>
      </w:pPr>
      <w:r>
        <w:rPr>
          <w:rFonts w:ascii="宋体" w:hAnsi="宋体" w:cs="宋体" w:eastAsia="宋体" w:hint="default"/>
        </w:rPr>
        <w:t>8.</w:t>
      </w:r>
      <w:r>
        <w:rPr>
          <w:rFonts w:ascii="宋体" w:hAnsi="宋体" w:cs="宋体" w:eastAsia="宋体" w:hint="default"/>
          <w:spacing w:val="105"/>
        </w:rPr>
        <w:t> </w:t>
      </w:r>
      <w:r>
        <w:rPr/>
        <w:t>现金及现金等价物的确定标准</w:t>
      </w:r>
      <w:r>
        <w:rPr>
          <w:b w:val="0"/>
          <w:bCs w:val="0"/>
        </w:rPr>
      </w:r>
    </w:p>
    <w:p>
      <w:pPr>
        <w:pStyle w:val="BodyText"/>
        <w:spacing w:line="272" w:lineRule="exact" w:before="86"/>
        <w:ind w:left="137" w:right="138"/>
        <w:jc w:val="both"/>
      </w:pPr>
      <w:r>
        <w:rPr>
          <w:spacing w:val="-2"/>
        </w:rPr>
        <w:t>现金等价物是指企业持有的期限短（一般指从购买日起三个月内到期）、流动性强、易于转换为</w:t>
      </w:r>
      <w:r>
        <w:rPr>
          <w:spacing w:val="-25"/>
        </w:rPr>
        <w:t> </w:t>
      </w:r>
      <w:r>
        <w:rPr>
          <w:spacing w:val="-25"/>
        </w:rPr>
      </w:r>
      <w:r>
        <w:rPr/>
        <w:t>已知金额现金、价值变动风险很小的投资。</w:t>
      </w:r>
    </w:p>
    <w:p>
      <w:pPr>
        <w:spacing w:line="240" w:lineRule="auto" w:before="4"/>
        <w:rPr>
          <w:rFonts w:ascii="宋体" w:hAnsi="宋体" w:cs="宋体" w:eastAsia="宋体" w:hint="default"/>
          <w:sz w:val="23"/>
          <w:szCs w:val="23"/>
        </w:rPr>
      </w:pPr>
    </w:p>
    <w:p>
      <w:pPr>
        <w:pStyle w:val="Heading4"/>
        <w:spacing w:line="240" w:lineRule="auto"/>
        <w:ind w:left="137"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40" w:lineRule="auto" w:before="58"/>
        <w:ind w:left="137"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137"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79" w:val="left" w:leader="none"/>
        </w:tabs>
        <w:spacing w:line="272" w:lineRule="exact" w:before="84"/>
        <w:ind w:left="137" w:right="769"/>
        <w:jc w:val="left"/>
      </w:pPr>
      <w:r>
        <w:rPr/>
        <w:t>√适用</w:t>
        <w:tab/>
        <w:t>□不适用</w:t>
      </w:r>
      <w:r>
        <w:rPr>
          <w:w w:val="100"/>
        </w:rPr>
        <w:t> </w:t>
      </w:r>
      <w:r>
        <w:rPr>
          <w:spacing w:val="-2"/>
        </w:rPr>
        <w:t>金融工具是指形成一个企业的金融资产，并形成其他单位的金融负债或权益工具的合同。</w:t>
      </w:r>
    </w:p>
    <w:p>
      <w:pPr>
        <w:pStyle w:val="BodyText"/>
        <w:spacing w:line="343" w:lineRule="auto" w:before="94"/>
        <w:ind w:left="137" w:right="0"/>
        <w:jc w:val="left"/>
      </w:pPr>
      <w:r>
        <w:rPr/>
        <w:t>（</w:t>
      </w:r>
      <w:r>
        <w:rPr>
          <w:rFonts w:ascii="宋体" w:hAnsi="宋体" w:cs="宋体" w:eastAsia="宋体" w:hint="default"/>
        </w:rPr>
        <w:t>1</w:t>
      </w:r>
      <w:r>
        <w:rPr/>
        <w:t>）金融工具的确认和终止确认</w:t>
      </w:r>
      <w:r>
        <w:rPr>
          <w:w w:val="100"/>
        </w:rPr>
        <w:t> </w:t>
      </w:r>
      <w:r>
        <w:rPr>
          <w:spacing w:val="-2"/>
        </w:rPr>
        <w:t>本公司于成为金融工具合同的一方时确认一项金融资产或金融负债。</w:t>
      </w:r>
      <w:r>
        <w:rPr>
          <w:spacing w:val="-48"/>
        </w:rPr>
        <w:t> </w:t>
      </w:r>
      <w:r>
        <w:rPr>
          <w:spacing w:val="-48"/>
        </w:rPr>
      </w:r>
      <w:r>
        <w:rPr/>
        <w:t>金融资产满足下列条件之一的，终止确认：</w:t>
      </w:r>
    </w:p>
    <w:p>
      <w:pPr>
        <w:pStyle w:val="BodyText"/>
        <w:spacing w:line="240" w:lineRule="auto" w:before="26"/>
        <w:ind w:left="137" w:right="0"/>
        <w:jc w:val="both"/>
      </w:pPr>
      <w:r>
        <w:rPr/>
        <w:t>①</w:t>
      </w:r>
      <w:r>
        <w:rPr>
          <w:spacing w:val="-3"/>
        </w:rPr>
        <w:t> </w:t>
      </w:r>
      <w:r>
        <w:rPr/>
        <w:t>收取该金融资产现金流量的合同权利终止；</w:t>
      </w:r>
    </w:p>
    <w:p>
      <w:pPr>
        <w:pStyle w:val="BodyText"/>
        <w:spacing w:line="240" w:lineRule="auto" w:before="118"/>
        <w:ind w:left="137" w:right="0"/>
        <w:jc w:val="both"/>
      </w:pPr>
      <w:r>
        <w:rPr/>
        <w:t>②</w:t>
      </w:r>
      <w:r>
        <w:rPr>
          <w:spacing w:val="-5"/>
        </w:rPr>
        <w:t> </w:t>
      </w:r>
      <w:r>
        <w:rPr/>
        <w:t>该金融资产已转移，且符合下述金融资产转移的终止确认条件。</w:t>
      </w:r>
    </w:p>
    <w:p>
      <w:pPr>
        <w:pStyle w:val="BodyText"/>
        <w:spacing w:line="237" w:lineRule="auto" w:before="119"/>
        <w:ind w:left="137" w:right="128"/>
        <w:jc w:val="both"/>
      </w:pPr>
      <w:r>
        <w:rPr>
          <w:spacing w:val="-6"/>
        </w:rPr>
        <w:t>金融负债的现时义务全部或部分已经解除的，终止确认该金融负债或其一部分。本公司（债务人）</w:t>
      </w:r>
      <w:r>
        <w:rPr>
          <w:spacing w:val="-54"/>
        </w:rPr>
        <w:t> </w:t>
      </w:r>
      <w:r>
        <w:rPr>
          <w:spacing w:val="-54"/>
        </w:rPr>
      </w:r>
      <w:r>
        <w:rPr>
          <w:spacing w:val="-2"/>
        </w:rPr>
        <w:t>与债权人之间签订协议，以承担新金融负债方式替换现存金融负债，且新金融负债与现存金融负</w:t>
      </w:r>
      <w:r>
        <w:rPr>
          <w:spacing w:val="-25"/>
        </w:rPr>
        <w:t> </w:t>
      </w:r>
      <w:r>
        <w:rPr>
          <w:spacing w:val="-25"/>
        </w:rPr>
      </w:r>
      <w:r>
        <w:rPr/>
        <w:t>债的合同条款实质上不同的，终止确认现存金融负债，并同时确认新金融负债。</w:t>
      </w:r>
    </w:p>
    <w:p>
      <w:pPr>
        <w:pStyle w:val="BodyText"/>
        <w:spacing w:line="240" w:lineRule="auto" w:before="119"/>
        <w:ind w:left="137" w:right="0"/>
        <w:jc w:val="both"/>
      </w:pPr>
      <w:r>
        <w:rPr/>
        <w:t>以常规方式买卖金融资产，按交易日进行会计确认和终止确认。</w:t>
      </w:r>
    </w:p>
    <w:p>
      <w:pPr>
        <w:pStyle w:val="BodyText"/>
        <w:spacing w:line="240" w:lineRule="auto" w:before="116"/>
        <w:ind w:left="137" w:right="0"/>
        <w:jc w:val="both"/>
      </w:pPr>
      <w:r>
        <w:rPr/>
        <w:t>（</w:t>
      </w:r>
      <w:r>
        <w:rPr>
          <w:rFonts w:ascii="宋体" w:hAnsi="宋体" w:cs="宋体" w:eastAsia="宋体" w:hint="default"/>
        </w:rPr>
        <w:t>2</w:t>
      </w:r>
      <w:r>
        <w:rPr/>
        <w:t>）金融资产分类和计量</w:t>
      </w:r>
    </w:p>
    <w:p>
      <w:pPr>
        <w:pStyle w:val="BodyText"/>
        <w:spacing w:line="237" w:lineRule="auto" w:before="121"/>
        <w:ind w:left="137" w:right="128"/>
        <w:jc w:val="both"/>
      </w:pPr>
      <w:r>
        <w:rPr>
          <w:spacing w:val="-2"/>
        </w:rPr>
        <w:t>本公司的金融资产于初始确认时分为以下四类：以公允价值计量且其变动计入当期损益的金融资</w:t>
      </w:r>
      <w:r>
        <w:rPr>
          <w:spacing w:val="-25"/>
        </w:rPr>
        <w:t> </w:t>
      </w:r>
      <w:r>
        <w:rPr>
          <w:spacing w:val="-25"/>
        </w:rPr>
      </w:r>
      <w:r>
        <w:rPr>
          <w:spacing w:val="-2"/>
        </w:rPr>
        <w:t>产、持有至到期投资、贷款和应收款项、可供出售金融资产。金融资产在初始确认时以公允价值</w:t>
      </w:r>
      <w:r>
        <w:rPr>
          <w:spacing w:val="-25"/>
        </w:rPr>
        <w:t> </w:t>
      </w:r>
      <w:r>
        <w:rPr>
          <w:spacing w:val="-25"/>
        </w:rPr>
      </w:r>
      <w:r>
        <w:rPr>
          <w:spacing w:val="-6"/>
          <w:w w:val="100"/>
        </w:rPr>
        <w:t>计量。对于以公允价值计量且其变动计入当期损益的金融资产，相关交易费用直接计入当期损益，</w:t>
      </w:r>
      <w:r>
        <w:rPr>
          <w:w w:val="100"/>
        </w:rPr>
        <w:t> </w:t>
      </w:r>
      <w:r>
        <w:rPr/>
        <w:t>其他类别的金融资产相关交易费用计入其初始确认金额。</w:t>
      </w:r>
    </w:p>
    <w:p>
      <w:pPr>
        <w:pStyle w:val="BodyText"/>
        <w:spacing w:line="237" w:lineRule="auto" w:before="121"/>
        <w:ind w:left="137" w:right="131"/>
        <w:jc w:val="both"/>
      </w:pPr>
      <w:r>
        <w:rPr>
          <w:spacing w:val="-2"/>
        </w:rPr>
        <w:t>本公司的金融资产主要系应收款项。应收款项，是指在活跃市场中没有报价、回收金额固定或可</w:t>
      </w:r>
      <w:r>
        <w:rPr>
          <w:spacing w:val="-25"/>
        </w:rPr>
        <w:t> </w:t>
      </w:r>
      <w:r>
        <w:rPr>
          <w:spacing w:val="-25"/>
        </w:rPr>
      </w:r>
      <w:r>
        <w:rPr>
          <w:spacing w:val="-4"/>
        </w:rPr>
        <w:t>确定的非衍生金融资产，包括应收票据、应收账款和其他应收款等（附注三、</w:t>
      </w:r>
      <w:r>
        <w:rPr>
          <w:rFonts w:ascii="宋体" w:hAnsi="宋体" w:cs="宋体" w:eastAsia="宋体" w:hint="default"/>
          <w:spacing w:val="-4"/>
        </w:rPr>
        <w:t>9</w:t>
      </w:r>
      <w:r>
        <w:rPr>
          <w:spacing w:val="-4"/>
        </w:rPr>
        <w:t>）。应收款项采用</w:t>
      </w:r>
      <w:r>
        <w:rPr>
          <w:spacing w:val="-38"/>
        </w:rPr>
        <w:t> </w:t>
      </w:r>
      <w:r>
        <w:rPr>
          <w:spacing w:val="-38"/>
        </w:rPr>
      </w:r>
      <w:r>
        <w:rPr>
          <w:spacing w:val="-2"/>
        </w:rPr>
        <w:t>实际利率法，按摊余成本进行后续计量，在终止确认、发生减值或摊销时产生的利得或损失，计</w:t>
      </w:r>
      <w:r>
        <w:rPr>
          <w:spacing w:val="-25"/>
        </w:rPr>
        <w:t> </w:t>
      </w:r>
      <w:r>
        <w:rPr>
          <w:spacing w:val="-25"/>
        </w:rPr>
      </w:r>
      <w:r>
        <w:rPr/>
        <w:t>入当期损益。</w:t>
      </w:r>
    </w:p>
    <w:p>
      <w:pPr>
        <w:pStyle w:val="BodyText"/>
        <w:spacing w:line="240" w:lineRule="auto" w:before="119"/>
        <w:ind w:left="137" w:right="0"/>
        <w:jc w:val="both"/>
      </w:pPr>
      <w:r>
        <w:rPr/>
        <w:t>（</w:t>
      </w:r>
      <w:r>
        <w:rPr>
          <w:rFonts w:ascii="宋体" w:hAnsi="宋体" w:cs="宋体" w:eastAsia="宋体" w:hint="default"/>
        </w:rPr>
        <w:t>3</w:t>
      </w:r>
      <w:r>
        <w:rPr/>
        <w:t>）金融负债分类和计量</w:t>
      </w:r>
    </w:p>
    <w:p>
      <w:pPr>
        <w:spacing w:after="0" w:line="240"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37" w:lineRule="auto" w:before="38"/>
        <w:ind w:left="137" w:right="218"/>
        <w:jc w:val="both"/>
      </w:pPr>
      <w:r>
        <w:rPr>
          <w:spacing w:val="-2"/>
        </w:rPr>
        <w:t>本公司的金融负债于初始确认时分类为：以公允价值计量且其变动计入当期损益的金融负债、其</w:t>
      </w:r>
      <w:r>
        <w:rPr>
          <w:spacing w:val="-25"/>
        </w:rPr>
        <w:t> </w:t>
      </w:r>
      <w:r>
        <w:rPr>
          <w:spacing w:val="-25"/>
        </w:rPr>
      </w:r>
      <w:r>
        <w:rPr>
          <w:spacing w:val="-2"/>
        </w:rPr>
        <w:t>他金融负债。对于未划分为以公允价值计量且其变动计入当期损益的金融负债的，相关交易费用</w:t>
      </w:r>
      <w:r>
        <w:rPr>
          <w:spacing w:val="-25"/>
        </w:rPr>
        <w:t> </w:t>
      </w:r>
      <w:r>
        <w:rPr>
          <w:spacing w:val="-25"/>
        </w:rPr>
      </w:r>
      <w:r>
        <w:rPr/>
        <w:t>计入其初始确认金额。</w:t>
      </w:r>
    </w:p>
    <w:p>
      <w:pPr>
        <w:pStyle w:val="BodyText"/>
        <w:spacing w:line="240" w:lineRule="auto" w:before="116"/>
        <w:ind w:left="137" w:right="100"/>
        <w:jc w:val="left"/>
      </w:pPr>
      <w:r>
        <w:rPr>
          <w:spacing w:val="-2"/>
        </w:rPr>
        <w:t>本公司的金融负债主要包括因购买商品或接受劳务等所产生的应付账款、其他应付款等其他金融</w:t>
      </w:r>
      <w:r>
        <w:rPr>
          <w:spacing w:val="-25"/>
        </w:rPr>
        <w:t> </w:t>
      </w:r>
      <w:r>
        <w:rPr>
          <w:spacing w:val="-25"/>
        </w:rPr>
      </w:r>
      <w:r>
        <w:rPr/>
        <w:t>负债。</w:t>
      </w:r>
    </w:p>
    <w:p>
      <w:pPr>
        <w:pStyle w:val="BodyText"/>
        <w:spacing w:line="343" w:lineRule="auto" w:before="116"/>
        <w:ind w:left="137" w:right="2597"/>
        <w:jc w:val="left"/>
      </w:pPr>
      <w:r>
        <w:rPr/>
        <w:t>（</w:t>
      </w:r>
      <w:r>
        <w:rPr>
          <w:rFonts w:ascii="宋体" w:hAnsi="宋体" w:cs="宋体" w:eastAsia="宋体" w:hint="default"/>
        </w:rPr>
        <w:t>4</w:t>
      </w:r>
      <w:r>
        <w:rPr/>
        <w:t>）金融工具的公允价值</w:t>
      </w:r>
      <w:r>
        <w:rPr>
          <w:w w:val="100"/>
        </w:rPr>
        <w:t> </w:t>
      </w:r>
      <w:r>
        <w:rPr>
          <w:spacing w:val="-2"/>
        </w:rPr>
        <w:t>金融资产和金融负债的公允价值确定方法见附注三、</w:t>
      </w:r>
      <w:r>
        <w:rPr>
          <w:rFonts w:ascii="宋体" w:hAnsi="宋体" w:cs="宋体" w:eastAsia="宋体" w:hint="default"/>
          <w:spacing w:val="-2"/>
        </w:rPr>
        <w:t>8</w:t>
      </w:r>
      <w:r>
        <w:rPr>
          <w:spacing w:val="-2"/>
        </w:rPr>
        <w:t>。</w:t>
      </w:r>
    </w:p>
    <w:p>
      <w:pPr>
        <w:pStyle w:val="BodyText"/>
        <w:spacing w:line="240" w:lineRule="auto" w:before="26"/>
        <w:ind w:left="137" w:right="0"/>
        <w:jc w:val="both"/>
      </w:pPr>
      <w:r>
        <w:rPr/>
        <w:t>（</w:t>
      </w:r>
      <w:r>
        <w:rPr>
          <w:rFonts w:ascii="宋体" w:hAnsi="宋体" w:cs="宋体" w:eastAsia="宋体" w:hint="default"/>
        </w:rPr>
        <w:t>5</w:t>
      </w:r>
      <w:r>
        <w:rPr/>
        <w:t>）金融资产减值</w:t>
      </w:r>
    </w:p>
    <w:p>
      <w:pPr>
        <w:pStyle w:val="BodyText"/>
        <w:spacing w:line="237" w:lineRule="auto" w:before="121"/>
        <w:ind w:left="137" w:right="218"/>
        <w:jc w:val="both"/>
      </w:pPr>
      <w:r>
        <w:rPr>
          <w:spacing w:val="-2"/>
        </w:rPr>
        <w:t>除了以公允价值计量且其变动计入当期损益的金融资产外，本公司于资产负债表日对其他金融资</w:t>
      </w:r>
      <w:r>
        <w:rPr>
          <w:spacing w:val="-25"/>
        </w:rPr>
        <w:t> </w:t>
      </w:r>
      <w:r>
        <w:rPr>
          <w:spacing w:val="-25"/>
        </w:rPr>
      </w:r>
      <w:r>
        <w:rPr>
          <w:spacing w:val="-2"/>
        </w:rPr>
        <w:t>产的账面价值进行检查，有客观证据表明该金融资产发生减值的，计提减值准备。表明金融资产</w:t>
      </w:r>
      <w:r>
        <w:rPr>
          <w:spacing w:val="-25"/>
        </w:rPr>
        <w:t> </w:t>
      </w:r>
      <w:r>
        <w:rPr>
          <w:spacing w:val="-25"/>
        </w:rPr>
      </w:r>
      <w:r>
        <w:rPr>
          <w:spacing w:val="-2"/>
        </w:rPr>
        <w:t>发生减值的客观证据，是指金融资产初始确认后实际发生的、对该金融资产的预计未来现金流量</w:t>
      </w:r>
      <w:r>
        <w:rPr>
          <w:spacing w:val="-25"/>
        </w:rPr>
        <w:t> </w:t>
      </w:r>
      <w:r>
        <w:rPr>
          <w:spacing w:val="-25"/>
        </w:rPr>
      </w:r>
      <w:r>
        <w:rPr/>
        <w:t>有影响，且企业能够对该影响进行可靠计量的事项。</w:t>
      </w:r>
    </w:p>
    <w:p>
      <w:pPr>
        <w:pStyle w:val="BodyText"/>
        <w:spacing w:line="240" w:lineRule="auto" w:before="119"/>
        <w:ind w:left="137" w:right="0"/>
        <w:jc w:val="both"/>
      </w:pPr>
      <w:r>
        <w:rPr/>
        <w:t>金融资产发生减值的客观证据，包括下列可观察到的情形：</w:t>
      </w:r>
    </w:p>
    <w:p>
      <w:pPr>
        <w:pStyle w:val="BodyText"/>
        <w:spacing w:line="240" w:lineRule="auto" w:before="116"/>
        <w:ind w:left="137" w:right="0"/>
        <w:jc w:val="both"/>
      </w:pPr>
      <w:r>
        <w:rPr/>
        <w:t>①发行方或债务人发生严重财务困难；</w:t>
      </w:r>
    </w:p>
    <w:p>
      <w:pPr>
        <w:pStyle w:val="BodyText"/>
        <w:spacing w:line="240" w:lineRule="auto" w:before="118"/>
        <w:ind w:left="137" w:right="0"/>
        <w:jc w:val="both"/>
      </w:pPr>
      <w:r>
        <w:rPr/>
        <w:t>②债务人违反了合同条款，如偿付利息或本金发生违约或逾期等；</w:t>
      </w:r>
    </w:p>
    <w:p>
      <w:pPr>
        <w:pStyle w:val="BodyText"/>
        <w:spacing w:line="240" w:lineRule="auto" w:before="116"/>
        <w:ind w:left="137" w:right="0"/>
        <w:jc w:val="both"/>
      </w:pPr>
      <w:r>
        <w:rPr/>
        <w:t>③本公司出于经济或法律等方面因素的考虑，对发生财务困难的债务人作出让步；</w:t>
      </w:r>
    </w:p>
    <w:p>
      <w:pPr>
        <w:pStyle w:val="BodyText"/>
        <w:spacing w:line="240" w:lineRule="auto" w:before="118"/>
        <w:ind w:left="137" w:right="0"/>
        <w:jc w:val="both"/>
      </w:pPr>
      <w:r>
        <w:rPr/>
        <w:t>④债务人很可能倒闭或者进行其他财务重组；</w:t>
      </w:r>
    </w:p>
    <w:p>
      <w:pPr>
        <w:pStyle w:val="BodyText"/>
        <w:spacing w:line="240" w:lineRule="auto" w:before="116"/>
        <w:ind w:left="137" w:right="0"/>
        <w:jc w:val="both"/>
      </w:pPr>
      <w:r>
        <w:rPr/>
        <w:t>⑤因发行方发生重大财务困难，导致金融资产无法在活跃市场继续交易；</w:t>
      </w:r>
    </w:p>
    <w:p>
      <w:pPr>
        <w:pStyle w:val="BodyText"/>
        <w:spacing w:line="272" w:lineRule="exact" w:before="146"/>
        <w:ind w:left="137" w:right="100"/>
        <w:jc w:val="left"/>
      </w:pPr>
      <w:r>
        <w:rPr>
          <w:spacing w:val="-2"/>
        </w:rPr>
        <w:t>⑥无法辨认一组金融资产中的某项资产的现金流量是否已经减少，但根据公开的数据对其进行总</w:t>
      </w:r>
      <w:r>
        <w:rPr>
          <w:spacing w:val="-25"/>
        </w:rPr>
        <w:t> </w:t>
      </w:r>
      <w:r>
        <w:rPr>
          <w:spacing w:val="-25"/>
        </w:rPr>
      </w:r>
      <w:r>
        <w:rPr/>
        <w:t>体评价后发现，该组金融资产自初始确认以来的预计未来现金流量确已减少且可计量，包括：</w:t>
      </w:r>
    </w:p>
    <w:p>
      <w:pPr>
        <w:pStyle w:val="BodyText"/>
        <w:spacing w:line="240" w:lineRule="auto" w:before="94"/>
        <w:ind w:left="557" w:right="2597"/>
        <w:jc w:val="left"/>
      </w:pPr>
      <w:r>
        <w:rPr>
          <w:rFonts w:ascii="宋体" w:hAnsi="宋体" w:cs="宋体" w:eastAsia="宋体" w:hint="default"/>
        </w:rPr>
        <w:t>-</w:t>
      </w:r>
      <w:r>
        <w:rPr>
          <w:rFonts w:ascii="宋体" w:hAnsi="宋体" w:cs="宋体" w:eastAsia="宋体" w:hint="default"/>
          <w:spacing w:val="-1"/>
        </w:rPr>
        <w:t> </w:t>
      </w:r>
      <w:r>
        <w:rPr/>
        <w:t>该组金融资产的债务人支付能力逐步恶化；</w:t>
      </w:r>
    </w:p>
    <w:p>
      <w:pPr>
        <w:pStyle w:val="BodyText"/>
        <w:spacing w:line="240" w:lineRule="auto" w:before="116"/>
        <w:ind w:left="557" w:right="100"/>
        <w:jc w:val="left"/>
      </w:pPr>
      <w:r>
        <w:rPr>
          <w:rFonts w:ascii="宋体" w:hAnsi="宋体" w:cs="宋体" w:eastAsia="宋体" w:hint="default"/>
        </w:rPr>
        <w:t>-</w:t>
      </w:r>
      <w:r>
        <w:rPr>
          <w:rFonts w:ascii="宋体" w:hAnsi="宋体" w:cs="宋体" w:eastAsia="宋体" w:hint="default"/>
          <w:spacing w:val="-5"/>
        </w:rPr>
        <w:t> </w:t>
      </w:r>
      <w:r>
        <w:rPr/>
        <w:t>债务人所在国家或地区经济出现了可能导致该组金融资产无法支付的状况；</w:t>
      </w:r>
    </w:p>
    <w:p>
      <w:pPr>
        <w:pStyle w:val="BodyText"/>
        <w:spacing w:line="240" w:lineRule="auto" w:before="116"/>
        <w:ind w:left="137" w:right="100"/>
        <w:jc w:val="left"/>
      </w:pPr>
      <w:r>
        <w:rPr>
          <w:spacing w:val="-2"/>
        </w:rPr>
        <w:t>⑦债务人经营所处的技术、市场、经济或法律环境等发生重大不利变化，使权益工具投资人可能</w:t>
      </w:r>
      <w:r>
        <w:rPr>
          <w:spacing w:val="-25"/>
        </w:rPr>
        <w:t> </w:t>
      </w:r>
      <w:r>
        <w:rPr>
          <w:spacing w:val="-25"/>
        </w:rPr>
      </w:r>
      <w:r>
        <w:rPr/>
        <w:t>无法收回投资成本；</w:t>
      </w:r>
    </w:p>
    <w:p>
      <w:pPr>
        <w:pStyle w:val="BodyText"/>
        <w:spacing w:line="240" w:lineRule="auto" w:before="116"/>
        <w:ind w:left="137" w:right="100"/>
        <w:jc w:val="left"/>
        <w:rPr>
          <w:rFonts w:ascii="宋体" w:hAnsi="宋体" w:cs="宋体" w:eastAsia="宋体" w:hint="default"/>
        </w:rPr>
      </w:pPr>
      <w:r>
        <w:rPr>
          <w:spacing w:val="-2"/>
        </w:rPr>
        <w:t>⑧权益工具投资的公允价值发生严重或非暂时性下跌，如权益工具投资于资产负债表日的公允价</w:t>
      </w:r>
      <w:r>
        <w:rPr>
          <w:spacing w:val="-25"/>
        </w:rPr>
        <w:t> </w:t>
      </w:r>
      <w:r>
        <w:rPr>
          <w:spacing w:val="-25"/>
        </w:rPr>
      </w:r>
      <w:r>
        <w:rPr/>
        <w:t>值低于其初始投资成本超过</w:t>
      </w:r>
      <w:r>
        <w:rPr>
          <w:spacing w:val="-53"/>
        </w:rPr>
        <w:t> </w:t>
      </w:r>
      <w:r>
        <w:rPr>
          <w:rFonts w:ascii="宋体" w:hAnsi="宋体" w:cs="宋体" w:eastAsia="宋体" w:hint="default"/>
        </w:rPr>
        <w:t>50%</w:t>
      </w:r>
      <w:r>
        <w:rPr/>
        <w:t>（含</w:t>
      </w:r>
      <w:r>
        <w:rPr>
          <w:spacing w:val="-55"/>
        </w:rPr>
        <w:t> </w:t>
      </w:r>
      <w:r>
        <w:rPr>
          <w:rFonts w:ascii="宋体" w:hAnsi="宋体" w:cs="宋体" w:eastAsia="宋体" w:hint="default"/>
        </w:rPr>
        <w:t>50%</w:t>
      </w:r>
      <w:r>
        <w:rPr/>
        <w:t>）或低于其初始投资成本持续时间超过</w:t>
      </w:r>
      <w:r>
        <w:rPr>
          <w:spacing w:val="-53"/>
        </w:rPr>
        <w:t> </w:t>
      </w:r>
      <w:r>
        <w:rPr>
          <w:rFonts w:ascii="宋体" w:hAnsi="宋体" w:cs="宋体" w:eastAsia="宋体" w:hint="default"/>
        </w:rPr>
        <w:t>12</w:t>
      </w:r>
      <w:r>
        <w:rPr>
          <w:rFonts w:ascii="宋体" w:hAnsi="宋体" w:cs="宋体" w:eastAsia="宋体" w:hint="default"/>
          <w:spacing w:val="-55"/>
        </w:rPr>
        <w:t> </w:t>
      </w:r>
      <w:r>
        <w:rPr/>
        <w:t>个月（含</w:t>
      </w:r>
      <w:r>
        <w:rPr>
          <w:spacing w:val="-55"/>
        </w:rPr>
        <w:t> </w:t>
      </w:r>
      <w:r>
        <w:rPr>
          <w:rFonts w:ascii="宋体" w:hAnsi="宋体" w:cs="宋体" w:eastAsia="宋体" w:hint="default"/>
        </w:rPr>
        <w:t>12</w:t>
      </w:r>
    </w:p>
    <w:p>
      <w:pPr>
        <w:pStyle w:val="BodyText"/>
        <w:spacing w:line="271" w:lineRule="exact"/>
        <w:ind w:left="137" w:right="0"/>
        <w:jc w:val="both"/>
      </w:pPr>
      <w:r>
        <w:rPr/>
        <w:t>个月）。低于其初始投资成本持续时间超过</w:t>
      </w:r>
      <w:r>
        <w:rPr>
          <w:spacing w:val="-56"/>
        </w:rPr>
        <w:t> </w:t>
      </w:r>
      <w:r>
        <w:rPr>
          <w:rFonts w:ascii="宋体" w:hAnsi="宋体" w:cs="宋体" w:eastAsia="宋体" w:hint="default"/>
        </w:rPr>
        <w:t>12</w:t>
      </w:r>
      <w:r>
        <w:rPr>
          <w:rFonts w:ascii="宋体" w:hAnsi="宋体" w:cs="宋体" w:eastAsia="宋体" w:hint="default"/>
          <w:spacing w:val="-56"/>
        </w:rPr>
        <w:t> </w:t>
      </w:r>
      <w:r>
        <w:rPr/>
        <w:t>个月（含</w:t>
      </w:r>
      <w:r>
        <w:rPr>
          <w:spacing w:val="-55"/>
        </w:rPr>
        <w:t> </w:t>
      </w:r>
      <w:r>
        <w:rPr>
          <w:rFonts w:ascii="宋体" w:hAnsi="宋体" w:cs="宋体" w:eastAsia="宋体" w:hint="default"/>
        </w:rPr>
        <w:t>12</w:t>
      </w:r>
      <w:r>
        <w:rPr>
          <w:rFonts w:ascii="宋体" w:hAnsi="宋体" w:cs="宋体" w:eastAsia="宋体" w:hint="default"/>
          <w:spacing w:val="-56"/>
        </w:rPr>
        <w:t> </w:t>
      </w:r>
      <w:r>
        <w:rPr/>
        <w:t>个月）是指，权益工具投资公允价值</w:t>
      </w:r>
    </w:p>
    <w:p>
      <w:pPr>
        <w:pStyle w:val="BodyText"/>
        <w:spacing w:line="274" w:lineRule="exact"/>
        <w:ind w:left="137" w:right="0"/>
        <w:jc w:val="both"/>
      </w:pPr>
      <w:r>
        <w:rPr/>
        <w:t>月度均值连续</w:t>
      </w:r>
      <w:r>
        <w:rPr>
          <w:spacing w:val="-56"/>
        </w:rPr>
        <w:t> </w:t>
      </w:r>
      <w:r>
        <w:rPr>
          <w:rFonts w:ascii="宋体" w:hAnsi="宋体" w:cs="宋体" w:eastAsia="宋体" w:hint="default"/>
        </w:rPr>
        <w:t>12</w:t>
      </w:r>
      <w:r>
        <w:rPr>
          <w:rFonts w:ascii="宋体" w:hAnsi="宋体" w:cs="宋体" w:eastAsia="宋体" w:hint="default"/>
          <w:spacing w:val="-56"/>
        </w:rPr>
        <w:t> </w:t>
      </w:r>
      <w:r>
        <w:rPr/>
        <w:t>个月均低于其初始投资成本</w:t>
      </w:r>
    </w:p>
    <w:p>
      <w:pPr>
        <w:pStyle w:val="BodyText"/>
        <w:spacing w:line="343" w:lineRule="auto" w:before="116"/>
        <w:ind w:left="137" w:right="2597"/>
        <w:jc w:val="left"/>
      </w:pPr>
      <w:r>
        <w:rPr>
          <w:spacing w:val="-2"/>
        </w:rPr>
        <w:t>⑨其他表明金融资产发生减值的客观证据。</w:t>
      </w:r>
      <w:r>
        <w:rPr>
          <w:spacing w:val="-69"/>
        </w:rPr>
        <w:t> </w:t>
      </w:r>
      <w:r>
        <w:rPr>
          <w:spacing w:val="-69"/>
        </w:rPr>
      </w:r>
      <w:r>
        <w:rPr/>
        <w:t>以摊余成本计量的金融资产</w:t>
      </w:r>
    </w:p>
    <w:p>
      <w:pPr>
        <w:pStyle w:val="BodyText"/>
        <w:spacing w:line="274" w:lineRule="exact" w:before="26"/>
        <w:ind w:left="137" w:right="0"/>
        <w:jc w:val="both"/>
      </w:pPr>
      <w:r>
        <w:rPr/>
        <w:t>如果有客观证据表明该金融资产发生减值，则将该金融资产的账面价值减记至预计未来现金流量</w:t>
      </w:r>
    </w:p>
    <w:p>
      <w:pPr>
        <w:pStyle w:val="BodyText"/>
        <w:spacing w:line="272" w:lineRule="exact" w:before="27"/>
        <w:ind w:left="137" w:right="100"/>
        <w:jc w:val="left"/>
      </w:pPr>
      <w:r>
        <w:rPr>
          <w:spacing w:val="-2"/>
        </w:rPr>
        <w:t>（不包括尚未发生的未来信用损失）现值，减记金额计入当期损益。预计未来现金流量现值，按</w:t>
      </w:r>
      <w:r>
        <w:rPr>
          <w:spacing w:val="-25"/>
        </w:rPr>
        <w:t> </w:t>
      </w:r>
      <w:r>
        <w:rPr>
          <w:spacing w:val="-25"/>
        </w:rPr>
      </w:r>
      <w:r>
        <w:rPr/>
        <w:t>照该金融资产原实际利率折现确定，并考虑相关担保物的价值。</w:t>
      </w:r>
    </w:p>
    <w:p>
      <w:pPr>
        <w:pStyle w:val="BodyText"/>
        <w:spacing w:line="237" w:lineRule="auto" w:before="96"/>
        <w:ind w:left="137" w:right="103"/>
        <w:jc w:val="both"/>
      </w:pPr>
      <w:r>
        <w:rPr>
          <w:spacing w:val="-6"/>
          <w:w w:val="100"/>
        </w:rPr>
        <w:t>对单项金额重大的金融资产单独进行减值测试，如有客观证据表明其已发生减值，确认减值损失，</w:t>
      </w:r>
      <w:r>
        <w:rPr>
          <w:w w:val="100"/>
        </w:rPr>
        <w:t> </w:t>
      </w:r>
      <w:r>
        <w:rPr/>
        <w:t>计入当期损益。对单项金额不重大的金融资产，单独进行减值测试或包括在具有类似信用风险特</w:t>
      </w:r>
      <w:r>
        <w:rPr>
          <w:w w:val="100"/>
        </w:rPr>
        <w:t> </w:t>
      </w:r>
      <w:r>
        <w:rPr/>
        <w:t>征的金融资产组合中进行减值测试。单独测试未发生减值的金融资产（包括单项金额重大和不重</w:t>
      </w:r>
      <w:r>
        <w:rPr>
          <w:w w:val="100"/>
        </w:rPr>
        <w:t> </w:t>
      </w:r>
      <w:r>
        <w:rPr/>
        <w:t>大的金融资产），包括在具有类似信用风险特征的金融资产组合中再进行减值测试。已单项确认</w:t>
      </w:r>
      <w:r>
        <w:rPr>
          <w:w w:val="100"/>
        </w:rPr>
        <w:t> </w:t>
      </w:r>
      <w:r>
        <w:rPr/>
        <w:t>减值损失的金融资产，不包括在具有类似信用风险特征的金融资产组合中进行减值测试。</w:t>
      </w:r>
    </w:p>
    <w:p>
      <w:pPr>
        <w:pStyle w:val="BodyText"/>
        <w:spacing w:line="237" w:lineRule="auto" w:before="119"/>
        <w:ind w:left="137" w:right="100"/>
        <w:jc w:val="left"/>
      </w:pPr>
      <w:r>
        <w:rPr>
          <w:spacing w:val="-4"/>
          <w:w w:val="100"/>
        </w:rPr>
        <w:t>本公司对以摊余成本计量的金融资产确认减值损失后，如有客观证据表明该金融资产价值已恢复，</w:t>
      </w:r>
      <w:r>
        <w:rPr>
          <w:spacing w:val="-85"/>
          <w:w w:val="100"/>
        </w:rPr>
        <w:t> </w:t>
      </w:r>
      <w:r>
        <w:rPr>
          <w:spacing w:val="-85"/>
          <w:w w:val="100"/>
        </w:rPr>
      </w:r>
      <w:r>
        <w:rPr/>
        <w:t>且客观上与确认该损失后发生的事项有关，原确认的减值损失予以转回，计入当期损益。但是，</w:t>
      </w:r>
      <w:r>
        <w:rPr>
          <w:w w:val="100"/>
        </w:rPr>
        <w:t> </w:t>
      </w:r>
      <w:r>
        <w:rPr/>
        <w:t>该转回后的账面价值不超过假定不计提减值准备情况下该金融资产在转回日的摊余成本。</w:t>
      </w:r>
    </w:p>
    <w:p>
      <w:pPr>
        <w:spacing w:after="0" w:line="237"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217" w:right="0"/>
        <w:jc w:val="both"/>
      </w:pPr>
      <w:r>
        <w:rPr/>
        <w:t>可供出售金融资产</w:t>
      </w:r>
    </w:p>
    <w:p>
      <w:pPr>
        <w:pStyle w:val="BodyText"/>
        <w:spacing w:line="237" w:lineRule="auto" w:before="119"/>
        <w:ind w:left="217" w:right="238"/>
        <w:jc w:val="both"/>
      </w:pPr>
      <w:r>
        <w:rPr>
          <w:spacing w:val="-2"/>
        </w:rPr>
        <w:t>如果有客观证据表明该金融资产发生减值，原直接计入其他综合收益的因公允价值下降形成的累</w:t>
      </w:r>
      <w:r>
        <w:rPr>
          <w:spacing w:val="-25"/>
        </w:rPr>
        <w:t> </w:t>
      </w:r>
      <w:r>
        <w:rPr>
          <w:spacing w:val="-25"/>
        </w:rPr>
      </w:r>
      <w:r>
        <w:rPr>
          <w:spacing w:val="-2"/>
        </w:rPr>
        <w:t>计损失，予以转出，计入当期损益。该转出的累计损失，为可供出售金融资产的初始取得成本扣</w:t>
      </w:r>
      <w:r>
        <w:rPr>
          <w:spacing w:val="-25"/>
        </w:rPr>
        <w:t> </w:t>
      </w:r>
      <w:r>
        <w:rPr>
          <w:spacing w:val="-25"/>
        </w:rPr>
      </w:r>
      <w:r>
        <w:rPr/>
        <w:t>除已收回本金和已摊销金额、当前公允价值和原已计入损益的减值损失后的余额。</w:t>
      </w:r>
    </w:p>
    <w:p>
      <w:pPr>
        <w:pStyle w:val="BodyText"/>
        <w:spacing w:line="237" w:lineRule="auto" w:before="121"/>
        <w:ind w:left="217" w:right="238"/>
        <w:jc w:val="both"/>
      </w:pPr>
      <w:r>
        <w:rPr>
          <w:spacing w:val="-2"/>
        </w:rPr>
        <w:t>对于已确认减值损失的可供出售债务工具，在随后的会计期间公允价值已上升且客观上与确认原</w:t>
      </w:r>
      <w:r>
        <w:rPr>
          <w:spacing w:val="-25"/>
        </w:rPr>
        <w:t> </w:t>
      </w:r>
      <w:r>
        <w:rPr>
          <w:spacing w:val="-25"/>
        </w:rPr>
      </w:r>
      <w:r>
        <w:rPr>
          <w:spacing w:val="-2"/>
        </w:rPr>
        <w:t>减值损失确认后发生的事项有关的，原确认的减值损失予以转回，计入当期损益。可供出售权益</w:t>
      </w:r>
      <w:r>
        <w:rPr>
          <w:spacing w:val="-25"/>
        </w:rPr>
        <w:t> </w:t>
      </w:r>
      <w:r>
        <w:rPr>
          <w:spacing w:val="-25"/>
        </w:rPr>
      </w:r>
      <w:r>
        <w:rPr/>
        <w:t>工具投资发生的减值损失，不通过损益转回。</w:t>
      </w:r>
    </w:p>
    <w:p>
      <w:pPr>
        <w:pStyle w:val="BodyText"/>
        <w:spacing w:line="240" w:lineRule="auto" w:before="116"/>
        <w:ind w:left="217" w:right="0"/>
        <w:jc w:val="both"/>
      </w:pPr>
      <w:r>
        <w:rPr/>
        <w:t>以成本计量的金融资产</w:t>
      </w:r>
    </w:p>
    <w:p>
      <w:pPr>
        <w:pStyle w:val="BodyText"/>
        <w:spacing w:line="237" w:lineRule="auto" w:before="121"/>
        <w:ind w:left="217" w:right="238"/>
        <w:jc w:val="both"/>
      </w:pPr>
      <w:r>
        <w:rPr>
          <w:spacing w:val="-2"/>
        </w:rPr>
        <w:t>在活跃市场中没有报价且其公允价值不能可靠计量的权益工具投资，或与该权益工具挂钩并须通</w:t>
      </w:r>
      <w:r>
        <w:rPr>
          <w:spacing w:val="-25"/>
        </w:rPr>
        <w:t> </w:t>
      </w:r>
      <w:r>
        <w:rPr>
          <w:spacing w:val="-25"/>
        </w:rPr>
      </w:r>
      <w:r>
        <w:rPr>
          <w:spacing w:val="-2"/>
        </w:rPr>
        <w:t>过交付该权益工具结算的衍生金融资产发生减值时，将该金融资产的账面价值，与按照类似金融</w:t>
      </w:r>
      <w:r>
        <w:rPr>
          <w:spacing w:val="-25"/>
        </w:rPr>
        <w:t> </w:t>
      </w:r>
      <w:r>
        <w:rPr>
          <w:spacing w:val="-25"/>
        </w:rPr>
      </w:r>
      <w:r>
        <w:rPr>
          <w:spacing w:val="-2"/>
        </w:rPr>
        <w:t>资产当时市场收益率对未来现金流量折现确定的现值之间的差额，确认为减值损失，计入当期损</w:t>
      </w:r>
      <w:r>
        <w:rPr>
          <w:spacing w:val="-25"/>
        </w:rPr>
        <w:t> </w:t>
      </w:r>
      <w:r>
        <w:rPr>
          <w:spacing w:val="-25"/>
        </w:rPr>
      </w:r>
      <w:r>
        <w:rPr/>
        <w:t>益。发生的减值损失一经确认，不得转回。</w:t>
      </w:r>
    </w:p>
    <w:p>
      <w:pPr>
        <w:pStyle w:val="BodyText"/>
        <w:spacing w:line="340" w:lineRule="auto" w:before="119"/>
        <w:ind w:left="217" w:right="238"/>
        <w:jc w:val="both"/>
      </w:pPr>
      <w:r>
        <w:rPr/>
        <w:t>（</w:t>
      </w:r>
      <w:r>
        <w:rPr>
          <w:rFonts w:ascii="宋体" w:hAnsi="宋体" w:cs="宋体" w:eastAsia="宋体" w:hint="default"/>
        </w:rPr>
        <w:t>6</w:t>
      </w:r>
      <w:r>
        <w:rPr/>
        <w:t>）金融资产转移</w:t>
      </w:r>
      <w:r>
        <w:rPr>
          <w:w w:val="100"/>
        </w:rPr>
        <w:t> </w:t>
      </w:r>
      <w:r>
        <w:rPr/>
        <w:t>金融资产转移，是指将金融资产让与或交付给该金融资产发行方以外的另一方（转入方）。</w:t>
      </w:r>
    </w:p>
    <w:p>
      <w:pPr>
        <w:pStyle w:val="BodyText"/>
        <w:spacing w:line="272" w:lineRule="exact" w:before="58"/>
        <w:ind w:left="217" w:right="238"/>
        <w:jc w:val="both"/>
      </w:pPr>
      <w:r>
        <w:rPr>
          <w:spacing w:val="-2"/>
        </w:rPr>
        <w:t>本公司已将金融资产所有权上几乎所有的风险和报酬转移给转入方的，终止确认该金融资产；保</w:t>
      </w:r>
      <w:r>
        <w:rPr>
          <w:spacing w:val="-25"/>
        </w:rPr>
        <w:t> </w:t>
      </w:r>
      <w:r>
        <w:rPr>
          <w:spacing w:val="-25"/>
        </w:rPr>
      </w:r>
      <w:r>
        <w:rPr/>
        <w:t>留了金融资产所有权上几乎所有的风险和报酬的，不终止确认该金融资产。</w:t>
      </w:r>
    </w:p>
    <w:p>
      <w:pPr>
        <w:pStyle w:val="BodyText"/>
        <w:spacing w:line="237" w:lineRule="auto" w:before="96"/>
        <w:ind w:left="217" w:right="238"/>
        <w:jc w:val="both"/>
      </w:pPr>
      <w:r>
        <w:rPr>
          <w:spacing w:val="-2"/>
        </w:rPr>
        <w:t>本公司既没有转移也没有保留金融资产所有权上几乎所有的风险和报酬的，分别下列情况处理：</w:t>
      </w:r>
      <w:r>
        <w:rPr>
          <w:spacing w:val="-25"/>
        </w:rPr>
        <w:t> </w:t>
      </w:r>
      <w:r>
        <w:rPr>
          <w:spacing w:val="-25"/>
        </w:rPr>
      </w:r>
      <w:r>
        <w:rPr>
          <w:spacing w:val="-2"/>
        </w:rPr>
        <w:t>放弃了对该金融资产控制的，终止确认该金融资产并确认产生的资产和负债；未放弃对该金融资</w:t>
      </w:r>
      <w:r>
        <w:rPr>
          <w:spacing w:val="-25"/>
        </w:rPr>
        <w:t> </w:t>
      </w:r>
      <w:r>
        <w:rPr>
          <w:spacing w:val="-25"/>
        </w:rPr>
      </w:r>
      <w:r>
        <w:rPr/>
        <w:t>产控制的，按照其继续涉入所转移金融资产的程度确认有关金融资产，并相应确认有关负债。</w:t>
      </w:r>
    </w:p>
    <w:p>
      <w:pPr>
        <w:pStyle w:val="BodyText"/>
        <w:spacing w:line="240" w:lineRule="auto" w:before="116"/>
        <w:ind w:left="217" w:right="0"/>
        <w:jc w:val="both"/>
      </w:pPr>
      <w:r>
        <w:rPr/>
        <w:t>（</w:t>
      </w:r>
      <w:r>
        <w:rPr>
          <w:rFonts w:ascii="宋体" w:hAnsi="宋体" w:cs="宋体" w:eastAsia="宋体" w:hint="default"/>
        </w:rPr>
        <w:t>7</w:t>
      </w:r>
      <w:r>
        <w:rPr/>
        <w:t>）金融资产和金融负债的抵销</w:t>
      </w:r>
    </w:p>
    <w:p>
      <w:pPr>
        <w:pStyle w:val="BodyText"/>
        <w:spacing w:line="237" w:lineRule="auto" w:before="121"/>
        <w:ind w:left="217" w:right="238"/>
        <w:jc w:val="both"/>
      </w:pPr>
      <w:r>
        <w:rPr>
          <w:spacing w:val="-2"/>
        </w:rPr>
        <w:t>当本公司具有抵销已确认金融资产和金融负债的法定权利，且目前可执行该种法定权利，同时本</w:t>
      </w:r>
      <w:r>
        <w:rPr>
          <w:spacing w:val="-25"/>
        </w:rPr>
        <w:t> </w:t>
      </w:r>
      <w:r>
        <w:rPr>
          <w:spacing w:val="-25"/>
        </w:rPr>
      </w:r>
      <w:r>
        <w:rPr>
          <w:spacing w:val="-2"/>
        </w:rPr>
        <w:t>公司计划以净额结算或同时变现该金融资产和清偿该金融负债时，金融资产和金融负债以相互抵</w:t>
      </w:r>
      <w:r>
        <w:rPr>
          <w:spacing w:val="-25"/>
        </w:rPr>
        <w:t> </w:t>
      </w:r>
      <w:r>
        <w:rPr>
          <w:spacing w:val="-25"/>
        </w:rPr>
      </w:r>
      <w:r>
        <w:rPr>
          <w:spacing w:val="-2"/>
        </w:rPr>
        <w:t>销后的金额在资产负债表内列示。除此以外，金融资产和金融负债在资产负债表内分别列示，不</w:t>
      </w:r>
      <w:r>
        <w:rPr>
          <w:spacing w:val="-25"/>
        </w:rPr>
        <w:t> </w:t>
      </w:r>
      <w:r>
        <w:rPr>
          <w:spacing w:val="-25"/>
        </w:rPr>
      </w:r>
      <w:r>
        <w:rPr/>
        <w:t>予相互抵销。</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90" w:lineRule="auto"/>
        <w:ind w:left="217" w:right="44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left="217" w:right="0"/>
        <w:jc w:val="both"/>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554"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单项金额超过期末应收款项余额的</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z w:val="21"/>
                <w:szCs w:val="21"/>
              </w:rPr>
              <w:t>且单项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金额超过</w:t>
            </w:r>
            <w:r>
              <w:rPr>
                <w:rFonts w:ascii="宋体" w:hAnsi="宋体" w:cs="宋体" w:eastAsia="宋体" w:hint="default"/>
                <w:spacing w:val="-52"/>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137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对于单项金额重大的应收款项单独进行减值测</w:t>
            </w:r>
          </w:p>
          <w:p>
            <w:pPr>
              <w:pStyle w:val="TableParagraph"/>
              <w:spacing w:line="237" w:lineRule="auto" w:before="1"/>
              <w:ind w:left="103" w:right="147"/>
              <w:jc w:val="both"/>
              <w:rPr>
                <w:rFonts w:ascii="宋体" w:hAnsi="宋体" w:cs="宋体" w:eastAsia="宋体" w:hint="default"/>
                <w:sz w:val="21"/>
                <w:szCs w:val="21"/>
              </w:rPr>
            </w:pPr>
            <w:r>
              <w:rPr>
                <w:rFonts w:ascii="宋体" w:hAnsi="宋体" w:cs="宋体" w:eastAsia="宋体" w:hint="default"/>
                <w:spacing w:val="-2"/>
                <w:sz w:val="21"/>
                <w:szCs w:val="21"/>
              </w:rPr>
              <w:t>试，有客观证据表明发生了减值，根据其未来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现金流量现值低于其账面价值的差额计提坏账</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准备。单项金额重大经单独测试未发生减值的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应收款项，再按组合计提坏账准备。</w:t>
            </w:r>
          </w:p>
        </w:tc>
      </w:tr>
    </w:tbl>
    <w:p>
      <w:pPr>
        <w:spacing w:line="240" w:lineRule="auto" w:before="2"/>
        <w:rPr>
          <w:rFonts w:ascii="宋体" w:hAnsi="宋体" w:cs="宋体" w:eastAsia="宋体" w:hint="default"/>
          <w:sz w:val="20"/>
          <w:szCs w:val="20"/>
        </w:rPr>
      </w:pPr>
    </w:p>
    <w:p>
      <w:pPr>
        <w:pStyle w:val="Heading4"/>
        <w:spacing w:line="240" w:lineRule="auto" w:before="36"/>
        <w:ind w:left="217" w:right="227"/>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left="217" w:right="227"/>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对象组合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bl>
    <w:p>
      <w:pPr>
        <w:spacing w:line="240" w:lineRule="auto" w:before="5"/>
        <w:rPr>
          <w:rFonts w:ascii="宋体" w:hAnsi="宋体" w:cs="宋体" w:eastAsia="宋体" w:hint="default"/>
          <w:sz w:val="15"/>
          <w:szCs w:val="15"/>
        </w:rPr>
      </w:pPr>
    </w:p>
    <w:p>
      <w:pPr>
        <w:pStyle w:val="BodyText"/>
        <w:spacing w:line="274" w:lineRule="exact" w:before="36"/>
        <w:ind w:left="217" w:right="227"/>
        <w:jc w:val="left"/>
      </w:pPr>
      <w:r>
        <w:rPr/>
        <w:t>组合中，采用账龄分析法计提坏账准备的</w:t>
      </w:r>
    </w:p>
    <w:p>
      <w:pPr>
        <w:pStyle w:val="BodyText"/>
        <w:spacing w:line="274" w:lineRule="exact"/>
        <w:ind w:left="217" w:right="227"/>
        <w:jc w:val="left"/>
      </w:pPr>
      <w:r>
        <w:rPr/>
        <w:t>√适用 □不适用</w:t>
      </w:r>
    </w:p>
    <w:p>
      <w:pPr>
        <w:spacing w:after="0" w:line="274" w:lineRule="exact"/>
        <w:jc w:val="left"/>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33"/>
        <w:gridCol w:w="3072"/>
        <w:gridCol w:w="3145"/>
      </w:tblGrid>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73" w:lineRule="exact" w:before="36"/>
        <w:ind w:left="217" w:right="227"/>
        <w:jc w:val="left"/>
      </w:pPr>
      <w:r>
        <w:rPr/>
        <w:t>组合中，采用余额百分比法计提坏账准备的</w:t>
      </w:r>
    </w:p>
    <w:p>
      <w:pPr>
        <w:pStyle w:val="BodyText"/>
        <w:spacing w:line="240" w:lineRule="auto"/>
        <w:ind w:left="217" w:right="4688"/>
        <w:jc w:val="left"/>
      </w:pPr>
      <w:r>
        <w:rPr/>
        <w:t>□适用</w:t>
      </w:r>
      <w:r>
        <w:rPr>
          <w:spacing w:val="-2"/>
        </w:rPr>
        <w:t> </w:t>
      </w:r>
      <w:r>
        <w:rPr/>
        <w:t>√不适用</w:t>
      </w:r>
      <w:r>
        <w:rPr>
          <w:spacing w:val="-103"/>
        </w:rPr>
        <w:t> </w:t>
      </w:r>
      <w:r>
        <w:rPr>
          <w:spacing w:val="-103"/>
        </w:rPr>
      </w:r>
      <w:r>
        <w:rPr>
          <w:spacing w:val="-2"/>
        </w:rPr>
        <w:t>组合中，采用其他方法计提坏账准备的</w:t>
      </w:r>
    </w:p>
    <w:p>
      <w:pPr>
        <w:pStyle w:val="BodyText"/>
        <w:spacing w:line="271" w:lineRule="exact"/>
        <w:ind w:left="217" w:right="227"/>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95"/>
        <w:gridCol w:w="3005"/>
        <w:gridCol w:w="2950"/>
      </w:tblGrid>
      <w:tr>
        <w:trPr>
          <w:trHeight w:val="281"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
              <w:jc w:val="center"/>
              <w:rPr>
                <w:rFonts w:ascii="宋体" w:hAnsi="宋体" w:cs="宋体" w:eastAsia="宋体" w:hint="default"/>
                <w:sz w:val="21"/>
                <w:szCs w:val="21"/>
              </w:rPr>
            </w:pPr>
            <w:r>
              <w:rPr>
                <w:rFonts w:ascii="宋体" w:hAnsi="宋体" w:cs="宋体" w:eastAsia="宋体" w:hint="default"/>
                <w:sz w:val="21"/>
                <w:szCs w:val="21"/>
              </w:rPr>
              <w:t>应收合并报表范围内公司款项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Heading4"/>
        <w:spacing w:line="240" w:lineRule="auto" w:before="36"/>
        <w:ind w:left="217" w:right="227"/>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6"/>
        <w:ind w:left="217" w:right="227"/>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40"/>
        <w:gridCol w:w="4710"/>
      </w:tblGrid>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557"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计提坏账准备</w:t>
            </w:r>
          </w:p>
        </w:tc>
      </w:tr>
    </w:tbl>
    <w:p>
      <w:pPr>
        <w:spacing w:line="240" w:lineRule="auto" w:before="12"/>
        <w:rPr>
          <w:rFonts w:ascii="宋体" w:hAnsi="宋体" w:cs="宋体" w:eastAsia="宋体" w:hint="default"/>
          <w:sz w:val="19"/>
          <w:szCs w:val="19"/>
        </w:rPr>
      </w:pPr>
    </w:p>
    <w:p>
      <w:pPr>
        <w:pStyle w:val="Heading4"/>
        <w:spacing w:line="240" w:lineRule="auto" w:before="36"/>
        <w:ind w:left="217" w:right="0"/>
        <w:jc w:val="both"/>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73" w:lineRule="exact" w:before="58"/>
        <w:ind w:left="217" w:right="0"/>
        <w:jc w:val="both"/>
      </w:pPr>
      <w:r>
        <w:rPr/>
        <w:t>√适用  □不适用</w:t>
      </w:r>
    </w:p>
    <w:p>
      <w:pPr>
        <w:pStyle w:val="BodyText"/>
        <w:spacing w:line="340" w:lineRule="auto"/>
        <w:ind w:left="217" w:right="3886"/>
        <w:jc w:val="left"/>
      </w:pPr>
      <w:r>
        <w:rPr/>
        <w:t>（</w:t>
      </w:r>
      <w:r>
        <w:rPr>
          <w:rFonts w:ascii="宋体" w:hAnsi="宋体" w:cs="宋体" w:eastAsia="宋体" w:hint="default"/>
        </w:rPr>
        <w:t>1</w:t>
      </w:r>
      <w:r>
        <w:rPr/>
        <w:t>）存货的分类</w:t>
      </w:r>
      <w:r>
        <w:rPr>
          <w:w w:val="100"/>
        </w:rPr>
        <w:t> </w:t>
      </w:r>
      <w:r>
        <w:rPr>
          <w:spacing w:val="-2"/>
        </w:rPr>
        <w:t>本公司存货分为库存商品、发出商品、劳务成本等。</w:t>
      </w:r>
    </w:p>
    <w:p>
      <w:pPr>
        <w:pStyle w:val="BodyText"/>
        <w:spacing w:line="240" w:lineRule="auto" w:before="31"/>
        <w:ind w:left="217" w:right="0"/>
        <w:jc w:val="both"/>
      </w:pPr>
      <w:r>
        <w:rPr/>
        <w:t>（</w:t>
      </w:r>
      <w:r>
        <w:rPr>
          <w:rFonts w:ascii="宋体" w:hAnsi="宋体" w:cs="宋体" w:eastAsia="宋体" w:hint="default"/>
        </w:rPr>
        <w:t>2</w:t>
      </w:r>
      <w:r>
        <w:rPr/>
        <w:t>）发出存货的计价方法</w:t>
      </w:r>
    </w:p>
    <w:p>
      <w:pPr>
        <w:pStyle w:val="BodyText"/>
        <w:spacing w:line="240" w:lineRule="auto" w:before="116"/>
        <w:ind w:left="217" w:right="227"/>
        <w:jc w:val="left"/>
      </w:pPr>
      <w:r>
        <w:rPr>
          <w:spacing w:val="-2"/>
        </w:rPr>
        <w:t>本公司存货取得时按实际成本计价。库存商品、发出商品、劳务成本等发出时采用个别计价法计</w:t>
      </w:r>
      <w:r>
        <w:rPr>
          <w:spacing w:val="-25"/>
        </w:rPr>
        <w:t> </w:t>
      </w:r>
      <w:r>
        <w:rPr>
          <w:spacing w:val="-25"/>
        </w:rPr>
      </w:r>
      <w:r>
        <w:rPr/>
        <w:t>价。</w:t>
      </w:r>
    </w:p>
    <w:p>
      <w:pPr>
        <w:pStyle w:val="BodyText"/>
        <w:spacing w:line="240" w:lineRule="auto" w:before="116"/>
        <w:ind w:left="217" w:right="0"/>
        <w:jc w:val="both"/>
      </w:pPr>
      <w:r>
        <w:rPr/>
        <w:t>（</w:t>
      </w:r>
      <w:r>
        <w:rPr>
          <w:rFonts w:ascii="宋体" w:hAnsi="宋体" w:cs="宋体" w:eastAsia="宋体" w:hint="default"/>
        </w:rPr>
        <w:t>3</w:t>
      </w:r>
      <w:r>
        <w:rPr/>
        <w:t>）存货可变现净值的确定依据及存货跌价准备的计提方法</w:t>
      </w:r>
    </w:p>
    <w:p>
      <w:pPr>
        <w:pStyle w:val="BodyText"/>
        <w:spacing w:line="237" w:lineRule="auto" w:before="121"/>
        <w:ind w:left="217" w:right="238"/>
        <w:jc w:val="both"/>
      </w:pPr>
      <w:r>
        <w:rPr>
          <w:spacing w:val="-2"/>
        </w:rPr>
        <w:t>存货可变现净值是按存货的估计售价减去至完工时估计将要发生的成本、估计的销售费用以及相</w:t>
      </w:r>
      <w:r>
        <w:rPr>
          <w:spacing w:val="-25"/>
        </w:rPr>
        <w:t> </w:t>
      </w:r>
      <w:r>
        <w:rPr>
          <w:spacing w:val="-25"/>
        </w:rPr>
      </w:r>
      <w:r>
        <w:rPr>
          <w:spacing w:val="-2"/>
        </w:rPr>
        <w:t>关税费后的金额。在确定存货的可变现净值时，以取得的确凿证据为基础，同时考虑持有存货的</w:t>
      </w:r>
      <w:r>
        <w:rPr>
          <w:spacing w:val="-25"/>
        </w:rPr>
        <w:t> </w:t>
      </w:r>
      <w:r>
        <w:rPr>
          <w:spacing w:val="-25"/>
        </w:rPr>
      </w:r>
      <w:r>
        <w:rPr/>
        <w:t>目的以及资产负债表日后事项的影响。</w:t>
      </w:r>
    </w:p>
    <w:p>
      <w:pPr>
        <w:pStyle w:val="BodyText"/>
        <w:spacing w:line="237" w:lineRule="auto" w:before="119"/>
        <w:ind w:left="217" w:right="238"/>
        <w:jc w:val="both"/>
      </w:pPr>
      <w:r>
        <w:rPr>
          <w:spacing w:val="-2"/>
        </w:rPr>
        <w:t>资产负债表日，存货成本高于其可变现净值的，计提存货跌价准备。本公司通常按照单个存货项</w:t>
      </w:r>
      <w:r>
        <w:rPr>
          <w:spacing w:val="-25"/>
        </w:rPr>
        <w:t> </w:t>
      </w:r>
      <w:r>
        <w:rPr>
          <w:spacing w:val="-25"/>
        </w:rPr>
      </w:r>
      <w:r>
        <w:rPr>
          <w:spacing w:val="-2"/>
        </w:rPr>
        <w:t>目计提存货跌价准备，资产负债表日，以前减记存货价值的影响因素已经消失的，存货跌价准备</w:t>
      </w:r>
      <w:r>
        <w:rPr>
          <w:spacing w:val="-25"/>
        </w:rPr>
        <w:t> </w:t>
      </w:r>
      <w:r>
        <w:rPr>
          <w:spacing w:val="-25"/>
        </w:rPr>
      </w:r>
      <w:r>
        <w:rPr/>
        <w:t>在原已计提的金额内转回。</w:t>
      </w:r>
    </w:p>
    <w:p>
      <w:pPr>
        <w:pStyle w:val="BodyText"/>
        <w:spacing w:line="340" w:lineRule="auto" w:before="119"/>
        <w:ind w:left="217" w:right="4688"/>
        <w:jc w:val="left"/>
      </w:pPr>
      <w:r>
        <w:rPr/>
        <w:t>（</w:t>
      </w:r>
      <w:r>
        <w:rPr>
          <w:rFonts w:ascii="宋体" w:hAnsi="宋体" w:cs="宋体" w:eastAsia="宋体" w:hint="default"/>
        </w:rPr>
        <w:t>4</w:t>
      </w:r>
      <w:r>
        <w:rPr/>
        <w:t>）存货的盘存制度</w:t>
      </w:r>
      <w:r>
        <w:rPr>
          <w:w w:val="100"/>
        </w:rPr>
        <w:t> </w:t>
      </w:r>
      <w:r>
        <w:rPr>
          <w:spacing w:val="-2"/>
        </w:rPr>
        <w:t>本公司存货盘存制度采用永续盘存制。</w:t>
      </w:r>
    </w:p>
    <w:p>
      <w:pPr>
        <w:pStyle w:val="BodyText"/>
        <w:spacing w:line="340" w:lineRule="auto" w:before="30"/>
        <w:ind w:left="217" w:right="2096"/>
        <w:jc w:val="left"/>
      </w:pPr>
      <w:r>
        <w:rPr/>
        <w:t>（</w:t>
      </w:r>
      <w:r>
        <w:rPr>
          <w:rFonts w:ascii="宋体" w:hAnsi="宋体" w:cs="宋体" w:eastAsia="宋体" w:hint="default"/>
        </w:rPr>
        <w:t>5</w:t>
      </w:r>
      <w:r>
        <w:rPr/>
        <w:t>）低值易耗品的摊销方法</w:t>
      </w:r>
      <w:r>
        <w:rPr>
          <w:w w:val="100"/>
        </w:rPr>
        <w:t> </w:t>
      </w:r>
      <w:r>
        <w:rPr>
          <w:spacing w:val="-2"/>
        </w:rPr>
        <w:t>本公司低值易耗品领用时采用一次转销法摊销。</w:t>
      </w:r>
    </w:p>
    <w:p>
      <w:pPr>
        <w:spacing w:line="240" w:lineRule="auto" w:before="8"/>
        <w:rPr>
          <w:rFonts w:ascii="宋体" w:hAnsi="宋体" w:cs="宋体" w:eastAsia="宋体" w:hint="default"/>
          <w:sz w:val="27"/>
          <w:szCs w:val="27"/>
        </w:rPr>
      </w:pPr>
    </w:p>
    <w:p>
      <w:pPr>
        <w:pStyle w:val="Heading4"/>
        <w:spacing w:line="240" w:lineRule="auto"/>
        <w:ind w:left="217" w:right="0"/>
        <w:jc w:val="both"/>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spacing w:line="240" w:lineRule="auto" w:before="58"/>
        <w:ind w:left="217" w:right="0"/>
        <w:jc w:val="both"/>
      </w:pPr>
      <w:r>
        <w:rPr/>
        <w:t>□适用  √不适用</w:t>
      </w:r>
    </w:p>
    <w:p>
      <w:pPr>
        <w:spacing w:after="0" w:line="240" w:lineRule="auto"/>
        <w:jc w:val="both"/>
        <w:sectPr>
          <w:footerReference w:type="default" r:id="rId34"/>
          <w:pgSz w:w="11910" w:h="16840"/>
          <w:pgMar w:footer="2139" w:header="882" w:top="1120" w:bottom="2320" w:left="1060" w:right="1560"/>
          <w:pgNumType w:start="86"/>
        </w:sectPr>
      </w:pPr>
    </w:p>
    <w:p>
      <w:pPr>
        <w:spacing w:line="240" w:lineRule="auto" w:before="9"/>
        <w:rPr>
          <w:rFonts w:ascii="宋体" w:hAnsi="宋体" w:cs="宋体" w:eastAsia="宋体" w:hint="default"/>
          <w:sz w:val="18"/>
          <w:szCs w:val="18"/>
        </w:rPr>
      </w:pPr>
    </w:p>
    <w:p>
      <w:pPr>
        <w:pStyle w:val="BodyText"/>
        <w:spacing w:line="240" w:lineRule="auto" w:before="36"/>
        <w:ind w:left="137" w:right="0"/>
        <w:jc w:val="both"/>
      </w:pPr>
      <w:r>
        <w:rPr/>
        <w:t>长期股权投资包括对子公司、联营企业的投资。</w:t>
      </w:r>
    </w:p>
    <w:p>
      <w:pPr>
        <w:pStyle w:val="BodyText"/>
        <w:spacing w:line="240" w:lineRule="auto" w:before="116"/>
        <w:ind w:left="137" w:right="0"/>
        <w:jc w:val="both"/>
      </w:pPr>
      <w:r>
        <w:rPr/>
        <w:t>（</w:t>
      </w:r>
      <w:r>
        <w:rPr>
          <w:rFonts w:ascii="宋体" w:hAnsi="宋体" w:cs="宋体" w:eastAsia="宋体" w:hint="default"/>
        </w:rPr>
        <w:t>1</w:t>
      </w:r>
      <w:r>
        <w:rPr/>
        <w:t>）初始投资成本确定</w:t>
      </w:r>
    </w:p>
    <w:p>
      <w:pPr>
        <w:pStyle w:val="BodyText"/>
        <w:spacing w:line="237" w:lineRule="auto" w:before="121"/>
        <w:ind w:left="137" w:right="218"/>
        <w:jc w:val="both"/>
      </w:pPr>
      <w:r>
        <w:rPr>
          <w:spacing w:val="-2"/>
        </w:rPr>
        <w:t>形成企业合并的长期股权投资：同一控制下企业合并取得的长期股权投资，在合并日按照取得被</w:t>
      </w:r>
      <w:r>
        <w:rPr>
          <w:spacing w:val="-25"/>
        </w:rPr>
        <w:t> </w:t>
      </w:r>
      <w:r>
        <w:rPr>
          <w:spacing w:val="-25"/>
        </w:rPr>
      </w:r>
      <w:r>
        <w:rPr>
          <w:spacing w:val="-2"/>
        </w:rPr>
        <w:t>合并方所有者权益在最终控制方合并财务报表中的账面价值份额作为投资成本；非同一控制下企</w:t>
      </w:r>
      <w:r>
        <w:rPr>
          <w:spacing w:val="-25"/>
        </w:rPr>
        <w:t> </w:t>
      </w:r>
      <w:r>
        <w:rPr>
          <w:spacing w:val="-25"/>
        </w:rPr>
      </w:r>
      <w:r>
        <w:rPr/>
        <w:t>业合并取得的长期股权投资，按照合并成本作为长期股权投资的投资成本。</w:t>
      </w:r>
    </w:p>
    <w:p>
      <w:pPr>
        <w:pStyle w:val="BodyText"/>
        <w:spacing w:line="237" w:lineRule="auto" w:before="119"/>
        <w:ind w:left="137" w:right="218"/>
        <w:jc w:val="both"/>
      </w:pPr>
      <w:r>
        <w:rPr>
          <w:spacing w:val="-2"/>
        </w:rPr>
        <w:t>对于其他方式取得的长期股权投资：支付现金取得的长期股权投资，按照实际支付的购买价款作</w:t>
      </w:r>
      <w:r>
        <w:rPr>
          <w:spacing w:val="-25"/>
        </w:rPr>
        <w:t> </w:t>
      </w:r>
      <w:r>
        <w:rPr>
          <w:spacing w:val="-25"/>
        </w:rPr>
      </w:r>
      <w:r>
        <w:rPr>
          <w:spacing w:val="-2"/>
        </w:rPr>
        <w:t>为初始投资成本；发行权益性证券取得的长期股权投资，以发行权益性证券的公允价值作为初始</w:t>
      </w:r>
      <w:r>
        <w:rPr>
          <w:spacing w:val="-25"/>
        </w:rPr>
        <w:t> </w:t>
      </w:r>
      <w:r>
        <w:rPr>
          <w:spacing w:val="-25"/>
        </w:rPr>
      </w:r>
      <w:r>
        <w:rPr/>
        <w:t>投资成本。</w:t>
      </w:r>
    </w:p>
    <w:p>
      <w:pPr>
        <w:pStyle w:val="BodyText"/>
        <w:spacing w:line="340" w:lineRule="auto" w:before="119"/>
        <w:ind w:left="137" w:right="4056"/>
        <w:jc w:val="left"/>
      </w:pPr>
      <w:r>
        <w:rPr/>
        <w:t>（</w:t>
      </w:r>
      <w:r>
        <w:rPr>
          <w:rFonts w:ascii="宋体" w:hAnsi="宋体" w:cs="宋体" w:eastAsia="宋体" w:hint="default"/>
        </w:rPr>
        <w:t>2</w:t>
      </w:r>
      <w:r>
        <w:rPr/>
        <w:t>）后续计量及损益确认方法</w:t>
      </w:r>
      <w:r>
        <w:rPr>
          <w:w w:val="100"/>
        </w:rPr>
        <w:t> </w:t>
      </w:r>
      <w:r>
        <w:rPr>
          <w:spacing w:val="-2"/>
        </w:rPr>
        <w:t>对子公司的投资，采用成本法核算。</w:t>
      </w:r>
    </w:p>
    <w:p>
      <w:pPr>
        <w:pStyle w:val="BodyText"/>
        <w:spacing w:line="272" w:lineRule="exact" w:before="59"/>
        <w:ind w:left="137" w:right="211"/>
        <w:jc w:val="both"/>
      </w:pPr>
      <w:r>
        <w:rPr>
          <w:spacing w:val="-2"/>
        </w:rPr>
        <w:t>采用成本法核算的长期股权投资，除取得投资时实际支付的价款或对价中包含的已宣告但尚未发</w:t>
      </w:r>
      <w:r>
        <w:rPr>
          <w:spacing w:val="-25"/>
        </w:rPr>
        <w:t> </w:t>
      </w:r>
      <w:r>
        <w:rPr>
          <w:spacing w:val="-25"/>
        </w:rPr>
      </w:r>
      <w:r>
        <w:rPr>
          <w:spacing w:val="-6"/>
          <w:w w:val="100"/>
        </w:rPr>
        <w:t>放的现金股利或利润外，被投资单位宣告分派的现金股利或利润，确认为投资收益计入当期损益。</w:t>
      </w:r>
    </w:p>
    <w:p>
      <w:pPr>
        <w:pStyle w:val="BodyText"/>
        <w:spacing w:line="237" w:lineRule="auto" w:before="96"/>
        <w:ind w:left="137" w:right="218"/>
        <w:jc w:val="both"/>
      </w:pPr>
      <w:r>
        <w:rPr>
          <w:spacing w:val="-2"/>
        </w:rPr>
        <w:t>采用权益法核算的长期股权投资，初始投资成本大于投资时应享有被投资单位可辨认净资产公允</w:t>
      </w:r>
      <w:r>
        <w:rPr>
          <w:spacing w:val="-25"/>
        </w:rPr>
        <w:t> </w:t>
      </w:r>
      <w:r>
        <w:rPr>
          <w:spacing w:val="-25"/>
        </w:rPr>
      </w:r>
      <w:r>
        <w:rPr>
          <w:spacing w:val="-2"/>
        </w:rPr>
        <w:t>价值份额的，不调整长期股权投资的投资成本；初始投资成本小于投资时应享有被投资单位可辨</w:t>
      </w:r>
      <w:r>
        <w:rPr>
          <w:spacing w:val="-25"/>
        </w:rPr>
        <w:t> </w:t>
      </w:r>
      <w:r>
        <w:rPr>
          <w:spacing w:val="-25"/>
        </w:rPr>
      </w:r>
      <w:r>
        <w:rPr/>
        <w:t>认净资产公允价值份额的，对长期股权投资的账面价值进行调整，差额计入投资当期的损益。</w:t>
      </w:r>
    </w:p>
    <w:p>
      <w:pPr>
        <w:pStyle w:val="BodyText"/>
        <w:spacing w:line="237" w:lineRule="auto" w:before="119"/>
        <w:ind w:left="137" w:right="208"/>
        <w:jc w:val="both"/>
      </w:pPr>
      <w:r>
        <w:rPr>
          <w:spacing w:val="-2"/>
        </w:rPr>
        <w:t>采用权益法核算时，按照应享有或应分担的被投资单位实现的净损益和其他综合收益的份额，分</w:t>
      </w:r>
      <w:r>
        <w:rPr>
          <w:spacing w:val="-25"/>
        </w:rPr>
        <w:t> </w:t>
      </w:r>
      <w:r>
        <w:rPr>
          <w:spacing w:val="-25"/>
        </w:rPr>
      </w:r>
      <w:r>
        <w:rPr>
          <w:spacing w:val="-2"/>
        </w:rPr>
        <w:t>别确认投资收益和其他综合收益，同时调整长期股权投资的账面价值；按照被投资单位宣告分派</w:t>
      </w:r>
      <w:r>
        <w:rPr>
          <w:spacing w:val="-25"/>
        </w:rPr>
        <w:t> </w:t>
      </w:r>
      <w:r>
        <w:rPr>
          <w:spacing w:val="-25"/>
        </w:rPr>
      </w:r>
      <w:r>
        <w:rPr>
          <w:spacing w:val="-6"/>
          <w:w w:val="100"/>
        </w:rPr>
        <w:t>的利润或现金股利计算应享有的部分，相应减少长期股权投资的账面价值；被投资单位除净损益、</w:t>
      </w:r>
      <w:r>
        <w:rPr>
          <w:w w:val="100"/>
        </w:rPr>
        <w:t> </w:t>
      </w:r>
      <w:r>
        <w:rPr>
          <w:spacing w:val="-2"/>
        </w:rPr>
        <w:t>其他综合收益和利润分配以外所有者权益的其他变动，调整长期股权投资的账面价值并计入资本</w:t>
      </w:r>
      <w:r>
        <w:rPr>
          <w:spacing w:val="-25"/>
        </w:rPr>
        <w:t> </w:t>
      </w:r>
      <w:r>
        <w:rPr>
          <w:spacing w:val="-25"/>
        </w:rPr>
      </w:r>
      <w:r>
        <w:rPr/>
        <w:t>公积（其他资本公积）。</w:t>
      </w:r>
    </w:p>
    <w:p>
      <w:pPr>
        <w:pStyle w:val="BodyText"/>
        <w:spacing w:line="240" w:lineRule="auto" w:before="119"/>
        <w:ind w:left="137" w:right="0"/>
        <w:jc w:val="both"/>
      </w:pPr>
      <w:r>
        <w:rPr/>
        <w:t>（</w:t>
      </w:r>
      <w:r>
        <w:rPr>
          <w:rFonts w:ascii="宋体" w:hAnsi="宋体" w:cs="宋体" w:eastAsia="宋体" w:hint="default"/>
        </w:rPr>
        <w:t>3</w:t>
      </w:r>
      <w:r>
        <w:rPr/>
        <w:t>）确定对被投资单位具有重大影响的依据</w:t>
      </w:r>
    </w:p>
    <w:p>
      <w:pPr>
        <w:pStyle w:val="BodyText"/>
        <w:spacing w:line="237" w:lineRule="auto" w:before="119"/>
        <w:ind w:left="137" w:right="218"/>
        <w:jc w:val="both"/>
      </w:pPr>
      <w:r>
        <w:rPr>
          <w:spacing w:val="-2"/>
        </w:rPr>
        <w:t>重大影响，是指投资方对被投资单位的财务和经营政策有参与决策的权力，但并不能够控制或者</w:t>
      </w:r>
      <w:r>
        <w:rPr>
          <w:spacing w:val="-25"/>
        </w:rPr>
        <w:t> </w:t>
      </w:r>
      <w:r>
        <w:rPr>
          <w:spacing w:val="-25"/>
        </w:rPr>
      </w:r>
      <w:r>
        <w:rPr>
          <w:spacing w:val="-2"/>
        </w:rPr>
        <w:t>与其他方一起共同控制这些政策的制定。在确定能否对被投资单位施加重大影响时，考虑投资方</w:t>
      </w:r>
      <w:r>
        <w:rPr>
          <w:spacing w:val="-25"/>
        </w:rPr>
        <w:t> </w:t>
      </w:r>
      <w:r>
        <w:rPr>
          <w:spacing w:val="-25"/>
        </w:rPr>
      </w:r>
      <w:r>
        <w:rPr>
          <w:spacing w:val="-2"/>
        </w:rPr>
        <w:t>直接或间接持有被投资单位的表决权股份以及投资方及其他方持有的当期可执行潜在表决权在假</w:t>
      </w:r>
      <w:r>
        <w:rPr>
          <w:spacing w:val="-26"/>
        </w:rPr>
        <w:t> </w:t>
      </w:r>
      <w:r>
        <w:rPr>
          <w:spacing w:val="-26"/>
        </w:rPr>
      </w:r>
      <w:r>
        <w:rPr>
          <w:spacing w:val="-2"/>
        </w:rPr>
        <w:t>定转换为对被投资方单位的股权后产生的影响，包括被投资单位发行的当期可转换的认股权证、</w:t>
      </w:r>
      <w:r>
        <w:rPr>
          <w:spacing w:val="-25"/>
        </w:rPr>
        <w:t> </w:t>
      </w:r>
      <w:r>
        <w:rPr>
          <w:spacing w:val="-25"/>
        </w:rPr>
      </w:r>
      <w:r>
        <w:rPr/>
        <w:t>股份期权及可转换公司债券等的影响。</w:t>
      </w:r>
    </w:p>
    <w:p>
      <w:pPr>
        <w:pStyle w:val="BodyText"/>
        <w:spacing w:line="237" w:lineRule="auto" w:before="119"/>
        <w:ind w:left="137" w:right="106"/>
        <w:jc w:val="left"/>
      </w:pPr>
      <w:r>
        <w:rPr/>
        <w:t>当本公司直接或通过子公司间接拥有被投资单位</w:t>
      </w:r>
      <w:r>
        <w:rPr>
          <w:spacing w:val="-35"/>
        </w:rPr>
        <w:t> </w:t>
      </w:r>
      <w:r>
        <w:rPr>
          <w:rFonts w:ascii="宋体" w:hAnsi="宋体" w:cs="宋体" w:eastAsia="宋体" w:hint="default"/>
        </w:rPr>
        <w:t>20%</w:t>
      </w:r>
      <w:r>
        <w:rPr/>
        <w:t>（含</w:t>
      </w:r>
      <w:r>
        <w:rPr>
          <w:spacing w:val="-38"/>
        </w:rPr>
        <w:t> </w:t>
      </w:r>
      <w:r>
        <w:rPr>
          <w:rFonts w:ascii="宋体" w:hAnsi="宋体" w:cs="宋体" w:eastAsia="宋体" w:hint="default"/>
        </w:rPr>
        <w:t>20%</w:t>
      </w:r>
      <w:r>
        <w:rPr/>
        <w:t>）以上但低于</w:t>
      </w:r>
      <w:r>
        <w:rPr>
          <w:spacing w:val="-34"/>
        </w:rPr>
        <w:t> </w:t>
      </w:r>
      <w:r>
        <w:rPr>
          <w:rFonts w:ascii="宋体" w:hAnsi="宋体" w:cs="宋体" w:eastAsia="宋体" w:hint="default"/>
        </w:rPr>
        <w:t>50%</w:t>
      </w:r>
      <w:r>
        <w:rPr/>
        <w:t>的表决权股份时，</w:t>
      </w:r>
      <w:r>
        <w:rPr>
          <w:spacing w:val="-101"/>
        </w:rPr>
        <w:t> </w:t>
      </w:r>
      <w:r>
        <w:rPr>
          <w:spacing w:val="-101"/>
        </w:rPr>
      </w:r>
      <w:r>
        <w:rPr/>
        <w:t>一般认为对被投资单位具有重大影响，除非有明确证据表明该种情况下不能参与被投资单位的生</w:t>
      </w:r>
      <w:r>
        <w:rPr>
          <w:w w:val="100"/>
        </w:rPr>
        <w:t> </w:t>
      </w:r>
      <w:r>
        <w:rPr/>
        <w:t>产经营决策，不形成重大影响；本集团拥有被投资单位</w:t>
      </w:r>
      <w:r>
        <w:rPr>
          <w:spacing w:val="-55"/>
        </w:rPr>
        <w:t> </w:t>
      </w:r>
      <w:r>
        <w:rPr>
          <w:rFonts w:ascii="宋体" w:hAnsi="宋体" w:cs="宋体" w:eastAsia="宋体" w:hint="default"/>
        </w:rPr>
        <w:t>20%</w:t>
      </w:r>
      <w:r>
        <w:rPr/>
        <w:t>（不含）以下的表决权股份时，一般</w:t>
      </w:r>
      <w:r>
        <w:rPr>
          <w:w w:val="100"/>
        </w:rPr>
        <w:t> </w:t>
      </w:r>
      <w:r>
        <w:rPr/>
        <w:t>不认为对被投资单位具有重大影响，除非有明确证据表明该种情况下能够参与被投资单位的生产</w:t>
      </w:r>
      <w:r>
        <w:rPr>
          <w:w w:val="100"/>
        </w:rPr>
        <w:t> </w:t>
      </w:r>
      <w:r>
        <w:rPr/>
        <w:t>经营决策，形成重大影响。</w:t>
      </w:r>
    </w:p>
    <w:p>
      <w:pPr>
        <w:pStyle w:val="BodyText"/>
        <w:spacing w:line="340" w:lineRule="auto" w:before="119"/>
        <w:ind w:left="137" w:right="100"/>
        <w:jc w:val="left"/>
      </w:pPr>
      <w:r>
        <w:rPr/>
        <w:t>（</w:t>
      </w:r>
      <w:r>
        <w:rPr>
          <w:rFonts w:ascii="宋体" w:hAnsi="宋体" w:cs="宋体" w:eastAsia="宋体" w:hint="default"/>
        </w:rPr>
        <w:t>4</w:t>
      </w:r>
      <w:r>
        <w:rPr/>
        <w:t>）减值测试方法及减值准备计提方法</w:t>
      </w:r>
      <w:r>
        <w:rPr>
          <w:w w:val="100"/>
        </w:rPr>
        <w:t> </w:t>
      </w:r>
      <w:r>
        <w:rPr>
          <w:spacing w:val="-2"/>
        </w:rPr>
        <w:t>对子公司、联营企业的投资，计提资产减值的方法见财务报告五、</w:t>
      </w:r>
      <w:r>
        <w:rPr>
          <w:rFonts w:ascii="宋体" w:hAnsi="宋体" w:cs="宋体" w:eastAsia="宋体" w:hint="default"/>
          <w:spacing w:val="-2"/>
        </w:rPr>
        <w:t>22</w:t>
      </w:r>
      <w:r>
        <w:rPr>
          <w:spacing w:val="-2"/>
        </w:rPr>
        <w:t>。</w:t>
      </w:r>
    </w:p>
    <w:p>
      <w:pPr>
        <w:spacing w:line="240" w:lineRule="auto" w:before="8"/>
        <w:rPr>
          <w:rFonts w:ascii="宋体" w:hAnsi="宋体" w:cs="宋体" w:eastAsia="宋体" w:hint="default"/>
          <w:sz w:val="27"/>
          <w:szCs w:val="27"/>
        </w:rPr>
      </w:pPr>
    </w:p>
    <w:p>
      <w:pPr>
        <w:spacing w:line="290" w:lineRule="auto" w:before="0"/>
        <w:ind w:left="137" w:right="7338"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1"/>
          <w:szCs w:val="21"/>
        </w:rPr>
      </w:pPr>
    </w:p>
    <w:p>
      <w:pPr>
        <w:pStyle w:val="Heading4"/>
        <w:spacing w:line="290" w:lineRule="auto"/>
        <w:ind w:left="137" w:right="7760"/>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37" w:lineRule="auto" w:before="17"/>
        <w:ind w:left="137" w:right="100"/>
        <w:jc w:val="left"/>
      </w:pPr>
      <w:r>
        <w:rPr/>
        <w:t>√适用</w:t>
      </w:r>
      <w:r>
        <w:rPr>
          <w:spacing w:val="-2"/>
        </w:rPr>
        <w:t> </w:t>
      </w:r>
      <w:r>
        <w:rPr/>
        <w:t>□不适用</w:t>
      </w:r>
      <w:r>
        <w:rPr>
          <w:spacing w:val="-103"/>
        </w:rPr>
        <w:t> </w:t>
      </w:r>
      <w:r>
        <w:rPr>
          <w:spacing w:val="-103"/>
        </w:rPr>
      </w:r>
      <w:r>
        <w:rPr>
          <w:spacing w:val="-2"/>
        </w:rPr>
        <w:t>本公司固定资产是指为生产商品、提供劳务、出租或经营管理而持有的，使用寿命超过一个会计</w:t>
      </w:r>
      <w:r>
        <w:rPr>
          <w:spacing w:val="-25"/>
        </w:rPr>
        <w:t> </w:t>
      </w:r>
      <w:r>
        <w:rPr>
          <w:spacing w:val="-25"/>
        </w:rPr>
      </w:r>
      <w:r>
        <w:rPr>
          <w:spacing w:val="-2"/>
        </w:rPr>
        <w:t>年度的有形资产。与该固定资产有关的经济利益很可能流入企业，并且该固定资产的成本能够可</w:t>
      </w:r>
    </w:p>
    <w:p>
      <w:pPr>
        <w:spacing w:after="0" w:line="237" w:lineRule="auto"/>
        <w:jc w:val="left"/>
        <w:sectPr>
          <w:footerReference w:type="default" r:id="rId35"/>
          <w:pgSz w:w="11910" w:h="16840"/>
          <w:pgMar w:footer="1788" w:header="882" w:top="1120" w:bottom="1980" w:left="1140" w:right="1580"/>
          <w:pgNumType w:start="87"/>
        </w:sectPr>
      </w:pPr>
    </w:p>
    <w:p>
      <w:pPr>
        <w:spacing w:line="240" w:lineRule="auto" w:before="9"/>
        <w:rPr>
          <w:rFonts w:ascii="宋体" w:hAnsi="宋体" w:cs="宋体" w:eastAsia="宋体" w:hint="default"/>
          <w:sz w:val="18"/>
          <w:szCs w:val="18"/>
        </w:rPr>
      </w:pPr>
    </w:p>
    <w:p>
      <w:pPr>
        <w:pStyle w:val="BodyText"/>
        <w:spacing w:line="240" w:lineRule="auto" w:before="36"/>
        <w:ind w:left="217" w:right="227"/>
        <w:jc w:val="left"/>
      </w:pPr>
      <w:r>
        <w:rPr/>
        <w:t>本公司固定资产按照取得时的实际成本进行初始计量。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ind w:left="217" w:right="227"/>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17" w:right="227"/>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4.75</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11.88</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31.67</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19.00</w:t>
            </w:r>
          </w:p>
        </w:tc>
      </w:tr>
    </w:tbl>
    <w:p>
      <w:pPr>
        <w:pStyle w:val="BodyText"/>
        <w:spacing w:line="240" w:lineRule="auto" w:before="86"/>
        <w:ind w:left="217" w:right="227"/>
        <w:jc w:val="left"/>
      </w:pPr>
      <w:r>
        <w:rPr>
          <w:spacing w:val="-2"/>
        </w:rPr>
        <w:t>其中，已计提减值准备的固定资产，还应扣除已计提的固定资产减值准备累计金额计算确定折旧</w:t>
      </w:r>
      <w:r>
        <w:rPr>
          <w:spacing w:val="-25"/>
        </w:rPr>
        <w:t> </w:t>
      </w:r>
      <w:r>
        <w:rPr>
          <w:spacing w:val="-25"/>
        </w:rPr>
      </w:r>
      <w:r>
        <w:rPr/>
        <w:t>率。</w:t>
      </w:r>
    </w:p>
    <w:p>
      <w:pPr>
        <w:pStyle w:val="BodyText"/>
        <w:spacing w:line="240" w:lineRule="auto" w:before="117"/>
        <w:ind w:left="217" w:right="0"/>
        <w:jc w:val="both"/>
      </w:pPr>
      <w:r>
        <w:rPr/>
        <w:t>固定资产的减值测试方法、减值准备计提方法见财务报告五、</w:t>
      </w:r>
      <w:r>
        <w:rPr>
          <w:rFonts w:ascii="宋体" w:hAnsi="宋体" w:cs="宋体" w:eastAsia="宋体" w:hint="default"/>
        </w:rPr>
        <w:t>22</w:t>
      </w:r>
      <w:r>
        <w:rPr/>
        <w:t>。</w:t>
      </w:r>
    </w:p>
    <w:p>
      <w:pPr>
        <w:pStyle w:val="BodyText"/>
        <w:spacing w:line="237" w:lineRule="auto" w:before="121"/>
        <w:ind w:left="217" w:right="238"/>
        <w:jc w:val="both"/>
      </w:pPr>
      <w:r>
        <w:rPr>
          <w:spacing w:val="-2"/>
        </w:rPr>
        <w:t>每年年度终了，本公司对固定资产的使用寿命、预计净残值和折旧方法进行复核。使用寿命预计</w:t>
      </w:r>
      <w:r>
        <w:rPr>
          <w:spacing w:val="-25"/>
        </w:rPr>
        <w:t> </w:t>
      </w:r>
      <w:r>
        <w:rPr>
          <w:spacing w:val="-25"/>
        </w:rPr>
      </w:r>
      <w:r>
        <w:rPr>
          <w:spacing w:val="-2"/>
        </w:rPr>
        <w:t>数与原先估计数有差异的，调整固定资产使用寿命；预计净残值预计数与原先估计数有差异的，</w:t>
      </w:r>
      <w:r>
        <w:rPr>
          <w:spacing w:val="-25"/>
        </w:rPr>
        <w:t> </w:t>
      </w:r>
      <w:r>
        <w:rPr>
          <w:spacing w:val="-25"/>
        </w:rPr>
      </w:r>
      <w:r>
        <w:rPr/>
        <w:t>调整预计净残值。</w:t>
      </w:r>
    </w:p>
    <w:p>
      <w:pPr>
        <w:spacing w:line="240" w:lineRule="auto" w:before="3"/>
        <w:rPr>
          <w:rFonts w:ascii="宋体" w:hAnsi="宋体" w:cs="宋体" w:eastAsia="宋体" w:hint="default"/>
          <w:sz w:val="25"/>
          <w:szCs w:val="25"/>
        </w:rPr>
      </w:pPr>
    </w:p>
    <w:p>
      <w:pPr>
        <w:pStyle w:val="Heading4"/>
        <w:spacing w:line="240" w:lineRule="auto"/>
        <w:ind w:left="217" w:right="0"/>
        <w:jc w:val="both"/>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40" w:lineRule="auto" w:before="56"/>
        <w:ind w:left="217"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217" w:right="0"/>
        <w:jc w:val="both"/>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059" w:val="left" w:leader="none"/>
        </w:tabs>
        <w:spacing w:line="237" w:lineRule="auto" w:before="61"/>
        <w:ind w:left="217" w:right="292"/>
        <w:jc w:val="left"/>
      </w:pPr>
      <w:r>
        <w:rPr/>
        <w:t>√适用</w:t>
        <w:tab/>
        <w:t>□不适用</w:t>
      </w:r>
      <w:r>
        <w:rPr>
          <w:w w:val="100"/>
        </w:rPr>
        <w:t> </w:t>
      </w:r>
      <w:r>
        <w:rPr>
          <w:spacing w:val="-2"/>
        </w:rPr>
        <w:t>本集团在建工程成本按实际工程支出确定，包括在建期间发生的各项必要工程支出、工程达到预</w:t>
      </w:r>
      <w:r>
        <w:rPr>
          <w:spacing w:val="-25"/>
        </w:rPr>
        <w:t> </w:t>
      </w:r>
      <w:r>
        <w:rPr>
          <w:spacing w:val="-25"/>
        </w:rPr>
      </w:r>
      <w:r>
        <w:rPr/>
        <w:t>定可使用状态前的应予资本化的借款费用以及其他相关费用等。</w:t>
      </w:r>
    </w:p>
    <w:p>
      <w:pPr>
        <w:pStyle w:val="BodyText"/>
        <w:spacing w:line="340" w:lineRule="auto" w:before="119"/>
        <w:ind w:left="217" w:right="227"/>
        <w:jc w:val="left"/>
      </w:pPr>
      <w:r>
        <w:rPr>
          <w:spacing w:val="-2"/>
        </w:rPr>
        <w:t>在建工程在达到预定可使用状态时转入固定资产。</w:t>
      </w:r>
      <w:r>
        <w:rPr>
          <w:spacing w:val="-62"/>
        </w:rPr>
        <w:t> </w:t>
      </w:r>
      <w:r>
        <w:rPr>
          <w:spacing w:val="-62"/>
        </w:rPr>
      </w:r>
      <w:r>
        <w:rPr/>
        <w:t>在建工程计提资产减值方法见财务报告五、</w:t>
      </w:r>
      <w:r>
        <w:rPr>
          <w:rFonts w:ascii="宋体" w:hAnsi="宋体" w:cs="宋体" w:eastAsia="宋体" w:hint="default"/>
        </w:rPr>
        <w:t>22</w:t>
      </w:r>
      <w:r>
        <w:rPr/>
        <w:t>。</w:t>
      </w:r>
    </w:p>
    <w:p>
      <w:pPr>
        <w:spacing w:line="240" w:lineRule="auto" w:before="8"/>
        <w:rPr>
          <w:rFonts w:ascii="宋体" w:hAnsi="宋体" w:cs="宋体" w:eastAsia="宋体" w:hint="default"/>
          <w:sz w:val="27"/>
          <w:szCs w:val="27"/>
        </w:rPr>
      </w:pPr>
    </w:p>
    <w:p>
      <w:pPr>
        <w:pStyle w:val="Heading4"/>
        <w:spacing w:line="240" w:lineRule="auto"/>
        <w:ind w:left="217" w:right="0"/>
        <w:jc w:val="both"/>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40" w:lineRule="auto" w:before="58"/>
        <w:ind w:left="217"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217"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6"/>
        <w:ind w:left="217"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217" w:right="0"/>
        <w:jc w:val="both"/>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8"/>
        <w:ind w:left="217" w:right="0"/>
        <w:jc w:val="both"/>
      </w:pPr>
      <w:r>
        <w:rPr/>
        <w:t>□适用  √不适用</w:t>
      </w:r>
    </w:p>
    <w:p>
      <w:pPr>
        <w:spacing w:line="240" w:lineRule="auto" w:before="3"/>
        <w:rPr>
          <w:rFonts w:ascii="宋体" w:hAnsi="宋体" w:cs="宋体" w:eastAsia="宋体" w:hint="default"/>
          <w:sz w:val="25"/>
          <w:szCs w:val="25"/>
        </w:rPr>
      </w:pPr>
    </w:p>
    <w:p>
      <w:pPr>
        <w:pStyle w:val="Heading4"/>
        <w:spacing w:line="290" w:lineRule="auto"/>
        <w:ind w:left="217" w:right="5674"/>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72" w:lineRule="exact" w:before="42"/>
        <w:ind w:left="217" w:right="4409"/>
        <w:jc w:val="left"/>
      </w:pPr>
      <w:r>
        <w:rPr/>
        <w:t>√适用</w:t>
      </w:r>
      <w:r>
        <w:rPr>
          <w:spacing w:val="-2"/>
        </w:rPr>
        <w:t> </w:t>
      </w:r>
      <w:r>
        <w:rPr/>
        <w:t>□不适用</w:t>
      </w:r>
      <w:r>
        <w:rPr>
          <w:spacing w:val="-103"/>
        </w:rPr>
        <w:t> </w:t>
      </w:r>
      <w:r>
        <w:rPr>
          <w:spacing w:val="-103"/>
        </w:rPr>
      </w:r>
      <w:r>
        <w:rPr>
          <w:spacing w:val="-2"/>
        </w:rPr>
        <w:t>本公司无形资产包括土地使用权、应用软件等。</w:t>
      </w:r>
    </w:p>
    <w:p>
      <w:pPr>
        <w:pStyle w:val="BodyText"/>
        <w:spacing w:line="237" w:lineRule="auto" w:before="96"/>
        <w:ind w:left="217" w:right="228"/>
        <w:jc w:val="both"/>
      </w:pPr>
      <w:r>
        <w:rPr>
          <w:spacing w:val="-6"/>
          <w:w w:val="100"/>
        </w:rPr>
        <w:t>无形资产按照成本进行初始计量，并于取得无形资产时分析判断其使用寿命。使用寿命为有限的，</w:t>
      </w:r>
      <w:r>
        <w:rPr>
          <w:spacing w:val="-104"/>
          <w:w w:val="100"/>
        </w:rPr>
        <w:t> </w:t>
      </w:r>
      <w:r>
        <w:rPr>
          <w:spacing w:val="-104"/>
          <w:w w:val="100"/>
        </w:rPr>
      </w:r>
      <w:r>
        <w:rPr>
          <w:spacing w:val="-2"/>
        </w:rPr>
        <w:t>自无形资产可供使用时起，采用能反映与该资产有关的经济利益的预期实现方式的摊销方法，在</w:t>
      </w:r>
      <w:r>
        <w:rPr>
          <w:spacing w:val="-25"/>
        </w:rPr>
        <w:t> </w:t>
      </w:r>
      <w:r>
        <w:rPr>
          <w:spacing w:val="-25"/>
        </w:rPr>
      </w:r>
      <w:r>
        <w:rPr>
          <w:spacing w:val="-2"/>
        </w:rPr>
        <w:t>预计使用年限内摊销；无法可靠确定预期实现方式的，采用直线法摊销；使用寿命不确定的无形</w:t>
      </w:r>
      <w:r>
        <w:rPr>
          <w:spacing w:val="-25"/>
        </w:rPr>
        <w:t> </w:t>
      </w:r>
      <w:r>
        <w:rPr>
          <w:spacing w:val="-25"/>
        </w:rPr>
      </w:r>
      <w:r>
        <w:rPr/>
        <w:t>资产，不作摊销。</w:t>
      </w:r>
    </w:p>
    <w:p>
      <w:pPr>
        <w:spacing w:after="0" w:line="237" w:lineRule="auto"/>
        <w:jc w:val="both"/>
        <w:sectPr>
          <w:footerReference w:type="default" r:id="rId36"/>
          <w:pgSz w:w="11910" w:h="16840"/>
          <w:pgMar w:footer="1195" w:header="882" w:top="1120" w:bottom="1380" w:left="1060" w:right="1560"/>
          <w:pgNumType w:start="88"/>
        </w:sectPr>
      </w:pPr>
    </w:p>
    <w:p>
      <w:pPr>
        <w:spacing w:line="240" w:lineRule="auto" w:before="9"/>
        <w:rPr>
          <w:rFonts w:ascii="宋体" w:hAnsi="宋体" w:cs="宋体" w:eastAsia="宋体" w:hint="default"/>
          <w:sz w:val="18"/>
          <w:szCs w:val="18"/>
        </w:rPr>
      </w:pPr>
    </w:p>
    <w:p>
      <w:pPr>
        <w:pStyle w:val="BodyText"/>
        <w:spacing w:line="240" w:lineRule="auto" w:before="36"/>
        <w:ind w:left="217" w:right="227"/>
        <w:jc w:val="left"/>
      </w:pPr>
      <w:r>
        <w:rPr/>
        <w:t>使用寿命有限的无形资产摊销方法如下：</w:t>
      </w: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平均年限法</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平均年限法</w:t>
            </w:r>
          </w:p>
        </w:tc>
      </w:tr>
    </w:tbl>
    <w:p>
      <w:pPr>
        <w:pStyle w:val="BodyText"/>
        <w:spacing w:line="272" w:lineRule="exact" w:before="113"/>
        <w:ind w:left="217" w:right="238"/>
        <w:jc w:val="both"/>
      </w:pPr>
      <w:r>
        <w:rPr>
          <w:spacing w:val="-2"/>
        </w:rPr>
        <w:t>本公司于每年年度终了，对使用寿命有限的无形资产的使用寿命及摊销方法进行复核，与以前估</w:t>
      </w:r>
      <w:r>
        <w:rPr>
          <w:spacing w:val="-25"/>
        </w:rPr>
        <w:t> </w:t>
      </w:r>
      <w:r>
        <w:rPr>
          <w:spacing w:val="-25"/>
        </w:rPr>
      </w:r>
      <w:r>
        <w:rPr/>
        <w:t>计不同的，调整原先估计数，并按会计估计变更处理。</w:t>
      </w:r>
    </w:p>
    <w:p>
      <w:pPr>
        <w:pStyle w:val="BodyText"/>
        <w:spacing w:line="272" w:lineRule="exact" w:before="121"/>
        <w:ind w:left="217" w:right="238"/>
        <w:jc w:val="both"/>
      </w:pPr>
      <w:r>
        <w:rPr>
          <w:spacing w:val="-2"/>
        </w:rPr>
        <w:t>资产负债表日预计某项无形资产已经不能给企业带来未来经济利益的，将该项无形资产的账面价</w:t>
      </w:r>
      <w:r>
        <w:rPr>
          <w:spacing w:val="-25"/>
        </w:rPr>
        <w:t> </w:t>
      </w:r>
      <w:r>
        <w:rPr>
          <w:spacing w:val="-25"/>
        </w:rPr>
      </w:r>
      <w:r>
        <w:rPr/>
        <w:t>值全部转入当期损益。</w:t>
      </w:r>
    </w:p>
    <w:p>
      <w:pPr>
        <w:pStyle w:val="BodyText"/>
        <w:spacing w:line="240" w:lineRule="auto" w:before="91"/>
        <w:ind w:left="217" w:right="0"/>
        <w:jc w:val="both"/>
      </w:pPr>
      <w:r>
        <w:rPr/>
        <w:t>无形资产计提资产减值方法见财务报告五、</w:t>
      </w:r>
      <w:r>
        <w:rPr>
          <w:rFonts w:ascii="宋体" w:hAnsi="宋体" w:cs="宋体" w:eastAsia="宋体" w:hint="default"/>
        </w:rPr>
        <w:t>22</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ind w:left="217" w:right="0"/>
        <w:jc w:val="both"/>
        <w:rPr>
          <w:b w:val="0"/>
          <w:bCs w:val="0"/>
        </w:rPr>
      </w:pPr>
      <w:r>
        <w:rPr>
          <w:rFonts w:ascii="宋体" w:hAnsi="宋体" w:cs="宋体" w:eastAsia="宋体" w:hint="default"/>
        </w:rPr>
        <w:t>(2).</w:t>
      </w:r>
      <w:r>
        <w:rPr/>
        <w:t>内部研究开发支出会计政策</w:t>
      </w:r>
      <w:r>
        <w:rPr>
          <w:b w:val="0"/>
          <w:bCs w:val="0"/>
        </w:rPr>
      </w:r>
    </w:p>
    <w:p>
      <w:pPr>
        <w:pStyle w:val="BodyText"/>
        <w:spacing w:line="343" w:lineRule="auto" w:before="58"/>
        <w:ind w:left="217" w:right="2096"/>
        <w:jc w:val="left"/>
      </w:pPr>
      <w:r>
        <w:rPr/>
        <w:t>√适用</w:t>
      </w:r>
      <w:r>
        <w:rPr>
          <w:spacing w:val="-2"/>
        </w:rPr>
        <w:t> </w:t>
      </w:r>
      <w:r>
        <w:rPr/>
        <w:t>□不适用</w:t>
      </w:r>
      <w:r>
        <w:rPr>
          <w:spacing w:val="-103"/>
        </w:rPr>
        <w:t> </w:t>
      </w:r>
      <w:r>
        <w:rPr>
          <w:spacing w:val="-103"/>
        </w:rPr>
      </w:r>
      <w:r>
        <w:rPr>
          <w:spacing w:val="-2"/>
        </w:rPr>
        <w:t>本公司将内部研究开发项目的支出，区分为研究阶段支出和开发阶段支出。</w:t>
      </w:r>
      <w:r>
        <w:rPr>
          <w:spacing w:val="-42"/>
        </w:rPr>
        <w:t> </w:t>
      </w:r>
      <w:r>
        <w:rPr>
          <w:spacing w:val="-42"/>
        </w:rPr>
      </w:r>
      <w:r>
        <w:rPr/>
        <w:t>研究阶段的支出，于发生时计入当期损益。</w:t>
      </w:r>
    </w:p>
    <w:p>
      <w:pPr>
        <w:pStyle w:val="BodyText"/>
        <w:spacing w:line="237" w:lineRule="auto" w:before="28"/>
        <w:ind w:left="217" w:right="238"/>
        <w:jc w:val="both"/>
      </w:pPr>
      <w:r>
        <w:rPr>
          <w:spacing w:val="-2"/>
        </w:rPr>
        <w:t>开发阶段的支出，同时满足下列条件的，才能予以资本化，即：完成该无形资产以使其能够使用</w:t>
      </w:r>
      <w:r>
        <w:rPr>
          <w:spacing w:val="-25"/>
        </w:rPr>
        <w:t> </w:t>
      </w:r>
      <w:r>
        <w:rPr>
          <w:spacing w:val="-25"/>
        </w:rPr>
      </w:r>
      <w:r>
        <w:rPr>
          <w:spacing w:val="-2"/>
        </w:rPr>
        <w:t>或出售在技术上具有可行性；具有完成该无形资产并使用或出售的意图；无形资产产生经济利益</w:t>
      </w:r>
      <w:r>
        <w:rPr>
          <w:spacing w:val="-25"/>
        </w:rPr>
        <w:t> </w:t>
      </w:r>
      <w:r>
        <w:rPr>
          <w:spacing w:val="-25"/>
        </w:rPr>
      </w:r>
      <w:r>
        <w:rPr>
          <w:spacing w:val="-2"/>
        </w:rPr>
        <w:t>的方式，包括能够证明运用该无形资产生产的产品存在市场或无形资产自身存在市场，无形资产</w:t>
      </w:r>
      <w:r>
        <w:rPr>
          <w:spacing w:val="-25"/>
        </w:rPr>
        <w:t> </w:t>
      </w:r>
      <w:r>
        <w:rPr>
          <w:spacing w:val="-25"/>
        </w:rPr>
      </w:r>
      <w:r>
        <w:rPr>
          <w:spacing w:val="-2"/>
        </w:rPr>
        <w:t>将在内部使用的，能够证明其有用性；有足够的技术、财务资源和其他资源支持，以完成该无形</w:t>
      </w:r>
      <w:r>
        <w:rPr>
          <w:spacing w:val="-25"/>
        </w:rPr>
        <w:t> </w:t>
      </w:r>
      <w:r>
        <w:rPr>
          <w:spacing w:val="-25"/>
        </w:rPr>
      </w:r>
      <w:r>
        <w:rPr>
          <w:spacing w:val="-2"/>
        </w:rPr>
        <w:t>资产的开发，并有能力使用或出售该无形资产；归属于该无形资产开发阶段的支出能够可靠地计</w:t>
      </w:r>
      <w:r>
        <w:rPr>
          <w:spacing w:val="-26"/>
        </w:rPr>
        <w:t> </w:t>
      </w:r>
      <w:r>
        <w:rPr>
          <w:spacing w:val="-26"/>
        </w:rPr>
      </w:r>
      <w:r>
        <w:rPr/>
        <w:t>量。不满足上述条件的开发支出计入当期损益。</w:t>
      </w:r>
    </w:p>
    <w:p>
      <w:pPr>
        <w:pStyle w:val="BodyText"/>
        <w:spacing w:line="240" w:lineRule="auto" w:before="117"/>
        <w:ind w:left="217" w:right="238"/>
        <w:jc w:val="both"/>
      </w:pPr>
      <w:r>
        <w:rPr>
          <w:spacing w:val="-2"/>
        </w:rPr>
        <w:t>本公司研究开发项目在满足上述条件，通过技术可行性及经济可行性研究，形成项目立项后，进</w:t>
      </w:r>
      <w:r>
        <w:rPr>
          <w:spacing w:val="-25"/>
        </w:rPr>
        <w:t> </w:t>
      </w:r>
      <w:r>
        <w:rPr>
          <w:spacing w:val="-25"/>
        </w:rPr>
      </w:r>
      <w:r>
        <w:rPr/>
        <w:t>入开发阶段。</w:t>
      </w:r>
    </w:p>
    <w:p>
      <w:pPr>
        <w:pStyle w:val="BodyText"/>
        <w:spacing w:line="240" w:lineRule="auto" w:before="116"/>
        <w:ind w:left="217" w:right="238"/>
        <w:jc w:val="both"/>
      </w:pPr>
      <w:r>
        <w:rPr>
          <w:spacing w:val="-2"/>
        </w:rPr>
        <w:t>已资本化的开发阶段的支出在资产负债表上列示为开发支出，自该项目达到预定可使用状态之日</w:t>
      </w:r>
      <w:r>
        <w:rPr>
          <w:spacing w:val="-25"/>
        </w:rPr>
        <w:t> </w:t>
      </w:r>
      <w:r>
        <w:rPr>
          <w:spacing w:val="-25"/>
        </w:rPr>
      </w:r>
      <w:r>
        <w:rPr/>
        <w:t>转为无形资产。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ind w:left="217" w:right="0"/>
        <w:jc w:val="both"/>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spacing w:line="240" w:lineRule="auto" w:before="56"/>
        <w:ind w:left="217" w:right="0"/>
        <w:jc w:val="both"/>
      </w:pPr>
      <w:r>
        <w:rPr/>
        <w:t>√适用  □不适用</w:t>
      </w:r>
    </w:p>
    <w:p>
      <w:pPr>
        <w:pStyle w:val="BodyText"/>
        <w:spacing w:line="272" w:lineRule="exact" w:before="146"/>
        <w:ind w:left="217" w:right="238"/>
        <w:jc w:val="both"/>
      </w:pPr>
      <w:r>
        <w:rPr>
          <w:spacing w:val="-2"/>
        </w:rPr>
        <w:t>对子公司、联营企业的长期股权投资、固定资产、在建工程、无形资产等（存货、递延所得税资</w:t>
      </w:r>
      <w:r>
        <w:rPr>
          <w:spacing w:val="-25"/>
        </w:rPr>
        <w:t> </w:t>
      </w:r>
      <w:r>
        <w:rPr>
          <w:spacing w:val="-25"/>
        </w:rPr>
      </w:r>
      <w:r>
        <w:rPr/>
        <w:t>产、金融资产除外）的资产减值，按以下方法确定：</w:t>
      </w:r>
    </w:p>
    <w:p>
      <w:pPr>
        <w:pStyle w:val="BodyText"/>
        <w:spacing w:line="237" w:lineRule="auto" w:before="94"/>
        <w:ind w:left="217" w:right="238"/>
        <w:jc w:val="both"/>
      </w:pPr>
      <w:r>
        <w:rPr>
          <w:spacing w:val="-2"/>
        </w:rPr>
        <w:t>于资产负债表日判断资产是否存在可能发生减值的迹象，存在减值迹象的，本公司将估计其可收</w:t>
      </w:r>
      <w:r>
        <w:rPr>
          <w:spacing w:val="-25"/>
        </w:rPr>
        <w:t> </w:t>
      </w:r>
      <w:r>
        <w:rPr>
          <w:spacing w:val="-25"/>
        </w:rPr>
      </w:r>
      <w:r>
        <w:rPr>
          <w:spacing w:val="-2"/>
        </w:rPr>
        <w:t>回金额，进行减值测试。对使用寿命不确定的无形资产和尚未达到可使用状态的无形资产无论是</w:t>
      </w:r>
      <w:r>
        <w:rPr>
          <w:spacing w:val="-25"/>
        </w:rPr>
        <w:t> </w:t>
      </w:r>
      <w:r>
        <w:rPr>
          <w:spacing w:val="-25"/>
        </w:rPr>
      </w:r>
      <w:r>
        <w:rPr/>
        <w:t>否存在减值迹象，每年都进行减值测试。</w:t>
      </w:r>
    </w:p>
    <w:p>
      <w:pPr>
        <w:pStyle w:val="BodyText"/>
        <w:spacing w:line="237" w:lineRule="auto" w:before="121"/>
        <w:ind w:left="217" w:right="238"/>
        <w:jc w:val="both"/>
      </w:pPr>
      <w:r>
        <w:rPr>
          <w:spacing w:val="-2"/>
        </w:rPr>
        <w:t>可收回金额根据资产的公允价值减去处置费用后的净额与资产预计未来现金流量的现值两者之间</w:t>
      </w:r>
      <w:r>
        <w:rPr>
          <w:spacing w:val="-25"/>
        </w:rPr>
        <w:t> </w:t>
      </w:r>
      <w:r>
        <w:rPr>
          <w:spacing w:val="-25"/>
        </w:rPr>
      </w:r>
      <w:r>
        <w:rPr>
          <w:spacing w:val="-2"/>
        </w:rPr>
        <w:t>较高者确定。本公司以单项资产为基础估计其可收回金额；难以对单项资产的可收回金额进行估</w:t>
      </w:r>
      <w:r>
        <w:rPr>
          <w:spacing w:val="-25"/>
        </w:rPr>
        <w:t> </w:t>
      </w:r>
      <w:r>
        <w:rPr>
          <w:spacing w:val="-25"/>
        </w:rPr>
      </w:r>
      <w:r>
        <w:rPr>
          <w:spacing w:val="-2"/>
        </w:rPr>
        <w:t>计的，以该资产所属的资产组为基础确定资产组的可收回金额。资产组的认定，以资产组产生的</w:t>
      </w:r>
      <w:r>
        <w:rPr>
          <w:spacing w:val="-25"/>
        </w:rPr>
        <w:t> </w:t>
      </w:r>
      <w:r>
        <w:rPr>
          <w:spacing w:val="-25"/>
        </w:rPr>
      </w:r>
      <w:r>
        <w:rPr/>
        <w:t>主要现金流入是否独立于其他资产或者资产组的现金流入为依据。</w:t>
      </w:r>
    </w:p>
    <w:p>
      <w:pPr>
        <w:pStyle w:val="BodyText"/>
        <w:spacing w:line="272" w:lineRule="exact" w:before="146"/>
        <w:ind w:left="217" w:right="238"/>
        <w:jc w:val="both"/>
      </w:pPr>
      <w:r>
        <w:rPr>
          <w:spacing w:val="-2"/>
        </w:rPr>
        <w:t>当资产或资产组的可收回金额低于其账面价值时，本公司将其账面价值减记至可收回金额，减记</w:t>
      </w:r>
      <w:r>
        <w:rPr>
          <w:spacing w:val="-25"/>
        </w:rPr>
        <w:t> </w:t>
      </w:r>
      <w:r>
        <w:rPr>
          <w:spacing w:val="-25"/>
        </w:rPr>
      </w:r>
      <w:r>
        <w:rPr/>
        <w:t>的金额计入当期损益，同时计提相应的资产减值准备。</w:t>
      </w:r>
    </w:p>
    <w:p>
      <w:pPr>
        <w:pStyle w:val="BodyText"/>
        <w:spacing w:line="240" w:lineRule="auto" w:before="94"/>
        <w:ind w:left="217" w:right="0"/>
        <w:jc w:val="both"/>
      </w:pPr>
      <w:r>
        <w:rPr/>
        <w:t>资产减值损失一经确认，在以后会计期间不再转回。</w:t>
      </w:r>
    </w:p>
    <w:p>
      <w:pPr>
        <w:spacing w:after="0" w:line="240" w:lineRule="auto"/>
        <w:jc w:val="both"/>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before="36"/>
        <w:ind w:left="137" w:right="0"/>
        <w:jc w:val="both"/>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79" w:val="left" w:leader="none"/>
        </w:tabs>
        <w:spacing w:line="237" w:lineRule="auto" w:before="59"/>
        <w:ind w:left="137" w:right="138"/>
        <w:jc w:val="left"/>
      </w:pPr>
      <w:r>
        <w:rPr/>
        <w:t>√适用</w:t>
        <w:tab/>
        <w:t>□不适用</w:t>
      </w:r>
      <w:r>
        <w:rPr>
          <w:w w:val="100"/>
        </w:rPr>
        <w:t> </w:t>
      </w:r>
      <w:r>
        <w:rPr>
          <w:spacing w:val="-2"/>
        </w:rPr>
        <w:t>本公司发生的长期待摊费用按实际成本计价，并按预计受益期限平均摊销。对不能使以后会计期</w:t>
      </w:r>
      <w:r>
        <w:rPr>
          <w:spacing w:val="-25"/>
        </w:rPr>
        <w:t> </w:t>
      </w:r>
      <w:r>
        <w:rPr>
          <w:spacing w:val="-25"/>
        </w:rPr>
      </w:r>
      <w:r>
        <w:rPr/>
        <w:t>间受益的长期待摊费用项目，其摊余价值全部计入当期损益。</w:t>
      </w:r>
    </w:p>
    <w:p>
      <w:pPr>
        <w:spacing w:line="240" w:lineRule="auto" w:before="3"/>
        <w:rPr>
          <w:rFonts w:ascii="宋体" w:hAnsi="宋体" w:cs="宋体" w:eastAsia="宋体" w:hint="default"/>
          <w:sz w:val="25"/>
          <w:szCs w:val="25"/>
        </w:rPr>
      </w:pPr>
    </w:p>
    <w:p>
      <w:pPr>
        <w:pStyle w:val="Heading4"/>
        <w:spacing w:line="290" w:lineRule="auto"/>
        <w:ind w:left="137" w:right="6207"/>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40" w:lineRule="auto" w:before="12"/>
        <w:ind w:left="137" w:right="0"/>
        <w:jc w:val="both"/>
      </w:pPr>
      <w:r>
        <w:rPr/>
        <w:t>√适用  □不适用</w:t>
      </w:r>
    </w:p>
    <w:p>
      <w:pPr>
        <w:pStyle w:val="BodyText"/>
        <w:spacing w:line="237" w:lineRule="auto" w:before="121"/>
        <w:ind w:left="137" w:right="138"/>
        <w:jc w:val="both"/>
      </w:pPr>
      <w:r>
        <w:rPr>
          <w:spacing w:val="-2"/>
        </w:rPr>
        <w:t>本公司在职工提供服务的会计期间，将实际发生的职工工资、奖金、按规定的基准和比例为职工</w:t>
      </w:r>
      <w:r>
        <w:rPr>
          <w:spacing w:val="-25"/>
        </w:rPr>
        <w:t> </w:t>
      </w:r>
      <w:r>
        <w:rPr>
          <w:spacing w:val="-25"/>
        </w:rPr>
      </w:r>
      <w:r>
        <w:rPr>
          <w:spacing w:val="-2"/>
        </w:rPr>
        <w:t>缴纳的医疗保险费、工伤保险费和生育保险费等社会保险费和住房公积金，确认为负债，并计入</w:t>
      </w:r>
      <w:r>
        <w:rPr>
          <w:spacing w:val="-25"/>
        </w:rPr>
        <w:t> </w:t>
      </w:r>
      <w:r>
        <w:rPr>
          <w:spacing w:val="-25"/>
        </w:rPr>
      </w:r>
      <w:r>
        <w:rPr>
          <w:spacing w:val="-2"/>
        </w:rPr>
        <w:t>当期损益或相关资产成本。如果该负债预期在职工提供相关服务的年度报告期结束后十二个月内</w:t>
      </w:r>
      <w:r>
        <w:rPr>
          <w:spacing w:val="-25"/>
        </w:rPr>
        <w:t> </w:t>
      </w:r>
      <w:r>
        <w:rPr>
          <w:spacing w:val="-25"/>
        </w:rPr>
      </w:r>
      <w:r>
        <w:rPr/>
        <w:t>不能完全支付，且财务影响重大的，则该负债将以折现后的金额计量。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ind w:left="137" w:right="0"/>
        <w:jc w:val="both"/>
        <w:rPr>
          <w:b w:val="0"/>
          <w:bCs w:val="0"/>
        </w:rPr>
      </w:pPr>
      <w:r>
        <w:rPr>
          <w:rFonts w:ascii="宋体" w:hAnsi="宋体" w:cs="宋体" w:eastAsia="宋体" w:hint="default"/>
        </w:rPr>
        <w:t>(2).</w:t>
      </w:r>
      <w:r>
        <w:rPr/>
        <w:t>离职后福利的会计处理方法</w:t>
      </w:r>
      <w:r>
        <w:rPr>
          <w:b w:val="0"/>
          <w:bCs w:val="0"/>
        </w:rPr>
      </w:r>
    </w:p>
    <w:p>
      <w:pPr>
        <w:pStyle w:val="BodyText"/>
        <w:spacing w:line="240" w:lineRule="auto" w:before="58"/>
        <w:ind w:left="137" w:right="0"/>
        <w:jc w:val="both"/>
      </w:pPr>
      <w:r>
        <w:rPr/>
        <w:t>√适用  □不适用</w:t>
      </w:r>
    </w:p>
    <w:p>
      <w:pPr>
        <w:pStyle w:val="BodyText"/>
        <w:spacing w:line="237" w:lineRule="auto" w:before="119"/>
        <w:ind w:left="137" w:right="138"/>
        <w:jc w:val="both"/>
      </w:pPr>
      <w:r>
        <w:rPr>
          <w:spacing w:val="-2"/>
        </w:rPr>
        <w:t>离职后福利计划包括设定提存计划和设定受益计划。其中，设定提存计划，是指向独立的基金缴</w:t>
      </w:r>
      <w:r>
        <w:rPr>
          <w:spacing w:val="-25"/>
        </w:rPr>
        <w:t> </w:t>
      </w:r>
      <w:r>
        <w:rPr>
          <w:spacing w:val="-25"/>
        </w:rPr>
      </w:r>
      <w:r>
        <w:rPr>
          <w:spacing w:val="-2"/>
        </w:rPr>
        <w:t>存固定费用后，企业不再承担进一步支付义务的离职后福利计划；设定受益计划，是指除设定提</w:t>
      </w:r>
      <w:r>
        <w:rPr>
          <w:spacing w:val="-25"/>
        </w:rPr>
        <w:t> </w:t>
      </w:r>
      <w:r>
        <w:rPr>
          <w:spacing w:val="-25"/>
        </w:rPr>
      </w:r>
      <w:r>
        <w:rPr/>
        <w:t>存计划以外的离职后福利计划。</w:t>
      </w:r>
    </w:p>
    <w:p>
      <w:pPr>
        <w:pStyle w:val="BodyText"/>
        <w:spacing w:line="340" w:lineRule="auto" w:before="119"/>
        <w:ind w:left="137" w:right="3467"/>
        <w:jc w:val="left"/>
      </w:pPr>
      <w:r>
        <w:rPr/>
        <w:t>设定提存计划</w:t>
      </w:r>
      <w:r>
        <w:rPr>
          <w:w w:val="100"/>
        </w:rPr>
        <w:t> </w:t>
      </w:r>
      <w:r>
        <w:rPr>
          <w:spacing w:val="-2"/>
        </w:rPr>
        <w:t>设定提存计划包括基本养老保险、失业保险等。</w:t>
      </w:r>
    </w:p>
    <w:p>
      <w:pPr>
        <w:pStyle w:val="BodyText"/>
        <w:spacing w:line="272" w:lineRule="exact" w:before="58"/>
        <w:ind w:left="137" w:right="0"/>
        <w:jc w:val="left"/>
      </w:pPr>
      <w:r>
        <w:rPr>
          <w:spacing w:val="-2"/>
        </w:rPr>
        <w:t>在职工提供服务的会计期间，根据设定提存计划计算的应缴存金额确认为负债，并计入当期损益</w:t>
      </w:r>
      <w:r>
        <w:rPr>
          <w:spacing w:val="-25"/>
        </w:rPr>
        <w:t> </w:t>
      </w:r>
      <w:r>
        <w:rPr>
          <w:spacing w:val="-25"/>
        </w:rPr>
      </w:r>
      <w:r>
        <w:rPr/>
        <w:t>或相关资产成本。</w:t>
      </w:r>
    </w:p>
    <w:p>
      <w:pPr>
        <w:spacing w:line="240" w:lineRule="auto" w:before="0"/>
        <w:rPr>
          <w:rFonts w:ascii="宋体" w:hAnsi="宋体" w:cs="宋体" w:eastAsia="宋体" w:hint="default"/>
          <w:sz w:val="20"/>
          <w:szCs w:val="20"/>
        </w:rPr>
      </w:pPr>
    </w:p>
    <w:p>
      <w:pPr>
        <w:pStyle w:val="Heading4"/>
        <w:spacing w:line="240" w:lineRule="auto" w:before="163"/>
        <w:ind w:left="137" w:right="0"/>
        <w:jc w:val="both"/>
        <w:rPr>
          <w:b w:val="0"/>
          <w:bCs w:val="0"/>
        </w:rPr>
      </w:pPr>
      <w:r>
        <w:rPr>
          <w:rFonts w:ascii="宋体" w:hAnsi="宋体" w:cs="宋体" w:eastAsia="宋体" w:hint="default"/>
        </w:rPr>
        <w:t>(3).</w:t>
      </w:r>
      <w:r>
        <w:rPr/>
        <w:t>辞退福利的会计处理方法</w:t>
      </w:r>
      <w:r>
        <w:rPr>
          <w:b w:val="0"/>
          <w:bCs w:val="0"/>
        </w:rPr>
      </w:r>
    </w:p>
    <w:p>
      <w:pPr>
        <w:pStyle w:val="BodyText"/>
        <w:spacing w:line="240" w:lineRule="auto" w:before="56"/>
        <w:ind w:left="137" w:right="0"/>
        <w:jc w:val="both"/>
      </w:pPr>
      <w:r>
        <w:rPr/>
        <w:t>√适用  □不适用</w:t>
      </w:r>
    </w:p>
    <w:p>
      <w:pPr>
        <w:pStyle w:val="BodyText"/>
        <w:spacing w:line="237" w:lineRule="auto" w:before="121"/>
        <w:ind w:left="137" w:right="138"/>
        <w:jc w:val="both"/>
      </w:pPr>
      <w:r>
        <w:rPr>
          <w:spacing w:val="-2"/>
        </w:rPr>
        <w:t>本公司向职工提供辞退福利的，在下列两者孰早日确认辞退福利产生的职工薪酬负债，并计入当</w:t>
      </w:r>
      <w:r>
        <w:rPr>
          <w:spacing w:val="-25"/>
        </w:rPr>
        <w:t> </w:t>
      </w:r>
      <w:r>
        <w:rPr>
          <w:spacing w:val="-25"/>
        </w:rPr>
      </w:r>
      <w:r>
        <w:rPr>
          <w:spacing w:val="-2"/>
        </w:rPr>
        <w:t>期损益：本公司不能单方面撤回因解除劳动关系计划或裁减建议所提供的辞退福利时；本公司确</w:t>
      </w:r>
      <w:r>
        <w:rPr>
          <w:spacing w:val="-25"/>
        </w:rPr>
        <w:t> </w:t>
      </w:r>
      <w:r>
        <w:rPr>
          <w:spacing w:val="-25"/>
        </w:rPr>
      </w:r>
      <w:r>
        <w:rPr/>
        <w:t>认与涉及支付辞退福利的重组相关的成本或费用时。</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ind w:left="137" w:right="0"/>
        <w:jc w:val="both"/>
        <w:rPr>
          <w:b w:val="0"/>
          <w:bCs w:val="0"/>
        </w:rPr>
      </w:pPr>
      <w:r>
        <w:rPr>
          <w:rFonts w:ascii="宋体" w:hAnsi="宋体" w:cs="宋体" w:eastAsia="宋体" w:hint="default"/>
        </w:rPr>
        <w:t>(4).</w:t>
      </w:r>
      <w:r>
        <w:rPr/>
        <w:t>其他长期职工福利的会计处理方法</w:t>
      </w:r>
      <w:r>
        <w:rPr>
          <w:b w:val="0"/>
          <w:bCs w:val="0"/>
        </w:rPr>
      </w:r>
    </w:p>
    <w:p>
      <w:pPr>
        <w:pStyle w:val="BodyText"/>
        <w:spacing w:line="240" w:lineRule="auto" w:before="57"/>
        <w:ind w:left="137" w:right="0"/>
        <w:jc w:val="both"/>
      </w:pPr>
      <w:r>
        <w:rPr/>
        <w:t>√适用  □不适用</w:t>
      </w:r>
    </w:p>
    <w:p>
      <w:pPr>
        <w:pStyle w:val="BodyText"/>
        <w:spacing w:line="237" w:lineRule="auto" w:before="121"/>
        <w:ind w:left="137" w:right="138"/>
        <w:jc w:val="both"/>
      </w:pPr>
      <w:r>
        <w:rPr>
          <w:spacing w:val="-2"/>
        </w:rPr>
        <w:t>本公司向职工提供的其他长期职工福利，符合设定提存计划条件的，按照上述关于设定提存计划</w:t>
      </w:r>
      <w:r>
        <w:rPr>
          <w:spacing w:val="-26"/>
        </w:rPr>
        <w:t> </w:t>
      </w:r>
      <w:r>
        <w:rPr>
          <w:spacing w:val="-26"/>
        </w:rPr>
      </w:r>
      <w:r>
        <w:rPr>
          <w:spacing w:val="-2"/>
        </w:rPr>
        <w:t>的有关规定进行处理。符合设定受益计划的，按照上述关于设定受益计划的有关规定进行处理，</w:t>
      </w:r>
      <w:r>
        <w:rPr>
          <w:spacing w:val="-25"/>
        </w:rPr>
        <w:t> </w:t>
      </w:r>
      <w:r>
        <w:rPr>
          <w:spacing w:val="-25"/>
        </w:rPr>
      </w:r>
      <w:r>
        <w:rPr>
          <w:spacing w:val="-2"/>
        </w:rPr>
        <w:t>但相关职工薪酬成本中“重新计量设定受益计划净负债或净资产所产生的变动”部分计入当期损</w:t>
      </w:r>
      <w:r>
        <w:rPr>
          <w:spacing w:val="-25"/>
        </w:rPr>
        <w:t> </w:t>
      </w:r>
      <w:r>
        <w:rPr>
          <w:spacing w:val="-25"/>
        </w:rPr>
      </w:r>
      <w:r>
        <w:rPr/>
        <w:t>益或相关资产成本。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ind w:left="137" w:right="0"/>
        <w:jc w:val="both"/>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79" w:val="left" w:leader="none"/>
        </w:tabs>
        <w:spacing w:line="343" w:lineRule="auto" w:before="56"/>
        <w:ind w:left="137" w:right="1821"/>
        <w:jc w:val="left"/>
      </w:pPr>
      <w:r>
        <w:rPr/>
        <w:t>√适用</w:t>
        <w:tab/>
        <w:t>□不适用</w:t>
      </w:r>
      <w:r>
        <w:rPr>
          <w:w w:val="100"/>
        </w:rPr>
        <w:t> </w:t>
      </w:r>
      <w:r>
        <w:rPr>
          <w:spacing w:val="-2"/>
        </w:rPr>
        <w:t>如果与或有事项相关的义务同时符合以下条件，本公司将其确认为预计负债：</w:t>
      </w:r>
    </w:p>
    <w:p>
      <w:pPr>
        <w:pStyle w:val="BodyText"/>
        <w:spacing w:line="240" w:lineRule="auto" w:before="26"/>
        <w:ind w:left="137" w:right="0"/>
        <w:jc w:val="both"/>
      </w:pPr>
      <w:r>
        <w:rPr/>
        <w:t>（</w:t>
      </w:r>
      <w:r>
        <w:rPr>
          <w:rFonts w:ascii="宋体" w:hAnsi="宋体" w:cs="宋体" w:eastAsia="宋体" w:hint="default"/>
        </w:rPr>
        <w:t>1</w:t>
      </w:r>
      <w:r>
        <w:rPr/>
        <w:t>）该义务是本公司承担的现时义务；</w:t>
      </w:r>
    </w:p>
    <w:p>
      <w:pPr>
        <w:pStyle w:val="BodyText"/>
        <w:spacing w:line="240" w:lineRule="auto" w:before="118"/>
        <w:ind w:left="137" w:right="0"/>
        <w:jc w:val="both"/>
      </w:pPr>
      <w:r>
        <w:rPr/>
        <w:t>（</w:t>
      </w:r>
      <w:r>
        <w:rPr>
          <w:rFonts w:ascii="宋体" w:hAnsi="宋体" w:cs="宋体" w:eastAsia="宋体" w:hint="default"/>
        </w:rPr>
        <w:t>2</w:t>
      </w:r>
      <w:r>
        <w:rPr/>
        <w:t>）该义务的履行很可能导致经济利益流出本公司；</w:t>
      </w:r>
    </w:p>
    <w:p>
      <w:pPr>
        <w:spacing w:after="0" w:line="240" w:lineRule="auto"/>
        <w:jc w:val="both"/>
        <w:sectPr>
          <w:footerReference w:type="default" r:id="rId37"/>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137" w:right="0"/>
        <w:jc w:val="both"/>
      </w:pPr>
      <w:r>
        <w:rPr/>
        <w:t>（</w:t>
      </w:r>
      <w:r>
        <w:rPr>
          <w:rFonts w:ascii="宋体" w:hAnsi="宋体" w:cs="宋体" w:eastAsia="宋体" w:hint="default"/>
        </w:rPr>
        <w:t>3</w:t>
      </w:r>
      <w:r>
        <w:rPr/>
        <w:t>）该义务的金额能够可靠地计量。</w:t>
      </w:r>
    </w:p>
    <w:p>
      <w:pPr>
        <w:pStyle w:val="BodyText"/>
        <w:spacing w:line="237" w:lineRule="auto" w:before="119"/>
        <w:ind w:left="137" w:right="138"/>
        <w:jc w:val="both"/>
      </w:pPr>
      <w:r>
        <w:rPr>
          <w:spacing w:val="-2"/>
        </w:rPr>
        <w:t>预计负债按照履行相关现时义务所需支出的最佳估计数进行初始计量，并综合考虑与或有事项有</w:t>
      </w:r>
      <w:r>
        <w:rPr>
          <w:spacing w:val="-25"/>
        </w:rPr>
        <w:t> </w:t>
      </w:r>
      <w:r>
        <w:rPr>
          <w:spacing w:val="-25"/>
        </w:rPr>
      </w:r>
      <w:r>
        <w:rPr>
          <w:spacing w:val="-2"/>
        </w:rPr>
        <w:t>关的风险、不确定性和货币时间价值等因素。货币时间价值影响重大的，通过对相关未来现金流</w:t>
      </w:r>
      <w:r>
        <w:rPr>
          <w:spacing w:val="-25"/>
        </w:rPr>
        <w:t> </w:t>
      </w:r>
      <w:r>
        <w:rPr>
          <w:spacing w:val="-25"/>
        </w:rPr>
      </w:r>
      <w:r>
        <w:rPr>
          <w:spacing w:val="-2"/>
        </w:rPr>
        <w:t>出进行折现后确定最佳估计数。本公司于资产负债表日对预计负债的账面价值进行复核，并对账</w:t>
      </w:r>
      <w:r>
        <w:rPr>
          <w:spacing w:val="-25"/>
        </w:rPr>
        <w:t> </w:t>
      </w:r>
      <w:r>
        <w:rPr>
          <w:spacing w:val="-25"/>
        </w:rPr>
      </w:r>
      <w:r>
        <w:rPr/>
        <w:t>面价值进行调整以反映当前最佳估计数。</w:t>
      </w:r>
    </w:p>
    <w:p>
      <w:pPr>
        <w:pStyle w:val="BodyText"/>
        <w:spacing w:line="240" w:lineRule="auto" w:before="116"/>
        <w:ind w:left="137" w:right="138"/>
        <w:jc w:val="both"/>
      </w:pPr>
      <w:r>
        <w:rPr>
          <w:spacing w:val="-2"/>
        </w:rPr>
        <w:t>如果清偿已确认预计负债所需支出全部或部分预期由第三方或其他方补偿，则补偿金额只能在基</w:t>
      </w:r>
      <w:r>
        <w:rPr>
          <w:spacing w:val="-25"/>
        </w:rPr>
        <w:t> </w:t>
      </w:r>
      <w:r>
        <w:rPr>
          <w:spacing w:val="-25"/>
        </w:rPr>
      </w:r>
      <w:r>
        <w:rPr/>
        <w:t>本确定能收到时，作为资产单独确认。确认的补偿金额不超过所确认负债的账面价值。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ind w:left="137"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40" w:lineRule="auto" w:before="58"/>
        <w:ind w:left="137" w:right="0"/>
        <w:jc w:val="both"/>
      </w:pPr>
      <w:r>
        <w:rPr/>
        <w:t>√适用  □不适用</w:t>
      </w:r>
    </w:p>
    <w:p>
      <w:pPr>
        <w:pStyle w:val="BodyText"/>
        <w:spacing w:line="343" w:lineRule="auto" w:before="117"/>
        <w:ind w:left="137" w:right="3467"/>
        <w:jc w:val="left"/>
      </w:pPr>
      <w:r>
        <w:rPr/>
        <w:t>（</w:t>
      </w:r>
      <w:r>
        <w:rPr>
          <w:rFonts w:ascii="宋体" w:hAnsi="宋体" w:cs="宋体" w:eastAsia="宋体" w:hint="default"/>
        </w:rPr>
        <w:t>1</w:t>
      </w:r>
      <w:r>
        <w:rPr/>
        <w:t>）股份支付的种类</w:t>
      </w:r>
      <w:r>
        <w:rPr>
          <w:w w:val="100"/>
        </w:rPr>
        <w:t> </w:t>
      </w:r>
      <w:r>
        <w:rPr>
          <w:spacing w:val="-2"/>
        </w:rPr>
        <w:t>本公司股份支付系以权益结算的股份支付。</w:t>
      </w:r>
    </w:p>
    <w:p>
      <w:pPr>
        <w:pStyle w:val="BodyText"/>
        <w:spacing w:line="240" w:lineRule="auto" w:before="26"/>
        <w:ind w:left="137" w:right="0"/>
        <w:jc w:val="both"/>
      </w:pPr>
      <w:r>
        <w:rPr/>
        <w:t>（</w:t>
      </w:r>
      <w:r>
        <w:rPr>
          <w:rFonts w:ascii="宋体" w:hAnsi="宋体" w:cs="宋体" w:eastAsia="宋体" w:hint="default"/>
        </w:rPr>
        <w:t>2</w:t>
      </w:r>
      <w:r>
        <w:rPr/>
        <w:t>）权益工具公允价值的确定方法</w:t>
      </w:r>
    </w:p>
    <w:p>
      <w:pPr>
        <w:pStyle w:val="BodyText"/>
        <w:spacing w:line="237" w:lineRule="auto" w:before="121"/>
        <w:ind w:left="137" w:right="138"/>
        <w:jc w:val="both"/>
      </w:pPr>
      <w:r>
        <w:rPr>
          <w:spacing w:val="-2"/>
        </w:rPr>
        <w:t>本公司对于授予的存在活跃市场的期权等权益工具，按照活跃市场中的报价确定其公允价值。对</w:t>
      </w:r>
      <w:r>
        <w:rPr>
          <w:spacing w:val="-26"/>
        </w:rPr>
        <w:t> </w:t>
      </w:r>
      <w:r>
        <w:rPr>
          <w:spacing w:val="-26"/>
        </w:rPr>
      </w:r>
      <w:r>
        <w:rPr>
          <w:spacing w:val="-2"/>
        </w:rPr>
        <w:t>于授予的不存在活跃市场的期权等权益工具，采用期权定价模型等确定其公允价值。选用的期权</w:t>
      </w:r>
      <w:r>
        <w:rPr>
          <w:spacing w:val="-25"/>
        </w:rPr>
        <w:t> </w:t>
      </w:r>
      <w:r>
        <w:rPr>
          <w:spacing w:val="-25"/>
        </w:rPr>
      </w:r>
      <w:r>
        <w:rPr>
          <w:spacing w:val="-2"/>
        </w:rPr>
        <w:t>定价模型考虑以下因素：</w:t>
      </w:r>
      <w:r>
        <w:rPr>
          <w:rFonts w:ascii="宋体" w:hAnsi="宋体" w:cs="宋体" w:eastAsia="宋体" w:hint="default"/>
          <w:spacing w:val="-2"/>
        </w:rPr>
        <w:t>A</w:t>
      </w:r>
      <w:r>
        <w:rPr>
          <w:spacing w:val="-2"/>
        </w:rPr>
        <w:t>、期权的行权价格；</w:t>
      </w:r>
      <w:r>
        <w:rPr>
          <w:rFonts w:ascii="宋体" w:hAnsi="宋体" w:cs="宋体" w:eastAsia="宋体" w:hint="default"/>
          <w:spacing w:val="-2"/>
        </w:rPr>
        <w:t>B</w:t>
      </w:r>
      <w:r>
        <w:rPr>
          <w:spacing w:val="-2"/>
        </w:rPr>
        <w:t>、期权的有效期；</w:t>
      </w:r>
      <w:r>
        <w:rPr>
          <w:rFonts w:ascii="宋体" w:hAnsi="宋体" w:cs="宋体" w:eastAsia="宋体" w:hint="default"/>
          <w:spacing w:val="-2"/>
        </w:rPr>
        <w:t>C</w:t>
      </w:r>
      <w:r>
        <w:rPr>
          <w:spacing w:val="-2"/>
        </w:rPr>
        <w:t>、标的股份的现行价格；</w:t>
      </w:r>
      <w:r>
        <w:rPr>
          <w:rFonts w:ascii="宋体" w:hAnsi="宋体" w:cs="宋体" w:eastAsia="宋体" w:hint="default"/>
          <w:spacing w:val="-2"/>
        </w:rPr>
        <w:t>D</w:t>
      </w:r>
      <w:r>
        <w:rPr>
          <w:spacing w:val="-2"/>
        </w:rPr>
        <w:t>、</w:t>
      </w:r>
      <w:r>
        <w:rPr>
          <w:spacing w:val="-30"/>
        </w:rPr>
        <w:t> </w:t>
      </w:r>
      <w:r>
        <w:rPr/>
        <w:t>股价预计波动率；</w:t>
      </w:r>
      <w:r>
        <w:rPr>
          <w:rFonts w:ascii="宋体" w:hAnsi="宋体" w:cs="宋体" w:eastAsia="宋体" w:hint="default"/>
        </w:rPr>
        <w:t>E</w:t>
      </w:r>
      <w:r>
        <w:rPr/>
        <w:t>、股份的预计股利；</w:t>
      </w:r>
      <w:r>
        <w:rPr>
          <w:rFonts w:ascii="宋体" w:hAnsi="宋体" w:cs="宋体" w:eastAsia="宋体" w:hint="default"/>
        </w:rPr>
        <w:t>F</w:t>
      </w:r>
      <w:r>
        <w:rPr/>
        <w:t>、期权有效期内的无风险利率。</w:t>
      </w:r>
    </w:p>
    <w:p>
      <w:pPr>
        <w:pStyle w:val="BodyText"/>
        <w:spacing w:line="240" w:lineRule="auto" w:before="119"/>
        <w:ind w:left="137" w:right="0"/>
        <w:jc w:val="both"/>
      </w:pPr>
      <w:r>
        <w:rPr/>
        <w:t>（</w:t>
      </w:r>
      <w:r>
        <w:rPr>
          <w:rFonts w:ascii="宋体" w:hAnsi="宋体" w:cs="宋体" w:eastAsia="宋体" w:hint="default"/>
        </w:rPr>
        <w:t>3</w:t>
      </w:r>
      <w:r>
        <w:rPr/>
        <w:t>）确认可行权权益工具最佳估计的依据</w:t>
      </w:r>
    </w:p>
    <w:p>
      <w:pPr>
        <w:pStyle w:val="BodyText"/>
        <w:spacing w:line="237" w:lineRule="auto" w:before="119"/>
        <w:ind w:left="137" w:right="138"/>
        <w:jc w:val="both"/>
      </w:pPr>
      <w:r>
        <w:rPr>
          <w:spacing w:val="-2"/>
        </w:rPr>
        <w:t>等待期内每个资产负债表日，本公司根据最新取得的可行权职工人数变动等后续信息作出最佳估</w:t>
      </w:r>
      <w:r>
        <w:rPr>
          <w:spacing w:val="-25"/>
        </w:rPr>
        <w:t> </w:t>
      </w:r>
      <w:r>
        <w:rPr>
          <w:spacing w:val="-25"/>
        </w:rPr>
      </w:r>
      <w:r>
        <w:rPr>
          <w:spacing w:val="-2"/>
        </w:rPr>
        <w:t>计，修正预计可行权的权益工具数量。在可行权日，最终预计可行权权益工具的数量应当与实际</w:t>
      </w:r>
      <w:r>
        <w:rPr>
          <w:spacing w:val="-25"/>
        </w:rPr>
        <w:t> </w:t>
      </w:r>
      <w:r>
        <w:rPr>
          <w:spacing w:val="-25"/>
        </w:rPr>
      </w:r>
      <w:r>
        <w:rPr/>
        <w:t>可行权数量一致。</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ind w:left="137" w:right="0"/>
        <w:jc w:val="both"/>
      </w:pPr>
      <w:r>
        <w:rPr/>
        <w:t>（</w:t>
      </w:r>
      <w:r>
        <w:rPr>
          <w:rFonts w:ascii="宋体" w:hAnsi="宋体" w:cs="宋体" w:eastAsia="宋体" w:hint="default"/>
        </w:rPr>
        <w:t>4</w:t>
      </w:r>
      <w:r>
        <w:rPr/>
        <w:t>）实施、修改、终止股份支付计划的相关会计处理</w:t>
      </w:r>
    </w:p>
    <w:p>
      <w:pPr>
        <w:pStyle w:val="BodyText"/>
        <w:spacing w:line="237" w:lineRule="auto" w:before="119"/>
        <w:ind w:left="137" w:right="138"/>
        <w:jc w:val="both"/>
      </w:pPr>
      <w:r>
        <w:rPr>
          <w:spacing w:val="-2"/>
        </w:rPr>
        <w:t>以权益结算的股份支付，按授予职工权益工具的公允价值计量。授予后立即可行权的，在授予日</w:t>
      </w:r>
      <w:r>
        <w:rPr>
          <w:spacing w:val="-25"/>
        </w:rPr>
        <w:t> </w:t>
      </w:r>
      <w:r>
        <w:rPr>
          <w:spacing w:val="-25"/>
        </w:rPr>
      </w:r>
      <w:r>
        <w:rPr>
          <w:spacing w:val="-2"/>
        </w:rPr>
        <w:t>按照权益工具的公允价值计入相关成本或费用，相应增加资本公积。在完成等待期内的服务或达</w:t>
      </w:r>
      <w:r>
        <w:rPr>
          <w:spacing w:val="-25"/>
        </w:rPr>
        <w:t> </w:t>
      </w:r>
      <w:r>
        <w:rPr>
          <w:spacing w:val="-25"/>
        </w:rPr>
      </w:r>
      <w:r>
        <w:rPr>
          <w:spacing w:val="-2"/>
        </w:rPr>
        <w:t>到规定业绩条件才可行权的，在等待期内的每个资产负债表日，以对可行权权益工具数量的最佳</w:t>
      </w:r>
      <w:r>
        <w:rPr>
          <w:spacing w:val="-25"/>
        </w:rPr>
        <w:t> </w:t>
      </w:r>
      <w:r>
        <w:rPr>
          <w:spacing w:val="-25"/>
        </w:rPr>
      </w:r>
      <w:r>
        <w:rPr>
          <w:spacing w:val="-2"/>
        </w:rPr>
        <w:t>估计为基础，按照权益工具授予日的公允价值，将当期取得的服务计入相关成本或费用和资本公</w:t>
      </w:r>
      <w:r>
        <w:rPr>
          <w:spacing w:val="-25"/>
        </w:rPr>
        <w:t> </w:t>
      </w:r>
      <w:r>
        <w:rPr>
          <w:spacing w:val="-25"/>
        </w:rPr>
      </w:r>
      <w:r>
        <w:rPr/>
        <w:t>积。在可行权日之后不再对已确认的相关成本或费用和所有者权益总额进行调整。</w:t>
      </w:r>
    </w:p>
    <w:p>
      <w:pPr>
        <w:pStyle w:val="BodyText"/>
        <w:spacing w:line="237" w:lineRule="auto" w:before="121"/>
        <w:ind w:left="137" w:right="138"/>
        <w:jc w:val="both"/>
      </w:pPr>
      <w:r>
        <w:rPr>
          <w:spacing w:val="-2"/>
        </w:rPr>
        <w:t>本公司对股份支付计划进行修改时，若修改增加了所授予权益工具的公允价值，按照权益工具公</w:t>
      </w:r>
      <w:r>
        <w:rPr>
          <w:spacing w:val="-25"/>
        </w:rPr>
        <w:t> </w:t>
      </w:r>
      <w:r>
        <w:rPr>
          <w:spacing w:val="-25"/>
        </w:rPr>
      </w:r>
      <w:r>
        <w:rPr>
          <w:spacing w:val="-2"/>
        </w:rPr>
        <w:t>允价值的增加相应地确认取得服务的增加；若修改增加了所授予权益工具的数量，则将增加的权</w:t>
      </w:r>
      <w:r>
        <w:rPr>
          <w:spacing w:val="-25"/>
        </w:rPr>
        <w:t> </w:t>
      </w:r>
      <w:r>
        <w:rPr>
          <w:spacing w:val="-25"/>
        </w:rPr>
      </w:r>
      <w:r>
        <w:rPr>
          <w:spacing w:val="-2"/>
        </w:rPr>
        <w:t>益工具的公允价值相应地确认为取得服务的增加。权益工具公允价值的增加是指修改前后的权益</w:t>
      </w:r>
      <w:r>
        <w:rPr>
          <w:spacing w:val="-25"/>
        </w:rPr>
        <w:t> </w:t>
      </w:r>
      <w:r>
        <w:rPr>
          <w:spacing w:val="-25"/>
        </w:rPr>
      </w:r>
      <w:r>
        <w:rPr>
          <w:spacing w:val="-2"/>
        </w:rPr>
        <w:t>工具在修改日的公允价值之间的差额。若修改减少了股份支付公允价值总额或采用了其他不利于</w:t>
      </w:r>
      <w:r>
        <w:rPr>
          <w:spacing w:val="-25"/>
        </w:rPr>
        <w:t> </w:t>
      </w:r>
      <w:r>
        <w:rPr>
          <w:spacing w:val="-25"/>
        </w:rPr>
      </w:r>
      <w:r>
        <w:rPr>
          <w:spacing w:val="-2"/>
        </w:rPr>
        <w:t>职工的方式修改股份支付计划的条款和条件，则仍继续对取得的服务进行会计处理，视同该变更</w:t>
      </w:r>
      <w:r>
        <w:rPr>
          <w:spacing w:val="-25"/>
        </w:rPr>
        <w:t> </w:t>
      </w:r>
      <w:r>
        <w:rPr>
          <w:spacing w:val="-25"/>
        </w:rPr>
      </w:r>
      <w:r>
        <w:rPr/>
        <w:t>从未发生，除非本公司取消了部分或全部已授予的权益工具。</w:t>
      </w:r>
    </w:p>
    <w:p>
      <w:pPr>
        <w:pStyle w:val="BodyText"/>
        <w:spacing w:line="237" w:lineRule="auto" w:before="121"/>
        <w:ind w:left="137" w:right="128"/>
        <w:jc w:val="both"/>
      </w:pPr>
      <w:r>
        <w:rPr>
          <w:spacing w:val="-2"/>
        </w:rPr>
        <w:t>在等待期内，如果取消了授予的权益工具（因未满足可行权条件的非市场条件（如服务期限条件</w:t>
      </w:r>
      <w:r>
        <w:rPr>
          <w:spacing w:val="-25"/>
        </w:rPr>
        <w:t> </w:t>
      </w:r>
      <w:r>
        <w:rPr>
          <w:spacing w:val="-25"/>
        </w:rPr>
      </w:r>
      <w:r>
        <w:rPr>
          <w:spacing w:val="-6"/>
        </w:rPr>
        <w:t>或非市场的业绩条件）而被取消的除外），本公司对取消所授予的权益性工具作为加速行权处理，</w:t>
      </w:r>
      <w:r>
        <w:rPr>
          <w:spacing w:val="-54"/>
        </w:rPr>
        <w:t> </w:t>
      </w:r>
      <w:r>
        <w:rPr>
          <w:spacing w:val="-54"/>
        </w:rPr>
      </w:r>
      <w:r>
        <w:rPr>
          <w:spacing w:val="-2"/>
        </w:rPr>
        <w:t>将剩余等待期内应确认的金额立即计入当期损益，同时确认资本公积。职工或其他方能够选择满</w:t>
      </w:r>
      <w:r>
        <w:rPr>
          <w:spacing w:val="-25"/>
        </w:rPr>
        <w:t> </w:t>
      </w:r>
      <w:r>
        <w:rPr>
          <w:spacing w:val="-25"/>
        </w:rPr>
      </w:r>
      <w:r>
        <w:rPr/>
        <w:t>足非可行权条件但在等待期内未满足的，本公司将其作为授予权益工具的取消处理。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ind w:left="137" w:right="0"/>
        <w:jc w:val="both"/>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9"/>
        <w:ind w:left="137" w:right="0"/>
        <w:jc w:val="both"/>
      </w:pPr>
      <w:r>
        <w:rPr/>
        <w:t>□适用  √不适用</w:t>
      </w:r>
    </w:p>
    <w:p>
      <w:pPr>
        <w:spacing w:after="0" w:line="240" w:lineRule="auto"/>
        <w:jc w:val="both"/>
        <w:sectPr>
          <w:footerReference w:type="default" r:id="rId38"/>
          <w:pgSz w:w="11910" w:h="16840"/>
          <w:pgMar w:footer="1195" w:header="882" w:top="1120" w:bottom="1380" w:left="1140" w:right="1660"/>
          <w:pgNumType w:start="91"/>
        </w:sectPr>
      </w:pPr>
    </w:p>
    <w:p>
      <w:pPr>
        <w:spacing w:line="240" w:lineRule="auto" w:before="9"/>
        <w:rPr>
          <w:rFonts w:ascii="宋体" w:hAnsi="宋体" w:cs="宋体" w:eastAsia="宋体" w:hint="default"/>
          <w:sz w:val="18"/>
          <w:szCs w:val="18"/>
        </w:rPr>
      </w:pPr>
    </w:p>
    <w:p>
      <w:pPr>
        <w:pStyle w:val="Heading4"/>
        <w:spacing w:line="240" w:lineRule="auto" w:before="36"/>
        <w:ind w:left="137" w:right="0"/>
        <w:jc w:val="both"/>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40" w:lineRule="auto" w:before="56"/>
        <w:ind w:left="137" w:right="0"/>
        <w:jc w:val="both"/>
      </w:pPr>
      <w:r>
        <w:rPr/>
        <w:t>√适用  □不适用</w:t>
      </w:r>
    </w:p>
    <w:p>
      <w:pPr>
        <w:pStyle w:val="BodyText"/>
        <w:spacing w:line="240" w:lineRule="auto" w:before="118"/>
        <w:ind w:left="137" w:right="0"/>
        <w:jc w:val="both"/>
      </w:pPr>
      <w:r>
        <w:rPr/>
        <w:t>（</w:t>
      </w:r>
      <w:r>
        <w:rPr>
          <w:rFonts w:ascii="宋体" w:hAnsi="宋体" w:cs="宋体" w:eastAsia="宋体" w:hint="default"/>
        </w:rPr>
        <w:t>1</w:t>
      </w:r>
      <w:r>
        <w:rPr/>
        <w:t>）一般原则</w:t>
      </w:r>
    </w:p>
    <w:p>
      <w:pPr>
        <w:pStyle w:val="BodyText"/>
        <w:spacing w:line="240" w:lineRule="auto" w:before="116"/>
        <w:ind w:left="137" w:right="0"/>
        <w:jc w:val="both"/>
      </w:pPr>
      <w:r>
        <w:rPr/>
        <w:t>①销售商品</w:t>
      </w:r>
    </w:p>
    <w:p>
      <w:pPr>
        <w:pStyle w:val="BodyText"/>
        <w:spacing w:line="237" w:lineRule="auto" w:before="121"/>
        <w:ind w:left="137" w:right="138"/>
        <w:jc w:val="both"/>
      </w:pPr>
      <w:r>
        <w:rPr>
          <w:spacing w:val="-2"/>
        </w:rPr>
        <w:t>在已将商品所有权上的主要风险和报酬转移给购货方，既没有保留通常与所有权相联系的继续管</w:t>
      </w:r>
      <w:r>
        <w:rPr>
          <w:spacing w:val="-25"/>
        </w:rPr>
        <w:t> </w:t>
      </w:r>
      <w:r>
        <w:rPr>
          <w:spacing w:val="-25"/>
        </w:rPr>
      </w:r>
      <w:r>
        <w:rPr>
          <w:spacing w:val="-2"/>
        </w:rPr>
        <w:t>理权，也没有对已售商品实施有效控制，收入的金额能够可靠地计量，相关的经济利益很可能流</w:t>
      </w:r>
      <w:r>
        <w:rPr>
          <w:spacing w:val="-25"/>
        </w:rPr>
        <w:t> </w:t>
      </w:r>
      <w:r>
        <w:rPr>
          <w:spacing w:val="-25"/>
        </w:rPr>
      </w:r>
      <w:r>
        <w:rPr/>
        <w:t>入企业，相关的已发生或将发生的成本能够可靠地计量时，确认商品销售收入的实现。</w:t>
      </w:r>
    </w:p>
    <w:p>
      <w:pPr>
        <w:pStyle w:val="BodyText"/>
        <w:spacing w:line="240" w:lineRule="auto" w:before="116"/>
        <w:ind w:left="137" w:right="0"/>
        <w:jc w:val="both"/>
      </w:pPr>
      <w:r>
        <w:rPr/>
        <w:t>②提供劳务</w:t>
      </w:r>
    </w:p>
    <w:p>
      <w:pPr>
        <w:pStyle w:val="BodyText"/>
        <w:spacing w:line="272" w:lineRule="exact" w:before="146"/>
        <w:ind w:left="137" w:right="0"/>
        <w:jc w:val="left"/>
      </w:pPr>
      <w:r>
        <w:rPr>
          <w:spacing w:val="-2"/>
        </w:rPr>
        <w:t>对在提供劳务交易的结果能够可靠估计的情况下，本公司于资产负债表日按完工百分比法确认收</w:t>
      </w:r>
      <w:r>
        <w:rPr>
          <w:spacing w:val="-25"/>
        </w:rPr>
        <w:t> </w:t>
      </w:r>
      <w:r>
        <w:rPr>
          <w:spacing w:val="-25"/>
        </w:rPr>
      </w:r>
      <w:r>
        <w:rPr/>
        <w:t>入。</w:t>
      </w:r>
    </w:p>
    <w:p>
      <w:pPr>
        <w:pStyle w:val="BodyText"/>
        <w:spacing w:line="240" w:lineRule="auto" w:before="94"/>
        <w:ind w:left="137" w:right="0"/>
        <w:jc w:val="both"/>
      </w:pPr>
      <w:r>
        <w:rPr/>
        <w:t>劳务交易的完工进度按已经提供的劳务占应提供劳务总量的比例确定。</w:t>
      </w:r>
    </w:p>
    <w:p>
      <w:pPr>
        <w:pStyle w:val="BodyText"/>
        <w:spacing w:line="237" w:lineRule="auto" w:before="119"/>
        <w:ind w:left="137" w:right="138"/>
        <w:jc w:val="both"/>
      </w:pPr>
      <w:r>
        <w:rPr>
          <w:spacing w:val="-2"/>
        </w:rPr>
        <w:t>提供劳务交易的结果能够可靠估计是指同时满足：</w:t>
      </w:r>
      <w:r>
        <w:rPr>
          <w:rFonts w:ascii="宋体" w:hAnsi="宋体" w:cs="宋体" w:eastAsia="宋体" w:hint="default"/>
          <w:spacing w:val="-2"/>
        </w:rPr>
        <w:t>A</w:t>
      </w:r>
      <w:r>
        <w:rPr>
          <w:spacing w:val="-2"/>
        </w:rPr>
        <w:t>、收入的金额能够可靠地计量；</w:t>
      </w:r>
      <w:r>
        <w:rPr>
          <w:rFonts w:ascii="宋体" w:hAnsi="宋体" w:cs="宋体" w:eastAsia="宋体" w:hint="default"/>
          <w:spacing w:val="-2"/>
        </w:rPr>
        <w:t>B</w:t>
      </w:r>
      <w:r>
        <w:rPr>
          <w:spacing w:val="-2"/>
        </w:rPr>
        <w:t>、相关的经</w:t>
      </w:r>
      <w:r>
        <w:rPr>
          <w:spacing w:val="-25"/>
        </w:rPr>
        <w:t> </w:t>
      </w:r>
      <w:r>
        <w:rPr>
          <w:spacing w:val="-25"/>
        </w:rPr>
      </w:r>
      <w:r>
        <w:rPr>
          <w:spacing w:val="-2"/>
        </w:rPr>
        <w:t>济利益很可能流入企业；</w:t>
      </w:r>
      <w:r>
        <w:rPr>
          <w:rFonts w:ascii="宋体" w:hAnsi="宋体" w:cs="宋体" w:eastAsia="宋体" w:hint="default"/>
          <w:spacing w:val="-2"/>
        </w:rPr>
        <w:t>C</w:t>
      </w:r>
      <w:r>
        <w:rPr>
          <w:spacing w:val="-2"/>
        </w:rPr>
        <w:t>、交易的完工程度能够可靠地确定；</w:t>
      </w:r>
      <w:r>
        <w:rPr>
          <w:rFonts w:ascii="宋体" w:hAnsi="宋体" w:cs="宋体" w:eastAsia="宋体" w:hint="default"/>
          <w:spacing w:val="-2"/>
        </w:rPr>
        <w:t>D</w:t>
      </w:r>
      <w:r>
        <w:rPr>
          <w:spacing w:val="-2"/>
        </w:rPr>
        <w:t>、交易中已发生和将发生的成本</w:t>
      </w:r>
      <w:r>
        <w:rPr>
          <w:spacing w:val="-28"/>
        </w:rPr>
        <w:t> </w:t>
      </w:r>
      <w:r>
        <w:rPr>
          <w:spacing w:val="-28"/>
        </w:rPr>
      </w:r>
      <w:r>
        <w:rPr/>
        <w:t>能够可靠地计量。</w:t>
      </w:r>
    </w:p>
    <w:p>
      <w:pPr>
        <w:pStyle w:val="BodyText"/>
        <w:spacing w:line="237" w:lineRule="auto" w:before="121"/>
        <w:ind w:left="137" w:right="138"/>
        <w:jc w:val="both"/>
      </w:pPr>
      <w:r>
        <w:rPr>
          <w:spacing w:val="-2"/>
        </w:rPr>
        <w:t>如果提供劳务交易的结果不能够可靠估计，则按已经发生并预计能够得到补偿的劳务成本金额确</w:t>
      </w:r>
      <w:r>
        <w:rPr>
          <w:spacing w:val="-25"/>
        </w:rPr>
        <w:t> </w:t>
      </w:r>
      <w:r>
        <w:rPr>
          <w:spacing w:val="-25"/>
        </w:rPr>
      </w:r>
      <w:r>
        <w:rPr>
          <w:spacing w:val="-2"/>
        </w:rPr>
        <w:t>认提供的劳务收入，并将已发生的劳务成本作为当期费用。已经发生的劳务成本如预计不能得到</w:t>
      </w:r>
      <w:r>
        <w:rPr>
          <w:spacing w:val="-25"/>
        </w:rPr>
        <w:t> </w:t>
      </w:r>
      <w:r>
        <w:rPr>
          <w:spacing w:val="-25"/>
        </w:rPr>
      </w:r>
      <w:r>
        <w:rPr/>
        <w:t>补偿的，则不确认收入。</w:t>
      </w:r>
    </w:p>
    <w:p>
      <w:pPr>
        <w:pStyle w:val="BodyText"/>
        <w:spacing w:line="343" w:lineRule="auto" w:before="116"/>
        <w:ind w:left="137" w:right="0"/>
        <w:jc w:val="left"/>
      </w:pPr>
      <w:r>
        <w:rPr/>
        <w:t>③让渡资产使用权</w:t>
      </w:r>
      <w:r>
        <w:rPr>
          <w:w w:val="100"/>
        </w:rPr>
        <w:t> </w:t>
      </w:r>
      <w:r>
        <w:rPr>
          <w:spacing w:val="-2"/>
        </w:rPr>
        <w:t>与资产使用权让渡相关的经济利益能够流入及收入的金额能够可靠地计量时，本公司确认收入。</w:t>
      </w:r>
    </w:p>
    <w:p>
      <w:pPr>
        <w:pStyle w:val="BodyText"/>
        <w:spacing w:line="240" w:lineRule="auto" w:before="26"/>
        <w:ind w:left="137" w:right="0"/>
        <w:jc w:val="both"/>
      </w:pPr>
      <w:r>
        <w:rPr/>
        <w:t>（</w:t>
      </w:r>
      <w:r>
        <w:rPr>
          <w:rFonts w:ascii="宋体" w:hAnsi="宋体" w:cs="宋体" w:eastAsia="宋体" w:hint="default"/>
        </w:rPr>
        <w:t>2</w:t>
      </w:r>
      <w:r>
        <w:rPr/>
        <w:t>）具体方法</w:t>
      </w:r>
    </w:p>
    <w:p>
      <w:pPr>
        <w:pStyle w:val="BodyText"/>
        <w:spacing w:line="272" w:lineRule="exact" w:before="146"/>
        <w:ind w:left="137" w:right="0"/>
        <w:jc w:val="left"/>
      </w:pPr>
      <w:r>
        <w:rPr>
          <w:spacing w:val="-2"/>
        </w:rPr>
        <w:t>本公司主营业务收入按业务性质分为产品化软件开发业务、定制软件开发业务、软件运维服务业</w:t>
      </w:r>
      <w:r>
        <w:rPr>
          <w:spacing w:val="-25"/>
        </w:rPr>
        <w:t> </w:t>
      </w:r>
      <w:r>
        <w:rPr>
          <w:spacing w:val="-25"/>
        </w:rPr>
      </w:r>
      <w:r>
        <w:rPr/>
        <w:t>务、系统集成业务，各项业务收入确认的具体方法如下：</w:t>
      </w:r>
    </w:p>
    <w:p>
      <w:pPr>
        <w:pStyle w:val="BodyText"/>
        <w:spacing w:line="240" w:lineRule="auto" w:before="91"/>
        <w:ind w:left="137" w:right="0"/>
        <w:jc w:val="both"/>
      </w:pPr>
      <w:r>
        <w:rPr/>
        <w:t>①产品化软件开发业务</w:t>
      </w:r>
    </w:p>
    <w:p>
      <w:pPr>
        <w:pStyle w:val="BodyText"/>
        <w:spacing w:line="272" w:lineRule="exact" w:before="146"/>
        <w:ind w:left="137" w:right="0"/>
        <w:jc w:val="left"/>
      </w:pPr>
      <w:r>
        <w:rPr>
          <w:spacing w:val="-2"/>
        </w:rPr>
        <w:t>产品化软件开发业务是指本公司自行研究开发的，拥有自主知识产权，可直接对外销售或嵌入硬</w:t>
      </w:r>
      <w:r>
        <w:rPr>
          <w:spacing w:val="-25"/>
        </w:rPr>
        <w:t> </w:t>
      </w:r>
      <w:r>
        <w:rPr>
          <w:spacing w:val="-25"/>
        </w:rPr>
      </w:r>
      <w:r>
        <w:rPr/>
        <w:t>件产品一起销售的软件开发业务。</w:t>
      </w:r>
    </w:p>
    <w:p>
      <w:pPr>
        <w:pStyle w:val="BodyText"/>
        <w:spacing w:line="240" w:lineRule="auto" w:before="94"/>
        <w:ind w:left="137" w:right="0"/>
        <w:jc w:val="both"/>
      </w:pPr>
      <w:r>
        <w:rPr/>
        <w:t>具体方法：产品已交付并完成安装和试运行，在取得客户验收时确认收入。</w:t>
      </w:r>
    </w:p>
    <w:p>
      <w:pPr>
        <w:pStyle w:val="BodyText"/>
        <w:spacing w:line="240" w:lineRule="auto" w:before="116"/>
        <w:ind w:left="137" w:right="0"/>
        <w:jc w:val="both"/>
      </w:pPr>
      <w:r>
        <w:rPr/>
        <w:t>②定制软件开发业务</w:t>
      </w:r>
    </w:p>
    <w:p>
      <w:pPr>
        <w:pStyle w:val="BodyText"/>
        <w:spacing w:line="272" w:lineRule="exact" w:before="146"/>
        <w:ind w:left="137" w:right="0"/>
        <w:jc w:val="left"/>
      </w:pPr>
      <w:r>
        <w:rPr>
          <w:spacing w:val="-2"/>
        </w:rPr>
        <w:t>定制软件开发业务是指本公司根据合同的约定，自行研究开发以满足客户的特定要求的软件开发</w:t>
      </w:r>
      <w:r>
        <w:rPr>
          <w:spacing w:val="-26"/>
        </w:rPr>
        <w:t> </w:t>
      </w:r>
      <w:r>
        <w:rPr>
          <w:spacing w:val="-26"/>
        </w:rPr>
      </w:r>
      <w:r>
        <w:rPr/>
        <w:t>业务。</w:t>
      </w:r>
    </w:p>
    <w:p>
      <w:pPr>
        <w:pStyle w:val="BodyText"/>
        <w:spacing w:line="240" w:lineRule="auto" w:before="94"/>
        <w:ind w:left="137" w:right="0"/>
        <w:jc w:val="both"/>
      </w:pPr>
      <w:r>
        <w:rPr/>
        <w:t>具体方法：定制软件开发项目已经完成并取得客户验收时确认收入。</w:t>
      </w:r>
    </w:p>
    <w:p>
      <w:pPr>
        <w:pStyle w:val="BodyText"/>
        <w:spacing w:line="343" w:lineRule="auto" w:before="116"/>
        <w:ind w:left="137" w:right="0"/>
        <w:jc w:val="left"/>
      </w:pPr>
      <w:r>
        <w:rPr/>
        <w:t>③软件运维服务业务</w:t>
      </w:r>
      <w:r>
        <w:rPr>
          <w:w w:val="100"/>
        </w:rPr>
        <w:t> </w:t>
      </w:r>
      <w:r>
        <w:rPr>
          <w:spacing w:val="-2"/>
        </w:rPr>
        <w:t>软件运维服务业务主要指公司为存量客户提供的常年软件系统运营和维护服务。</w:t>
      </w:r>
      <w:r>
        <w:rPr>
          <w:spacing w:val="-38"/>
        </w:rPr>
        <w:t> </w:t>
      </w:r>
      <w:r>
        <w:rPr>
          <w:spacing w:val="-38"/>
        </w:rPr>
      </w:r>
      <w:r>
        <w:rPr/>
        <w:t>具体方法：运维服务收入在服务期内按直线法确认收入。</w:t>
      </w:r>
    </w:p>
    <w:p>
      <w:pPr>
        <w:pStyle w:val="BodyText"/>
        <w:spacing w:line="240" w:lineRule="auto" w:before="28"/>
        <w:ind w:left="137" w:right="0"/>
        <w:jc w:val="both"/>
      </w:pPr>
      <w:r>
        <w:rPr/>
        <w:t>④系统集成业务</w:t>
      </w:r>
    </w:p>
    <w:p>
      <w:pPr>
        <w:pStyle w:val="BodyText"/>
        <w:spacing w:line="240" w:lineRule="auto" w:before="116"/>
        <w:ind w:left="137" w:right="0"/>
        <w:jc w:val="left"/>
      </w:pPr>
      <w:r>
        <w:rPr>
          <w:spacing w:val="-2"/>
        </w:rPr>
        <w:t>系统集成业务系指根据用户需要将整个系统中的外购软件、硬件按照合理的方式进行集成，将各</w:t>
      </w:r>
      <w:r>
        <w:rPr>
          <w:spacing w:val="-25"/>
        </w:rPr>
        <w:t> </w:t>
      </w:r>
      <w:r>
        <w:rPr>
          <w:spacing w:val="-25"/>
        </w:rPr>
      </w:r>
      <w:r>
        <w:rPr/>
        <w:t>个分离的子系统连接成为一个完整可靠和经济有效整体的业务。</w:t>
      </w:r>
    </w:p>
    <w:p>
      <w:pPr>
        <w:pStyle w:val="BodyText"/>
        <w:spacing w:line="343" w:lineRule="auto" w:before="116"/>
        <w:ind w:left="137" w:right="975"/>
        <w:jc w:val="left"/>
        <w:rPr>
          <w:rFonts w:ascii="宋体" w:hAnsi="宋体" w:cs="宋体" w:eastAsia="宋体" w:hint="default"/>
        </w:rPr>
      </w:pPr>
      <w:r>
        <w:rPr>
          <w:spacing w:val="-2"/>
        </w:rPr>
        <w:t>具体方法：系统集成产品已交付，在系统安装调试完毕并取得客户验收时确认收入。</w:t>
      </w:r>
      <w:r>
        <w:rPr>
          <w:spacing w:val="-35"/>
        </w:rPr>
        <w:t> </w:t>
      </w:r>
      <w:r>
        <w:rPr>
          <w:spacing w:val="-35"/>
        </w:rPr>
      </w:r>
      <w:r>
        <w:rPr>
          <w:rFonts w:ascii="宋体" w:hAnsi="宋体" w:cs="宋体" w:eastAsia="宋体" w:hint="default"/>
          <w:b/>
          <w:bCs/>
        </w:rPr>
        <w:t>29.</w:t>
      </w:r>
      <w:r>
        <w:rPr>
          <w:rFonts w:ascii="宋体" w:hAnsi="宋体" w:cs="宋体" w:eastAsia="宋体" w:hint="default"/>
          <w:b/>
          <w:bCs/>
          <w:spacing w:val="2"/>
        </w:rPr>
        <w:t> </w:t>
      </w:r>
      <w:r>
        <w:rPr>
          <w:rFonts w:ascii="宋体" w:hAnsi="宋体" w:cs="宋体" w:eastAsia="宋体" w:hint="default"/>
          <w:b/>
          <w:bCs/>
        </w:rPr>
        <w:t>政府补助</w:t>
      </w:r>
      <w:r>
        <w:rPr>
          <w:rFonts w:ascii="宋体" w:hAnsi="宋体" w:cs="宋体" w:eastAsia="宋体" w:hint="default"/>
        </w:rPr>
      </w:r>
    </w:p>
    <w:p>
      <w:pPr>
        <w:pStyle w:val="BodyText"/>
        <w:spacing w:line="241" w:lineRule="exact"/>
        <w:ind w:left="137" w:right="0"/>
        <w:jc w:val="both"/>
      </w:pPr>
      <w:r>
        <w:rPr/>
        <w:t>√适用 □不适用</w:t>
      </w:r>
    </w:p>
    <w:p>
      <w:pPr>
        <w:spacing w:after="0" w:line="241" w:lineRule="exact"/>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137" w:right="0"/>
        <w:jc w:val="both"/>
      </w:pPr>
      <w:r>
        <w:rPr/>
        <w:t>政府补助在满足政府补助所附条件并能够收到时确认。</w:t>
      </w:r>
    </w:p>
    <w:p>
      <w:pPr>
        <w:pStyle w:val="BodyText"/>
        <w:spacing w:line="240" w:lineRule="auto" w:before="116"/>
        <w:ind w:left="137" w:right="138"/>
        <w:jc w:val="both"/>
      </w:pPr>
      <w:r>
        <w:rPr>
          <w:spacing w:val="-2"/>
        </w:rPr>
        <w:t>对于货币性资产的政府补助，按照收到或应收的金额计量。对于非货币性资产的政府补助，按照</w:t>
      </w:r>
      <w:r>
        <w:rPr>
          <w:spacing w:val="-25"/>
        </w:rPr>
        <w:t> </w:t>
      </w:r>
      <w:r>
        <w:rPr>
          <w:spacing w:val="-25"/>
        </w:rPr>
      </w:r>
      <w:r>
        <w:rPr/>
        <w:t>公允价值计量；公允价值不能够可靠取得的，按照名义金额</w:t>
      </w:r>
      <w:r>
        <w:rPr>
          <w:spacing w:val="-53"/>
        </w:rPr>
        <w:t> </w:t>
      </w:r>
      <w:r>
        <w:rPr>
          <w:rFonts w:ascii="宋体" w:hAnsi="宋体" w:cs="宋体" w:eastAsia="宋体" w:hint="default"/>
        </w:rPr>
        <w:t>1</w:t>
      </w:r>
      <w:r>
        <w:rPr>
          <w:rFonts w:ascii="宋体" w:hAnsi="宋体" w:cs="宋体" w:eastAsia="宋体" w:hint="default"/>
          <w:spacing w:val="-55"/>
        </w:rPr>
        <w:t> </w:t>
      </w:r>
      <w:r>
        <w:rPr/>
        <w:t>元计量。</w:t>
      </w:r>
    </w:p>
    <w:p>
      <w:pPr>
        <w:pStyle w:val="BodyText"/>
        <w:spacing w:line="240" w:lineRule="auto" w:before="116"/>
        <w:ind w:left="137" w:right="138"/>
        <w:jc w:val="both"/>
      </w:pPr>
      <w:r>
        <w:rPr>
          <w:spacing w:val="-2"/>
        </w:rPr>
        <w:t>与资产相关的政府补助，是指本公司取得的、用于购建或以其他方式形成长期资产的政府补助；</w:t>
      </w:r>
      <w:r>
        <w:rPr>
          <w:spacing w:val="-25"/>
        </w:rPr>
        <w:t> </w:t>
      </w:r>
      <w:r>
        <w:rPr>
          <w:spacing w:val="-25"/>
        </w:rPr>
      </w:r>
      <w:r>
        <w:rPr/>
        <w:t>除此之外，作为与收益相关的政府补助。</w:t>
      </w:r>
    </w:p>
    <w:p>
      <w:pPr>
        <w:pStyle w:val="BodyText"/>
        <w:spacing w:line="237" w:lineRule="auto" w:before="119"/>
        <w:ind w:left="137" w:right="138"/>
        <w:jc w:val="both"/>
      </w:pPr>
      <w:r>
        <w:rPr>
          <w:spacing w:val="-2"/>
        </w:rPr>
        <w:t>对于政府文件未明确规定补助对象的，能够形成长期资产的，与资产价值相对应的政府补助部分</w:t>
      </w:r>
      <w:r>
        <w:rPr>
          <w:spacing w:val="-26"/>
        </w:rPr>
        <w:t> </w:t>
      </w:r>
      <w:r>
        <w:rPr>
          <w:spacing w:val="-26"/>
        </w:rPr>
      </w:r>
      <w:r>
        <w:rPr>
          <w:spacing w:val="-2"/>
        </w:rPr>
        <w:t>作为与资产相关的政府补助，其余部分作为与收益相关的政府补助；难以区分的，将政府补助整</w:t>
      </w:r>
      <w:r>
        <w:rPr>
          <w:spacing w:val="-25"/>
        </w:rPr>
        <w:t> </w:t>
      </w:r>
      <w:r>
        <w:rPr>
          <w:spacing w:val="-25"/>
        </w:rPr>
      </w:r>
      <w:r>
        <w:rPr/>
        <w:t>体作为与收益相关的政府补助。</w:t>
      </w:r>
    </w:p>
    <w:p>
      <w:pPr>
        <w:pStyle w:val="BodyText"/>
        <w:spacing w:line="237" w:lineRule="auto" w:before="121"/>
        <w:ind w:left="137" w:right="138"/>
        <w:jc w:val="both"/>
      </w:pPr>
      <w:r>
        <w:rPr>
          <w:spacing w:val="-2"/>
        </w:rPr>
        <w:t>与资产相关的政府补助，冲减相关资产的账面价值，或者确认为递延收益在相关资产使用期限内</w:t>
      </w:r>
      <w:r>
        <w:rPr>
          <w:spacing w:val="-25"/>
        </w:rPr>
        <w:t> </w:t>
      </w:r>
      <w:r>
        <w:rPr>
          <w:spacing w:val="-25"/>
        </w:rPr>
      </w:r>
      <w:r>
        <w:rPr>
          <w:spacing w:val="-2"/>
        </w:rPr>
        <w:t>按照合理、系统的方法分期计入损益。与收益相关的政府补助，用于补偿已发生的相关成本费用</w:t>
      </w:r>
      <w:r>
        <w:rPr>
          <w:spacing w:val="-25"/>
        </w:rPr>
        <w:t> </w:t>
      </w:r>
      <w:r>
        <w:rPr>
          <w:spacing w:val="-25"/>
        </w:rPr>
      </w:r>
      <w:r>
        <w:rPr>
          <w:spacing w:val="-2"/>
        </w:rPr>
        <w:t>或损失的，计入当期损益或冲减相关成本；用于补偿以后期间的相关成本费用或损失的，则计入</w:t>
      </w:r>
      <w:r>
        <w:rPr>
          <w:spacing w:val="-25"/>
        </w:rPr>
        <w:t> </w:t>
      </w:r>
      <w:r>
        <w:rPr>
          <w:spacing w:val="-25"/>
        </w:rPr>
      </w:r>
      <w:r>
        <w:rPr>
          <w:spacing w:val="-2"/>
        </w:rPr>
        <w:t>递延收益，于相关成本费用或损失确认期间计入当期损益或冲减相关成本。按照名义金额计量的</w:t>
      </w:r>
      <w:r>
        <w:rPr>
          <w:spacing w:val="-25"/>
        </w:rPr>
        <w:t> </w:t>
      </w:r>
      <w:r>
        <w:rPr>
          <w:spacing w:val="-25"/>
        </w:rPr>
      </w:r>
      <w:r>
        <w:rPr/>
        <w:t>政府补助，直接计入当期损益。本公司对相同或类似的政府补助业务，采用一致的方法处理。</w:t>
      </w:r>
    </w:p>
    <w:p>
      <w:pPr>
        <w:pStyle w:val="BodyText"/>
        <w:spacing w:line="240" w:lineRule="auto" w:before="116"/>
        <w:ind w:left="137" w:right="138"/>
        <w:jc w:val="both"/>
      </w:pPr>
      <w:r>
        <w:rPr>
          <w:spacing w:val="-2"/>
        </w:rPr>
        <w:t>与日常活动相关的政府补助，按照经济业务实质，计入其他收益或冲减相关成本费用。与日常活</w:t>
      </w:r>
      <w:r>
        <w:rPr>
          <w:spacing w:val="-25"/>
        </w:rPr>
        <w:t> </w:t>
      </w:r>
      <w:r>
        <w:rPr>
          <w:spacing w:val="-25"/>
        </w:rPr>
      </w:r>
      <w:r>
        <w:rPr/>
        <w:t>动无关的政府补助，计入营业外收支。</w:t>
      </w:r>
    </w:p>
    <w:p>
      <w:pPr>
        <w:pStyle w:val="BodyText"/>
        <w:spacing w:line="237" w:lineRule="auto" w:before="119"/>
        <w:ind w:left="137" w:right="138"/>
        <w:jc w:val="both"/>
      </w:pPr>
      <w:r>
        <w:rPr>
          <w:spacing w:val="-2"/>
        </w:rPr>
        <w:t>已确认的政府补助需要返还时，初始确认时冲减相关资产账面价值的，调整资产账面价值；存在</w:t>
      </w:r>
      <w:r>
        <w:rPr>
          <w:spacing w:val="-25"/>
        </w:rPr>
        <w:t> </w:t>
      </w:r>
      <w:r>
        <w:rPr>
          <w:spacing w:val="-25"/>
        </w:rPr>
      </w:r>
      <w:r>
        <w:rPr>
          <w:spacing w:val="-2"/>
        </w:rPr>
        <w:t>相关递延收益余额的，冲减相关递延收益账面余额，超出部分计入当期损益；属于其他情况的，</w:t>
      </w:r>
      <w:r>
        <w:rPr>
          <w:spacing w:val="-25"/>
        </w:rPr>
        <w:t> </w:t>
      </w:r>
      <w:r>
        <w:rPr>
          <w:spacing w:val="-25"/>
        </w:rPr>
      </w:r>
      <w:r>
        <w:rPr/>
        <w:t>直接计入当期损益。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ind w:left="137" w:right="0"/>
        <w:jc w:val="both"/>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40" w:lineRule="auto" w:before="32"/>
        <w:ind w:left="137" w:right="0"/>
        <w:jc w:val="both"/>
      </w:pPr>
      <w:r>
        <w:rPr/>
        <w:t>√适用  □不适用</w:t>
      </w:r>
    </w:p>
    <w:p>
      <w:pPr>
        <w:pStyle w:val="BodyText"/>
        <w:spacing w:line="272" w:lineRule="exact" w:before="144"/>
        <w:ind w:left="137" w:right="138"/>
        <w:jc w:val="both"/>
      </w:pPr>
      <w:r>
        <w:rPr>
          <w:spacing w:val="-2"/>
        </w:rPr>
        <w:t>所得税包括当期所得税和递延所得税。除由于企业合并产生的调整商誉，或与直接计入所有者权</w:t>
      </w:r>
      <w:r>
        <w:rPr>
          <w:spacing w:val="-25"/>
        </w:rPr>
        <w:t> </w:t>
      </w:r>
      <w:r>
        <w:rPr>
          <w:spacing w:val="-25"/>
        </w:rPr>
      </w:r>
      <w:r>
        <w:rPr/>
        <w:t>益的交易或者事项相关的递延所得税计入所有者权益外，均作为所得税费用计入当期损益。</w:t>
      </w:r>
    </w:p>
    <w:p>
      <w:pPr>
        <w:pStyle w:val="BodyText"/>
        <w:spacing w:line="272" w:lineRule="exact" w:before="121"/>
        <w:ind w:left="137" w:right="138"/>
        <w:jc w:val="both"/>
      </w:pPr>
      <w:r>
        <w:rPr>
          <w:spacing w:val="-2"/>
        </w:rPr>
        <w:t>本公司根据资产、负债于资产负债表日的账面价值与计税基础之间的暂时性差异，采用资产负债</w:t>
      </w:r>
      <w:r>
        <w:rPr>
          <w:spacing w:val="-25"/>
        </w:rPr>
        <w:t> </w:t>
      </w:r>
      <w:r>
        <w:rPr>
          <w:spacing w:val="-25"/>
        </w:rPr>
      </w:r>
      <w:r>
        <w:rPr/>
        <w:t>表债务法确认递延所得税。</w:t>
      </w:r>
    </w:p>
    <w:p>
      <w:pPr>
        <w:pStyle w:val="BodyText"/>
        <w:spacing w:line="240" w:lineRule="auto" w:before="94"/>
        <w:ind w:left="137" w:right="0"/>
        <w:jc w:val="both"/>
      </w:pPr>
      <w:r>
        <w:rPr/>
        <w:t>各项应纳税暂时性差异均确认相关的递延所得税负债。</w:t>
      </w:r>
    </w:p>
    <w:p>
      <w:pPr>
        <w:pStyle w:val="BodyText"/>
        <w:spacing w:line="237" w:lineRule="auto" w:before="119"/>
        <w:ind w:left="137" w:right="138"/>
        <w:jc w:val="both"/>
      </w:pPr>
      <w:r>
        <w:rPr>
          <w:spacing w:val="-2"/>
        </w:rPr>
        <w:t>对于可抵扣暂时性差异、能够结转以后年度的可抵扣亏损和税款抵减，本公司以很可能取得用来</w:t>
      </w:r>
      <w:r>
        <w:rPr>
          <w:spacing w:val="-25"/>
        </w:rPr>
        <w:t> </w:t>
      </w:r>
      <w:r>
        <w:rPr>
          <w:spacing w:val="-25"/>
        </w:rPr>
      </w:r>
      <w:r>
        <w:rPr>
          <w:spacing w:val="-2"/>
        </w:rPr>
        <w:t>抵扣可抵扣暂时性差异、可抵扣亏损和税款抵减的未来应纳税所得额为限，确认由此产生的递延</w:t>
      </w:r>
      <w:r>
        <w:rPr>
          <w:spacing w:val="-25"/>
        </w:rPr>
        <w:t> </w:t>
      </w:r>
      <w:r>
        <w:rPr>
          <w:spacing w:val="-25"/>
        </w:rPr>
      </w:r>
      <w:r>
        <w:rPr/>
        <w:t>所得税资产。</w:t>
      </w:r>
    </w:p>
    <w:p>
      <w:pPr>
        <w:pStyle w:val="BodyText"/>
        <w:spacing w:line="272" w:lineRule="exact" w:before="146"/>
        <w:ind w:left="137" w:right="138"/>
        <w:jc w:val="both"/>
      </w:pPr>
      <w:r>
        <w:rPr>
          <w:spacing w:val="-2"/>
        </w:rPr>
        <w:t>于资产负债表日，本公司对递延所得税资产和递延所得税负债，按照预期收回该资产或清偿该负</w:t>
      </w:r>
      <w:r>
        <w:rPr>
          <w:spacing w:val="-25"/>
        </w:rPr>
        <w:t> </w:t>
      </w:r>
      <w:r>
        <w:rPr>
          <w:spacing w:val="-25"/>
        </w:rPr>
      </w:r>
      <w:r>
        <w:rPr/>
        <w:t>债期间的适用税率计量，并反映资产负债表日预期收回资产或清偿负债方式的所得税影响。</w:t>
      </w:r>
    </w:p>
    <w:p>
      <w:pPr>
        <w:pStyle w:val="BodyText"/>
        <w:spacing w:line="237" w:lineRule="auto" w:before="97"/>
        <w:ind w:left="137" w:right="138"/>
        <w:jc w:val="both"/>
      </w:pPr>
      <w:r>
        <w:rPr>
          <w:spacing w:val="-2"/>
        </w:rPr>
        <w:t>于资产负债表日，本公司对递延所得税资产的账面价值进行复核。如果未来期间很可能无法获得</w:t>
      </w:r>
      <w:r>
        <w:rPr>
          <w:spacing w:val="-25"/>
        </w:rPr>
        <w:t> </w:t>
      </w:r>
      <w:r>
        <w:rPr>
          <w:spacing w:val="-25"/>
        </w:rPr>
      </w:r>
      <w:r>
        <w:rPr>
          <w:spacing w:val="-2"/>
        </w:rPr>
        <w:t>足够的应纳税所得额用以抵扣递延所得税资产的利益，减记递延所得税资产的账面价值。在很可</w:t>
      </w:r>
      <w:r>
        <w:rPr>
          <w:spacing w:val="-25"/>
        </w:rPr>
        <w:t> </w:t>
      </w:r>
      <w:r>
        <w:rPr>
          <w:spacing w:val="-25"/>
        </w:rPr>
      </w:r>
      <w:r>
        <w:rPr/>
        <w:t>能获得足够的应纳税所得额时，减记的金额予以转回。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90" w:lineRule="auto"/>
        <w:ind w:left="137" w:right="6207"/>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40" w:lineRule="auto" w:before="14"/>
        <w:ind w:left="137" w:right="0"/>
        <w:jc w:val="both"/>
      </w:pPr>
      <w:r>
        <w:rPr/>
        <w:t>√适用  □不适用</w:t>
      </w:r>
    </w:p>
    <w:p>
      <w:pPr>
        <w:pStyle w:val="BodyText"/>
        <w:spacing w:line="240" w:lineRule="auto" w:before="116"/>
        <w:ind w:left="137" w:right="138"/>
        <w:jc w:val="both"/>
      </w:pPr>
      <w:r>
        <w:rPr>
          <w:spacing w:val="-2"/>
        </w:rPr>
        <w:t>本公司将实质上转移了与资产所有权有关的全部风险和报酬的租赁确认为融资租赁，除融资租赁</w:t>
      </w:r>
      <w:r>
        <w:rPr>
          <w:spacing w:val="-25"/>
        </w:rPr>
        <w:t> </w:t>
      </w:r>
      <w:r>
        <w:rPr>
          <w:spacing w:val="-25"/>
        </w:rPr>
      </w:r>
      <w:r>
        <w:rPr/>
        <w:t>之外的其他租赁确认为经营租赁。</w:t>
      </w:r>
    </w:p>
    <w:p>
      <w:pPr>
        <w:pStyle w:val="BodyText"/>
        <w:spacing w:line="240" w:lineRule="auto" w:before="116"/>
        <w:ind w:left="137" w:right="0"/>
        <w:jc w:val="both"/>
      </w:pPr>
      <w:r>
        <w:rPr/>
        <w:t>（</w:t>
      </w:r>
      <w:r>
        <w:rPr>
          <w:rFonts w:ascii="宋体" w:hAnsi="宋体" w:cs="宋体" w:eastAsia="宋体" w:hint="default"/>
        </w:rPr>
        <w:t>1</w:t>
      </w:r>
      <w:r>
        <w:rPr/>
        <w:t>）本公司作为出租人</w:t>
      </w:r>
    </w:p>
    <w:p>
      <w:pPr>
        <w:spacing w:after="0" w:line="240"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72" w:lineRule="exact" w:before="64"/>
        <w:ind w:left="217" w:right="228"/>
        <w:jc w:val="both"/>
      </w:pPr>
      <w:r>
        <w:rPr>
          <w:spacing w:val="-6"/>
          <w:w w:val="100"/>
        </w:rPr>
        <w:t>经营租赁中的租金，本公司在租赁期内各个期间按照直线法确认当期损益。发生的初始直接费用，</w:t>
      </w:r>
      <w:r>
        <w:rPr>
          <w:w w:val="100"/>
        </w:rPr>
        <w:t> </w:t>
      </w:r>
      <w:r>
        <w:rPr/>
        <w:t>计入当期损益。</w:t>
      </w:r>
    </w:p>
    <w:p>
      <w:pPr>
        <w:pStyle w:val="BodyText"/>
        <w:spacing w:line="240" w:lineRule="auto" w:before="94"/>
        <w:ind w:left="217" w:right="0"/>
        <w:jc w:val="both"/>
      </w:pPr>
      <w:r>
        <w:rPr/>
        <w:t>（</w:t>
      </w:r>
      <w:r>
        <w:rPr>
          <w:rFonts w:ascii="宋体" w:hAnsi="宋体" w:cs="宋体" w:eastAsia="宋体" w:hint="default"/>
        </w:rPr>
        <w:t>2</w:t>
      </w:r>
      <w:r>
        <w:rPr/>
        <w:t>）本公司作为承租人</w:t>
      </w:r>
    </w:p>
    <w:p>
      <w:pPr>
        <w:pStyle w:val="BodyText"/>
        <w:spacing w:line="240" w:lineRule="auto" w:before="116"/>
        <w:ind w:left="217" w:right="238"/>
        <w:jc w:val="both"/>
      </w:pPr>
      <w:r>
        <w:rPr>
          <w:spacing w:val="-2"/>
        </w:rPr>
        <w:t>经营租赁中的租金，本公司在租赁期内各个期间按照直线法计入相关资产成本或当期损益；发生</w:t>
      </w:r>
      <w:r>
        <w:rPr>
          <w:spacing w:val="-25"/>
        </w:rPr>
        <w:t> </w:t>
      </w:r>
      <w:r>
        <w:rPr>
          <w:spacing w:val="-25"/>
        </w:rPr>
      </w:r>
      <w:r>
        <w:rPr/>
        <w:t>的初始直接费用，计入当期损益。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ind w:left="217"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240" w:lineRule="auto" w:before="56"/>
        <w:ind w:left="217"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217" w:right="0"/>
        <w:jc w:val="both"/>
        <w:rPr>
          <w:b w:val="0"/>
          <w:bCs w:val="0"/>
        </w:rPr>
      </w:pPr>
      <w:r>
        <w:rPr>
          <w:rFonts w:ascii="宋体" w:hAnsi="宋体" w:cs="宋体" w:eastAsia="宋体" w:hint="default"/>
        </w:rPr>
        <w:t>32. </w:t>
      </w:r>
      <w:r>
        <w:rPr/>
        <w:t>其他重要的会计政策和会计估计</w:t>
      </w:r>
      <w:r>
        <w:rPr>
          <w:b w:val="0"/>
          <w:bCs w:val="0"/>
        </w:rPr>
      </w:r>
    </w:p>
    <w:p>
      <w:pPr>
        <w:pStyle w:val="BodyText"/>
        <w:spacing w:line="240" w:lineRule="auto" w:before="59"/>
        <w:ind w:left="217" w:right="0"/>
        <w:jc w:val="both"/>
      </w:pPr>
      <w:r>
        <w:rPr/>
        <w:t>√适用  □不适用</w:t>
      </w:r>
    </w:p>
    <w:p>
      <w:pPr>
        <w:pStyle w:val="BodyText"/>
        <w:spacing w:line="240" w:lineRule="auto" w:before="116"/>
        <w:ind w:left="217" w:right="0"/>
        <w:jc w:val="both"/>
      </w:pPr>
      <w:r>
        <w:rPr/>
        <w:t>（</w:t>
      </w:r>
      <w:r>
        <w:rPr>
          <w:rFonts w:ascii="宋体" w:hAnsi="宋体" w:cs="宋体" w:eastAsia="宋体" w:hint="default"/>
        </w:rPr>
        <w:t>1</w:t>
      </w:r>
      <w:r>
        <w:rPr/>
        <w:t>）回购股份</w:t>
      </w:r>
    </w:p>
    <w:p>
      <w:pPr>
        <w:pStyle w:val="BodyText"/>
        <w:spacing w:line="237" w:lineRule="auto" w:before="121"/>
        <w:ind w:left="217" w:right="228"/>
        <w:jc w:val="both"/>
      </w:pPr>
      <w:r>
        <w:rPr>
          <w:spacing w:val="-6"/>
          <w:w w:val="100"/>
        </w:rPr>
        <w:t>本公司回购的股份在注销或者转让之前，作为库存股管理，回购股份的全部支出转作库存股成本。</w:t>
      </w:r>
      <w:r>
        <w:rPr>
          <w:w w:val="100"/>
        </w:rPr>
        <w:t> </w:t>
      </w:r>
      <w:r>
        <w:rPr>
          <w:spacing w:val="-2"/>
        </w:rPr>
        <w:t>股份回购中支付的对价和交易费用减少所有者权益，回购、转让或注销本公司股份时，不确认利</w:t>
      </w:r>
      <w:r>
        <w:rPr>
          <w:spacing w:val="-25"/>
        </w:rPr>
        <w:t> </w:t>
      </w:r>
      <w:r>
        <w:rPr>
          <w:spacing w:val="-25"/>
        </w:rPr>
      </w:r>
      <w:r>
        <w:rPr/>
        <w:t>得或损失。</w:t>
      </w:r>
    </w:p>
    <w:p>
      <w:pPr>
        <w:pStyle w:val="BodyText"/>
        <w:spacing w:line="237" w:lineRule="auto" w:before="119"/>
        <w:ind w:left="217" w:right="228"/>
        <w:jc w:val="both"/>
      </w:pPr>
      <w:r>
        <w:rPr>
          <w:spacing w:val="-6"/>
        </w:rPr>
        <w:t>转让库存股，按实际收到的金额与库存股账面金额的差额，计入资本公积，资本公积不足冲减的，</w:t>
      </w:r>
      <w:r>
        <w:rPr>
          <w:spacing w:val="-54"/>
        </w:rPr>
        <w:t> </w:t>
      </w:r>
      <w:r>
        <w:rPr>
          <w:spacing w:val="-54"/>
        </w:rPr>
      </w:r>
      <w:r>
        <w:rPr>
          <w:spacing w:val="-2"/>
        </w:rPr>
        <w:t>冲减盈余公积和未分配利润。注销库存股，按股票面值和注销股数减少股本，按注销库存股的账</w:t>
      </w:r>
      <w:r>
        <w:rPr>
          <w:spacing w:val="-25"/>
        </w:rPr>
        <w:t> </w:t>
      </w:r>
      <w:r>
        <w:rPr>
          <w:spacing w:val="-25"/>
        </w:rPr>
      </w:r>
      <w:r>
        <w:rPr/>
        <w:t>面余额与面值的差额，冲减资本公积，资本公积不足冲减的，冲减盈余公积和未分配利润。</w:t>
      </w:r>
    </w:p>
    <w:p>
      <w:pPr>
        <w:pStyle w:val="BodyText"/>
        <w:spacing w:line="240" w:lineRule="auto" w:before="119"/>
        <w:ind w:left="217" w:right="0"/>
        <w:jc w:val="both"/>
      </w:pPr>
      <w:r>
        <w:rPr/>
        <w:t>（</w:t>
      </w:r>
      <w:r>
        <w:rPr>
          <w:rFonts w:ascii="宋体" w:hAnsi="宋体" w:cs="宋体" w:eastAsia="宋体" w:hint="default"/>
        </w:rPr>
        <w:t>2</w:t>
      </w:r>
      <w:r>
        <w:rPr/>
        <w:t>）限制性股票</w:t>
      </w:r>
    </w:p>
    <w:p>
      <w:pPr>
        <w:pStyle w:val="BodyText"/>
        <w:spacing w:line="237" w:lineRule="auto" w:before="119"/>
        <w:ind w:left="217" w:right="238"/>
        <w:jc w:val="both"/>
      </w:pPr>
      <w:r>
        <w:rPr>
          <w:spacing w:val="-2"/>
        </w:rPr>
        <w:t>股权激励计划中，本公司授予被激励对象限制性股票，被激励对象先认购股票，如果后续未达到</w:t>
      </w:r>
      <w:r>
        <w:rPr>
          <w:spacing w:val="-26"/>
        </w:rPr>
        <w:t> </w:t>
      </w:r>
      <w:r>
        <w:rPr>
          <w:spacing w:val="-26"/>
        </w:rPr>
      </w:r>
      <w:r>
        <w:rPr>
          <w:spacing w:val="-2"/>
        </w:rPr>
        <w:t>股权激励计划规定的解锁条件，则本公司按照事先约定的价格回购股票。向职工发行的限制性股</w:t>
      </w:r>
      <w:r>
        <w:rPr>
          <w:spacing w:val="-25"/>
        </w:rPr>
        <w:t> </w:t>
      </w:r>
      <w:r>
        <w:rPr>
          <w:spacing w:val="-25"/>
        </w:rPr>
      </w:r>
      <w:r>
        <w:rPr>
          <w:spacing w:val="-2"/>
        </w:rPr>
        <w:t>票按有关规定履行了注册登记等增资手续的，在授予日，本公司根据收到的职工缴纳的认股款确</w:t>
      </w:r>
      <w:r>
        <w:rPr>
          <w:spacing w:val="-25"/>
        </w:rPr>
        <w:t> </w:t>
      </w:r>
      <w:r>
        <w:rPr>
          <w:spacing w:val="-25"/>
        </w:rPr>
      </w:r>
      <w:r>
        <w:rPr/>
        <w:t>认股本和资本公积（股本溢价）；同时就回购义务确认库存股和其他应付款。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90" w:lineRule="auto"/>
        <w:ind w:left="217" w:right="5675"/>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left="217" w:right="0"/>
        <w:jc w:val="both"/>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55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137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根据财政部《关于修订印发</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年度一般企业财务报表</w:t>
            </w:r>
            <w:r>
              <w:rPr>
                <w:rFonts w:ascii="宋体" w:hAnsi="宋体" w:cs="宋体" w:eastAsia="宋体" w:hint="default"/>
                <w:w w:val="100"/>
                <w:sz w:val="21"/>
                <w:szCs w:val="21"/>
              </w:rPr>
              <w:t> </w:t>
            </w:r>
            <w:r>
              <w:rPr>
                <w:rFonts w:ascii="宋体" w:hAnsi="宋体" w:cs="宋体" w:eastAsia="宋体" w:hint="default"/>
                <w:spacing w:val="-8"/>
                <w:w w:val="100"/>
                <w:sz w:val="21"/>
                <w:szCs w:val="21"/>
              </w:rPr>
              <w:t>格式的通知》（财会</w:t>
            </w:r>
            <w:r>
              <w:rPr>
                <w:rFonts w:ascii="宋体" w:hAnsi="宋体" w:cs="宋体" w:eastAsia="宋体" w:hint="default"/>
                <w:spacing w:val="-8"/>
                <w:w w:val="100"/>
                <w:sz w:val="21"/>
                <w:szCs w:val="21"/>
              </w:rPr>
              <w:t>[2018]15</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16"/>
                <w:w w:val="100"/>
                <w:sz w:val="21"/>
                <w:szCs w:val="21"/>
              </w:rPr>
              <w:t>号），本公司对财务报表格式进</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8"/>
                <w:sz w:val="21"/>
                <w:szCs w:val="21"/>
              </w:rPr>
              <w:t>行修订，详细见“其他说明”。</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董事会第十六次会议决议通过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财务报表格式的修订对本公司</w:t>
            </w:r>
          </w:p>
          <w:p>
            <w:pPr>
              <w:pStyle w:val="TableParagraph"/>
              <w:spacing w:line="237" w:lineRule="auto"/>
              <w:ind w:left="100" w:right="192"/>
              <w:jc w:val="both"/>
              <w:rPr>
                <w:rFonts w:ascii="宋体" w:hAnsi="宋体" w:cs="宋体" w:eastAsia="宋体" w:hint="default"/>
                <w:sz w:val="21"/>
                <w:szCs w:val="21"/>
              </w:rPr>
            </w:pPr>
            <w:r>
              <w:rPr>
                <w:rFonts w:ascii="宋体" w:hAnsi="宋体" w:cs="宋体" w:eastAsia="宋体" w:hint="default"/>
                <w:spacing w:val="-2"/>
                <w:sz w:val="21"/>
                <w:szCs w:val="21"/>
              </w:rPr>
              <w:t>的资产总额、负债总额、净利</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润、其他综合收益等无影响，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详细见“其他说明”。</w:t>
            </w:r>
          </w:p>
        </w:tc>
      </w:tr>
    </w:tbl>
    <w:p>
      <w:pPr>
        <w:pStyle w:val="BodyText"/>
        <w:spacing w:line="241" w:lineRule="exact"/>
        <w:ind w:left="217" w:right="227"/>
        <w:jc w:val="left"/>
      </w:pPr>
      <w:r>
        <w:rPr/>
        <w:t>其他说明</w:t>
      </w:r>
    </w:p>
    <w:p>
      <w:pPr>
        <w:pStyle w:val="BodyText"/>
        <w:spacing w:line="272" w:lineRule="exact" w:before="146"/>
        <w:ind w:left="217" w:right="294"/>
        <w:jc w:val="left"/>
      </w:pPr>
      <w:r>
        <w:rPr/>
        <w:t>根据财政部《关于修订印发</w:t>
      </w:r>
      <w:r>
        <w:rPr>
          <w:spacing w:val="-57"/>
        </w:rPr>
        <w:t> </w:t>
      </w:r>
      <w:r>
        <w:rPr>
          <w:rFonts w:ascii="宋体" w:hAnsi="宋体" w:cs="宋体" w:eastAsia="宋体" w:hint="default"/>
        </w:rPr>
        <w:t>2018</w:t>
      </w:r>
      <w:r>
        <w:rPr>
          <w:rFonts w:ascii="宋体" w:hAnsi="宋体" w:cs="宋体" w:eastAsia="宋体" w:hint="default"/>
          <w:spacing w:val="-57"/>
        </w:rPr>
        <w:t> </w:t>
      </w:r>
      <w:r>
        <w:rPr/>
        <w:t>年度一般企业财务报表格式的通知》（财会</w:t>
      </w:r>
      <w:r>
        <w:rPr>
          <w:rFonts w:ascii="宋体" w:hAnsi="宋体" w:cs="宋体" w:eastAsia="宋体" w:hint="default"/>
        </w:rPr>
        <w:t>[2018]15</w:t>
      </w:r>
      <w:r>
        <w:rPr>
          <w:rFonts w:ascii="宋体" w:hAnsi="宋体" w:cs="宋体" w:eastAsia="宋体" w:hint="default"/>
          <w:spacing w:val="-56"/>
        </w:rPr>
        <w:t> </w:t>
      </w:r>
      <w:r>
        <w:rPr/>
        <w:t>号），经</w:t>
      </w:r>
      <w:r>
        <w:rPr>
          <w:w w:val="100"/>
        </w:rPr>
        <w:t> </w:t>
      </w:r>
      <w:r>
        <w:rPr/>
        <w:t>董事会第十六次会议决议通过，本公司对财务报表格式进行了以下修订：</w:t>
      </w:r>
    </w:p>
    <w:p>
      <w:pPr>
        <w:pStyle w:val="BodyText"/>
        <w:spacing w:line="343" w:lineRule="auto" w:before="94"/>
        <w:ind w:left="217" w:right="2096"/>
        <w:jc w:val="left"/>
      </w:pPr>
      <w:r>
        <w:rPr>
          <w:rFonts w:ascii="宋体" w:hAnsi="宋体" w:cs="宋体" w:eastAsia="宋体" w:hint="default"/>
        </w:rPr>
        <w:t>A</w:t>
      </w:r>
      <w:r>
        <w:rPr/>
        <w:t>、资产负债表</w:t>
      </w:r>
      <w:r>
        <w:rPr>
          <w:w w:val="100"/>
        </w:rPr>
        <w:t> </w:t>
      </w:r>
      <w:r>
        <w:rPr>
          <w:spacing w:val="-2"/>
        </w:rPr>
        <w:t>将原“应收票据”及“应收账款”行项目整合为“应收票据及应收账款”；</w:t>
      </w:r>
      <w:r>
        <w:rPr>
          <w:spacing w:val="-42"/>
        </w:rPr>
        <w:t> </w:t>
      </w:r>
      <w:r>
        <w:rPr>
          <w:spacing w:val="-42"/>
        </w:rPr>
      </w:r>
      <w:r>
        <w:rPr/>
        <w:t>将原“应收利息”及“应收股利”行项目归并至“其他应收款”；</w:t>
      </w:r>
      <w:r>
        <w:rPr>
          <w:w w:val="100"/>
        </w:rPr>
        <w:t> </w:t>
      </w:r>
      <w:r>
        <w:rPr/>
        <w:t>将原“固定资产清理”行项目归并至“固定资产”；</w:t>
      </w:r>
    </w:p>
    <w:p>
      <w:pPr>
        <w:spacing w:after="0" w:line="343"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43" w:lineRule="auto" w:before="36"/>
        <w:ind w:left="217" w:right="227"/>
        <w:jc w:val="left"/>
      </w:pPr>
      <w:r>
        <w:rPr/>
        <w:t>将原“工程物资”行项目归并至“在建工程”；</w:t>
      </w:r>
      <w:r>
        <w:rPr>
          <w:w w:val="100"/>
        </w:rPr>
        <w:t> </w:t>
      </w:r>
      <w:r>
        <w:rPr>
          <w:spacing w:val="-2"/>
        </w:rPr>
        <w:t>将原“应付票据”及“应付账款”行项目整合为“应付票据及应付账款”项目；</w:t>
      </w:r>
      <w:r>
        <w:rPr>
          <w:spacing w:val="-38"/>
        </w:rPr>
        <w:t> </w:t>
      </w:r>
      <w:r>
        <w:rPr>
          <w:spacing w:val="-38"/>
        </w:rPr>
      </w:r>
      <w:r>
        <w:rPr/>
        <w:t>将原“应付利息”及“应付股利”行项目归并至“其他应付款”；</w:t>
      </w:r>
      <w:r>
        <w:rPr>
          <w:w w:val="100"/>
        </w:rPr>
        <w:t> </w:t>
      </w:r>
      <w:r>
        <w:rPr/>
        <w:t>将原“专项应付款”行项目归并至“长期应付款”。</w:t>
      </w:r>
    </w:p>
    <w:p>
      <w:pPr>
        <w:pStyle w:val="BodyText"/>
        <w:spacing w:line="340" w:lineRule="auto" w:before="28"/>
        <w:ind w:left="217" w:right="4688"/>
        <w:jc w:val="left"/>
      </w:pPr>
      <w:r>
        <w:rPr>
          <w:rFonts w:ascii="宋体" w:hAnsi="宋体" w:cs="宋体" w:eastAsia="宋体" w:hint="default"/>
        </w:rPr>
        <w:t>B</w:t>
      </w:r>
      <w:r>
        <w:rPr/>
        <w:t>、利润表</w:t>
      </w:r>
      <w:r>
        <w:rPr>
          <w:spacing w:val="-103"/>
        </w:rPr>
        <w:t> </w:t>
      </w:r>
      <w:r>
        <w:rPr>
          <w:spacing w:val="-103"/>
        </w:rPr>
      </w:r>
      <w:r>
        <w:rPr>
          <w:spacing w:val="-2"/>
        </w:rPr>
        <w:t>从原“管理费用”中分拆出“研发费用”；</w:t>
      </w:r>
    </w:p>
    <w:p>
      <w:pPr>
        <w:pStyle w:val="BodyText"/>
        <w:spacing w:line="340" w:lineRule="auto" w:before="30"/>
        <w:ind w:left="217" w:right="2096"/>
        <w:jc w:val="left"/>
      </w:pPr>
      <w:r>
        <w:rPr>
          <w:spacing w:val="-2"/>
        </w:rPr>
        <w:t>在“财务费用”行项目下分别列示“利息费用”和“利息收入”明细项目；</w:t>
      </w:r>
      <w:r>
        <w:rPr>
          <w:spacing w:val="-42"/>
        </w:rPr>
        <w:t> </w:t>
      </w:r>
      <w:r>
        <w:rPr>
          <w:spacing w:val="-42"/>
        </w:rPr>
      </w:r>
      <w:r>
        <w:rPr>
          <w:rFonts w:ascii="宋体" w:hAnsi="宋体" w:cs="宋体" w:eastAsia="宋体" w:hint="default"/>
        </w:rPr>
        <w:t>C</w:t>
      </w:r>
      <w:r>
        <w:rPr/>
        <w:t>、股东权益变动表</w:t>
      </w:r>
    </w:p>
    <w:p>
      <w:pPr>
        <w:pStyle w:val="BodyText"/>
        <w:spacing w:line="272" w:lineRule="exact" w:before="58"/>
        <w:ind w:left="217" w:right="227"/>
        <w:jc w:val="left"/>
      </w:pPr>
      <w:r>
        <w:rPr>
          <w:spacing w:val="-2"/>
        </w:rPr>
        <w:t>在“股东权益内部结转”行项目下，将原“结转重新计量设定受益计划净负债或净资产所产生的</w:t>
      </w:r>
      <w:r>
        <w:rPr>
          <w:spacing w:val="-25"/>
        </w:rPr>
        <w:t> </w:t>
      </w:r>
      <w:r>
        <w:rPr>
          <w:spacing w:val="-25"/>
        </w:rPr>
      </w:r>
      <w:r>
        <w:rPr/>
        <w:t>变动”改为“设定受益计划变动额结转留存收益”。</w:t>
      </w:r>
    </w:p>
    <w:p>
      <w:pPr>
        <w:pStyle w:val="BodyText"/>
        <w:spacing w:line="340" w:lineRule="auto" w:before="94"/>
        <w:ind w:left="217" w:right="227"/>
        <w:jc w:val="left"/>
      </w:pPr>
      <w:r>
        <w:rPr/>
        <w:t>本公司对可比期间的比较数据按照财会</w:t>
      </w:r>
      <w:r>
        <w:rPr>
          <w:rFonts w:ascii="宋体" w:hAnsi="宋体" w:cs="宋体" w:eastAsia="宋体" w:hint="default"/>
        </w:rPr>
        <w:t>[2018]15</w:t>
      </w:r>
      <w:r>
        <w:rPr>
          <w:rFonts w:ascii="宋体" w:hAnsi="宋体" w:cs="宋体" w:eastAsia="宋体" w:hint="default"/>
          <w:spacing w:val="-56"/>
        </w:rPr>
        <w:t> </w:t>
      </w:r>
      <w:r>
        <w:rPr/>
        <w:t>号文进行调整。</w:t>
      </w:r>
      <w:r>
        <w:rPr>
          <w:w w:val="100"/>
        </w:rPr>
        <w:t> </w:t>
      </w:r>
      <w:r>
        <w:rPr>
          <w:spacing w:val="-2"/>
        </w:rPr>
        <w:t>财务报表格式的修订对本公司的资产总额、负债总额、净利润、其他综合收益等无影响。</w:t>
      </w:r>
    </w:p>
    <w:p>
      <w:pPr>
        <w:spacing w:line="240" w:lineRule="auto" w:before="8"/>
        <w:rPr>
          <w:rFonts w:ascii="宋体" w:hAnsi="宋体" w:cs="宋体" w:eastAsia="宋体" w:hint="default"/>
          <w:sz w:val="27"/>
          <w:szCs w:val="27"/>
        </w:rPr>
      </w:pPr>
    </w:p>
    <w:p>
      <w:pPr>
        <w:pStyle w:val="Heading4"/>
        <w:spacing w:line="240" w:lineRule="auto"/>
        <w:ind w:left="217" w:right="227"/>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7" w:right="227"/>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17" w:right="227"/>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59" w:val="left" w:leader="none"/>
        </w:tabs>
        <w:spacing w:line="240" w:lineRule="auto" w:before="56"/>
        <w:ind w:left="217" w:right="22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217" w:right="227"/>
        <w:jc w:val="left"/>
        <w:rPr>
          <w:b w:val="0"/>
          <w:bCs w:val="0"/>
        </w:rPr>
      </w:pPr>
      <w:r>
        <w:rPr/>
        <w:t>六、税项</w:t>
      </w:r>
      <w:r>
        <w:rPr>
          <w:b w:val="0"/>
          <w:bCs w:val="0"/>
        </w:rPr>
      </w:r>
    </w:p>
    <w:p>
      <w:pPr>
        <w:tabs>
          <w:tab w:pos="641" w:val="left" w:leader="none"/>
        </w:tabs>
        <w:spacing w:line="290" w:lineRule="auto" w:before="58"/>
        <w:ind w:left="21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left="217" w:right="227"/>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6</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1</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10</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3</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1.5</w:t>
            </w:r>
          </w:p>
        </w:tc>
      </w:tr>
    </w:tbl>
    <w:p>
      <w:pPr>
        <w:spacing w:line="240" w:lineRule="auto" w:before="5"/>
        <w:rPr>
          <w:rFonts w:ascii="宋体" w:hAnsi="宋体" w:cs="宋体" w:eastAsia="宋体" w:hint="default"/>
          <w:sz w:val="15"/>
          <w:szCs w:val="15"/>
        </w:rPr>
      </w:pPr>
    </w:p>
    <w:p>
      <w:pPr>
        <w:pStyle w:val="BodyText"/>
        <w:spacing w:line="274" w:lineRule="exact" w:before="36"/>
        <w:ind w:left="217" w:right="227"/>
        <w:jc w:val="left"/>
      </w:pPr>
      <w:r>
        <w:rPr/>
        <w:t>存在不同企业所得税税率纳税主体的，披露情况说明</w:t>
      </w:r>
    </w:p>
    <w:p>
      <w:pPr>
        <w:pStyle w:val="BodyText"/>
        <w:spacing w:line="274" w:lineRule="exact"/>
        <w:ind w:left="217" w:right="227"/>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福建顶点软件股份有限公司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福州顶点数码科技有限公司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北京顶点时代软件技术有限公司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福州顶点信息管理有限公司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上海顶点软件有限公司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上海亿维航软件有限公司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25</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before="36"/>
        <w:ind w:left="237" w:right="0"/>
        <w:jc w:val="both"/>
        <w:rPr>
          <w:b w:val="0"/>
          <w:bCs w:val="0"/>
        </w:rPr>
      </w:pPr>
      <w:r>
        <w:rPr>
          <w:rFonts w:ascii="宋体" w:hAnsi="宋体" w:cs="宋体" w:eastAsia="宋体" w:hint="default"/>
        </w:rPr>
        <w:t>2. </w:t>
      </w:r>
      <w:r>
        <w:rPr>
          <w:rFonts w:ascii="宋体" w:hAnsi="宋体" w:cs="宋体" w:eastAsia="宋体" w:hint="default"/>
          <w:spacing w:val="2"/>
        </w:rPr>
        <w:t> </w:t>
      </w:r>
      <w:r>
        <w:rPr/>
        <w:t>税收优惠</w:t>
      </w:r>
      <w:r>
        <w:rPr>
          <w:b w:val="0"/>
          <w:bCs w:val="0"/>
        </w:rPr>
      </w:r>
    </w:p>
    <w:p>
      <w:pPr>
        <w:pStyle w:val="BodyText"/>
        <w:spacing w:line="240" w:lineRule="auto" w:before="56"/>
        <w:ind w:left="237" w:right="0"/>
        <w:jc w:val="both"/>
      </w:pPr>
      <w:r>
        <w:rPr/>
        <w:t>√适用  □不适用</w:t>
      </w:r>
    </w:p>
    <w:p>
      <w:pPr>
        <w:pStyle w:val="BodyText"/>
        <w:spacing w:line="240" w:lineRule="auto" w:before="118"/>
        <w:ind w:left="237" w:right="0"/>
        <w:jc w:val="both"/>
      </w:pPr>
      <w:r>
        <w:rPr/>
        <w:t>（</w:t>
      </w:r>
      <w:r>
        <w:rPr>
          <w:rFonts w:ascii="宋体" w:hAnsi="宋体" w:cs="宋体" w:eastAsia="宋体" w:hint="default"/>
        </w:rPr>
        <w:t>1</w:t>
      </w:r>
      <w:r>
        <w:rPr/>
        <w:t>）增值税</w:t>
      </w:r>
    </w:p>
    <w:p>
      <w:pPr>
        <w:pStyle w:val="BodyText"/>
        <w:spacing w:line="237" w:lineRule="auto" w:before="119"/>
        <w:ind w:left="237" w:right="240"/>
        <w:jc w:val="both"/>
      </w:pPr>
      <w:r>
        <w:rPr/>
        <w:t>根据《财政部、国家税务总局关于软件产品增值税政策的通知》（财税</w:t>
      </w:r>
      <w:r>
        <w:rPr>
          <w:rFonts w:ascii="宋体" w:hAnsi="宋体" w:cs="宋体" w:eastAsia="宋体" w:hint="default"/>
        </w:rPr>
        <w:t>[2011]100</w:t>
      </w:r>
      <w:r>
        <w:rPr>
          <w:rFonts w:ascii="宋体" w:hAnsi="宋体" w:cs="宋体" w:eastAsia="宋体" w:hint="default"/>
          <w:spacing w:val="-57"/>
        </w:rPr>
        <w:t> </w:t>
      </w:r>
      <w:r>
        <w:rPr/>
        <w:t>号），增值税</w:t>
      </w:r>
      <w:r>
        <w:rPr>
          <w:w w:val="100"/>
        </w:rPr>
        <w:t> </w:t>
      </w:r>
      <w:r>
        <w:rPr/>
        <w:t>一般纳税人销售其自行开发生产的软件产品，按</w:t>
      </w:r>
      <w:r>
        <w:rPr>
          <w:spacing w:val="-56"/>
        </w:rPr>
        <w:t> </w:t>
      </w:r>
      <w:r>
        <w:rPr>
          <w:rFonts w:ascii="宋体" w:hAnsi="宋体" w:cs="宋体" w:eastAsia="宋体" w:hint="default"/>
        </w:rPr>
        <w:t>16%</w:t>
      </w:r>
      <w:r>
        <w:rPr/>
        <w:t>或</w:t>
      </w:r>
      <w:r>
        <w:rPr>
          <w:spacing w:val="-56"/>
        </w:rPr>
        <w:t> </w:t>
      </w:r>
      <w:r>
        <w:rPr>
          <w:rFonts w:ascii="宋体" w:hAnsi="宋体" w:cs="宋体" w:eastAsia="宋体" w:hint="default"/>
        </w:rPr>
        <w:t>17</w:t>
      </w:r>
      <w:r>
        <w:rPr/>
        <w:t>％税率征收增值税后，对其增值税实际</w:t>
      </w:r>
      <w:r>
        <w:rPr>
          <w:w w:val="100"/>
        </w:rPr>
        <w:t> </w:t>
      </w:r>
      <w:r>
        <w:rPr/>
        <w:t>税负超过</w:t>
      </w:r>
      <w:r>
        <w:rPr>
          <w:spacing w:val="-53"/>
        </w:rPr>
        <w:t> </w:t>
      </w:r>
      <w:r>
        <w:rPr>
          <w:rFonts w:ascii="宋体" w:hAnsi="宋体" w:cs="宋体" w:eastAsia="宋体" w:hint="default"/>
        </w:rPr>
        <w:t>3</w:t>
      </w:r>
      <w:r>
        <w:rPr/>
        <w:t>％的部分实行即征即退政策。</w:t>
      </w:r>
    </w:p>
    <w:p>
      <w:pPr>
        <w:pStyle w:val="BodyText"/>
        <w:spacing w:line="240" w:lineRule="auto" w:before="119"/>
        <w:ind w:left="237" w:right="0"/>
        <w:jc w:val="both"/>
      </w:pPr>
      <w:r>
        <w:rPr/>
        <w:t>（</w:t>
      </w:r>
      <w:r>
        <w:rPr>
          <w:rFonts w:ascii="宋体" w:hAnsi="宋体" w:cs="宋体" w:eastAsia="宋体" w:hint="default"/>
        </w:rPr>
        <w:t>2</w:t>
      </w:r>
      <w:r>
        <w:rPr/>
        <w:t>）企业所得税</w:t>
      </w:r>
    </w:p>
    <w:p>
      <w:pPr>
        <w:pStyle w:val="BodyText"/>
        <w:spacing w:line="240" w:lineRule="auto" w:before="116"/>
        <w:ind w:left="237" w:right="0"/>
        <w:jc w:val="both"/>
      </w:pPr>
      <w:r>
        <w:rPr/>
        <w:t>①高新技术企业所得税优惠</w:t>
      </w:r>
    </w:p>
    <w:p>
      <w:pPr>
        <w:pStyle w:val="BodyText"/>
        <w:spacing w:line="237" w:lineRule="auto" w:before="121"/>
        <w:ind w:left="237" w:right="228"/>
        <w:jc w:val="both"/>
      </w:pPr>
      <w:r>
        <w:rPr>
          <w:spacing w:val="-2"/>
        </w:rPr>
        <w:t>本公司及其全资子公司顶点数码公司、北京顶点公司、武汉顶点公司、控股子公司顶点信息公司</w:t>
      </w:r>
      <w:r>
        <w:rPr>
          <w:spacing w:val="-25"/>
        </w:rPr>
        <w:t> </w:t>
      </w:r>
      <w:r>
        <w:rPr>
          <w:spacing w:val="-25"/>
        </w:rPr>
      </w:r>
      <w:r>
        <w:rPr/>
        <w:t>均取得高新技术企业证书，</w:t>
      </w:r>
      <w:r>
        <w:rPr>
          <w:spacing w:val="-39"/>
        </w:rPr>
        <w:t> </w:t>
      </w:r>
      <w:r>
        <w:rPr>
          <w:rFonts w:ascii="宋体" w:hAnsi="宋体" w:cs="宋体" w:eastAsia="宋体" w:hint="default"/>
        </w:rPr>
        <w:t>2018</w:t>
      </w:r>
      <w:r>
        <w:rPr>
          <w:rFonts w:ascii="宋体" w:hAnsi="宋体" w:cs="宋体" w:eastAsia="宋体" w:hint="default"/>
          <w:spacing w:val="-50"/>
        </w:rPr>
        <w:t> </w:t>
      </w:r>
      <w:r>
        <w:rPr/>
        <w:t>年度可享受高新技术企业</w:t>
      </w:r>
      <w:r>
        <w:rPr>
          <w:spacing w:val="-48"/>
        </w:rPr>
        <w:t> </w:t>
      </w:r>
      <w:r>
        <w:rPr>
          <w:rFonts w:ascii="宋体" w:hAnsi="宋体" w:cs="宋体" w:eastAsia="宋体" w:hint="default"/>
          <w:spacing w:val="-4"/>
        </w:rPr>
        <w:t>15%</w:t>
      </w:r>
      <w:r>
        <w:rPr>
          <w:spacing w:val="-4"/>
        </w:rPr>
        <w:t>的企业所得税优惠税率。证书相关</w:t>
      </w:r>
      <w:r>
        <w:rPr>
          <w:spacing w:val="-103"/>
        </w:rPr>
        <w:t> </w:t>
      </w:r>
      <w:r>
        <w:rPr>
          <w:spacing w:val="-103"/>
        </w:rPr>
      </w:r>
      <w:r>
        <w:rPr/>
        <w:t>信息如下：</w:t>
      </w:r>
    </w:p>
    <w:p>
      <w:pPr>
        <w:spacing w:line="240" w:lineRule="auto" w:before="7"/>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3229"/>
        <w:gridCol w:w="2804"/>
        <w:gridCol w:w="3017"/>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高新技术企业证书编号</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证书有效期</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福建顶点软件股份有限公司</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GR201735000556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2017.11.30-2020.11.30</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福州顶点数码科技有限公司</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GR201735000513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2017.11.30-2020.11.30</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北京顶点时代软件技术有限公司</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GR201711004300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2017.10.25-2020.10.25</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福州顶点信息管理有限公司</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GR201735000089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2017.10.23-2020.10.23</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武汉顶点软件有限公司</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GR201642001287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2016.12.13-2019.12.13</w:t>
            </w:r>
          </w:p>
        </w:tc>
      </w:tr>
    </w:tbl>
    <w:p>
      <w:pPr>
        <w:pStyle w:val="BodyText"/>
        <w:spacing w:line="240" w:lineRule="auto" w:before="86"/>
        <w:ind w:left="237" w:right="0"/>
        <w:jc w:val="both"/>
      </w:pPr>
      <w:r>
        <w:rPr/>
        <w:t>②软件企业所得税优惠</w:t>
      </w:r>
    </w:p>
    <w:p>
      <w:pPr>
        <w:pStyle w:val="BodyText"/>
        <w:spacing w:line="237" w:lineRule="auto" w:before="121"/>
        <w:ind w:left="237" w:right="228"/>
        <w:jc w:val="both"/>
      </w:pPr>
      <w:r>
        <w:rPr>
          <w:spacing w:val="-3"/>
        </w:rPr>
        <w:t>根据《国务院关于取消和调整一批行政审批项目等事项的决定》（国发〔</w:t>
      </w:r>
      <w:r>
        <w:rPr>
          <w:rFonts w:ascii="宋体" w:hAnsi="宋体" w:cs="宋体" w:eastAsia="宋体" w:hint="default"/>
          <w:spacing w:val="-3"/>
        </w:rPr>
        <w:t>2015</w:t>
      </w:r>
      <w:r>
        <w:rPr>
          <w:spacing w:val="-3"/>
        </w:rPr>
        <w:t>〕</w:t>
      </w:r>
      <w:r>
        <w:rPr>
          <w:rFonts w:ascii="宋体" w:hAnsi="宋体" w:cs="宋体" w:eastAsia="宋体" w:hint="default"/>
          <w:spacing w:val="-3"/>
        </w:rPr>
        <w:t>11 </w:t>
      </w:r>
      <w:r>
        <w:rPr>
          <w:spacing w:val="-4"/>
        </w:rPr>
        <w:t>号）及《国务</w:t>
      </w:r>
      <w:r>
        <w:rPr>
          <w:spacing w:val="-67"/>
        </w:rPr>
        <w:t> </w:t>
      </w:r>
      <w:r>
        <w:rPr>
          <w:spacing w:val="-67"/>
        </w:rPr>
      </w:r>
      <w:r>
        <w:rPr>
          <w:spacing w:val="-3"/>
        </w:rPr>
        <w:t>院关于取消非行政许可审批事项的决定》（国发〔</w:t>
      </w:r>
      <w:r>
        <w:rPr>
          <w:rFonts w:ascii="宋体" w:hAnsi="宋体" w:cs="宋体" w:eastAsia="宋体" w:hint="default"/>
          <w:spacing w:val="-3"/>
        </w:rPr>
        <w:t>2015</w:t>
      </w:r>
      <w:r>
        <w:rPr>
          <w:spacing w:val="-3"/>
        </w:rPr>
        <w:t>〕</w:t>
      </w:r>
      <w:r>
        <w:rPr>
          <w:rFonts w:ascii="宋体" w:hAnsi="宋体" w:cs="宋体" w:eastAsia="宋体" w:hint="default"/>
          <w:spacing w:val="-3"/>
        </w:rPr>
        <w:t>27 </w:t>
      </w:r>
      <w:r>
        <w:rPr>
          <w:spacing w:val="-3"/>
        </w:rPr>
        <w:t>号）规定，相关部门取消了关于集成</w:t>
      </w:r>
      <w:r>
        <w:rPr>
          <w:spacing w:val="-70"/>
        </w:rPr>
        <w:t> </w:t>
      </w:r>
      <w:r>
        <w:rPr>
          <w:spacing w:val="-70"/>
        </w:rPr>
      </w:r>
      <w:r>
        <w:rPr>
          <w:spacing w:val="-2"/>
        </w:rPr>
        <w:t>电路生产企业、集成电路设计企业、软件企业、国家规划布局内的重点软件企业和集成电路设计</w:t>
      </w:r>
      <w:r>
        <w:rPr>
          <w:spacing w:val="-25"/>
        </w:rPr>
        <w:t> </w:t>
      </w:r>
      <w:r>
        <w:rPr>
          <w:spacing w:val="-25"/>
        </w:rPr>
      </w:r>
      <w:r>
        <w:rPr>
          <w:spacing w:val="-4"/>
        </w:rPr>
        <w:t>企业税收优惠资格认定等的非行政许可审批。本公司</w:t>
      </w:r>
      <w:r>
        <w:rPr>
          <w:spacing w:val="-37"/>
        </w:rPr>
        <w:t> </w:t>
      </w:r>
      <w:r>
        <w:rPr>
          <w:rFonts w:ascii="宋体" w:hAnsi="宋体" w:cs="宋体" w:eastAsia="宋体" w:hint="default"/>
        </w:rPr>
        <w:t>2015</w:t>
      </w:r>
      <w:r>
        <w:rPr>
          <w:rFonts w:ascii="宋体" w:hAnsi="宋体" w:cs="宋体" w:eastAsia="宋体" w:hint="default"/>
          <w:spacing w:val="-36"/>
        </w:rPr>
        <w:t> </w:t>
      </w:r>
      <w:r>
        <w:rPr>
          <w:spacing w:val="-9"/>
        </w:rPr>
        <w:t>年度、</w:t>
      </w:r>
      <w:r>
        <w:rPr>
          <w:rFonts w:ascii="宋体" w:hAnsi="宋体" w:cs="宋体" w:eastAsia="宋体" w:hint="default"/>
          <w:spacing w:val="-9"/>
        </w:rPr>
        <w:t>2016</w:t>
      </w:r>
      <w:r>
        <w:rPr>
          <w:rFonts w:ascii="宋体" w:hAnsi="宋体" w:cs="宋体" w:eastAsia="宋体" w:hint="default"/>
          <w:spacing w:val="-37"/>
        </w:rPr>
        <w:t> </w:t>
      </w:r>
      <w:r>
        <w:rPr>
          <w:spacing w:val="-8"/>
        </w:rPr>
        <w:t>年度、</w:t>
      </w:r>
      <w:r>
        <w:rPr>
          <w:rFonts w:ascii="宋体" w:hAnsi="宋体" w:cs="宋体" w:eastAsia="宋体" w:hint="default"/>
          <w:spacing w:val="-8"/>
        </w:rPr>
        <w:t>2017</w:t>
      </w:r>
      <w:r>
        <w:rPr>
          <w:rFonts w:ascii="宋体" w:hAnsi="宋体" w:cs="宋体" w:eastAsia="宋体" w:hint="default"/>
          <w:spacing w:val="-40"/>
        </w:rPr>
        <w:t> </w:t>
      </w:r>
      <w:r>
        <w:rPr>
          <w:spacing w:val="-9"/>
        </w:rPr>
        <w:t>年度均符合《财</w:t>
      </w:r>
      <w:r>
        <w:rPr>
          <w:spacing w:val="-99"/>
        </w:rPr>
        <w:t> </w:t>
      </w:r>
      <w:r>
        <w:rPr>
          <w:spacing w:val="-99"/>
        </w:rPr>
      </w:r>
      <w:r>
        <w:rPr>
          <w:spacing w:val="-2"/>
        </w:rPr>
        <w:t>政部、国家税务总局、发展改革委、工业化信息部关于软件和集成电路产业企业所得税优惠政策</w:t>
      </w:r>
      <w:r>
        <w:rPr>
          <w:spacing w:val="-25"/>
        </w:rPr>
        <w:t> </w:t>
      </w:r>
      <w:r>
        <w:rPr>
          <w:spacing w:val="-25"/>
        </w:rPr>
      </w:r>
      <w:r>
        <w:rPr>
          <w:spacing w:val="-3"/>
        </w:rPr>
        <w:t>有关问题的通知》（财税［</w:t>
      </w:r>
      <w:r>
        <w:rPr>
          <w:rFonts w:ascii="宋体" w:hAnsi="宋体" w:cs="宋体" w:eastAsia="宋体" w:hint="default"/>
          <w:spacing w:val="-3"/>
        </w:rPr>
        <w:t>2016</w:t>
      </w:r>
      <w:r>
        <w:rPr>
          <w:spacing w:val="-3"/>
        </w:rPr>
        <w:t>］</w:t>
      </w:r>
      <w:r>
        <w:rPr>
          <w:rFonts w:ascii="宋体" w:hAnsi="宋体" w:cs="宋体" w:eastAsia="宋体" w:hint="default"/>
          <w:spacing w:val="-3"/>
        </w:rPr>
        <w:t>49</w:t>
      </w:r>
      <w:r>
        <w:rPr>
          <w:rFonts w:ascii="宋体" w:hAnsi="宋体" w:cs="宋体" w:eastAsia="宋体" w:hint="default"/>
          <w:spacing w:val="-47"/>
        </w:rPr>
        <w:t> </w:t>
      </w:r>
      <w:r>
        <w:rPr/>
        <w:t>号）规定的国家规划布局内重点软件企业的条件，享受企业</w:t>
      </w:r>
      <w:r>
        <w:rPr>
          <w:spacing w:val="-102"/>
        </w:rPr>
        <w:t> </w:t>
      </w:r>
      <w:r>
        <w:rPr>
          <w:spacing w:val="-102"/>
        </w:rPr>
      </w:r>
      <w:r>
        <w:rPr/>
        <w:t>所得税按</w:t>
      </w:r>
      <w:r>
        <w:rPr>
          <w:spacing w:val="-36"/>
        </w:rPr>
        <w:t> </w:t>
      </w:r>
      <w:r>
        <w:rPr>
          <w:rFonts w:ascii="宋体" w:hAnsi="宋体" w:cs="宋体" w:eastAsia="宋体" w:hint="default"/>
          <w:spacing w:val="-3"/>
        </w:rPr>
        <w:t>10%</w:t>
      </w:r>
      <w:r>
        <w:rPr>
          <w:spacing w:val="-3"/>
        </w:rPr>
        <w:t>税率计提缴纳。经逐条对照，预计</w:t>
      </w:r>
      <w:r>
        <w:rPr>
          <w:spacing w:val="-36"/>
        </w:rPr>
        <w:t> </w:t>
      </w:r>
      <w:r>
        <w:rPr>
          <w:rFonts w:ascii="宋体" w:hAnsi="宋体" w:cs="宋体" w:eastAsia="宋体" w:hint="default"/>
        </w:rPr>
        <w:t>2018</w:t>
      </w:r>
      <w:r>
        <w:rPr>
          <w:rFonts w:ascii="宋体" w:hAnsi="宋体" w:cs="宋体" w:eastAsia="宋体" w:hint="default"/>
          <w:spacing w:val="-36"/>
        </w:rPr>
        <w:t> </w:t>
      </w:r>
      <w:r>
        <w:rPr>
          <w:spacing w:val="-3"/>
        </w:rPr>
        <w:t>年度符合《财政部、国家税务总局、发展改</w:t>
      </w:r>
      <w:r>
        <w:rPr>
          <w:spacing w:val="-97"/>
        </w:rPr>
        <w:t> </w:t>
      </w:r>
      <w:r>
        <w:rPr>
          <w:spacing w:val="-97"/>
        </w:rPr>
      </w:r>
      <w:r>
        <w:rPr>
          <w:spacing w:val="-11"/>
          <w:w w:val="100"/>
        </w:rPr>
        <w:t>革委、工业化信息部关于软件和集成电路产业企业所得税优惠政策有关问题的通知》（财税［</w:t>
      </w:r>
      <w:r>
        <w:rPr>
          <w:rFonts w:ascii="宋体" w:hAnsi="宋体" w:cs="宋体" w:eastAsia="宋体" w:hint="default"/>
          <w:spacing w:val="-11"/>
          <w:w w:val="100"/>
        </w:rPr>
        <w:t>2016</w:t>
      </w:r>
      <w:r>
        <w:rPr>
          <w:spacing w:val="-11"/>
          <w:w w:val="100"/>
        </w:rPr>
        <w:t>］</w:t>
      </w:r>
      <w:r>
        <w:rPr>
          <w:spacing w:val="-69"/>
          <w:w w:val="100"/>
        </w:rPr>
        <w:t> </w:t>
      </w:r>
      <w:r>
        <w:rPr>
          <w:rFonts w:ascii="宋体" w:hAnsi="宋体" w:cs="宋体" w:eastAsia="宋体" w:hint="default"/>
          <w:w w:val="100"/>
        </w:rPr>
        <w:t>49</w:t>
      </w:r>
      <w:r>
        <w:rPr>
          <w:rFonts w:ascii="宋体" w:hAnsi="宋体" w:cs="宋体" w:eastAsia="宋体" w:hint="default"/>
          <w:spacing w:val="-72"/>
          <w:w w:val="100"/>
        </w:rPr>
        <w:t> </w:t>
      </w:r>
      <w:r>
        <w:rPr>
          <w:spacing w:val="-10"/>
          <w:w w:val="100"/>
        </w:rPr>
        <w:t>号）规定的国家规划布局内重点软件企业的条件，故本公司</w:t>
      </w:r>
      <w:r>
        <w:rPr>
          <w:spacing w:val="-72"/>
          <w:w w:val="100"/>
        </w:rPr>
        <w:t> </w:t>
      </w:r>
      <w:r>
        <w:rPr>
          <w:rFonts w:ascii="宋体" w:hAnsi="宋体" w:cs="宋体" w:eastAsia="宋体" w:hint="default"/>
          <w:spacing w:val="-1"/>
          <w:w w:val="100"/>
        </w:rPr>
        <w:t>2018</w:t>
      </w:r>
      <w:r>
        <w:rPr>
          <w:rFonts w:ascii="宋体" w:hAnsi="宋体" w:cs="宋体" w:eastAsia="宋体" w:hint="default"/>
          <w:spacing w:val="-72"/>
          <w:w w:val="100"/>
        </w:rPr>
        <w:t> </w:t>
      </w:r>
      <w:r>
        <w:rPr>
          <w:spacing w:val="-2"/>
          <w:w w:val="100"/>
        </w:rPr>
        <w:t>年按</w:t>
      </w:r>
      <w:r>
        <w:rPr>
          <w:spacing w:val="-72"/>
          <w:w w:val="100"/>
        </w:rPr>
        <w:t> </w:t>
      </w:r>
      <w:r>
        <w:rPr>
          <w:rFonts w:ascii="宋体" w:hAnsi="宋体" w:cs="宋体" w:eastAsia="宋体" w:hint="default"/>
          <w:spacing w:val="-2"/>
          <w:w w:val="100"/>
        </w:rPr>
        <w:t>10%</w:t>
      </w:r>
      <w:r>
        <w:rPr>
          <w:spacing w:val="-2"/>
          <w:w w:val="100"/>
        </w:rPr>
        <w:t>税率计提企业所得税。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ind w:left="237" w:right="0"/>
        <w:jc w:val="both"/>
        <w:rPr>
          <w:b w:val="0"/>
          <w:bCs w:val="0"/>
        </w:rPr>
      </w:pPr>
      <w:r>
        <w:rPr>
          <w:rFonts w:ascii="宋体" w:hAnsi="宋体" w:cs="宋体" w:eastAsia="宋体" w:hint="default"/>
        </w:rPr>
        <w:t>3. </w:t>
      </w:r>
      <w:r>
        <w:rPr>
          <w:rFonts w:ascii="宋体" w:hAnsi="宋体" w:cs="宋体" w:eastAsia="宋体" w:hint="default"/>
          <w:spacing w:val="1"/>
        </w:rPr>
        <w:t> </w:t>
      </w:r>
      <w:r>
        <w:rPr/>
        <w:t>其他</w:t>
      </w:r>
      <w:r>
        <w:rPr>
          <w:b w:val="0"/>
          <w:bCs w:val="0"/>
        </w:rPr>
      </w:r>
    </w:p>
    <w:p>
      <w:pPr>
        <w:pStyle w:val="BodyText"/>
        <w:spacing w:line="240" w:lineRule="auto" w:before="56"/>
        <w:ind w:left="237" w:right="0"/>
        <w:jc w:val="both"/>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40" w:right="1560"/>
        </w:sectPr>
      </w:pPr>
    </w:p>
    <w:p>
      <w:pPr>
        <w:pStyle w:val="Heading4"/>
        <w:spacing w:line="290" w:lineRule="auto" w:before="36"/>
        <w:ind w:left="23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79" w:val="left" w:leader="none"/>
        </w:tabs>
        <w:spacing w:line="240" w:lineRule="auto" w:before="14"/>
        <w:ind w:left="23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772" w:space="3749"/>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60,332.13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128,415.81</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457,256,100.78</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366,439,699.90</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98,000.00</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28,474.55</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457,414,432.91</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366,596,590.26</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713"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37" w:right="0"/>
        <w:jc w:val="left"/>
      </w:pPr>
      <w:r>
        <w:rPr/>
        <w:t>其他说明</w:t>
      </w:r>
    </w:p>
    <w:p>
      <w:pPr>
        <w:spacing w:after="0" w:line="241" w:lineRule="exact"/>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73" w:lineRule="exact" w:before="36"/>
        <w:ind w:left="237" w:right="0"/>
        <w:jc w:val="left"/>
      </w:pPr>
      <w:r>
        <w:rPr>
          <w:spacing w:val="-4"/>
        </w:rPr>
        <w:t>期末，其他货币资金余额中 </w:t>
      </w:r>
      <w:r>
        <w:rPr>
          <w:rFonts w:ascii="宋体" w:hAnsi="宋体" w:cs="宋体" w:eastAsia="宋体" w:hint="default"/>
        </w:rPr>
        <w:t>9.80</w:t>
      </w:r>
      <w:r>
        <w:rPr>
          <w:rFonts w:ascii="宋体" w:hAnsi="宋体" w:cs="宋体" w:eastAsia="宋体" w:hint="default"/>
          <w:spacing w:val="-41"/>
        </w:rPr>
        <w:t> </w:t>
      </w:r>
      <w:r>
        <w:rPr>
          <w:spacing w:val="-4"/>
        </w:rPr>
        <w:t>万元系履约保函保证金，因使用受到限制，不作为现金流量表中</w:t>
      </w:r>
    </w:p>
    <w:p>
      <w:pPr>
        <w:pStyle w:val="BodyText"/>
        <w:spacing w:line="240" w:lineRule="auto"/>
        <w:ind w:left="237" w:right="0"/>
        <w:jc w:val="left"/>
      </w:pPr>
      <w:r>
        <w:rPr>
          <w:spacing w:val="-11"/>
          <w:w w:val="100"/>
        </w:rPr>
        <w:t>的现金及现金等价物；期初，其他货币资金余额中</w:t>
      </w:r>
      <w:r>
        <w:rPr>
          <w:spacing w:val="-47"/>
          <w:w w:val="100"/>
        </w:rPr>
        <w:t> </w:t>
      </w:r>
      <w:r>
        <w:rPr>
          <w:rFonts w:ascii="宋体" w:hAnsi="宋体" w:cs="宋体" w:eastAsia="宋体" w:hint="default"/>
          <w:spacing w:val="-2"/>
          <w:w w:val="100"/>
        </w:rPr>
        <w:t>2.50</w:t>
      </w:r>
      <w:r>
        <w:rPr>
          <w:rFonts w:ascii="宋体" w:hAnsi="宋体" w:cs="宋体" w:eastAsia="宋体" w:hint="default"/>
          <w:spacing w:val="-47"/>
          <w:w w:val="100"/>
        </w:rPr>
        <w:t> </w:t>
      </w:r>
      <w:r>
        <w:rPr>
          <w:spacing w:val="-7"/>
          <w:w w:val="100"/>
        </w:rPr>
        <w:t>万元系履约保函保证金，因使用受到限制，</w:t>
      </w:r>
      <w:r>
        <w:rPr>
          <w:spacing w:val="-103"/>
          <w:w w:val="100"/>
        </w:rPr>
        <w:t> </w:t>
      </w:r>
      <w:r>
        <w:rPr>
          <w:spacing w:val="-103"/>
          <w:w w:val="100"/>
        </w:rPr>
      </w:r>
      <w:r>
        <w:rPr/>
        <w:t>不作为现金流量表中的现金及现金等价物。</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237"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237"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40" w:right="1560"/>
        </w:sectPr>
      </w:pPr>
    </w:p>
    <w:p>
      <w:pPr>
        <w:pStyle w:val="Heading4"/>
        <w:spacing w:line="290" w:lineRule="auto" w:before="36"/>
        <w:ind w:left="237"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4"/>
        <w:spacing w:line="240" w:lineRule="auto" w:before="12"/>
        <w:ind w:left="237"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59" w:space="3860"/>
            <w:col w:w="2891"/>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417,000.64</w:t>
            </w: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21,592,391.77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17,867,104.24</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22,009,392.41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17,867,104.24</w:t>
            </w:r>
          </w:p>
        </w:tc>
      </w:tr>
    </w:tbl>
    <w:p>
      <w:pPr>
        <w:spacing w:line="240" w:lineRule="auto" w:before="7"/>
        <w:rPr>
          <w:rFonts w:ascii="宋体" w:hAnsi="宋体" w:cs="宋体" w:eastAsia="宋体" w:hint="default"/>
          <w:sz w:val="15"/>
          <w:szCs w:val="15"/>
        </w:rPr>
      </w:pPr>
    </w:p>
    <w:p>
      <w:pPr>
        <w:pStyle w:val="BodyText"/>
        <w:spacing w:line="273" w:lineRule="exact" w:before="36"/>
        <w:ind w:left="237" w:right="0"/>
        <w:jc w:val="left"/>
      </w:pPr>
      <w:r>
        <w:rPr/>
        <w:t>其他说明：</w:t>
      </w:r>
    </w:p>
    <w:p>
      <w:pPr>
        <w:pStyle w:val="BodyText"/>
        <w:spacing w:line="273" w:lineRule="exact"/>
        <w:ind w:left="23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40" w:lineRule="auto" w:before="36"/>
        <w:ind w:left="237" w:right="-19"/>
        <w:jc w:val="left"/>
        <w:rPr>
          <w:b w:val="0"/>
          <w:bCs w:val="0"/>
        </w:rPr>
      </w:pPr>
      <w:r>
        <w:rPr/>
        <w:t>应收票据</w:t>
      </w:r>
      <w:r>
        <w:rPr>
          <w:b w:val="0"/>
          <w:bCs w:val="0"/>
        </w:rPr>
      </w:r>
    </w:p>
    <w:p>
      <w:pPr>
        <w:pStyle w:val="Heading4"/>
        <w:spacing w:line="240" w:lineRule="auto" w:before="58"/>
        <w:ind w:left="237" w:right="-19"/>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455" w:space="4066"/>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417,000.64</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417,000.64</w:t>
            </w:r>
          </w:p>
        </w:tc>
        <w:tc>
          <w:tcPr>
            <w:tcW w:w="29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before="36"/>
        <w:ind w:left="237" w:right="0"/>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期末公司已质押的应收票据</w:t>
      </w:r>
      <w:r>
        <w:rPr>
          <w:b w:val="0"/>
          <w:bCs w:val="0"/>
        </w:rPr>
      </w:r>
    </w:p>
    <w:p>
      <w:pPr>
        <w:pStyle w:val="BodyText"/>
        <w:spacing w:line="240" w:lineRule="auto" w:before="58"/>
        <w:ind w:left="237" w:right="0"/>
        <w:jc w:val="left"/>
      </w:pPr>
      <w:r>
        <w:rPr/>
        <w:t>□适用 √不适用</w:t>
      </w:r>
    </w:p>
    <w:p>
      <w:pPr>
        <w:pStyle w:val="Heading4"/>
        <w:spacing w:line="240" w:lineRule="auto" w:before="56"/>
        <w:ind w:left="237" w:right="0"/>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237" w:right="0"/>
        <w:jc w:val="left"/>
      </w:pPr>
      <w:r>
        <w:rPr/>
        <w:t>□适用 √不适用</w:t>
      </w:r>
    </w:p>
    <w:p>
      <w:pPr>
        <w:pStyle w:val="Heading4"/>
        <w:spacing w:line="240" w:lineRule="auto" w:before="56"/>
        <w:ind w:left="237" w:right="0"/>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237" w:right="7474"/>
        <w:jc w:val="left"/>
      </w:pPr>
      <w:r>
        <w:rPr/>
        <w:t>□适用 √不适用</w:t>
      </w:r>
      <w:r>
        <w:rPr>
          <w:w w:val="100"/>
        </w:rPr>
        <w:t> </w:t>
      </w:r>
      <w:r>
        <w:rPr/>
        <w:t>其他说明</w:t>
      </w:r>
    </w:p>
    <w:p>
      <w:pPr>
        <w:pStyle w:val="BodyText"/>
        <w:spacing w:line="249" w:lineRule="exact"/>
        <w:ind w:left="237" w:right="0"/>
        <w:jc w:val="left"/>
      </w:pPr>
      <w:r>
        <w:rPr/>
        <w:t>□适用 √不适用</w:t>
      </w:r>
    </w:p>
    <w:p>
      <w:pPr>
        <w:spacing w:after="0" w:line="249" w:lineRule="exact"/>
        <w:jc w:val="left"/>
        <w:sectPr>
          <w:type w:val="continuous"/>
          <w:pgSz w:w="11910" w:h="16840"/>
          <w:pgMar w:top="1120" w:bottom="1380" w:left="1040" w:right="156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39"/>
          <w:footerReference w:type="default" r:id="rId40"/>
          <w:pgSz w:w="16840" w:h="11910" w:orient="landscape"/>
          <w:pgMar w:header="0" w:footer="0" w:top="800" w:bottom="280" w:left="1380" w:right="1280"/>
        </w:sectPr>
      </w:pPr>
    </w:p>
    <w:p>
      <w:pPr>
        <w:pStyle w:val="Heading4"/>
        <w:spacing w:line="290" w:lineRule="auto" w:before="36"/>
        <w:ind w:left="144"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4"/>
        <w:ind w:left="144"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280"/>
          <w:cols w:num="2" w:equalWidth="0">
            <w:col w:w="2262" w:space="9198"/>
            <w:col w:w="2720"/>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901"/>
        <w:gridCol w:w="1426"/>
        <w:gridCol w:w="896"/>
        <w:gridCol w:w="1322"/>
        <w:gridCol w:w="922"/>
        <w:gridCol w:w="1426"/>
        <w:gridCol w:w="1428"/>
        <w:gridCol w:w="922"/>
        <w:gridCol w:w="1322"/>
        <w:gridCol w:w="946"/>
        <w:gridCol w:w="1426"/>
      </w:tblGrid>
      <w:tr>
        <w:trPr>
          <w:trHeight w:val="281" w:hRule="exact"/>
        </w:trPr>
        <w:tc>
          <w:tcPr>
            <w:tcW w:w="190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901" w:type="dxa"/>
            <w:vMerge/>
            <w:tcBorders>
              <w:left w:val="single" w:sz="4" w:space="0" w:color="000000"/>
              <w:right w:val="single" w:sz="4" w:space="0" w:color="000000"/>
            </w:tcBorders>
          </w:tcPr>
          <w:p>
            <w:pP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901"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4"/>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r>
      <w:tr>
        <w:trPr>
          <w:trHeight w:val="829"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单项金额重大并单</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26" w:right="0"/>
              <w:jc w:val="left"/>
              <w:rPr>
                <w:rFonts w:ascii="宋体" w:hAnsi="宋体" w:cs="宋体" w:eastAsia="宋体" w:hint="default"/>
                <w:sz w:val="21"/>
                <w:szCs w:val="21"/>
              </w:rPr>
            </w:pPr>
            <w:r>
              <w:rPr>
                <w:rFonts w:ascii="宋体" w:hAnsi="宋体" w:cs="宋体" w:eastAsia="宋体" w:hint="default"/>
                <w:spacing w:val="17"/>
                <w:sz w:val="21"/>
                <w:szCs w:val="21"/>
              </w:rPr>
              <w:t>独计提坏账准备的</w:t>
            </w:r>
            <w:r>
              <w:rPr>
                <w:rFonts w:ascii="宋体" w:hAnsi="宋体" w:cs="宋体" w:eastAsia="宋体" w:hint="default"/>
                <w:spacing w:val="-85"/>
                <w:sz w:val="21"/>
                <w:szCs w:val="21"/>
              </w:rPr>
              <w:t> </w:t>
            </w:r>
            <w:r>
              <w:rPr>
                <w:rFonts w:ascii="宋体" w:hAnsi="宋体" w:cs="宋体" w:eastAsia="宋体" w:hint="default"/>
                <w:sz w:val="21"/>
                <w:szCs w:val="21"/>
              </w:rPr>
              <w:t>应收账款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按信用风险特征组</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pacing w:val="17"/>
                <w:sz w:val="21"/>
                <w:szCs w:val="21"/>
              </w:rPr>
              <w:t>合计提坏账准备的</w:t>
            </w:r>
            <w:r>
              <w:rPr>
                <w:rFonts w:ascii="宋体" w:hAnsi="宋体" w:cs="宋体" w:eastAsia="宋体" w:hint="default"/>
                <w:spacing w:val="-85"/>
                <w:sz w:val="21"/>
                <w:szCs w:val="21"/>
              </w:rPr>
              <w:t> </w:t>
            </w:r>
            <w:r>
              <w:rPr>
                <w:rFonts w:ascii="宋体" w:hAnsi="宋体" w:cs="宋体" w:eastAsia="宋体" w:hint="default"/>
                <w:sz w:val="21"/>
                <w:szCs w:val="21"/>
              </w:rPr>
              <w:t>应收账款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24,327,852.66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96.82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2,735,460.89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11.24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21,592,391.77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21,778,368.83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3,911,264.59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sz w:val="21"/>
              </w:rPr>
              <w:t>17.96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17,867,104.24</w:t>
            </w:r>
          </w:p>
        </w:tc>
      </w:tr>
      <w:tr>
        <w:trPr>
          <w:trHeight w:val="82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单项金额不重大但</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26" w:right="0"/>
              <w:jc w:val="left"/>
              <w:rPr>
                <w:rFonts w:ascii="宋体" w:hAnsi="宋体" w:cs="宋体" w:eastAsia="宋体" w:hint="default"/>
                <w:sz w:val="21"/>
                <w:szCs w:val="21"/>
              </w:rPr>
            </w:pPr>
            <w:r>
              <w:rPr>
                <w:rFonts w:ascii="宋体" w:hAnsi="宋体" w:cs="宋体" w:eastAsia="宋体" w:hint="default"/>
                <w:spacing w:val="17"/>
                <w:sz w:val="21"/>
                <w:szCs w:val="21"/>
              </w:rPr>
              <w:t>单独计提坏账准备</w:t>
            </w:r>
            <w:r>
              <w:rPr>
                <w:rFonts w:ascii="宋体" w:hAnsi="宋体" w:cs="宋体" w:eastAsia="宋体" w:hint="default"/>
                <w:spacing w:val="-85"/>
                <w:sz w:val="21"/>
                <w:szCs w:val="21"/>
              </w:rPr>
              <w:t> </w:t>
            </w:r>
            <w:r>
              <w:rPr>
                <w:rFonts w:ascii="宋体" w:hAnsi="宋体" w:cs="宋体" w:eastAsia="宋体" w:hint="default"/>
                <w:sz w:val="21"/>
                <w:szCs w:val="21"/>
              </w:rPr>
              <w:t>的应收账款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3.18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25,127,852.66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3,535,460.89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21,592,391.77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21,778,368.83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3,911,264.59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17,867,104.24</w:t>
            </w:r>
          </w:p>
        </w:tc>
      </w:tr>
    </w:tbl>
    <w:p>
      <w:pPr>
        <w:spacing w:line="240" w:lineRule="auto" w:before="5"/>
        <w:rPr>
          <w:rFonts w:ascii="宋体" w:hAnsi="宋体" w:cs="宋体" w:eastAsia="宋体" w:hint="default"/>
          <w:sz w:val="15"/>
          <w:szCs w:val="15"/>
        </w:rPr>
      </w:pPr>
    </w:p>
    <w:p>
      <w:pPr>
        <w:pStyle w:val="BodyText"/>
        <w:spacing w:line="274" w:lineRule="exact" w:before="36"/>
        <w:ind w:left="144" w:right="0"/>
        <w:jc w:val="left"/>
      </w:pPr>
      <w:r>
        <w:rPr/>
        <w:t>期末单项金额重大并单项计提坏账准备的应收账款</w:t>
      </w:r>
    </w:p>
    <w:p>
      <w:pPr>
        <w:pStyle w:val="BodyText"/>
        <w:spacing w:line="274" w:lineRule="exact"/>
        <w:ind w:left="144"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before="63"/>
        <w:ind w:left="6398" w:right="6415" w:firstLine="0"/>
        <w:jc w:val="center"/>
        <w:rPr>
          <w:rFonts w:ascii="Calibri" w:hAnsi="Calibri" w:cs="Calibri" w:eastAsia="Calibri" w:hint="default"/>
          <w:sz w:val="18"/>
          <w:szCs w:val="18"/>
        </w:rPr>
      </w:pPr>
      <w:r>
        <w:rPr>
          <w:rFonts w:ascii="Calibri"/>
          <w:b/>
          <w:sz w:val="18"/>
        </w:rPr>
        <w:t>98 </w:t>
      </w:r>
      <w:r>
        <w:rPr>
          <w:rFonts w:ascii="Calibri"/>
          <w:sz w:val="18"/>
        </w:rPr>
        <w:t>/</w:t>
      </w:r>
      <w:r>
        <w:rPr>
          <w:rFonts w:ascii="Calibri"/>
          <w:spacing w:val="-4"/>
          <w:sz w:val="18"/>
        </w:rPr>
        <w:t> </w:t>
      </w:r>
      <w:r>
        <w:rPr>
          <w:rFonts w:ascii="Calibri"/>
          <w:b/>
          <w:sz w:val="18"/>
        </w:rPr>
        <w:t>156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41"/>
          <w:pgSz w:w="11910" w:h="16840"/>
          <w:pgMar w:footer="1195" w:header="0" w:top="1120" w:bottom="1380" w:left="1040" w:right="1560"/>
        </w:sectPr>
      </w:pPr>
    </w:p>
    <w:p>
      <w:pPr>
        <w:pStyle w:val="BodyText"/>
        <w:spacing w:line="273" w:lineRule="exact" w:before="36"/>
        <w:ind w:left="237" w:right="0"/>
        <w:jc w:val="left"/>
      </w:pPr>
      <w:r>
        <w:rPr>
          <w:spacing w:val="-2"/>
        </w:rPr>
        <w:t>组合中，按账龄分析法计提坏账准备的应收账款</w:t>
      </w:r>
    </w:p>
    <w:p>
      <w:pPr>
        <w:pStyle w:val="BodyText"/>
        <w:spacing w:line="273"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652" w:space="187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86"/>
        <w:gridCol w:w="2324"/>
        <w:gridCol w:w="2360"/>
        <w:gridCol w:w="2293"/>
      </w:tblGrid>
      <w:tr>
        <w:trPr>
          <w:trHeight w:val="283"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20,360,166.73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1,021,618.33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20,360,166.73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1,021,618.33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5.00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1,835,070.42</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183,507.05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860,400.00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258,120.00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1,272,215.51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1,272,215.51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24,327,852.66</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2,735,460.89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11.24</w:t>
            </w:r>
          </w:p>
        </w:tc>
      </w:tr>
    </w:tbl>
    <w:p>
      <w:pPr>
        <w:spacing w:line="240" w:lineRule="auto" w:before="5"/>
        <w:rPr>
          <w:rFonts w:ascii="宋体" w:hAnsi="宋体" w:cs="宋体" w:eastAsia="宋体" w:hint="default"/>
          <w:sz w:val="15"/>
          <w:szCs w:val="15"/>
        </w:rPr>
      </w:pPr>
    </w:p>
    <w:p>
      <w:pPr>
        <w:pStyle w:val="BodyText"/>
        <w:spacing w:line="240" w:lineRule="auto" w:before="36"/>
        <w:ind w:left="237" w:right="6591"/>
        <w:jc w:val="left"/>
      </w:pPr>
      <w:r>
        <w:rPr>
          <w:spacing w:val="-2"/>
        </w:rPr>
        <w:t>确定该组合依据的说明：</w:t>
      </w:r>
      <w:r>
        <w:rPr>
          <w:spacing w:val="-83"/>
        </w:rPr>
        <w:t> </w:t>
      </w:r>
      <w:r>
        <w:rPr>
          <w:spacing w:val="-83"/>
        </w:rPr>
      </w:r>
      <w:r>
        <w:rPr/>
        <w:t>无</w:t>
      </w:r>
    </w:p>
    <w:p>
      <w:pPr>
        <w:spacing w:line="240" w:lineRule="auto" w:before="8"/>
        <w:rPr>
          <w:rFonts w:ascii="宋体" w:hAnsi="宋体" w:cs="宋体" w:eastAsia="宋体" w:hint="default"/>
          <w:sz w:val="20"/>
          <w:szCs w:val="20"/>
        </w:rPr>
      </w:pPr>
    </w:p>
    <w:p>
      <w:pPr>
        <w:pStyle w:val="BodyText"/>
        <w:spacing w:line="273" w:lineRule="exact"/>
        <w:ind w:left="237" w:right="0"/>
        <w:jc w:val="left"/>
      </w:pPr>
      <w:r>
        <w:rPr/>
        <w:t>组合中，采用余额百分比法计提坏账准备的应收账款</w:t>
      </w:r>
    </w:p>
    <w:p>
      <w:pPr>
        <w:pStyle w:val="BodyText"/>
        <w:spacing w:line="273" w:lineRule="exact"/>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73" w:lineRule="exact"/>
        <w:ind w:left="237" w:right="0"/>
        <w:jc w:val="left"/>
      </w:pPr>
      <w:r>
        <w:rPr/>
        <w:t>组合中，采用其他方法计提坏账准备的应收账款</w:t>
      </w:r>
    </w:p>
    <w:p>
      <w:pPr>
        <w:pStyle w:val="BodyText"/>
        <w:tabs>
          <w:tab w:pos="1079" w:val="left" w:leader="none"/>
        </w:tabs>
        <w:spacing w:line="273" w:lineRule="exact"/>
        <w:ind w:left="237"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237" w:right="0"/>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left="237" w:right="0"/>
        <w:jc w:val="left"/>
      </w:pPr>
      <w:r>
        <w:rPr/>
        <w:t>本期计提坏账准备金额</w:t>
      </w:r>
      <w:r>
        <w:rPr>
          <w:spacing w:val="-55"/>
        </w:rPr>
        <w:t> </w:t>
      </w:r>
      <w:r>
        <w:rPr>
          <w:rFonts w:ascii="宋体" w:hAnsi="宋体" w:cs="宋体" w:eastAsia="宋体" w:hint="default"/>
        </w:rPr>
        <w:t>1,047,880.56</w:t>
      </w:r>
      <w:r>
        <w:rPr>
          <w:rFonts w:ascii="宋体" w:hAnsi="宋体" w:cs="宋体" w:eastAsia="宋体" w:hint="default"/>
          <w:spacing w:val="-54"/>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9"/>
        <w:rPr>
          <w:rFonts w:ascii="宋体" w:hAnsi="宋体" w:cs="宋体" w:eastAsia="宋体" w:hint="default"/>
          <w:sz w:val="20"/>
          <w:szCs w:val="20"/>
        </w:rPr>
      </w:pPr>
    </w:p>
    <w:p>
      <w:pPr>
        <w:pStyle w:val="BodyText"/>
        <w:spacing w:line="274" w:lineRule="exact"/>
        <w:ind w:left="237" w:right="0"/>
        <w:jc w:val="left"/>
      </w:pPr>
      <w:r>
        <w:rPr/>
        <w:t>其中本期坏账准备收回或转回金额重要的：</w:t>
      </w:r>
    </w:p>
    <w:p>
      <w:pPr>
        <w:pStyle w:val="BodyText"/>
        <w:spacing w:line="274" w:lineRule="exact"/>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40" w:right="1560"/>
        </w:sectPr>
      </w:pPr>
    </w:p>
    <w:p>
      <w:pPr>
        <w:pStyle w:val="Heading4"/>
        <w:spacing w:line="240" w:lineRule="auto" w:before="36"/>
        <w:ind w:left="237" w:right="-16"/>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8"/>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406" w:space="3115"/>
            <w:col w:w="278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1,423,684.26</w:t>
            </w:r>
          </w:p>
        </w:tc>
      </w:tr>
    </w:tbl>
    <w:p>
      <w:pPr>
        <w:spacing w:line="240" w:lineRule="auto" w:before="8"/>
        <w:rPr>
          <w:rFonts w:ascii="宋体" w:hAnsi="宋体" w:cs="宋体" w:eastAsia="宋体" w:hint="default"/>
          <w:sz w:val="15"/>
          <w:szCs w:val="15"/>
        </w:rPr>
      </w:pPr>
    </w:p>
    <w:p>
      <w:pPr>
        <w:pStyle w:val="BodyText"/>
        <w:spacing w:line="273" w:lineRule="exact" w:before="36"/>
        <w:ind w:left="237" w:right="0"/>
        <w:jc w:val="left"/>
      </w:pPr>
      <w:r>
        <w:rPr/>
        <w:t>其中重要的应收账款核销情况</w:t>
      </w:r>
    </w:p>
    <w:p>
      <w:pPr>
        <w:pStyle w:val="BodyText"/>
        <w:spacing w:line="240" w:lineRule="auto"/>
        <w:ind w:left="237" w:right="7168"/>
        <w:jc w:val="left"/>
      </w:pPr>
      <w:r>
        <w:rPr/>
        <w:t>□适用</w:t>
      </w:r>
      <w:r>
        <w:rPr>
          <w:spacing w:val="-2"/>
        </w:rPr>
        <w:t> </w:t>
      </w:r>
      <w:r>
        <w:rPr/>
        <w:t>√不适用</w:t>
      </w:r>
      <w:r>
        <w:rPr>
          <w:w w:val="100"/>
        </w:rPr>
        <w:t> </w:t>
      </w:r>
      <w:r>
        <w:rPr>
          <w:spacing w:val="-1"/>
        </w:rPr>
        <w:t>应收账款核销说明：</w:t>
      </w:r>
    </w:p>
    <w:p>
      <w:pPr>
        <w:pStyle w:val="BodyText"/>
        <w:spacing w:line="271" w:lineRule="exact"/>
        <w:ind w:left="237"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37" w:right="0"/>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79" w:val="left" w:leader="none"/>
        </w:tabs>
        <w:spacing w:line="240" w:lineRule="auto" w:before="58"/>
        <w:ind w:left="237" w:right="0"/>
        <w:jc w:val="left"/>
      </w:pPr>
      <w:r>
        <w:rPr/>
        <w:t>√适用</w:t>
        <w:tab/>
        <w:t>□不适用</w:t>
      </w:r>
    </w:p>
    <w:p>
      <w:pPr>
        <w:spacing w:line="240" w:lineRule="auto" w:before="1"/>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3085"/>
        <w:gridCol w:w="1987"/>
        <w:gridCol w:w="1983"/>
        <w:gridCol w:w="1995"/>
      </w:tblGrid>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6"/>
              <w:jc w:val="right"/>
              <w:rPr>
                <w:rFonts w:ascii="宋体" w:hAnsi="宋体" w:cs="宋体" w:eastAsia="宋体" w:hint="default"/>
                <w:sz w:val="21"/>
                <w:szCs w:val="21"/>
              </w:rPr>
            </w:pPr>
            <w:r>
              <w:rPr>
                <w:rFonts w:ascii="宋体" w:hAnsi="宋体" w:cs="宋体" w:eastAsia="宋体" w:hint="default"/>
                <w:spacing w:val="-2"/>
                <w:sz w:val="21"/>
                <w:szCs w:val="21"/>
              </w:rPr>
              <w:t>应收账款期末余额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7" w:right="0" w:hanging="53"/>
              <w:jc w:val="left"/>
              <w:rPr>
                <w:rFonts w:ascii="宋体" w:hAnsi="宋体" w:cs="宋体" w:eastAsia="宋体" w:hint="default"/>
                <w:sz w:val="21"/>
                <w:szCs w:val="21"/>
              </w:rPr>
            </w:pPr>
            <w:r>
              <w:rPr>
                <w:rFonts w:ascii="宋体" w:hAnsi="宋体" w:cs="宋体" w:eastAsia="宋体" w:hint="default"/>
                <w:sz w:val="21"/>
                <w:szCs w:val="21"/>
              </w:rPr>
              <w:t>占应收账款期末余</w:t>
            </w:r>
          </w:p>
          <w:p>
            <w:pPr>
              <w:pStyle w:val="TableParagraph"/>
              <w:spacing w:line="273" w:lineRule="exact"/>
              <w:ind w:left="197" w:right="0"/>
              <w:jc w:val="left"/>
              <w:rPr>
                <w:rFonts w:ascii="宋体" w:hAnsi="宋体" w:cs="宋体" w:eastAsia="宋体" w:hint="default"/>
                <w:sz w:val="21"/>
                <w:szCs w:val="21"/>
              </w:rPr>
            </w:pPr>
            <w:r>
              <w:rPr>
                <w:rFonts w:ascii="宋体" w:hAnsi="宋体" w:cs="宋体" w:eastAsia="宋体" w:hint="default"/>
                <w:sz w:val="21"/>
                <w:szCs w:val="21"/>
              </w:rPr>
              <w:t>额合计数的比例</w:t>
            </w:r>
            <w:r>
              <w:rPr>
                <w:rFonts w:ascii="宋体" w:hAnsi="宋体" w:cs="宋体" w:eastAsia="宋体" w:hint="default"/>
                <w:sz w:val="21"/>
                <w:szCs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坏账准备期末余额</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东吴证券股份有限公司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1,299,156.66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489,957.83</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西安翔迅科技有限责任公司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1,214,530.00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60,726.50</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1,212,150.94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60,607.55</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085"/>
        <w:gridCol w:w="1987"/>
        <w:gridCol w:w="1983"/>
        <w:gridCol w:w="1995"/>
      </w:tblGrid>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中国银河证券股份有限公司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1,163,750.00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58,187.50</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华宝证券有限责任公司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1,077,000.00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53,850.00</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5,966,587.60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23.74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723,329.38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left="237" w:right="0"/>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79" w:val="left" w:leader="none"/>
        </w:tabs>
        <w:spacing w:line="240" w:lineRule="auto" w:before="58"/>
        <w:ind w:left="237"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left="237" w:right="0"/>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79" w:val="left" w:leader="none"/>
        </w:tabs>
        <w:spacing w:line="240" w:lineRule="auto" w:before="56"/>
        <w:ind w:left="237"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5" w:lineRule="exact"/>
        <w:ind w:left="237" w:right="0"/>
        <w:jc w:val="left"/>
      </w:pPr>
      <w:r>
        <w:rPr/>
        <w:t>其他说明：</w:t>
      </w:r>
    </w:p>
    <w:p>
      <w:pPr>
        <w:pStyle w:val="BodyText"/>
        <w:tabs>
          <w:tab w:pos="1079" w:val="left" w:leader="none"/>
        </w:tabs>
        <w:spacing w:line="275" w:lineRule="exact"/>
        <w:ind w:left="237" w:right="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2"/>
          <w:pgSz w:w="11910" w:h="16840"/>
          <w:pgMar w:footer="1195" w:header="0" w:top="1120" w:bottom="1380" w:left="1040" w:right="1560"/>
        </w:sectPr>
      </w:pPr>
    </w:p>
    <w:p>
      <w:pPr>
        <w:pStyle w:val="Heading4"/>
        <w:spacing w:line="290" w:lineRule="auto" w:before="36"/>
        <w:ind w:left="237"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079" w:val="left" w:leader="none"/>
        </w:tabs>
        <w:spacing w:line="240" w:lineRule="auto" w:before="14"/>
        <w:ind w:left="23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56"/>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3,454,506.37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93.00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2,337,576.82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95.41</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260,000.00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z w:val="21"/>
              </w:rPr>
              <w:t>7.00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112,426.00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z w:val="21"/>
              </w:rPr>
              <w:t>4.59</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3,714,506.37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2,450,002.82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z w:val="21"/>
              </w:rPr>
              <w:t>100.00</w:t>
            </w:r>
          </w:p>
        </w:tc>
      </w:tr>
    </w:tbl>
    <w:p>
      <w:pPr>
        <w:pStyle w:val="BodyText"/>
        <w:spacing w:line="240" w:lineRule="exact"/>
        <w:ind w:left="237" w:right="0"/>
        <w:jc w:val="left"/>
      </w:pPr>
      <w:r>
        <w:rPr/>
        <w:t>账龄超过</w:t>
      </w:r>
      <w:r>
        <w:rPr>
          <w:spacing w:val="-52"/>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spacing w:line="274" w:lineRule="exact"/>
        <w:ind w:left="237" w:right="0"/>
        <w:jc w:val="left"/>
      </w:pPr>
      <w:r>
        <w:rPr>
          <w:w w:val="100"/>
        </w:rPr>
        <w:t>无</w:t>
      </w:r>
    </w:p>
    <w:p>
      <w:pPr>
        <w:spacing w:line="240" w:lineRule="auto" w:before="3"/>
        <w:rPr>
          <w:rFonts w:ascii="宋体" w:hAnsi="宋体" w:cs="宋体" w:eastAsia="宋体" w:hint="default"/>
          <w:sz w:val="25"/>
          <w:szCs w:val="25"/>
        </w:rPr>
      </w:pPr>
    </w:p>
    <w:p>
      <w:pPr>
        <w:pStyle w:val="Heading4"/>
        <w:spacing w:line="240" w:lineRule="auto"/>
        <w:ind w:left="237" w:right="0"/>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1079" w:val="left" w:leader="none"/>
        </w:tabs>
        <w:spacing w:line="240" w:lineRule="auto" w:before="56"/>
        <w:ind w:left="237" w:right="0"/>
        <w:jc w:val="left"/>
      </w:pPr>
      <w:r>
        <w:rPr/>
        <w:t>√适用</w:t>
        <w:tab/>
        <w:t>□不适用</w:t>
      </w:r>
    </w:p>
    <w:p>
      <w:pPr>
        <w:spacing w:line="240" w:lineRule="auto" w:before="3"/>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3229"/>
        <w:gridCol w:w="2124"/>
        <w:gridCol w:w="3697"/>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预付款项期末余额</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占预付款项期末余额合计数的比例</w:t>
            </w:r>
            <w:r>
              <w:rPr>
                <w:rFonts w:ascii="宋体" w:hAnsi="宋体" w:cs="宋体" w:eastAsia="宋体" w:hint="default"/>
                <w:sz w:val="21"/>
                <w:szCs w:val="21"/>
              </w:rPr>
              <w:t>%</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东方证券股份有限公司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1,320,754.72</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35.56</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富远网络科技（上海）有限公司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194,174.76</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5.23</w:t>
            </w:r>
          </w:p>
        </w:tc>
      </w:tr>
      <w:tr>
        <w:trPr>
          <w:trHeight w:val="28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招远市方远软件开发有限公司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160,000.00</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4.31</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1,674,929.48</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45.10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left="237" w:right="0"/>
        <w:jc w:val="left"/>
      </w:pPr>
      <w:r>
        <w:rPr/>
        <w:t>其他说明</w:t>
      </w:r>
    </w:p>
    <w:p>
      <w:pPr>
        <w:pStyle w:val="BodyText"/>
        <w:tabs>
          <w:tab w:pos="1079" w:val="left" w:leader="none"/>
        </w:tabs>
        <w:spacing w:line="274" w:lineRule="exact"/>
        <w:ind w:left="237" w:right="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90" w:lineRule="auto" w:before="36"/>
        <w:ind w:left="237" w:right="82"/>
        <w:jc w:val="left"/>
        <w:rPr>
          <w:b w:val="0"/>
          <w:bCs w:val="0"/>
        </w:rPr>
      </w:pPr>
      <w:r>
        <w:rPr>
          <w:rFonts w:ascii="宋体" w:hAnsi="宋体" w:cs="宋体" w:eastAsia="宋体" w:hint="default"/>
        </w:rPr>
        <w:t>6</w:t>
      </w:r>
      <w:r>
        <w:rPr/>
        <w:t>、</w:t>
      </w:r>
      <w:r>
        <w:rPr>
          <w:spacing w:val="-2"/>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4,536,920.09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6,723,842.57</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4,723,074.01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1,790,347.16</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9,259,994.10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8,514,189.73</w:t>
            </w:r>
          </w:p>
        </w:tc>
      </w:tr>
    </w:tbl>
    <w:p>
      <w:pPr>
        <w:spacing w:line="240" w:lineRule="auto" w:before="5"/>
        <w:rPr>
          <w:rFonts w:ascii="宋体" w:hAnsi="宋体" w:cs="宋体" w:eastAsia="宋体" w:hint="default"/>
          <w:sz w:val="15"/>
          <w:szCs w:val="15"/>
        </w:rPr>
      </w:pPr>
    </w:p>
    <w:p>
      <w:pPr>
        <w:pStyle w:val="BodyText"/>
        <w:spacing w:line="274" w:lineRule="exact" w:before="36"/>
        <w:ind w:left="237" w:right="0"/>
        <w:jc w:val="left"/>
      </w:pPr>
      <w:r>
        <w:rPr/>
        <w:t>其他说明：</w:t>
      </w:r>
    </w:p>
    <w:p>
      <w:pPr>
        <w:pStyle w:val="BodyText"/>
        <w:spacing w:line="274" w:lineRule="exact"/>
        <w:ind w:left="23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3"/>
          <w:pgSz w:w="11910" w:h="16840"/>
          <w:pgMar w:footer="1195" w:header="0" w:top="1120" w:bottom="1380" w:left="1040" w:right="1560"/>
        </w:sectPr>
      </w:pPr>
    </w:p>
    <w:p>
      <w:pPr>
        <w:pStyle w:val="Heading4"/>
        <w:spacing w:line="290" w:lineRule="auto" w:before="36"/>
        <w:ind w:left="237" w:right="-14"/>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47,509.13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47,650.79</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保本型理财产品</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4,489,410.96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6,676,191.78</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4,536,920.09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6,723,842.57</w:t>
            </w:r>
          </w:p>
        </w:tc>
      </w:tr>
    </w:tbl>
    <w:p>
      <w:pPr>
        <w:spacing w:line="240" w:lineRule="auto" w:before="2"/>
        <w:rPr>
          <w:rFonts w:ascii="宋体" w:hAnsi="宋体" w:cs="宋体" w:eastAsia="宋体" w:hint="default"/>
          <w:sz w:val="20"/>
          <w:szCs w:val="20"/>
        </w:rPr>
      </w:pPr>
    </w:p>
    <w:p>
      <w:pPr>
        <w:pStyle w:val="Heading4"/>
        <w:spacing w:line="240" w:lineRule="auto" w:before="36"/>
        <w:ind w:left="237" w:right="0"/>
        <w:jc w:val="left"/>
        <w:rPr>
          <w:b w:val="0"/>
          <w:bCs w:val="0"/>
        </w:rPr>
      </w:pPr>
      <w:r>
        <w:rPr>
          <w:rFonts w:ascii="宋体" w:hAnsi="宋体" w:cs="宋体" w:eastAsia="宋体" w:hint="default"/>
        </w:rPr>
        <w:t>(3).</w:t>
      </w:r>
      <w:r>
        <w:rPr/>
        <w:t>重要逾期利息</w:t>
      </w:r>
      <w:r>
        <w:rPr>
          <w:b w:val="0"/>
          <w:bCs w:val="0"/>
        </w:rPr>
      </w:r>
    </w:p>
    <w:p>
      <w:pPr>
        <w:pStyle w:val="BodyText"/>
        <w:spacing w:line="240" w:lineRule="auto" w:before="56"/>
        <w:ind w:left="237" w:right="7474"/>
        <w:jc w:val="left"/>
      </w:pPr>
      <w:r>
        <w:rPr/>
        <w:t>□适用 √不适用</w:t>
      </w:r>
      <w:r>
        <w:rPr>
          <w:w w:val="100"/>
        </w:rPr>
        <w:t> </w:t>
      </w:r>
      <w:r>
        <w:rPr/>
        <w:t>其他说明：</w:t>
      </w:r>
    </w:p>
    <w:p>
      <w:pPr>
        <w:pStyle w:val="BodyText"/>
        <w:tabs>
          <w:tab w:pos="1079" w:val="left" w:leader="none"/>
        </w:tabs>
        <w:spacing w:line="271" w:lineRule="exact"/>
        <w:ind w:left="237" w:right="0"/>
        <w:jc w:val="left"/>
      </w:pPr>
      <w:r>
        <w:rPr/>
        <w:t>□适用</w:t>
        <w:tab/>
        <w:t>√不适用</w:t>
      </w:r>
    </w:p>
    <w:p>
      <w:pPr>
        <w:spacing w:line="240" w:lineRule="auto" w:before="3"/>
        <w:rPr>
          <w:rFonts w:ascii="宋体" w:hAnsi="宋体" w:cs="宋体" w:eastAsia="宋体" w:hint="default"/>
          <w:sz w:val="25"/>
          <w:szCs w:val="25"/>
        </w:rPr>
      </w:pPr>
    </w:p>
    <w:p>
      <w:pPr>
        <w:pStyle w:val="Heading4"/>
        <w:spacing w:line="292" w:lineRule="auto"/>
        <w:ind w:left="237" w:right="7782"/>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spacing w:line="290" w:lineRule="auto" w:before="10"/>
        <w:ind w:left="237" w:right="56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2"/>
        <w:ind w:left="237" w:right="7474"/>
        <w:jc w:val="left"/>
      </w:pPr>
      <w:r>
        <w:rPr/>
        <w:t>□适用 √不适用</w:t>
      </w:r>
      <w:r>
        <w:rPr>
          <w:w w:val="100"/>
        </w:rPr>
        <w:t> </w:t>
      </w:r>
      <w:r>
        <w:rPr/>
        <w:t>其他说明：</w:t>
      </w:r>
    </w:p>
    <w:p>
      <w:pPr>
        <w:pStyle w:val="BodyText"/>
        <w:spacing w:line="271" w:lineRule="exact"/>
        <w:ind w:left="237" w:right="0"/>
        <w:jc w:val="left"/>
      </w:pPr>
      <w:r>
        <w:rPr/>
        <w:t>□适用 √不适用</w:t>
      </w:r>
    </w:p>
    <w:p>
      <w:pPr>
        <w:spacing w:after="0" w:line="271" w:lineRule="exact"/>
        <w:jc w:val="left"/>
        <w:sectPr>
          <w:type w:val="continuous"/>
          <w:pgSz w:w="11910" w:h="16840"/>
          <w:pgMar w:top="1120" w:bottom="1380" w:left="1040" w:right="156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44"/>
          <w:footerReference w:type="default" r:id="rId45"/>
          <w:pgSz w:w="16840" w:h="11910" w:orient="landscape"/>
          <w:pgMar w:header="0" w:footer="0" w:top="800" w:bottom="280" w:left="1380" w:right="1280"/>
        </w:sectPr>
      </w:pPr>
    </w:p>
    <w:p>
      <w:pPr>
        <w:pStyle w:val="Heading4"/>
        <w:spacing w:line="290" w:lineRule="auto" w:before="36"/>
        <w:ind w:left="144" w:right="-13"/>
        <w:jc w:val="left"/>
        <w:rPr>
          <w:b w:val="0"/>
          <w:bCs w:val="0"/>
        </w:rPr>
      </w:pPr>
      <w:r>
        <w:rPr/>
        <w:t>其他应收款</w:t>
      </w:r>
      <w:r>
        <w:rPr>
          <w:w w:val="100"/>
        </w:rPr>
        <w:t> </w:t>
      </w:r>
      <w:r>
        <w:rPr>
          <w:rFonts w:ascii="宋体" w:hAnsi="宋体" w:cs="宋体" w:eastAsia="宋体" w:hint="default"/>
        </w:rPr>
        <w:t>(6).</w:t>
      </w:r>
      <w:r>
        <w:rPr/>
        <w:t>其他应收款分类披露</w:t>
      </w:r>
      <w:r>
        <w:rPr>
          <w:b w:val="0"/>
          <w:bCs w:val="0"/>
        </w:rPr>
      </w:r>
    </w:p>
    <w:p>
      <w:pPr>
        <w:pStyle w:val="BodyText"/>
        <w:spacing w:line="240" w:lineRule="auto" w:before="14"/>
        <w:ind w:left="144"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280"/>
          <w:cols w:num="2" w:equalWidth="0">
            <w:col w:w="2473" w:space="8987"/>
            <w:col w:w="2720"/>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60"/>
        <w:gridCol w:w="1322"/>
        <w:gridCol w:w="1141"/>
        <w:gridCol w:w="1322"/>
        <w:gridCol w:w="1148"/>
        <w:gridCol w:w="1320"/>
        <w:gridCol w:w="1322"/>
        <w:gridCol w:w="1095"/>
        <w:gridCol w:w="1111"/>
        <w:gridCol w:w="1075"/>
        <w:gridCol w:w="1320"/>
      </w:tblGrid>
      <w:tr>
        <w:trPr>
          <w:trHeight w:val="293" w:hRule="exact"/>
        </w:trPr>
        <w:tc>
          <w:tcPr>
            <w:tcW w:w="17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760" w:type="dxa"/>
            <w:vMerge/>
            <w:tcBorders>
              <w:left w:val="single" w:sz="4" w:space="0" w:color="000000"/>
              <w:right w:val="single" w:sz="4" w:space="0" w:color="000000"/>
            </w:tcBorders>
          </w:tcPr>
          <w:p>
            <w:pPr/>
          </w:p>
        </w:tc>
        <w:tc>
          <w:tcPr>
            <w:tcW w:w="2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20" w:type="dxa"/>
            <w:vMerge w:val="restart"/>
            <w:tcBorders>
              <w:top w:val="single" w:sz="4" w:space="0" w:color="000000"/>
              <w:left w:val="single" w:sz="4" w:space="0" w:color="000000"/>
              <w:right w:val="single" w:sz="4" w:space="0" w:color="000000"/>
            </w:tcBorders>
          </w:tcPr>
          <w:p>
            <w:pPr>
              <w:pStyle w:val="TableParagraph"/>
              <w:spacing w:line="272" w:lineRule="exact" w:before="135"/>
              <w:ind w:left="446" w:right="43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20" w:type="dxa"/>
            <w:vMerge w:val="restart"/>
            <w:tcBorders>
              <w:top w:val="single" w:sz="4" w:space="0" w:color="000000"/>
              <w:left w:val="single" w:sz="4" w:space="0" w:color="000000"/>
              <w:right w:val="single" w:sz="4" w:space="0" w:color="000000"/>
            </w:tcBorders>
          </w:tcPr>
          <w:p>
            <w:pPr>
              <w:pStyle w:val="TableParagraph"/>
              <w:spacing w:line="272" w:lineRule="exact" w:before="135"/>
              <w:ind w:left="446" w:right="44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760"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320"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4" w:right="0"/>
              <w:jc w:val="center"/>
              <w:rPr>
                <w:rFonts w:ascii="宋体" w:hAnsi="宋体" w:cs="宋体" w:eastAsia="宋体" w:hint="default"/>
                <w:sz w:val="21"/>
                <w:szCs w:val="21"/>
              </w:rPr>
            </w:pPr>
            <w:r>
              <w:rPr>
                <w:rFonts w:ascii="宋体"/>
                <w:sz w:val="21"/>
              </w:rPr>
              <w:t>(%)</w:t>
            </w:r>
          </w:p>
        </w:tc>
        <w:tc>
          <w:tcPr>
            <w:tcW w:w="1320" w:type="dxa"/>
            <w:vMerge/>
            <w:tcBorders>
              <w:left w:val="single" w:sz="4" w:space="0" w:color="000000"/>
              <w:bottom w:val="single" w:sz="4" w:space="0" w:color="000000"/>
              <w:right w:val="single" w:sz="4" w:space="0" w:color="000000"/>
            </w:tcBorders>
          </w:tcPr>
          <w:p>
            <w:pPr/>
          </w:p>
        </w:tc>
      </w:tr>
      <w:tr>
        <w:trPr>
          <w:trHeight w:val="829"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40" w:lineRule="auto"/>
              <w:ind w:left="26" w:right="38"/>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322"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72" w:lineRule="exact" w:before="27"/>
              <w:ind w:left="26" w:right="38"/>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5,827,546.86</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1,104,472.85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5" w:right="0"/>
              <w:jc w:val="left"/>
              <w:rPr>
                <w:rFonts w:ascii="宋体" w:hAnsi="宋体" w:cs="宋体" w:eastAsia="宋体" w:hint="default"/>
                <w:sz w:val="21"/>
                <w:szCs w:val="21"/>
              </w:rPr>
            </w:pPr>
            <w:r>
              <w:rPr>
                <w:rFonts w:ascii="宋体"/>
                <w:sz w:val="21"/>
              </w:rPr>
              <w:t>18.95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4,723,074.01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2,479,726.02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sz w:val="21"/>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689,378.86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sz w:val="21"/>
              </w:rPr>
              <w:t>27.80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1,790,347.16</w:t>
            </w:r>
          </w:p>
        </w:tc>
      </w:tr>
      <w:tr>
        <w:trPr>
          <w:trHeight w:val="826"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40" w:lineRule="auto"/>
              <w:ind w:left="26" w:right="38"/>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的其他应收款</w:t>
            </w:r>
          </w:p>
        </w:tc>
        <w:tc>
          <w:tcPr>
            <w:tcW w:w="1322"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5,827,546.86</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1,104,472.85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4,723,074.01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2,479,726.02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689,378.86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w w:val="100"/>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1,790,347.16</w:t>
            </w:r>
          </w:p>
        </w:tc>
      </w:tr>
    </w:tbl>
    <w:p>
      <w:pPr>
        <w:spacing w:line="240" w:lineRule="auto" w:before="5"/>
        <w:rPr>
          <w:rFonts w:ascii="宋体" w:hAnsi="宋体" w:cs="宋体" w:eastAsia="宋体" w:hint="default"/>
          <w:sz w:val="15"/>
          <w:szCs w:val="15"/>
        </w:rPr>
      </w:pPr>
    </w:p>
    <w:p>
      <w:pPr>
        <w:pStyle w:val="BodyText"/>
        <w:spacing w:line="274" w:lineRule="exact" w:before="36"/>
        <w:ind w:left="144" w:right="0"/>
        <w:jc w:val="left"/>
      </w:pPr>
      <w:r>
        <w:rPr/>
        <w:t>期末单项金额重大并单项计提坏账准备的其他应收款</w:t>
      </w:r>
    </w:p>
    <w:p>
      <w:pPr>
        <w:pStyle w:val="BodyText"/>
        <w:spacing w:line="274" w:lineRule="exact"/>
        <w:ind w:left="144"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63"/>
        <w:ind w:left="6398" w:right="6414" w:firstLine="0"/>
        <w:jc w:val="center"/>
        <w:rPr>
          <w:rFonts w:ascii="Calibri" w:hAnsi="Calibri" w:cs="Calibri" w:eastAsia="Calibri" w:hint="default"/>
          <w:sz w:val="18"/>
          <w:szCs w:val="18"/>
        </w:rPr>
      </w:pPr>
      <w:r>
        <w:rPr>
          <w:rFonts w:ascii="Calibri"/>
          <w:b/>
          <w:sz w:val="18"/>
        </w:rPr>
        <w:t>102 </w:t>
      </w:r>
      <w:r>
        <w:rPr>
          <w:rFonts w:ascii="Calibri"/>
          <w:sz w:val="18"/>
        </w:rPr>
        <w:t>/</w:t>
      </w:r>
      <w:r>
        <w:rPr>
          <w:rFonts w:ascii="Calibri"/>
          <w:spacing w:val="-5"/>
          <w:sz w:val="18"/>
        </w:rPr>
        <w:t> </w:t>
      </w:r>
      <w:r>
        <w:rPr>
          <w:rFonts w:ascii="Calibri"/>
          <w:b/>
          <w:sz w:val="18"/>
        </w:rPr>
        <w:t>156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46"/>
          <w:pgSz w:w="11910" w:h="16840"/>
          <w:pgMar w:footer="1195" w:header="0" w:top="1120" w:bottom="1380" w:left="1040" w:right="1560"/>
          <w:pgNumType w:start="103"/>
        </w:sectPr>
      </w:pPr>
    </w:p>
    <w:p>
      <w:pPr>
        <w:pStyle w:val="BodyText"/>
        <w:spacing w:line="273" w:lineRule="exact" w:before="36"/>
        <w:ind w:left="237" w:right="0"/>
        <w:jc w:val="left"/>
      </w:pPr>
      <w:r>
        <w:rPr>
          <w:spacing w:val="-2"/>
        </w:rPr>
        <w:t>组合中，按账龄分析法计提坏账准备的其他应收款</w:t>
      </w:r>
    </w:p>
    <w:p>
      <w:pPr>
        <w:pStyle w:val="BodyText"/>
        <w:spacing w:line="273"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863" w:space="1658"/>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415"/>
        <w:gridCol w:w="2245"/>
        <w:gridCol w:w="2170"/>
        <w:gridCol w:w="2233"/>
      </w:tblGrid>
      <w:tr>
        <w:trPr>
          <w:trHeight w:val="283"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15" w:type="dxa"/>
            <w:vMerge/>
            <w:tcBorders>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4,291,022.64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214,551.13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4,291,022.64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214,551.13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5.00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528,475.00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52,847.50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244,250.00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73,275.00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763,799.22</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763,799.22</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5,827,546.86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1,104,472.85</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18.95</w:t>
            </w:r>
          </w:p>
        </w:tc>
      </w:tr>
    </w:tbl>
    <w:p>
      <w:pPr>
        <w:spacing w:line="240" w:lineRule="auto" w:before="5"/>
        <w:rPr>
          <w:rFonts w:ascii="宋体" w:hAnsi="宋体" w:cs="宋体" w:eastAsia="宋体" w:hint="default"/>
          <w:sz w:val="15"/>
          <w:szCs w:val="15"/>
        </w:rPr>
      </w:pPr>
    </w:p>
    <w:p>
      <w:pPr>
        <w:pStyle w:val="BodyText"/>
        <w:spacing w:line="240" w:lineRule="auto" w:before="36"/>
        <w:ind w:left="237" w:right="6591"/>
        <w:jc w:val="left"/>
      </w:pPr>
      <w:r>
        <w:rPr>
          <w:spacing w:val="-2"/>
        </w:rPr>
        <w:t>确定该组合依据的说明：</w:t>
      </w:r>
      <w:r>
        <w:rPr>
          <w:spacing w:val="-83"/>
        </w:rPr>
        <w:t> </w:t>
      </w:r>
      <w:r>
        <w:rPr>
          <w:spacing w:val="-83"/>
        </w:rPr>
      </w:r>
      <w:r>
        <w:rPr/>
        <w:t>无</w:t>
      </w:r>
    </w:p>
    <w:p>
      <w:pPr>
        <w:spacing w:line="240" w:lineRule="auto" w:before="8"/>
        <w:rPr>
          <w:rFonts w:ascii="宋体" w:hAnsi="宋体" w:cs="宋体" w:eastAsia="宋体" w:hint="default"/>
          <w:sz w:val="20"/>
          <w:szCs w:val="20"/>
        </w:rPr>
      </w:pPr>
    </w:p>
    <w:p>
      <w:pPr>
        <w:pStyle w:val="BodyText"/>
        <w:spacing w:line="273" w:lineRule="exact"/>
        <w:ind w:left="237" w:right="0"/>
        <w:jc w:val="left"/>
      </w:pPr>
      <w:r>
        <w:rPr/>
        <w:t>组合中，采用其他方法计提坏账准备的其他应收款</w:t>
      </w:r>
    </w:p>
    <w:p>
      <w:pPr>
        <w:pStyle w:val="BodyText"/>
        <w:spacing w:line="273" w:lineRule="exact"/>
        <w:ind w:left="23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40" w:lineRule="auto" w:before="36"/>
        <w:ind w:left="237" w:right="-13"/>
        <w:jc w:val="left"/>
        <w:rPr>
          <w:b w:val="0"/>
          <w:bCs w:val="0"/>
        </w:rPr>
      </w:pPr>
      <w:r>
        <w:rPr>
          <w:rFonts w:ascii="宋体" w:hAnsi="宋体" w:cs="宋体" w:eastAsia="宋体" w:hint="default"/>
        </w:rPr>
        <w:t>(7).</w:t>
      </w:r>
      <w:r>
        <w:rPr/>
        <w:t>按款项性质分类情况</w:t>
      </w:r>
      <w:r>
        <w:rPr>
          <w:b w:val="0"/>
          <w:bCs w:val="0"/>
        </w:rPr>
      </w:r>
    </w:p>
    <w:p>
      <w:pPr>
        <w:pStyle w:val="BodyText"/>
        <w:spacing w:line="240" w:lineRule="auto" w:before="58"/>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46"/>
            <w:col w:w="279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备用金及其他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751,000.64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398,694.80</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5,076,546.22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2,081,031.22</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5,827,546.86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2,479,726.02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before="36"/>
        <w:ind w:left="237" w:right="0"/>
        <w:jc w:val="left"/>
        <w:rPr>
          <w:b w:val="0"/>
          <w:bCs w:val="0"/>
        </w:rPr>
      </w:pPr>
      <w:r>
        <w:rPr>
          <w:rFonts w:ascii="宋体" w:hAnsi="宋体" w:cs="宋体" w:eastAsia="宋体" w:hint="default"/>
        </w:rPr>
        <w:t>(8).</w:t>
      </w:r>
      <w:r>
        <w:rPr/>
        <w:t>本期计提、收回或转回的坏账准备情况</w:t>
      </w:r>
      <w:r>
        <w:rPr>
          <w:b w:val="0"/>
          <w:bCs w:val="0"/>
        </w:rPr>
      </w:r>
    </w:p>
    <w:p>
      <w:pPr>
        <w:pStyle w:val="BodyText"/>
        <w:spacing w:line="240" w:lineRule="auto" w:before="56"/>
        <w:ind w:left="237" w:right="2024"/>
        <w:jc w:val="left"/>
      </w:pPr>
      <w:r>
        <w:rPr/>
        <w:t>本期计提坏账准备金额</w:t>
      </w:r>
      <w:r>
        <w:rPr>
          <w:spacing w:val="-54"/>
        </w:rPr>
        <w:t> </w:t>
      </w:r>
      <w:r>
        <w:rPr>
          <w:rFonts w:ascii="宋体" w:hAnsi="宋体" w:cs="宋体" w:eastAsia="宋体" w:hint="default"/>
        </w:rPr>
        <w:t>415,093.99</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71" w:lineRule="exact"/>
        <w:ind w:left="237"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37" w:right="0"/>
        <w:jc w:val="left"/>
        <w:rPr>
          <w:b w:val="0"/>
          <w:bCs w:val="0"/>
        </w:rPr>
      </w:pPr>
      <w:r>
        <w:rPr>
          <w:rFonts w:ascii="宋体" w:hAnsi="宋体" w:cs="宋体" w:eastAsia="宋体" w:hint="default"/>
        </w:rPr>
        <w:t>(9).</w:t>
      </w:r>
      <w:r>
        <w:rPr/>
        <w:t>本期实际核销的其他应收款情况</w:t>
      </w:r>
      <w:r>
        <w:rPr>
          <w:b w:val="0"/>
          <w:bCs w:val="0"/>
        </w:rPr>
      </w:r>
    </w:p>
    <w:p>
      <w:pPr>
        <w:pStyle w:val="BodyText"/>
        <w:spacing w:line="240" w:lineRule="auto" w:before="59"/>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40" w:right="1560"/>
        </w:sectPr>
      </w:pPr>
    </w:p>
    <w:p>
      <w:pPr>
        <w:pStyle w:val="Heading4"/>
        <w:tabs>
          <w:tab w:pos="1077" w:val="left" w:leader="none"/>
        </w:tabs>
        <w:spacing w:line="240" w:lineRule="auto" w:before="36"/>
        <w:ind w:left="237" w:right="0"/>
        <w:jc w:val="left"/>
        <w:rPr>
          <w:b w:val="0"/>
          <w:bCs w:val="0"/>
        </w:rPr>
      </w:pPr>
      <w:r>
        <w:rPr>
          <w:rFonts w:ascii="宋体" w:hAnsi="宋体" w:cs="宋体" w:eastAsia="宋体" w:hint="default"/>
          <w:w w:val="95"/>
        </w:rPr>
        <w:t>(10).</w:t>
        <w:tab/>
      </w:r>
      <w:r>
        <w:rPr>
          <w:spacing w:val="-1"/>
        </w:rPr>
        <w:t>按欠款方归集的期末余额前五名的其他应收款情况</w:t>
      </w:r>
      <w:r>
        <w:rPr>
          <w:b w:val="0"/>
          <w:bCs w:val="0"/>
          <w:spacing w:val="-1"/>
        </w:rPr>
      </w:r>
    </w:p>
    <w:p>
      <w:pPr>
        <w:pStyle w:val="BodyText"/>
        <w:spacing w:line="240" w:lineRule="auto" w:before="56"/>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717" w:space="805"/>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432"/>
        <w:gridCol w:w="1551"/>
        <w:gridCol w:w="1409"/>
        <w:gridCol w:w="984"/>
        <w:gridCol w:w="1409"/>
        <w:gridCol w:w="1111"/>
      </w:tblGrid>
      <w:tr>
        <w:trPr>
          <w:trHeight w:val="828"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3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78"/>
              <w:jc w:val="right"/>
              <w:rPr>
                <w:rFonts w:ascii="宋体" w:hAnsi="宋体" w:cs="宋体" w:eastAsia="宋体" w:hint="default"/>
                <w:sz w:val="21"/>
                <w:szCs w:val="21"/>
              </w:rPr>
            </w:pPr>
            <w:r>
              <w:rPr>
                <w:rFonts w:ascii="宋体" w:hAnsi="宋体" w:cs="宋体" w:eastAsia="宋体" w:hint="default"/>
                <w:spacing w:val="-1"/>
                <w:sz w:val="21"/>
                <w:szCs w:val="21"/>
              </w:rPr>
              <w:t>款项的性质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账龄</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22" w:right="65"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125"/>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山东药品食品职业学院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hAnsi="宋体" w:cs="宋体" w:eastAsia="宋体" w:hint="default"/>
                <w:spacing w:val="-1"/>
                <w:sz w:val="21"/>
                <w:szCs w:val="21"/>
              </w:rPr>
              <w:t>押金及保证金</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1,888,500.00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32.41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94,425.00</w:t>
            </w:r>
          </w:p>
        </w:tc>
      </w:tr>
      <w:tr>
        <w:trPr>
          <w:trHeight w:val="281"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厦门国际信托有限公司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hAnsi="宋体" w:cs="宋体" w:eastAsia="宋体" w:hint="default"/>
                <w:spacing w:val="-1"/>
                <w:sz w:val="21"/>
                <w:szCs w:val="21"/>
              </w:rPr>
              <w:t>押金及保证金</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299,500.00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5.14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14,975.00</w:t>
            </w:r>
          </w:p>
        </w:tc>
      </w:tr>
      <w:tr>
        <w:trPr>
          <w:trHeight w:val="55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重庆文化产权交易中心</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hAnsi="宋体" w:cs="宋体" w:eastAsia="宋体" w:hint="default"/>
                <w:spacing w:val="-1"/>
                <w:sz w:val="21"/>
                <w:szCs w:val="21"/>
              </w:rPr>
              <w:t>押金及保证金</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199,900.00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3.43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199,900.00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432"/>
        <w:gridCol w:w="1551"/>
        <w:gridCol w:w="1409"/>
        <w:gridCol w:w="984"/>
        <w:gridCol w:w="1409"/>
        <w:gridCol w:w="1111"/>
      </w:tblGrid>
      <w:tr>
        <w:trPr>
          <w:trHeight w:val="555"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福建省高速公路监控中</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196,056.00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3.36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196,056.00</w:t>
            </w:r>
          </w:p>
        </w:tc>
      </w:tr>
      <w:tr>
        <w:trPr>
          <w:trHeight w:val="28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张娅娜</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160,000.00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2.75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w:t>
            </w:r>
          </w:p>
        </w:tc>
      </w:tr>
      <w:tr>
        <w:trPr>
          <w:trHeight w:val="28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2,743,956.00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47.09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513,356.00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977" w:val="left" w:leader="none"/>
        </w:tabs>
        <w:spacing w:line="240" w:lineRule="auto" w:before="36"/>
        <w:ind w:left="137" w:right="148"/>
        <w:jc w:val="left"/>
        <w:rPr>
          <w:b w:val="0"/>
          <w:bCs w:val="0"/>
        </w:rPr>
      </w:pPr>
      <w:r>
        <w:rPr>
          <w:rFonts w:ascii="宋体" w:hAnsi="宋体" w:cs="宋体" w:eastAsia="宋体" w:hint="default"/>
          <w:w w:val="95"/>
        </w:rPr>
        <w:t>(11).</w:t>
        <w:tab/>
      </w:r>
      <w:r>
        <w:rPr/>
        <w:t>涉及政府补助的应收款项</w:t>
      </w:r>
      <w:r>
        <w:rPr>
          <w:b w:val="0"/>
          <w:bCs w:val="0"/>
        </w:rPr>
      </w:r>
    </w:p>
    <w:p>
      <w:pPr>
        <w:pStyle w:val="BodyText"/>
        <w:spacing w:line="240" w:lineRule="auto" w:before="56"/>
        <w:ind w:left="137" w:right="148"/>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4"/>
        <w:tabs>
          <w:tab w:pos="977" w:val="left" w:leader="none"/>
        </w:tabs>
        <w:spacing w:line="240" w:lineRule="auto"/>
        <w:ind w:left="137" w:right="148"/>
        <w:jc w:val="left"/>
        <w:rPr>
          <w:b w:val="0"/>
          <w:bCs w:val="0"/>
        </w:rPr>
      </w:pPr>
      <w:r>
        <w:rPr>
          <w:rFonts w:ascii="宋体" w:hAnsi="宋体" w:cs="宋体" w:eastAsia="宋体" w:hint="default"/>
          <w:w w:val="95"/>
        </w:rPr>
        <w:t>(12).</w:t>
        <w:tab/>
      </w:r>
      <w:r>
        <w:rPr/>
        <w:t>因金融资产转移而终止确认的其他应收款</w:t>
      </w:r>
      <w:r>
        <w:rPr>
          <w:b w:val="0"/>
          <w:bCs w:val="0"/>
        </w:rPr>
      </w:r>
    </w:p>
    <w:p>
      <w:pPr>
        <w:pStyle w:val="BodyText"/>
        <w:tabs>
          <w:tab w:pos="979" w:val="left" w:leader="none"/>
        </w:tabs>
        <w:spacing w:line="240" w:lineRule="auto" w:before="57"/>
        <w:ind w:left="137" w:right="148"/>
        <w:jc w:val="left"/>
      </w:pPr>
      <w:r>
        <w:rPr/>
        <w:t>□适用</w:t>
        <w:tab/>
        <w:t>√不适用</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ind w:left="137" w:right="148"/>
        <w:jc w:val="left"/>
        <w:rPr>
          <w:b w:val="0"/>
          <w:bCs w:val="0"/>
        </w:rPr>
      </w:pPr>
      <w:r>
        <w:rPr>
          <w:rFonts w:ascii="宋体" w:hAnsi="宋体" w:cs="宋体" w:eastAsia="宋体" w:hint="default"/>
          <w:w w:val="95"/>
        </w:rPr>
        <w:t>(13).</w:t>
        <w:tab/>
      </w:r>
      <w:r>
        <w:rPr/>
        <w:t>转移其他应收款且继续涉入形成的资产、负债的金额</w:t>
      </w:r>
      <w:r>
        <w:rPr>
          <w:b w:val="0"/>
          <w:bCs w:val="0"/>
        </w:rPr>
      </w:r>
    </w:p>
    <w:p>
      <w:pPr>
        <w:pStyle w:val="BodyText"/>
        <w:tabs>
          <w:tab w:pos="979" w:val="left" w:leader="none"/>
        </w:tabs>
        <w:spacing w:line="240" w:lineRule="auto" w:before="56"/>
        <w:ind w:left="137" w:right="148"/>
        <w:jc w:val="left"/>
      </w:pPr>
      <w:r>
        <w:rPr/>
        <w:t>□适用</w:t>
        <w:tab/>
        <w:t>√不适用</w:t>
      </w:r>
    </w:p>
    <w:p>
      <w:pPr>
        <w:spacing w:line="240" w:lineRule="auto" w:before="8"/>
        <w:rPr>
          <w:rFonts w:ascii="宋体" w:hAnsi="宋体" w:cs="宋体" w:eastAsia="宋体" w:hint="default"/>
          <w:sz w:val="20"/>
          <w:szCs w:val="20"/>
        </w:rPr>
      </w:pPr>
    </w:p>
    <w:p>
      <w:pPr>
        <w:pStyle w:val="BodyText"/>
        <w:spacing w:line="274" w:lineRule="exact"/>
        <w:ind w:left="137" w:right="148"/>
        <w:jc w:val="left"/>
      </w:pPr>
      <w:r>
        <w:rPr/>
        <w:t>其他说明：</w:t>
      </w:r>
    </w:p>
    <w:p>
      <w:pPr>
        <w:pStyle w:val="BodyText"/>
        <w:tabs>
          <w:tab w:pos="979" w:val="left" w:leader="none"/>
        </w:tabs>
        <w:spacing w:line="274" w:lineRule="exact"/>
        <w:ind w:left="137" w:right="148"/>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140" w:right="1640"/>
        </w:sectPr>
      </w:pPr>
    </w:p>
    <w:p>
      <w:pPr>
        <w:pStyle w:val="Heading4"/>
        <w:spacing w:line="290" w:lineRule="auto" w:before="36"/>
        <w:ind w:left="137"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4"/>
        <w:ind w:left="1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715" w:space="4807"/>
            <w:col w:w="260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48"/>
        <w:gridCol w:w="1431"/>
        <w:gridCol w:w="890"/>
        <w:gridCol w:w="1433"/>
        <w:gridCol w:w="1433"/>
        <w:gridCol w:w="1030"/>
        <w:gridCol w:w="1431"/>
      </w:tblGrid>
      <w:tr>
        <w:trPr>
          <w:trHeight w:val="281" w:hRule="exact"/>
        </w:trPr>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1248" w:type="dxa"/>
            <w:vMerge/>
            <w:tcBorders>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7"/>
              <w:jc w:val="right"/>
              <w:rPr>
                <w:rFonts w:ascii="宋体" w:hAnsi="宋体" w:cs="宋体" w:eastAsia="宋体" w:hint="default"/>
                <w:sz w:val="21"/>
                <w:szCs w:val="21"/>
              </w:rPr>
            </w:pPr>
            <w:r>
              <w:rPr>
                <w:rFonts w:ascii="宋体" w:hAnsi="宋体" w:cs="宋体" w:eastAsia="宋体" w:hint="default"/>
                <w:spacing w:val="-1"/>
                <w:sz w:val="21"/>
                <w:szCs w:val="21"/>
              </w:rPr>
              <w:t>库存商品</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4,924.46</w:t>
            </w:r>
          </w:p>
        </w:tc>
        <w:tc>
          <w:tcPr>
            <w:tcW w:w="89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4,924.46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94,278.20</w:t>
            </w:r>
          </w:p>
        </w:tc>
        <w:tc>
          <w:tcPr>
            <w:tcW w:w="103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94,278.20</w:t>
            </w:r>
          </w:p>
        </w:tc>
      </w:tr>
      <w:tr>
        <w:trPr>
          <w:trHeight w:val="28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7"/>
              <w:jc w:val="right"/>
              <w:rPr>
                <w:rFonts w:ascii="宋体" w:hAnsi="宋体" w:cs="宋体" w:eastAsia="宋体" w:hint="default"/>
                <w:sz w:val="21"/>
                <w:szCs w:val="21"/>
              </w:rPr>
            </w:pPr>
            <w:r>
              <w:rPr>
                <w:rFonts w:ascii="宋体" w:hAnsi="宋体" w:cs="宋体" w:eastAsia="宋体" w:hint="default"/>
                <w:spacing w:val="-1"/>
                <w:sz w:val="21"/>
                <w:szCs w:val="21"/>
              </w:rPr>
              <w:t>发出商品</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1,674,329.14</w:t>
            </w:r>
          </w:p>
        </w:tc>
        <w:tc>
          <w:tcPr>
            <w:tcW w:w="89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1,674,329.14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2,365,686.14</w:t>
            </w:r>
          </w:p>
        </w:tc>
        <w:tc>
          <w:tcPr>
            <w:tcW w:w="103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2,365,686.14</w:t>
            </w:r>
          </w:p>
        </w:tc>
      </w:tr>
      <w:tr>
        <w:trPr>
          <w:trHeight w:val="28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7"/>
              <w:jc w:val="right"/>
              <w:rPr>
                <w:rFonts w:ascii="宋体" w:hAnsi="宋体" w:cs="宋体" w:eastAsia="宋体" w:hint="default"/>
                <w:sz w:val="21"/>
                <w:szCs w:val="21"/>
              </w:rPr>
            </w:pPr>
            <w:r>
              <w:rPr>
                <w:rFonts w:ascii="宋体" w:hAnsi="宋体" w:cs="宋体" w:eastAsia="宋体" w:hint="default"/>
                <w:spacing w:val="-1"/>
                <w:sz w:val="21"/>
                <w:szCs w:val="21"/>
              </w:rPr>
              <w:t>劳务成本</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51,581,154.39</w:t>
            </w:r>
          </w:p>
        </w:tc>
        <w:tc>
          <w:tcPr>
            <w:tcW w:w="89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51,581,154.39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49,841,871.28</w:t>
            </w:r>
          </w:p>
        </w:tc>
        <w:tc>
          <w:tcPr>
            <w:tcW w:w="103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49,841,871.28</w:t>
            </w:r>
          </w:p>
        </w:tc>
      </w:tr>
      <w:tr>
        <w:trPr>
          <w:trHeight w:val="28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8"/>
              <w:jc w:val="right"/>
              <w:rPr>
                <w:rFonts w:ascii="宋体" w:hAnsi="宋体" w:cs="宋体" w:eastAsia="宋体" w:hint="default"/>
                <w:sz w:val="21"/>
                <w:szCs w:val="21"/>
              </w:rPr>
            </w:pPr>
            <w:r>
              <w:rPr>
                <w:rFonts w:ascii="宋体" w:hAnsi="宋体" w:cs="宋体" w:eastAsia="宋体" w:hint="default"/>
                <w:sz w:val="21"/>
                <w:szCs w:val="21"/>
              </w:rPr>
              <w:t>合计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53,260,407.99</w:t>
            </w:r>
          </w:p>
        </w:tc>
        <w:tc>
          <w:tcPr>
            <w:tcW w:w="89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53,260,407.99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52,301,835.62</w:t>
            </w:r>
          </w:p>
        </w:tc>
        <w:tc>
          <w:tcPr>
            <w:tcW w:w="1030"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52,301,835.62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before="36"/>
        <w:ind w:left="137" w:right="148"/>
        <w:jc w:val="left"/>
        <w:rPr>
          <w:b w:val="0"/>
          <w:bCs w:val="0"/>
        </w:rPr>
      </w:pPr>
      <w:r>
        <w:rPr>
          <w:rFonts w:ascii="宋体" w:hAnsi="宋体" w:cs="宋体" w:eastAsia="宋体" w:hint="default"/>
        </w:rPr>
        <w:t>(2).</w:t>
      </w:r>
      <w:r>
        <w:rPr/>
        <w:t>存货跌价准备</w:t>
      </w:r>
      <w:r>
        <w:rPr>
          <w:b w:val="0"/>
          <w:bCs w:val="0"/>
        </w:rPr>
      </w:r>
    </w:p>
    <w:p>
      <w:pPr>
        <w:spacing w:line="290" w:lineRule="auto" w:before="57"/>
        <w:ind w:left="137" w:right="43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pStyle w:val="BodyText"/>
        <w:tabs>
          <w:tab w:pos="979" w:val="left" w:leader="none"/>
        </w:tabs>
        <w:spacing w:line="240" w:lineRule="auto" w:before="12"/>
        <w:ind w:left="137" w:right="148"/>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7" w:right="148"/>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72" w:lineRule="exact" w:before="86"/>
        <w:ind w:left="137" w:right="7394"/>
        <w:jc w:val="left"/>
      </w:pPr>
      <w:r>
        <w:rPr/>
        <w:t>□适用 √不适用</w:t>
      </w:r>
      <w:r>
        <w:rPr>
          <w:w w:val="100"/>
        </w:rPr>
        <w:t> </w:t>
      </w:r>
      <w:r>
        <w:rPr/>
        <w:t>其他说明</w:t>
      </w:r>
    </w:p>
    <w:p>
      <w:pPr>
        <w:pStyle w:val="BodyText"/>
        <w:tabs>
          <w:tab w:pos="979" w:val="left" w:leader="none"/>
        </w:tabs>
        <w:spacing w:line="249" w:lineRule="exact"/>
        <w:ind w:left="137" w:right="148"/>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ind w:left="137" w:right="148"/>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6"/>
        <w:ind w:left="137" w:right="148"/>
        <w:jc w:val="left"/>
      </w:pPr>
      <w:r>
        <w:rPr/>
        <w:t>□适用 √不适用</w:t>
      </w:r>
    </w:p>
    <w:p>
      <w:pPr>
        <w:spacing w:after="0" w:line="240" w:lineRule="auto"/>
        <w:jc w:val="left"/>
        <w:sectPr>
          <w:type w:val="continuous"/>
          <w:pgSz w:w="11910" w:h="16840"/>
          <w:pgMar w:top="1120" w:bottom="1380" w:left="1140" w:right="1640"/>
        </w:sectPr>
      </w:pPr>
    </w:p>
    <w:p>
      <w:pPr>
        <w:spacing w:line="240" w:lineRule="auto" w:before="9"/>
        <w:rPr>
          <w:rFonts w:ascii="宋体" w:hAnsi="宋体" w:cs="宋体" w:eastAsia="宋体" w:hint="default"/>
          <w:sz w:val="18"/>
          <w:szCs w:val="18"/>
        </w:rPr>
      </w:pPr>
    </w:p>
    <w:p>
      <w:pPr>
        <w:pStyle w:val="Heading4"/>
        <w:spacing w:line="240" w:lineRule="auto" w:before="36"/>
        <w:ind w:left="217" w:right="227"/>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6"/>
        <w:ind w:left="217" w:right="227"/>
        <w:jc w:val="left"/>
      </w:pPr>
      <w:r>
        <w:rPr/>
        <w:t>□适用 √不适用</w:t>
      </w:r>
    </w:p>
    <w:p>
      <w:pPr>
        <w:spacing w:line="240" w:lineRule="auto" w:before="8"/>
        <w:rPr>
          <w:rFonts w:ascii="宋体" w:hAnsi="宋体" w:cs="宋体" w:eastAsia="宋体" w:hint="default"/>
          <w:sz w:val="20"/>
          <w:szCs w:val="20"/>
        </w:rPr>
      </w:pPr>
    </w:p>
    <w:p>
      <w:pPr>
        <w:pStyle w:val="BodyText"/>
        <w:spacing w:line="240" w:lineRule="auto"/>
        <w:ind w:left="217" w:right="8217"/>
        <w:jc w:val="left"/>
      </w:pPr>
      <w:r>
        <w:rPr>
          <w:spacing w:val="-2"/>
        </w:rPr>
        <w:t>其他说明</w:t>
      </w:r>
      <w:r>
        <w:rPr>
          <w:spacing w:val="-99"/>
        </w:rPr>
        <w:t> </w:t>
      </w:r>
      <w:r>
        <w:rPr>
          <w:spacing w:val="-99"/>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60" w:right="1560"/>
        </w:sectPr>
      </w:pPr>
    </w:p>
    <w:p>
      <w:pPr>
        <w:pStyle w:val="Heading4"/>
        <w:spacing w:line="240" w:lineRule="auto" w:before="36"/>
        <w:ind w:left="217" w:right="-19"/>
        <w:jc w:val="left"/>
        <w:rPr>
          <w:b w:val="0"/>
          <w:bCs w:val="0"/>
        </w:rPr>
      </w:pPr>
      <w:r>
        <w:rPr>
          <w:rFonts w:ascii="宋体" w:hAnsi="宋体" w:cs="宋体" w:eastAsia="宋体" w:hint="default"/>
        </w:rPr>
        <w:t>10</w:t>
      </w:r>
      <w:r>
        <w:rPr/>
        <w:t>、</w:t>
      </w:r>
      <w:r>
        <w:rPr>
          <w:spacing w:val="-23"/>
        </w:rPr>
        <w:t> </w:t>
      </w:r>
      <w:r>
        <w:rPr/>
        <w:t>其他流动资产</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待抵扣进项税额</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1,075,214.10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待认证进项税额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3,100.89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8,719.43</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保本型理财产品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580,000,000.00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580,003,100.89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601,083,933.53</w:t>
            </w:r>
          </w:p>
        </w:tc>
      </w:tr>
    </w:tbl>
    <w:p>
      <w:pPr>
        <w:spacing w:line="240" w:lineRule="auto" w:before="5"/>
        <w:rPr>
          <w:rFonts w:ascii="宋体" w:hAnsi="宋体" w:cs="宋体" w:eastAsia="宋体" w:hint="default"/>
          <w:sz w:val="15"/>
          <w:szCs w:val="15"/>
        </w:rPr>
      </w:pPr>
    </w:p>
    <w:p>
      <w:pPr>
        <w:pStyle w:val="BodyText"/>
        <w:spacing w:line="240" w:lineRule="auto" w:before="36"/>
        <w:ind w:left="217" w:right="8209"/>
        <w:jc w:val="left"/>
      </w:pPr>
      <w:r>
        <w:rPr/>
        <w:t>其他说明</w:t>
      </w:r>
      <w:r>
        <w:rPr>
          <w:w w:val="100"/>
        </w:rPr>
        <w:t> </w:t>
      </w:r>
      <w:r>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90" w:lineRule="auto"/>
        <w:ind w:left="217" w:right="6517"/>
        <w:jc w:val="left"/>
        <w:rPr>
          <w:b w:val="0"/>
          <w:bCs w:val="0"/>
        </w:rPr>
      </w:pPr>
      <w:r>
        <w:rPr>
          <w:rFonts w:ascii="宋体" w:hAnsi="宋体" w:cs="宋体" w:eastAsia="宋体" w:hint="default"/>
        </w:rPr>
        <w:t>11</w:t>
      </w:r>
      <w:r>
        <w:rPr/>
        <w:t>、</w:t>
      </w:r>
      <w:r>
        <w:rPr>
          <w:spacing w:val="-25"/>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spacing w:line="290" w:lineRule="auto" w:before="12"/>
        <w:ind w:left="21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90" w:lineRule="auto" w:before="15"/>
        <w:ind w:left="217" w:right="52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90" w:lineRule="auto" w:before="14"/>
        <w:ind w:left="217" w:right="46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pStyle w:val="Heading4"/>
        <w:spacing w:line="290" w:lineRule="auto" w:before="14"/>
        <w:ind w:left="217" w:right="22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1"/>
        </w:rPr>
        <w:t>(5).</w:t>
      </w:r>
      <w:r>
        <w:rPr>
          <w:spacing w:val="-1"/>
        </w:rPr>
        <w:t>可供出售权益工具期末公允价值严重下跌或非暂时性下跌但未计提减值准备的相关说明</w:t>
      </w:r>
      <w:r>
        <w:rPr>
          <w:b w:val="0"/>
          <w:bCs w:val="0"/>
          <w:spacing w:val="-1"/>
        </w:rPr>
      </w:r>
    </w:p>
    <w:p>
      <w:pPr>
        <w:pStyle w:val="BodyText"/>
        <w:spacing w:line="272" w:lineRule="exact" w:before="42"/>
        <w:ind w:left="217" w:right="7474"/>
        <w:jc w:val="left"/>
      </w:pPr>
      <w:r>
        <w:rPr/>
        <w:t>□适用 √不适用</w:t>
      </w:r>
      <w:r>
        <w:rPr>
          <w:w w:val="100"/>
        </w:rPr>
        <w:t> </w:t>
      </w:r>
      <w:r>
        <w:rPr/>
        <w:t>其他说明</w:t>
      </w:r>
    </w:p>
    <w:p>
      <w:pPr>
        <w:pStyle w:val="BodyText"/>
        <w:spacing w:line="249"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left="217" w:right="6728"/>
        <w:jc w:val="left"/>
        <w:rPr>
          <w:b w:val="0"/>
          <w:bCs w:val="0"/>
        </w:rPr>
      </w:pPr>
      <w:r>
        <w:rPr>
          <w:rFonts w:ascii="宋体" w:hAnsi="宋体" w:cs="宋体" w:eastAsia="宋体" w:hint="default"/>
        </w:rPr>
        <w:t>12</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spacing w:line="290" w:lineRule="auto" w:before="14"/>
        <w:ind w:left="217" w:right="60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90" w:lineRule="auto" w:before="14"/>
        <w:ind w:left="217" w:right="5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059" w:val="left" w:leader="none"/>
        </w:tabs>
        <w:spacing w:line="240" w:lineRule="auto" w:before="14"/>
        <w:ind w:left="217" w:right="227"/>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left="217" w:right="227"/>
        <w:jc w:val="left"/>
      </w:pPr>
      <w:r>
        <w:rPr/>
        <w:t>其他说明：</w:t>
      </w:r>
    </w:p>
    <w:p>
      <w:pPr>
        <w:pStyle w:val="BodyText"/>
        <w:spacing w:line="273" w:lineRule="exact"/>
        <w:ind w:left="217" w:right="227"/>
        <w:jc w:val="left"/>
      </w:pPr>
      <w:r>
        <w:rPr/>
        <w:t>□适用 √不适用</w:t>
      </w:r>
    </w:p>
    <w:p>
      <w:pPr>
        <w:spacing w:after="0" w:line="273" w:lineRule="exact"/>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90" w:lineRule="auto" w:before="36"/>
        <w:ind w:left="137" w:right="7050"/>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spacing w:line="290" w:lineRule="auto" w:before="14"/>
        <w:ind w:left="137" w:right="4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pStyle w:val="BodyText"/>
        <w:tabs>
          <w:tab w:pos="979" w:val="left" w:leader="none"/>
        </w:tabs>
        <w:spacing w:line="240" w:lineRule="auto" w:before="14"/>
        <w:ind w:left="137"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7" w:right="0"/>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tabs>
          <w:tab w:pos="979" w:val="left" w:leader="none"/>
        </w:tabs>
        <w:spacing w:line="240" w:lineRule="auto" w:before="56"/>
        <w:ind w:left="137" w:right="0"/>
        <w:jc w:val="left"/>
      </w:pPr>
      <w:r>
        <w:rPr/>
        <w:t>□适用</w:t>
        <w:tab/>
        <w:t>√不适用</w:t>
      </w:r>
    </w:p>
    <w:p>
      <w:pPr>
        <w:spacing w:line="240" w:lineRule="auto" w:before="8"/>
        <w:rPr>
          <w:rFonts w:ascii="宋体" w:hAnsi="宋体" w:cs="宋体" w:eastAsia="宋体" w:hint="default"/>
          <w:sz w:val="20"/>
          <w:szCs w:val="20"/>
        </w:rPr>
      </w:pPr>
    </w:p>
    <w:p>
      <w:pPr>
        <w:pStyle w:val="BodyText"/>
        <w:spacing w:line="274" w:lineRule="exact"/>
        <w:ind w:left="137" w:right="0"/>
        <w:jc w:val="left"/>
      </w:pPr>
      <w:r>
        <w:rPr/>
        <w:t>其他说明</w:t>
      </w:r>
    </w:p>
    <w:p>
      <w:pPr>
        <w:pStyle w:val="BodyText"/>
        <w:spacing w:line="274" w:lineRule="exact"/>
        <w:ind w:left="137" w:right="0"/>
        <w:jc w:val="left"/>
      </w:pPr>
      <w:r>
        <w:rPr/>
        <w:t>□适用 √不适用</w:t>
      </w:r>
    </w:p>
    <w:p>
      <w:pPr>
        <w:spacing w:after="0" w:line="274" w:lineRule="exact"/>
        <w:jc w:val="left"/>
        <w:sectPr>
          <w:pgSz w:w="11910" w:h="16840"/>
          <w:pgMar w:header="0" w:footer="1195" w:top="1120" w:bottom="1380" w:left="1140" w:right="1660"/>
        </w:sectPr>
      </w:pPr>
    </w:p>
    <w:p>
      <w:pPr>
        <w:spacing w:before="20"/>
        <w:ind w:left="6478" w:right="649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47"/>
          <w:footerReference w:type="default" r:id="rId48"/>
          <w:pgSz w:w="16840" w:h="11910" w:orient="landscape"/>
          <w:pgMar w:header="0" w:footer="0" w:top="800" w:bottom="280" w:left="1300" w:right="1220"/>
        </w:sectPr>
      </w:pPr>
    </w:p>
    <w:p>
      <w:pPr>
        <w:pStyle w:val="Heading4"/>
        <w:spacing w:line="240" w:lineRule="auto" w:before="36"/>
        <w:ind w:left="224" w:right="-19"/>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56"/>
        <w:ind w:left="22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20"/>
          <w:cols w:num="2" w:equalWidth="0">
            <w:col w:w="1996" w:space="9567"/>
            <w:col w:w="275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82"/>
        <w:gridCol w:w="809"/>
        <w:gridCol w:w="1551"/>
        <w:gridCol w:w="862"/>
        <w:gridCol w:w="1409"/>
        <w:gridCol w:w="1100"/>
        <w:gridCol w:w="1106"/>
        <w:gridCol w:w="1219"/>
        <w:gridCol w:w="1208"/>
        <w:gridCol w:w="763"/>
        <w:gridCol w:w="1615"/>
        <w:gridCol w:w="1167"/>
      </w:tblGrid>
      <w:tr>
        <w:trPr>
          <w:trHeight w:val="283"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89" w:right="18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921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61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95" w:right="587"/>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60" w:right="151"/>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6" w:hRule="exact"/>
        </w:trPr>
        <w:tc>
          <w:tcPr>
            <w:tcW w:w="1282"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追加投资</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9" w:right="107" w:hanging="209"/>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权益法下确</w:t>
            </w:r>
          </w:p>
          <w:p>
            <w:pPr>
              <w:pStyle w:val="TableParagraph"/>
              <w:spacing w:line="240" w:lineRule="auto"/>
              <w:ind w:left="592" w:right="170" w:hanging="420"/>
              <w:jc w:val="left"/>
              <w:rPr>
                <w:rFonts w:ascii="宋体" w:hAnsi="宋体" w:cs="宋体" w:eastAsia="宋体" w:hint="default"/>
                <w:sz w:val="21"/>
                <w:szCs w:val="21"/>
              </w:rPr>
            </w:pPr>
            <w:r>
              <w:rPr>
                <w:rFonts w:ascii="宋体" w:hAnsi="宋体" w:cs="宋体" w:eastAsia="宋体" w:hint="default"/>
                <w:sz w:val="21"/>
                <w:szCs w:val="21"/>
              </w:rPr>
              <w:t>认的投资损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4" w:right="120"/>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38" w:right="125"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40" w:lineRule="auto"/>
              <w:ind w:left="288" w:right="180"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91" w:right="173" w:hanging="212"/>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5"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r>
      <w:tr>
        <w:trPr>
          <w:trHeight w:val="283"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4"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09"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2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东吴软件技</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术（北京）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809"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2,000,000.00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434,950.53</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2,434,950.53</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09"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2,000,000.00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434,950.53</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2,434,950.53</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09"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 w:right="0"/>
              <w:jc w:val="center"/>
              <w:rPr>
                <w:rFonts w:ascii="宋体" w:hAnsi="宋体" w:cs="宋体" w:eastAsia="宋体" w:hint="default"/>
                <w:sz w:val="21"/>
                <w:szCs w:val="21"/>
              </w:rPr>
            </w:pPr>
            <w:r>
              <w:rPr>
                <w:rFonts w:ascii="宋体"/>
                <w:sz w:val="21"/>
              </w:rPr>
              <w:t>2,000,000.00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434,950.53</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2,434,950.53</w:t>
            </w:r>
          </w:p>
        </w:tc>
        <w:tc>
          <w:tcPr>
            <w:tcW w:w="11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left="224" w:right="13234"/>
        <w:jc w:val="left"/>
      </w:pPr>
      <w:r>
        <w:rPr/>
        <w:t>其他说明</w:t>
      </w:r>
      <w:r>
        <w:rPr>
          <w:w w:val="100"/>
        </w:rPr>
        <w:t> </w:t>
      </w: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63"/>
        <w:ind w:left="6478" w:right="6477" w:firstLine="0"/>
        <w:jc w:val="center"/>
        <w:rPr>
          <w:rFonts w:ascii="Calibri" w:hAnsi="Calibri" w:cs="Calibri" w:eastAsia="Calibri" w:hint="default"/>
          <w:sz w:val="18"/>
          <w:szCs w:val="18"/>
        </w:rPr>
      </w:pPr>
      <w:r>
        <w:rPr>
          <w:rFonts w:ascii="Calibri"/>
          <w:b/>
          <w:sz w:val="18"/>
        </w:rPr>
        <w:t>107 </w:t>
      </w:r>
      <w:r>
        <w:rPr>
          <w:rFonts w:ascii="Calibri"/>
          <w:sz w:val="18"/>
        </w:rPr>
        <w:t>/</w:t>
      </w:r>
      <w:r>
        <w:rPr>
          <w:rFonts w:ascii="Calibri"/>
          <w:spacing w:val="-5"/>
          <w:sz w:val="18"/>
        </w:rPr>
        <w:t> </w:t>
      </w:r>
      <w:r>
        <w:rPr>
          <w:rFonts w:ascii="Calibri"/>
          <w:b/>
          <w:sz w:val="18"/>
        </w:rPr>
        <w:t>156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27"/>
          <w:szCs w:val="27"/>
        </w:rPr>
      </w:pPr>
    </w:p>
    <w:p>
      <w:pPr>
        <w:pStyle w:val="Heading4"/>
        <w:spacing w:line="240" w:lineRule="auto" w:before="36"/>
        <w:ind w:left="237" w:right="0"/>
        <w:jc w:val="left"/>
        <w:rPr>
          <w:b w:val="0"/>
          <w:bCs w:val="0"/>
        </w:rPr>
      </w:pPr>
      <w:r>
        <w:rPr>
          <w:rFonts w:ascii="宋体" w:hAnsi="宋体" w:cs="宋体" w:eastAsia="宋体" w:hint="default"/>
        </w:rPr>
        <w:t>15</w:t>
      </w:r>
      <w:r>
        <w:rPr/>
        <w:t>、</w:t>
      </w:r>
      <w:r>
        <w:rPr>
          <w:spacing w:val="-23"/>
        </w:rPr>
        <w:t> </w:t>
      </w:r>
      <w:r>
        <w:rPr/>
        <w:t>投资性房地产</w:t>
      </w:r>
      <w:r>
        <w:rPr>
          <w:b w:val="0"/>
          <w:bCs w:val="0"/>
        </w:rPr>
      </w:r>
    </w:p>
    <w:p>
      <w:pPr>
        <w:pStyle w:val="BodyText"/>
        <w:spacing w:line="272" w:lineRule="exact" w:before="86"/>
        <w:ind w:left="237" w:right="6591"/>
        <w:jc w:val="left"/>
      </w:pPr>
      <w:r>
        <w:rPr>
          <w:spacing w:val="-2"/>
        </w:rPr>
        <w:t>投资性房地产计量模式</w:t>
      </w:r>
      <w:r>
        <w:rPr>
          <w:spacing w:val="-86"/>
        </w:rPr>
        <w:t> </w:t>
      </w:r>
      <w:r>
        <w:rPr>
          <w:spacing w:val="-86"/>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9"/>
          <w:pgSz w:w="11910" w:h="16840"/>
          <w:pgMar w:footer="1195" w:header="0" w:top="1120" w:bottom="1380" w:left="1040" w:right="1560"/>
          <w:pgNumType w:start="108"/>
        </w:sectPr>
      </w:pPr>
    </w:p>
    <w:p>
      <w:pPr>
        <w:pStyle w:val="Heading4"/>
        <w:spacing w:line="290" w:lineRule="auto" w:before="36"/>
        <w:ind w:left="237" w:right="209"/>
        <w:jc w:val="left"/>
        <w:rPr>
          <w:b w:val="0"/>
          <w:bCs w:val="0"/>
        </w:rPr>
      </w:pPr>
      <w:r>
        <w:rPr>
          <w:rFonts w:ascii="宋体" w:hAnsi="宋体" w:cs="宋体" w:eastAsia="宋体" w:hint="default"/>
        </w:rPr>
        <w:t>16</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54,719,235.65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38,782,885.33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54,719,235.65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38,782,885.33</w:t>
            </w:r>
          </w:p>
        </w:tc>
      </w:tr>
    </w:tbl>
    <w:p>
      <w:pPr>
        <w:spacing w:line="240" w:lineRule="auto" w:before="5"/>
        <w:rPr>
          <w:rFonts w:ascii="宋体" w:hAnsi="宋体" w:cs="宋体" w:eastAsia="宋体" w:hint="default"/>
          <w:sz w:val="15"/>
          <w:szCs w:val="15"/>
        </w:rPr>
      </w:pPr>
    </w:p>
    <w:p>
      <w:pPr>
        <w:pStyle w:val="BodyText"/>
        <w:spacing w:line="273" w:lineRule="exact" w:before="36"/>
        <w:ind w:left="237" w:right="0"/>
        <w:jc w:val="left"/>
      </w:pPr>
      <w:r>
        <w:rPr/>
        <w:t>其他说明：</w:t>
      </w:r>
    </w:p>
    <w:p>
      <w:pPr>
        <w:pStyle w:val="BodyText"/>
        <w:spacing w:line="273" w:lineRule="exact"/>
        <w:ind w:left="23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90" w:lineRule="auto" w:before="36"/>
        <w:ind w:left="237" w:right="-14"/>
        <w:jc w:val="left"/>
        <w:rPr>
          <w:b w:val="0"/>
          <w:bCs w:val="0"/>
        </w:rPr>
      </w:pPr>
      <w:r>
        <w:rPr/>
        <w:t>固定资产</w:t>
      </w:r>
      <w:r>
        <w:rPr>
          <w:w w:val="100"/>
        </w:rPr>
        <w:t> </w:t>
      </w:r>
      <w:r>
        <w:rPr>
          <w:rFonts w:ascii="宋体" w:hAnsi="宋体" w:cs="宋体" w:eastAsia="宋体" w:hint="default"/>
        </w:rPr>
        <w:t>(2).</w:t>
      </w:r>
      <w:r>
        <w:rPr/>
        <w:t>固定资产情况</w:t>
      </w:r>
      <w:r>
        <w:rPr>
          <w:b w:val="0"/>
          <w:bCs w:val="0"/>
        </w:rPr>
      </w:r>
    </w:p>
    <w:p>
      <w:pPr>
        <w:pStyle w:val="BodyText"/>
        <w:spacing w:line="240" w:lineRule="auto" w:before="12"/>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19"/>
        <w:gridCol w:w="1592"/>
        <w:gridCol w:w="1486"/>
        <w:gridCol w:w="1486"/>
        <w:gridCol w:w="1488"/>
        <w:gridCol w:w="1592"/>
      </w:tblGrid>
      <w:tr>
        <w:trPr>
          <w:trHeight w:val="28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47,623,785.46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5,181,394.63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6,049,792.15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1,720,271.52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60,575,243.76</w:t>
            </w: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19,094,210.00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1,014,555.54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739,469.30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168,370.49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21,016,605.33</w:t>
            </w: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购置</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19,094,210.00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1,014,555.54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739,469.30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168,370.49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21,016,605.33</w:t>
            </w:r>
          </w:p>
        </w:tc>
      </w:tr>
      <w:tr>
        <w:trPr>
          <w:trHeight w:val="8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p>
            <w:pPr>
              <w:pStyle w:val="TableParagraph"/>
              <w:spacing w:line="240" w:lineRule="auto"/>
              <w:ind w:left="108" w:right="245"/>
              <w:jc w:val="left"/>
              <w:rPr>
                <w:rFonts w:ascii="宋体" w:hAnsi="宋体" w:cs="宋体" w:eastAsia="宋体" w:hint="default"/>
                <w:sz w:val="21"/>
                <w:szCs w:val="21"/>
              </w:rPr>
            </w:pPr>
            <w:r>
              <w:rPr>
                <w:rFonts w:ascii="宋体" w:hAnsi="宋体" w:cs="宋体" w:eastAsia="宋体" w:hint="default"/>
                <w:sz w:val="21"/>
                <w:szCs w:val="21"/>
              </w:rPr>
              <w:t>在建工程转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p>
          <w:p>
            <w:pPr>
              <w:pStyle w:val="TableParagraph"/>
              <w:spacing w:line="272" w:lineRule="exact" w:before="27"/>
              <w:ind w:left="108" w:right="245"/>
              <w:jc w:val="left"/>
              <w:rPr>
                <w:rFonts w:ascii="宋体" w:hAnsi="宋体" w:cs="宋体" w:eastAsia="宋体" w:hint="default"/>
                <w:sz w:val="21"/>
                <w:szCs w:val="21"/>
              </w:rPr>
            </w:pPr>
            <w:r>
              <w:rPr>
                <w:rFonts w:ascii="宋体" w:hAnsi="宋体" w:cs="宋体" w:eastAsia="宋体" w:hint="default"/>
                <w:sz w:val="21"/>
                <w:szCs w:val="21"/>
              </w:rPr>
              <w:t>企业合并增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566,425.29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414,606.33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63,366.00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1,044,397.62</w:t>
            </w: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处置或报废</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566,425.29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414,606.33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63,366.00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1,044,397.62</w:t>
            </w: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66,717,995.46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5,629,524.88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6,374,655.12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1,825,276.01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80,547,451.47</w:t>
            </w: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pacing w:val="-13"/>
                <w:sz w:val="21"/>
                <w:szCs w:val="21"/>
              </w:rPr>
              <w:t>二、累计折旧</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14,088,788.66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2,840,111.92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3,861,507.13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1,001,950.72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21,792,358.43</w:t>
            </w: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3,050,190.08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481,748.76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1,231,613.70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283,214.37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5,046,766.91</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419"/>
        <w:gridCol w:w="1592"/>
        <w:gridCol w:w="1486"/>
        <w:gridCol w:w="1486"/>
        <w:gridCol w:w="1488"/>
        <w:gridCol w:w="1592"/>
      </w:tblGrid>
      <w:tr>
        <w:trPr>
          <w:trHeight w:val="55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宋体" w:hAnsi="宋体" w:cs="宋体" w:eastAsia="宋体" w:hint="default"/>
                <w:sz w:val="21"/>
                <w:szCs w:val="21"/>
              </w:rPr>
            </w:pPr>
            <w:r>
              <w:rPr>
                <w:rFonts w:ascii="宋体"/>
                <w:spacing w:val="-1"/>
                <w:sz w:val="21"/>
              </w:rPr>
              <w:t>3,050,190.08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481,748.76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1,231,613.70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5"/>
              <w:jc w:val="right"/>
              <w:rPr>
                <w:rFonts w:ascii="宋体" w:hAnsi="宋体" w:cs="宋体" w:eastAsia="宋体" w:hint="default"/>
                <w:sz w:val="21"/>
                <w:szCs w:val="21"/>
              </w:rPr>
            </w:pPr>
            <w:r>
              <w:rPr>
                <w:rFonts w:ascii="宋体"/>
                <w:spacing w:val="-1"/>
                <w:sz w:val="21"/>
              </w:rPr>
              <w:t>283,214.37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6"/>
              <w:jc w:val="right"/>
              <w:rPr>
                <w:rFonts w:ascii="宋体" w:hAnsi="宋体" w:cs="宋体" w:eastAsia="宋体" w:hint="default"/>
                <w:sz w:val="21"/>
                <w:szCs w:val="21"/>
              </w:rPr>
            </w:pPr>
            <w:r>
              <w:rPr>
                <w:rFonts w:ascii="宋体"/>
                <w:spacing w:val="-1"/>
                <w:sz w:val="21"/>
              </w:rPr>
              <w:t>5,046,766.91</w:t>
            </w: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549,432.53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400,836.53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60,640.46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1,010,909.52</w:t>
            </w: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处置或报废</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549,432.53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400,836.53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60,640.46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1,010,909.52</w:t>
            </w: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17,138,978.74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2,772,428.15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4,692,284.30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1,224,524.63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25,828,215.82</w:t>
            </w: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pacing w:val="-13"/>
                <w:sz w:val="21"/>
                <w:szCs w:val="21"/>
              </w:rPr>
              <w:t>三、减值准备</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处置或报废</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pacing w:val="-13"/>
                <w:sz w:val="21"/>
                <w:szCs w:val="21"/>
              </w:rPr>
              <w:t>四、账面价值</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49,579,016.72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2,857,096.73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1,682,370.82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600,751.38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54,719,235.65</w:t>
            </w:r>
          </w:p>
        </w:tc>
      </w:tr>
      <w:tr>
        <w:trPr>
          <w:trHeight w:val="55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宋体" w:hAnsi="宋体" w:cs="宋体" w:eastAsia="宋体" w:hint="default"/>
                <w:sz w:val="21"/>
                <w:szCs w:val="21"/>
              </w:rPr>
            </w:pPr>
            <w:r>
              <w:rPr>
                <w:rFonts w:ascii="宋体"/>
                <w:spacing w:val="-1"/>
                <w:sz w:val="21"/>
              </w:rPr>
              <w:t>33,534,996.80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2,341,282.71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2,188,285.02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5"/>
              <w:jc w:val="right"/>
              <w:rPr>
                <w:rFonts w:ascii="宋体" w:hAnsi="宋体" w:cs="宋体" w:eastAsia="宋体" w:hint="default"/>
                <w:sz w:val="21"/>
                <w:szCs w:val="21"/>
              </w:rPr>
            </w:pPr>
            <w:r>
              <w:rPr>
                <w:rFonts w:ascii="宋体"/>
                <w:spacing w:val="-1"/>
                <w:sz w:val="21"/>
              </w:rPr>
              <w:t>718,320.80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6"/>
              <w:jc w:val="right"/>
              <w:rPr>
                <w:rFonts w:ascii="宋体" w:hAnsi="宋体" w:cs="宋体" w:eastAsia="宋体" w:hint="default"/>
                <w:sz w:val="21"/>
                <w:szCs w:val="21"/>
              </w:rPr>
            </w:pPr>
            <w:r>
              <w:rPr>
                <w:rFonts w:ascii="宋体"/>
                <w:spacing w:val="-1"/>
                <w:sz w:val="21"/>
              </w:rPr>
              <w:t>38,782,885.33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040" w:right="1560"/>
        </w:sectPr>
      </w:pPr>
    </w:p>
    <w:p>
      <w:pPr>
        <w:pStyle w:val="Heading4"/>
        <w:spacing w:line="240" w:lineRule="auto" w:before="36"/>
        <w:ind w:left="237" w:right="-15"/>
        <w:jc w:val="left"/>
        <w:rPr>
          <w:b w:val="0"/>
          <w:bCs w:val="0"/>
        </w:rPr>
      </w:pPr>
      <w:r>
        <w:rPr>
          <w:rFonts w:ascii="宋体" w:hAnsi="宋体" w:cs="宋体" w:eastAsia="宋体" w:hint="default"/>
        </w:rPr>
        <w:t>(3).</w:t>
      </w:r>
      <w:r>
        <w:rPr/>
        <w:t>暂时闲置的固定资产情况</w:t>
      </w:r>
      <w:r>
        <w:rPr>
          <w:b w:val="0"/>
          <w:bCs w:val="0"/>
        </w:rPr>
      </w:r>
    </w:p>
    <w:p>
      <w:pPr>
        <w:spacing w:line="290" w:lineRule="auto" w:before="58"/>
        <w:ind w:left="237" w:right="-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90" w:lineRule="auto" w:before="14"/>
        <w:ind w:left="237" w:right="40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90" w:lineRule="auto" w:before="14"/>
        <w:ind w:left="237" w:right="1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40" w:lineRule="auto" w:before="15"/>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48"/>
        <w:gridCol w:w="3044"/>
        <w:gridCol w:w="3058"/>
      </w:tblGrid>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557"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福州软件大道</w:t>
            </w:r>
            <w:r>
              <w:rPr>
                <w:rFonts w:ascii="宋体" w:hAnsi="宋体" w:cs="宋体" w:eastAsia="宋体" w:hint="default"/>
                <w:spacing w:val="-54"/>
                <w:sz w:val="21"/>
                <w:szCs w:val="21"/>
              </w:rPr>
              <w:t> </w:t>
            </w:r>
            <w:r>
              <w:rPr>
                <w:rFonts w:ascii="宋体" w:hAnsi="宋体" w:cs="宋体" w:eastAsia="宋体" w:hint="default"/>
                <w:sz w:val="21"/>
                <w:szCs w:val="21"/>
              </w:rPr>
              <w:t>89</w:t>
            </w:r>
            <w:r>
              <w:rPr>
                <w:rFonts w:ascii="宋体" w:hAnsi="宋体" w:cs="宋体" w:eastAsia="宋体" w:hint="default"/>
                <w:spacing w:val="-54"/>
                <w:sz w:val="21"/>
                <w:szCs w:val="21"/>
              </w:rPr>
              <w:t> </w:t>
            </w:r>
            <w:r>
              <w:rPr>
                <w:rFonts w:ascii="宋体" w:hAnsi="宋体" w:cs="宋体" w:eastAsia="宋体" w:hint="default"/>
                <w:sz w:val="21"/>
                <w:szCs w:val="21"/>
              </w:rPr>
              <w:t>号软件园</w:t>
            </w:r>
            <w:r>
              <w:rPr>
                <w:rFonts w:ascii="宋体" w:hAnsi="宋体" w:cs="宋体" w:eastAsia="宋体" w:hint="default"/>
                <w:spacing w:val="-54"/>
                <w:sz w:val="21"/>
                <w:szCs w:val="21"/>
              </w:rPr>
              <w:t> </w:t>
            </w:r>
            <w:r>
              <w:rPr>
                <w:rFonts w:ascii="宋体" w:hAnsi="宋体" w:cs="宋体" w:eastAsia="宋体" w:hint="default"/>
                <w:sz w:val="21"/>
                <w:szCs w:val="21"/>
              </w:rPr>
              <w:t>G</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区</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4" w:right="0"/>
              <w:jc w:val="left"/>
              <w:rPr>
                <w:rFonts w:ascii="宋体" w:hAnsi="宋体" w:cs="宋体" w:eastAsia="宋体" w:hint="default"/>
                <w:sz w:val="21"/>
                <w:szCs w:val="21"/>
              </w:rPr>
            </w:pPr>
            <w:r>
              <w:rPr>
                <w:rFonts w:ascii="宋体"/>
                <w:sz w:val="21"/>
              </w:rPr>
              <w:t>18,330,441.60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年新增尚未办妥产权证书</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37" w:right="0"/>
        <w:jc w:val="left"/>
      </w:pPr>
      <w:r>
        <w:rPr/>
        <w:t>其他说明：</w:t>
      </w:r>
    </w:p>
    <w:p>
      <w:pPr>
        <w:pStyle w:val="BodyText"/>
        <w:spacing w:line="273" w:lineRule="exact"/>
        <w:ind w:left="237"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37" w:right="0"/>
        <w:jc w:val="left"/>
        <w:rPr>
          <w:b w:val="0"/>
          <w:bCs w:val="0"/>
        </w:rPr>
      </w:pPr>
      <w:r>
        <w:rPr/>
        <w:t>固定资产清理</w:t>
      </w:r>
      <w:r>
        <w:rPr>
          <w:b w:val="0"/>
          <w:bCs w:val="0"/>
        </w:rPr>
      </w:r>
    </w:p>
    <w:p>
      <w:pPr>
        <w:pStyle w:val="BodyText"/>
        <w:spacing w:line="240" w:lineRule="auto" w:before="56"/>
        <w:ind w:left="237" w:right="0"/>
        <w:jc w:val="left"/>
      </w:pPr>
      <w:r>
        <w:rPr/>
        <w:t>□适用 √不适用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0"/>
          <w:pgSz w:w="11910" w:h="16840"/>
          <w:pgMar w:footer="1195" w:header="0" w:top="1120" w:bottom="1380" w:left="1040" w:right="1560"/>
        </w:sectPr>
      </w:pPr>
    </w:p>
    <w:p>
      <w:pPr>
        <w:pStyle w:val="Heading4"/>
        <w:spacing w:line="290" w:lineRule="auto" w:before="36"/>
        <w:ind w:left="237" w:right="209"/>
        <w:jc w:val="left"/>
        <w:rPr>
          <w:b w:val="0"/>
          <w:bCs w:val="0"/>
        </w:rPr>
      </w:pPr>
      <w:r>
        <w:rPr>
          <w:rFonts w:ascii="宋体" w:hAnsi="宋体" w:cs="宋体" w:eastAsia="宋体" w:hint="default"/>
        </w:rPr>
        <w:t>17</w:t>
      </w:r>
      <w:r>
        <w:rPr/>
        <w:t>、</w:t>
      </w:r>
      <w:r>
        <w:rPr>
          <w:spacing w:val="-24"/>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39,028,538.69</w:t>
            </w: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39,028,538.69</w:t>
            </w:r>
          </w:p>
        </w:tc>
        <w:tc>
          <w:tcPr>
            <w:tcW w:w="29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37" w:right="0"/>
        <w:jc w:val="left"/>
      </w:pPr>
      <w:r>
        <w:rPr/>
        <w:t>其他说明：</w:t>
      </w:r>
    </w:p>
    <w:p>
      <w:pPr>
        <w:pStyle w:val="BodyText"/>
        <w:spacing w:line="273" w:lineRule="exact"/>
        <w:ind w:left="237" w:right="0"/>
        <w:jc w:val="left"/>
      </w:pPr>
      <w:r>
        <w:rPr/>
        <w:t>□适用 √不适用</w:t>
      </w:r>
    </w:p>
    <w:p>
      <w:pPr>
        <w:spacing w:after="0" w:line="273" w:lineRule="exact"/>
        <w:jc w:val="left"/>
        <w:sectPr>
          <w:type w:val="continuous"/>
          <w:pgSz w:w="11910" w:h="16840"/>
          <w:pgMar w:top="1120" w:bottom="1380" w:left="1040" w:right="156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51"/>
          <w:footerReference w:type="default" r:id="rId52"/>
          <w:pgSz w:w="16840" w:h="11910" w:orient="landscape"/>
          <w:pgMar w:header="0" w:footer="0" w:top="800" w:bottom="280" w:left="1380" w:right="1280"/>
        </w:sectPr>
      </w:pPr>
    </w:p>
    <w:p>
      <w:pPr>
        <w:pStyle w:val="Heading4"/>
        <w:spacing w:line="290" w:lineRule="auto" w:before="36"/>
        <w:ind w:left="144" w:right="-14"/>
        <w:jc w:val="left"/>
        <w:rPr>
          <w:b w:val="0"/>
          <w:bCs w:val="0"/>
        </w:rPr>
      </w:pPr>
      <w:r>
        <w:rPr/>
        <w:t>在建工程</w:t>
      </w:r>
      <w:r>
        <w:rPr>
          <w:w w:val="100"/>
        </w:rPr>
        <w:t> </w:t>
      </w:r>
      <w:r>
        <w:rPr>
          <w:rFonts w:ascii="宋体" w:hAnsi="宋体" w:cs="宋体" w:eastAsia="宋体" w:hint="default"/>
        </w:rPr>
        <w:t>(2).</w:t>
      </w:r>
      <w:r>
        <w:rPr/>
        <w:t>在建工程情况</w:t>
      </w:r>
      <w:r>
        <w:rPr>
          <w:b w:val="0"/>
          <w:bCs w:val="0"/>
        </w:rPr>
      </w:r>
    </w:p>
    <w:p>
      <w:pPr>
        <w:pStyle w:val="BodyText"/>
        <w:spacing w:line="240" w:lineRule="auto" w:before="14"/>
        <w:ind w:left="14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280"/>
          <w:cols w:num="2" w:equalWidth="0">
            <w:col w:w="1839" w:space="9723"/>
            <w:col w:w="2618"/>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281" w:hRule="exact"/>
        </w:trPr>
        <w:tc>
          <w:tcPr>
            <w:tcW w:w="2902"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福州软件大道</w:t>
            </w:r>
            <w:r>
              <w:rPr>
                <w:rFonts w:ascii="宋体" w:hAnsi="宋体" w:cs="宋体" w:eastAsia="宋体" w:hint="default"/>
                <w:spacing w:val="-52"/>
                <w:sz w:val="21"/>
                <w:szCs w:val="21"/>
              </w:rPr>
              <w:t> </w:t>
            </w:r>
            <w:r>
              <w:rPr>
                <w:rFonts w:ascii="宋体" w:hAnsi="宋体" w:cs="宋体" w:eastAsia="宋体" w:hint="default"/>
                <w:sz w:val="21"/>
                <w:szCs w:val="21"/>
              </w:rPr>
              <w:t>89</w:t>
            </w:r>
            <w:r>
              <w:rPr>
                <w:rFonts w:ascii="宋体" w:hAnsi="宋体" w:cs="宋体" w:eastAsia="宋体" w:hint="default"/>
                <w:spacing w:val="-53"/>
                <w:sz w:val="21"/>
                <w:szCs w:val="21"/>
              </w:rPr>
              <w:t> </w:t>
            </w:r>
            <w:r>
              <w:rPr>
                <w:rFonts w:ascii="宋体" w:hAnsi="宋体" w:cs="宋体" w:eastAsia="宋体" w:hint="default"/>
                <w:sz w:val="21"/>
                <w:szCs w:val="21"/>
              </w:rPr>
              <w:t>号软件园</w:t>
            </w:r>
            <w:r>
              <w:rPr>
                <w:rFonts w:ascii="宋体" w:hAnsi="宋体" w:cs="宋体" w:eastAsia="宋体" w:hint="default"/>
                <w:spacing w:val="-53"/>
                <w:sz w:val="21"/>
                <w:szCs w:val="21"/>
              </w:rPr>
              <w:t> </w:t>
            </w:r>
            <w:r>
              <w:rPr>
                <w:rFonts w:ascii="宋体" w:hAnsi="宋体" w:cs="宋体" w:eastAsia="宋体" w:hint="default"/>
                <w:sz w:val="21"/>
                <w:szCs w:val="21"/>
              </w:rPr>
              <w:t>G</w:t>
            </w:r>
            <w:r>
              <w:rPr>
                <w:rFonts w:ascii="宋体" w:hAnsi="宋体" w:cs="宋体" w:eastAsia="宋体" w:hint="default"/>
                <w:spacing w:val="-53"/>
                <w:sz w:val="21"/>
                <w:szCs w:val="21"/>
              </w:rPr>
              <w:t> </w:t>
            </w:r>
            <w:r>
              <w:rPr>
                <w:rFonts w:ascii="宋体" w:hAnsi="宋体" w:cs="宋体" w:eastAsia="宋体" w:hint="default"/>
                <w:sz w:val="21"/>
                <w:szCs w:val="21"/>
              </w:rPr>
              <w:t>区</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号楼</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39,028,538.69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39,028,538.69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39,028,538.69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39,028,538.69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120" w:bottom="1380" w:left="1380" w:right="1280"/>
        </w:sectPr>
      </w:pPr>
    </w:p>
    <w:p>
      <w:pPr>
        <w:pStyle w:val="Heading4"/>
        <w:spacing w:line="240" w:lineRule="auto" w:before="36"/>
        <w:ind w:left="144" w:right="-15"/>
        <w:jc w:val="left"/>
        <w:rPr>
          <w:b w:val="0"/>
          <w:bCs w:val="0"/>
        </w:rPr>
      </w:pPr>
      <w:r>
        <w:rPr>
          <w:rFonts w:ascii="宋体" w:hAnsi="宋体" w:cs="宋体" w:eastAsia="宋体" w:hint="default"/>
        </w:rPr>
        <w:t>(3).</w:t>
      </w:r>
      <w:r>
        <w:rPr/>
        <w:t>重要在建工程项目本期变动情况</w:t>
      </w:r>
      <w:r>
        <w:rPr>
          <w:b w:val="0"/>
          <w:bCs w:val="0"/>
        </w:rPr>
      </w:r>
    </w:p>
    <w:p>
      <w:pPr>
        <w:pStyle w:val="BodyText"/>
        <w:spacing w:line="240" w:lineRule="auto" w:before="58"/>
        <w:ind w:left="14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280"/>
          <w:cols w:num="2" w:equalWidth="0">
            <w:col w:w="3524" w:space="8038"/>
            <w:col w:w="2618"/>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33"/>
        <w:gridCol w:w="850"/>
        <w:gridCol w:w="708"/>
        <w:gridCol w:w="1563"/>
        <w:gridCol w:w="1558"/>
        <w:gridCol w:w="708"/>
        <w:gridCol w:w="1560"/>
        <w:gridCol w:w="994"/>
        <w:gridCol w:w="709"/>
        <w:gridCol w:w="694"/>
        <w:gridCol w:w="1006"/>
        <w:gridCol w:w="912"/>
        <w:gridCol w:w="944"/>
      </w:tblGrid>
      <w:tr>
        <w:trPr>
          <w:trHeight w:val="1099"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8" w:right="18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6" w:right="175" w:hanging="209"/>
              <w:jc w:val="left"/>
              <w:rPr>
                <w:rFonts w:ascii="宋体" w:hAnsi="宋体" w:cs="宋体" w:eastAsia="宋体" w:hint="default"/>
                <w:sz w:val="21"/>
                <w:szCs w:val="21"/>
              </w:rPr>
            </w:pPr>
            <w:r>
              <w:rPr>
                <w:rFonts w:ascii="宋体" w:hAnsi="宋体" w:cs="宋体" w:eastAsia="宋体" w:hint="default"/>
                <w:sz w:val="21"/>
                <w:szCs w:val="21"/>
              </w:rPr>
              <w:t>本期转入固定</w:t>
            </w:r>
            <w:r>
              <w:rPr>
                <w:rFonts w:ascii="宋体" w:hAnsi="宋体" w:cs="宋体" w:eastAsia="宋体" w:hint="default"/>
                <w:w w:val="100"/>
                <w:sz w:val="21"/>
                <w:szCs w:val="21"/>
              </w:rPr>
              <w:t> </w:t>
            </w:r>
            <w:r>
              <w:rPr>
                <w:rFonts w:ascii="宋体" w:hAnsi="宋体" w:cs="宋体" w:eastAsia="宋体" w:hint="default"/>
                <w:sz w:val="21"/>
                <w:szCs w:val="21"/>
              </w:rPr>
              <w:t>资产金额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03" w:right="17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6" w:right="559"/>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工程累计</w:t>
            </w:r>
          </w:p>
          <w:p>
            <w:pPr>
              <w:pStyle w:val="TableParagraph"/>
              <w:spacing w:line="237" w:lineRule="auto"/>
              <w:ind w:left="74" w:right="65"/>
              <w:jc w:val="center"/>
              <w:rPr>
                <w:rFonts w:ascii="宋体" w:hAnsi="宋体" w:cs="宋体" w:eastAsia="宋体" w:hint="default"/>
                <w:sz w:val="21"/>
                <w:szCs w:val="21"/>
              </w:rPr>
            </w:pPr>
            <w:r>
              <w:rPr>
                <w:rFonts w:ascii="宋体" w:hAnsi="宋体" w:cs="宋体" w:eastAsia="宋体" w:hint="default"/>
                <w:sz w:val="21"/>
                <w:szCs w:val="21"/>
              </w:rPr>
              <w:t>投入占预</w:t>
            </w:r>
            <w:r>
              <w:rPr>
                <w:rFonts w:ascii="宋体" w:hAnsi="宋体" w:cs="宋体" w:eastAsia="宋体" w:hint="default"/>
                <w:w w:val="100"/>
                <w:sz w:val="21"/>
                <w:szCs w:val="21"/>
              </w:rPr>
              <w:t> </w:t>
            </w:r>
            <w:r>
              <w:rPr>
                <w:rFonts w:ascii="宋体" w:hAnsi="宋体" w:cs="宋体" w:eastAsia="宋体" w:hint="default"/>
                <w:sz w:val="21"/>
                <w:szCs w:val="21"/>
              </w:rPr>
              <w:t>算比例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3" w:right="29" w:hanging="210"/>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6" w:right="23"/>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6" w:right="74"/>
              <w:jc w:val="both"/>
              <w:rPr>
                <w:rFonts w:ascii="宋体" w:hAnsi="宋体" w:cs="宋体" w:eastAsia="宋体" w:hint="default"/>
                <w:sz w:val="21"/>
                <w:szCs w:val="21"/>
              </w:rPr>
            </w:pPr>
            <w:r>
              <w:rPr>
                <w:rFonts w:ascii="宋体" w:hAnsi="宋体" w:cs="宋体" w:eastAsia="宋体" w:hint="default"/>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期利息资</w:t>
            </w:r>
            <w:r>
              <w:rPr>
                <w:rFonts w:ascii="宋体" w:hAnsi="宋体" w:cs="宋体" w:eastAsia="宋体" w:hint="default"/>
                <w:w w:val="100"/>
                <w:sz w:val="21"/>
                <w:szCs w:val="21"/>
              </w:rPr>
              <w:t> </w:t>
            </w:r>
            <w:r>
              <w:rPr>
                <w:rFonts w:ascii="宋体" w:hAnsi="宋体" w:cs="宋体" w:eastAsia="宋体" w:hint="default"/>
                <w:sz w:val="21"/>
                <w:szCs w:val="21"/>
              </w:rPr>
              <w:t>本化金额</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1" w:right="26"/>
              <w:jc w:val="center"/>
              <w:rPr>
                <w:rFonts w:ascii="宋体" w:hAnsi="宋体" w:cs="宋体" w:eastAsia="宋体" w:hint="default"/>
                <w:sz w:val="21"/>
                <w:szCs w:val="21"/>
              </w:rPr>
            </w:pPr>
            <w:r>
              <w:rPr>
                <w:rFonts w:ascii="宋体" w:hAnsi="宋体" w:cs="宋体" w:eastAsia="宋体" w:hint="default"/>
                <w:sz w:val="21"/>
                <w:szCs w:val="21"/>
              </w:rPr>
              <w:t>本期利息</w:t>
            </w:r>
            <w:r>
              <w:rPr>
                <w:rFonts w:ascii="宋体" w:hAnsi="宋体" w:cs="宋体" w:eastAsia="宋体" w:hint="default"/>
                <w:w w:val="100"/>
                <w:sz w:val="21"/>
                <w:szCs w:val="21"/>
              </w:rPr>
              <w:t> </w:t>
            </w:r>
            <w:r>
              <w:rPr>
                <w:rFonts w:ascii="宋体" w:hAnsi="宋体" w:cs="宋体" w:eastAsia="宋体" w:hint="default"/>
                <w:sz w:val="21"/>
                <w:szCs w:val="21"/>
              </w:rPr>
              <w:t>资本化率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资金来源</w:t>
            </w:r>
          </w:p>
        </w:tc>
      </w:tr>
      <w:tr>
        <w:trPr>
          <w:trHeight w:val="826"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福州软件大道</w:t>
            </w:r>
            <w:r>
              <w:rPr>
                <w:rFonts w:ascii="宋体" w:hAnsi="宋体" w:cs="宋体" w:eastAsia="宋体" w:hint="default"/>
                <w:spacing w:val="-50"/>
                <w:sz w:val="21"/>
                <w:szCs w:val="21"/>
              </w:rPr>
              <w:t> </w:t>
            </w:r>
            <w:r>
              <w:rPr>
                <w:rFonts w:ascii="宋体" w:hAnsi="宋体" w:cs="宋体" w:eastAsia="宋体" w:hint="default"/>
                <w:spacing w:val="-3"/>
                <w:sz w:val="21"/>
                <w:szCs w:val="21"/>
              </w:rPr>
              <w:t>89</w:t>
            </w:r>
            <w:r>
              <w:rPr>
                <w:rFonts w:ascii="宋体" w:hAnsi="宋体" w:cs="宋体" w:eastAsia="宋体" w:hint="default"/>
                <w:sz w:val="21"/>
                <w:szCs w:val="21"/>
              </w:rPr>
            </w:r>
          </w:p>
          <w:p>
            <w:pPr>
              <w:pStyle w:val="TableParagraph"/>
              <w:spacing w:line="240" w:lineRule="auto"/>
              <w:ind w:left="26" w:right="275"/>
              <w:jc w:val="left"/>
              <w:rPr>
                <w:rFonts w:ascii="宋体" w:hAnsi="宋体" w:cs="宋体" w:eastAsia="宋体" w:hint="default"/>
                <w:sz w:val="21"/>
                <w:szCs w:val="21"/>
              </w:rPr>
            </w:pPr>
            <w:r>
              <w:rPr>
                <w:rFonts w:ascii="宋体" w:hAnsi="宋体" w:cs="宋体" w:eastAsia="宋体" w:hint="default"/>
                <w:sz w:val="21"/>
                <w:szCs w:val="21"/>
              </w:rPr>
              <w:t>号软件园</w:t>
            </w:r>
            <w:r>
              <w:rPr>
                <w:rFonts w:ascii="宋体" w:hAnsi="宋体" w:cs="宋体" w:eastAsia="宋体" w:hint="default"/>
                <w:spacing w:val="-51"/>
                <w:sz w:val="21"/>
                <w:szCs w:val="21"/>
              </w:rPr>
              <w:t> </w:t>
            </w:r>
            <w:r>
              <w:rPr>
                <w:rFonts w:ascii="宋体" w:hAnsi="宋体" w:cs="宋体" w:eastAsia="宋体" w:hint="default"/>
                <w:sz w:val="21"/>
                <w:szCs w:val="21"/>
              </w:rPr>
              <w:t>G</w:t>
            </w:r>
            <w:r>
              <w:rPr>
                <w:rFonts w:ascii="宋体" w:hAnsi="宋体" w:cs="宋体" w:eastAsia="宋体" w:hint="default"/>
                <w:spacing w:val="-54"/>
                <w:sz w:val="21"/>
                <w:szCs w:val="21"/>
              </w:rPr>
              <w:t> </w:t>
            </w:r>
            <w:r>
              <w:rPr>
                <w:rFonts w:ascii="宋体" w:hAnsi="宋体" w:cs="宋体" w:eastAsia="宋体" w:hint="default"/>
                <w:sz w:val="21"/>
                <w:szCs w:val="21"/>
              </w:rPr>
              <w:t>区</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号楼</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sz w:val="21"/>
              </w:rPr>
              <w:t>39,028,538.69</w:t>
            </w:r>
          </w:p>
        </w:tc>
        <w:tc>
          <w:tcPr>
            <w:tcW w:w="155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39,028,538.69</w:t>
            </w:r>
          </w:p>
        </w:tc>
        <w:tc>
          <w:tcPr>
            <w:tcW w:w="9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募集资金</w:t>
            </w:r>
          </w:p>
        </w:tc>
      </w:tr>
      <w:tr>
        <w:trPr>
          <w:trHeight w:val="82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福州软件大道</w:t>
            </w:r>
            <w:r>
              <w:rPr>
                <w:rFonts w:ascii="宋体" w:hAnsi="宋体" w:cs="宋体" w:eastAsia="宋体" w:hint="default"/>
                <w:spacing w:val="-50"/>
                <w:sz w:val="21"/>
                <w:szCs w:val="21"/>
              </w:rPr>
              <w:t> </w:t>
            </w:r>
            <w:r>
              <w:rPr>
                <w:rFonts w:ascii="宋体" w:hAnsi="宋体" w:cs="宋体" w:eastAsia="宋体" w:hint="default"/>
                <w:spacing w:val="-3"/>
                <w:sz w:val="21"/>
                <w:szCs w:val="21"/>
              </w:rPr>
              <w:t>89</w:t>
            </w:r>
            <w:r>
              <w:rPr>
                <w:rFonts w:ascii="宋体" w:hAnsi="宋体" w:cs="宋体" w:eastAsia="宋体" w:hint="default"/>
                <w:sz w:val="21"/>
                <w:szCs w:val="21"/>
              </w:rPr>
            </w:r>
          </w:p>
          <w:p>
            <w:pPr>
              <w:pStyle w:val="TableParagraph"/>
              <w:spacing w:line="272" w:lineRule="exact" w:before="26"/>
              <w:ind w:left="26" w:right="275"/>
              <w:jc w:val="left"/>
              <w:rPr>
                <w:rFonts w:ascii="宋体" w:hAnsi="宋体" w:cs="宋体" w:eastAsia="宋体" w:hint="default"/>
                <w:sz w:val="21"/>
                <w:szCs w:val="21"/>
              </w:rPr>
            </w:pPr>
            <w:r>
              <w:rPr>
                <w:rFonts w:ascii="宋体" w:hAnsi="宋体" w:cs="宋体" w:eastAsia="宋体" w:hint="default"/>
                <w:sz w:val="21"/>
                <w:szCs w:val="21"/>
              </w:rPr>
              <w:t>号软件园</w:t>
            </w:r>
            <w:r>
              <w:rPr>
                <w:rFonts w:ascii="宋体" w:hAnsi="宋体" w:cs="宋体" w:eastAsia="宋体" w:hint="default"/>
                <w:spacing w:val="-51"/>
                <w:sz w:val="21"/>
                <w:szCs w:val="21"/>
              </w:rPr>
              <w:t> </w:t>
            </w:r>
            <w:r>
              <w:rPr>
                <w:rFonts w:ascii="宋体" w:hAnsi="宋体" w:cs="宋体" w:eastAsia="宋体" w:hint="default"/>
                <w:sz w:val="21"/>
                <w:szCs w:val="21"/>
              </w:rPr>
              <w:t>G</w:t>
            </w:r>
            <w:r>
              <w:rPr>
                <w:rFonts w:ascii="宋体" w:hAnsi="宋体" w:cs="宋体" w:eastAsia="宋体" w:hint="default"/>
                <w:spacing w:val="-54"/>
                <w:sz w:val="21"/>
                <w:szCs w:val="21"/>
              </w:rPr>
              <w:t> </w:t>
            </w:r>
            <w:r>
              <w:rPr>
                <w:rFonts w:ascii="宋体" w:hAnsi="宋体" w:cs="宋体" w:eastAsia="宋体" w:hint="default"/>
                <w:sz w:val="21"/>
                <w:szCs w:val="21"/>
              </w:rPr>
              <w:t>区</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w w:val="100"/>
                <w:sz w:val="21"/>
                <w:szCs w:val="21"/>
              </w:rPr>
              <w:t> </w:t>
            </w:r>
            <w:r>
              <w:rPr>
                <w:rFonts w:ascii="宋体" w:hAnsi="宋体" w:cs="宋体" w:eastAsia="宋体" w:hint="default"/>
                <w:sz w:val="21"/>
                <w:szCs w:val="21"/>
              </w:rPr>
              <w:t>号楼</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 w:right="0"/>
              <w:jc w:val="left"/>
              <w:rPr>
                <w:rFonts w:ascii="宋体" w:hAnsi="宋体" w:cs="宋体" w:eastAsia="宋体" w:hint="default"/>
                <w:sz w:val="21"/>
                <w:szCs w:val="21"/>
              </w:rPr>
            </w:pPr>
            <w:r>
              <w:rPr>
                <w:rFonts w:ascii="宋体"/>
                <w:sz w:val="21"/>
              </w:rPr>
              <w:t>19,094,210.00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
              <w:jc w:val="center"/>
              <w:rPr>
                <w:rFonts w:ascii="宋体" w:hAnsi="宋体" w:cs="宋体" w:eastAsia="宋体" w:hint="default"/>
                <w:sz w:val="21"/>
                <w:szCs w:val="21"/>
              </w:rPr>
            </w:pPr>
            <w:r>
              <w:rPr>
                <w:rFonts w:ascii="宋体"/>
                <w:sz w:val="21"/>
              </w:rPr>
              <w:t>19,094,210.00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已投入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69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募集资金</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sz w:val="21"/>
              </w:rPr>
              <w:t>58,122,748.69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center"/>
              <w:rPr>
                <w:rFonts w:ascii="宋体" w:hAnsi="宋体" w:cs="宋体" w:eastAsia="宋体" w:hint="default"/>
                <w:sz w:val="21"/>
                <w:szCs w:val="21"/>
              </w:rPr>
            </w:pPr>
            <w:r>
              <w:rPr>
                <w:rFonts w:ascii="宋体"/>
                <w:sz w:val="21"/>
              </w:rPr>
              <w:t>19,094,210.00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39,028,538.69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center"/>
              <w:rPr>
                <w:rFonts w:ascii="宋体" w:hAnsi="宋体" w:cs="宋体" w:eastAsia="宋体" w:hint="default"/>
                <w:sz w:val="21"/>
                <w:szCs w:val="21"/>
              </w:rPr>
            </w:pPr>
            <w:r>
              <w:rPr>
                <w:rFonts w:ascii="宋体"/>
                <w:w w:val="100"/>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w w:val="100"/>
                <w:sz w:val="21"/>
              </w:rPr>
              <w:t>/</w:t>
            </w:r>
          </w:p>
        </w:tc>
        <w:tc>
          <w:tcPr>
            <w:tcW w:w="69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center"/>
              <w:rPr>
                <w:rFonts w:ascii="宋体" w:hAnsi="宋体" w:cs="宋体" w:eastAsia="宋体" w:hint="default"/>
                <w:sz w:val="21"/>
                <w:szCs w:val="21"/>
              </w:rPr>
            </w:pPr>
            <w:r>
              <w:rPr>
                <w:rFonts w:ascii="宋体"/>
                <w:w w:val="100"/>
                <w:sz w:val="21"/>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2"/>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4"/>
        <w:spacing w:line="240" w:lineRule="auto" w:before="36"/>
        <w:ind w:left="144" w:right="0"/>
        <w:jc w:val="left"/>
        <w:rPr>
          <w:b w:val="0"/>
          <w:bCs w:val="0"/>
        </w:rPr>
      </w:pPr>
      <w:r>
        <w:rPr>
          <w:rFonts w:ascii="宋体" w:hAnsi="宋体" w:cs="宋体" w:eastAsia="宋体" w:hint="default"/>
        </w:rPr>
        <w:t>(4).</w:t>
      </w:r>
      <w:r>
        <w:rPr/>
        <w:t>本期计提在建工程减值准备情况</w:t>
      </w:r>
      <w:r>
        <w:rPr>
          <w:b w:val="0"/>
          <w:bCs w:val="0"/>
        </w:rPr>
      </w:r>
    </w:p>
    <w:p>
      <w:pPr>
        <w:pStyle w:val="BodyText"/>
        <w:spacing w:line="272" w:lineRule="exact" w:before="87"/>
        <w:ind w:left="144" w:right="12439"/>
        <w:jc w:val="left"/>
      </w:pPr>
      <w:r>
        <w:rPr/>
        <w:t>□适用 √不适用</w:t>
      </w:r>
      <w:r>
        <w:rPr>
          <w:w w:val="100"/>
        </w:rPr>
        <w:t> </w:t>
      </w:r>
      <w:r>
        <w:rPr/>
        <w:t>其他说明</w:t>
      </w:r>
    </w:p>
    <w:p>
      <w:pPr>
        <w:pStyle w:val="BodyText"/>
        <w:spacing w:line="249" w:lineRule="exact"/>
        <w:ind w:left="144"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63"/>
        <w:ind w:left="6398" w:right="6414" w:firstLine="0"/>
        <w:jc w:val="center"/>
        <w:rPr>
          <w:rFonts w:ascii="Calibri" w:hAnsi="Calibri" w:cs="Calibri" w:eastAsia="Calibri" w:hint="default"/>
          <w:sz w:val="18"/>
          <w:szCs w:val="18"/>
        </w:rPr>
      </w:pPr>
      <w:r>
        <w:rPr>
          <w:rFonts w:ascii="Calibri"/>
          <w:b/>
          <w:sz w:val="18"/>
        </w:rPr>
        <w:t>111 </w:t>
      </w:r>
      <w:r>
        <w:rPr>
          <w:rFonts w:ascii="Calibri"/>
          <w:sz w:val="18"/>
        </w:rPr>
        <w:t>/</w:t>
      </w:r>
      <w:r>
        <w:rPr>
          <w:rFonts w:ascii="Calibri"/>
          <w:spacing w:val="-5"/>
          <w:sz w:val="18"/>
        </w:rPr>
        <w:t> </w:t>
      </w:r>
      <w:r>
        <w:rPr>
          <w:rFonts w:ascii="Calibri"/>
          <w:b/>
          <w:sz w:val="18"/>
        </w:rPr>
        <w:t>156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12"/>
        <w:rPr>
          <w:rFonts w:ascii="Calibri" w:hAnsi="Calibri" w:cs="Calibri" w:eastAsia="Calibri" w:hint="default"/>
          <w:b/>
          <w:bCs/>
          <w:sz w:val="24"/>
          <w:szCs w:val="24"/>
        </w:rPr>
      </w:pPr>
    </w:p>
    <w:p>
      <w:pPr>
        <w:pStyle w:val="Heading4"/>
        <w:spacing w:line="290" w:lineRule="auto" w:before="36"/>
        <w:ind w:left="217" w:right="7361"/>
        <w:jc w:val="left"/>
        <w:rPr>
          <w:b w:val="0"/>
          <w:bCs w:val="0"/>
        </w:rPr>
      </w:pPr>
      <w:r>
        <w:rPr/>
        <w:t>工程物资</w:t>
      </w:r>
      <w:r>
        <w:rPr>
          <w:w w:val="100"/>
        </w:rPr>
        <w:t> </w:t>
      </w:r>
      <w:r>
        <w:rPr>
          <w:rFonts w:ascii="宋体" w:hAnsi="宋体" w:cs="宋体" w:eastAsia="宋体" w:hint="default"/>
        </w:rPr>
        <w:t>(5).</w:t>
      </w:r>
      <w:r>
        <w:rPr/>
        <w:t>工程物资情况</w:t>
      </w:r>
      <w:r>
        <w:rPr>
          <w:b w:val="0"/>
          <w:bCs w:val="0"/>
        </w:rPr>
      </w:r>
    </w:p>
    <w:p>
      <w:pPr>
        <w:pStyle w:val="BodyText"/>
        <w:spacing w:line="240" w:lineRule="auto" w:before="14"/>
        <w:ind w:left="217" w:right="227"/>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90" w:lineRule="auto"/>
        <w:ind w:left="217" w:right="5253"/>
        <w:jc w:val="left"/>
        <w:rPr>
          <w:b w:val="0"/>
          <w:bCs w:val="0"/>
        </w:rPr>
      </w:pPr>
      <w:r>
        <w:rPr>
          <w:rFonts w:ascii="宋体" w:hAnsi="宋体" w:cs="宋体" w:eastAsia="宋体" w:hint="default"/>
        </w:rPr>
        <w:t>18</w:t>
      </w:r>
      <w:r>
        <w:rPr/>
        <w:t>、</w:t>
      </w:r>
      <w:r>
        <w:rPr>
          <w:spacing w:val="-25"/>
        </w:rPr>
        <w:t> </w:t>
      </w:r>
      <w:r>
        <w:rPr/>
        <w:t>生产性生物资产</w:t>
      </w:r>
      <w:r>
        <w:rPr>
          <w:spacing w:val="-104"/>
        </w:rPr>
        <w:t> </w:t>
      </w:r>
      <w:r>
        <w:rPr>
          <w:spacing w:val="-104"/>
        </w:rPr>
      </w:r>
      <w:r>
        <w:rPr>
          <w:rFonts w:ascii="宋体" w:hAnsi="宋体" w:cs="宋体" w:eastAsia="宋体" w:hint="default"/>
        </w:rPr>
        <w:t>(1).</w:t>
      </w:r>
      <w:r>
        <w:rPr/>
        <w:t>采用成本计量模式的生产性生物资产</w:t>
      </w:r>
      <w:r>
        <w:rPr>
          <w:b w:val="0"/>
          <w:bCs w:val="0"/>
        </w:rPr>
      </w:r>
    </w:p>
    <w:p>
      <w:pPr>
        <w:spacing w:line="290" w:lineRule="auto" w:before="12"/>
        <w:ind w:left="21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40" w:lineRule="auto" w:before="12"/>
        <w:ind w:left="217" w:right="7474"/>
        <w:jc w:val="left"/>
      </w:pPr>
      <w:r>
        <w:rPr/>
        <w:t>□适用 √不适用</w:t>
      </w:r>
      <w:r>
        <w:rPr>
          <w:w w:val="100"/>
        </w:rPr>
        <w:t> </w:t>
      </w:r>
      <w:r>
        <w:rPr/>
        <w:t>其他说明</w:t>
      </w:r>
    </w:p>
    <w:p>
      <w:pPr>
        <w:pStyle w:val="BodyText"/>
        <w:spacing w:line="272"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17" w:right="227"/>
        <w:jc w:val="left"/>
        <w:rPr>
          <w:b w:val="0"/>
          <w:bCs w:val="0"/>
        </w:rPr>
      </w:pPr>
      <w:r>
        <w:rPr>
          <w:rFonts w:ascii="宋体" w:hAnsi="宋体" w:cs="宋体" w:eastAsia="宋体" w:hint="default"/>
        </w:rPr>
        <w:t>19</w:t>
      </w:r>
      <w:r>
        <w:rPr/>
        <w:t>、</w:t>
      </w:r>
      <w:r>
        <w:rPr>
          <w:spacing w:val="-24"/>
        </w:rPr>
        <w:t> </w:t>
      </w:r>
      <w:r>
        <w:rPr/>
        <w:t>油气资产</w:t>
      </w:r>
      <w:r>
        <w:rPr>
          <w:b w:val="0"/>
          <w:bCs w:val="0"/>
        </w:rPr>
      </w:r>
    </w:p>
    <w:p>
      <w:pPr>
        <w:pStyle w:val="BodyText"/>
        <w:spacing w:line="240" w:lineRule="auto" w:before="58"/>
        <w:ind w:left="217" w:right="227"/>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3"/>
          <w:pgSz w:w="11910" w:h="16840"/>
          <w:pgMar w:footer="1195" w:header="0" w:top="1120" w:bottom="1380" w:left="1060" w:right="1560"/>
          <w:pgNumType w:start="112"/>
        </w:sectPr>
      </w:pPr>
    </w:p>
    <w:p>
      <w:pPr>
        <w:pStyle w:val="Heading4"/>
        <w:spacing w:line="290" w:lineRule="auto" w:before="36"/>
        <w:ind w:left="217"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059" w:val="left" w:leader="none"/>
        </w:tabs>
        <w:spacing w:line="240" w:lineRule="auto" w:before="12"/>
        <w:ind w:left="217" w:right="-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73"/>
        <w:gridCol w:w="1354"/>
        <w:gridCol w:w="1354"/>
        <w:gridCol w:w="1311"/>
        <w:gridCol w:w="1476"/>
        <w:gridCol w:w="1582"/>
      </w:tblGrid>
      <w:tr>
        <w:trPr>
          <w:trHeight w:val="35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pacing w:val="-1"/>
                <w:sz w:val="21"/>
                <w:szCs w:val="21"/>
              </w:rPr>
              <w:t>土地使用权</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518,320.40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2,311,410.33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2,829,730.73</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73,103.45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73,103.45</w:t>
            </w:r>
          </w:p>
        </w:tc>
      </w:tr>
      <w:tr>
        <w:trPr>
          <w:trHeight w:val="34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73,103.45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73,103.45</w:t>
            </w:r>
          </w:p>
        </w:tc>
      </w:tr>
      <w:tr>
        <w:trPr>
          <w:trHeight w:val="557"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518,320.40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2,384,513.78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2,902,834.18</w:t>
            </w: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290,816.11</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1,053,293.32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1,344,109.43</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6,946.68</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230,114.55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237,061.23</w:t>
            </w: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6,946.68</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230,114.55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237,061.23</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84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297,762.79</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1,283,407.87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1,581,170.66</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73"/>
        <w:gridCol w:w="1354"/>
        <w:gridCol w:w="1354"/>
        <w:gridCol w:w="1311"/>
        <w:gridCol w:w="1476"/>
        <w:gridCol w:w="1582"/>
      </w:tblGrid>
      <w:tr>
        <w:trPr>
          <w:trHeight w:val="35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220,557.61</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1,101,105.91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1,321,663.52</w:t>
            </w:r>
          </w:p>
        </w:tc>
      </w:tr>
      <w:tr>
        <w:trPr>
          <w:trHeight w:val="557"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227,504.29</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1,258,117.01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1,485,621.30</w:t>
            </w:r>
          </w:p>
        </w:tc>
      </w:tr>
    </w:tbl>
    <w:p>
      <w:pPr>
        <w:pStyle w:val="BodyText"/>
        <w:spacing w:line="241" w:lineRule="exact"/>
        <w:ind w:left="217" w:right="227"/>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3"/>
        <w:rPr>
          <w:rFonts w:ascii="宋体" w:hAnsi="宋体" w:cs="宋体" w:eastAsia="宋体" w:hint="default"/>
          <w:sz w:val="25"/>
          <w:szCs w:val="25"/>
        </w:rPr>
      </w:pPr>
    </w:p>
    <w:p>
      <w:pPr>
        <w:pStyle w:val="Heading4"/>
        <w:spacing w:line="240" w:lineRule="auto"/>
        <w:ind w:left="217" w:right="227"/>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40" w:lineRule="auto" w:before="56"/>
        <w:ind w:left="217" w:right="7474"/>
        <w:jc w:val="left"/>
      </w:pPr>
      <w:r>
        <w:rPr/>
        <w:t>□适用 √不适用</w:t>
      </w:r>
      <w:r>
        <w:rPr>
          <w:w w:val="100"/>
        </w:rPr>
        <w:t> </w:t>
      </w:r>
      <w:r>
        <w:rPr/>
        <w:t>其他说明：</w:t>
      </w:r>
    </w:p>
    <w:p>
      <w:pPr>
        <w:pStyle w:val="BodyText"/>
        <w:spacing w:line="271"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17" w:right="227"/>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56"/>
        <w:ind w:left="217" w:right="227"/>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90" w:lineRule="auto"/>
        <w:ind w:left="217" w:right="7361"/>
        <w:jc w:val="left"/>
        <w:rPr>
          <w:b w:val="0"/>
          <w:bCs w:val="0"/>
        </w:rPr>
      </w:pPr>
      <w:r>
        <w:rPr>
          <w:rFonts w:ascii="宋体" w:hAnsi="宋体" w:cs="宋体" w:eastAsia="宋体" w:hint="default"/>
        </w:rPr>
        <w:t>22</w:t>
      </w:r>
      <w:r>
        <w:rPr/>
        <w:t>、</w:t>
      </w:r>
      <w:r>
        <w:rPr>
          <w:spacing w:val="-25"/>
        </w:rPr>
        <w:t> </w:t>
      </w:r>
      <w:r>
        <w:rPr/>
        <w:t>商誉</w:t>
      </w:r>
      <w:r>
        <w:rPr>
          <w:w w:val="100"/>
        </w:rPr>
        <w:t> </w:t>
      </w:r>
      <w:r>
        <w:rPr>
          <w:rFonts w:ascii="宋体" w:hAnsi="宋体" w:cs="宋体" w:eastAsia="宋体" w:hint="default"/>
        </w:rPr>
        <w:t>(1).</w:t>
      </w:r>
      <w:r>
        <w:rPr/>
        <w:t>商誉账面原值</w:t>
      </w:r>
      <w:r>
        <w:rPr>
          <w:b w:val="0"/>
          <w:bCs w:val="0"/>
        </w:rPr>
      </w:r>
    </w:p>
    <w:p>
      <w:pPr>
        <w:spacing w:line="290" w:lineRule="auto" w:before="14"/>
        <w:ind w:left="217" w:right="73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90" w:lineRule="auto" w:before="14"/>
        <w:ind w:left="21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sz w:val="21"/>
          <w:szCs w:val="21"/>
        </w:rPr>
      </w:r>
    </w:p>
    <w:p>
      <w:pPr>
        <w:pStyle w:val="BodyText"/>
        <w:spacing w:line="240" w:lineRule="auto" w:before="14"/>
        <w:ind w:left="217" w:right="227"/>
        <w:jc w:val="left"/>
      </w:pPr>
      <w:r>
        <w:rPr/>
        <w:t>□适用 √不适用</w:t>
      </w:r>
    </w:p>
    <w:p>
      <w:pPr>
        <w:spacing w:line="240" w:lineRule="auto" w:before="5"/>
        <w:rPr>
          <w:rFonts w:ascii="宋体" w:hAnsi="宋体" w:cs="宋体" w:eastAsia="宋体" w:hint="default"/>
          <w:sz w:val="27"/>
          <w:szCs w:val="27"/>
        </w:rPr>
      </w:pPr>
    </w:p>
    <w:p>
      <w:pPr>
        <w:pStyle w:val="Heading4"/>
        <w:spacing w:line="272" w:lineRule="exact"/>
        <w:ind w:left="642" w:right="227"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40" w:lineRule="auto" w:before="34"/>
        <w:ind w:left="217" w:right="227"/>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17" w:right="227"/>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6"/>
        <w:ind w:left="217" w:right="227"/>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217" w:right="227"/>
        <w:jc w:val="left"/>
      </w:pPr>
      <w:r>
        <w:rPr/>
        <w:t>其他说明</w:t>
      </w:r>
    </w:p>
    <w:p>
      <w:pPr>
        <w:pStyle w:val="BodyText"/>
        <w:spacing w:line="274" w:lineRule="exact"/>
        <w:ind w:left="217" w:right="227"/>
        <w:jc w:val="left"/>
      </w:pPr>
      <w:r>
        <w:rPr/>
        <w:t>□适用 √不适用</w:t>
      </w:r>
    </w:p>
    <w:p>
      <w:pPr>
        <w:spacing w:line="240" w:lineRule="auto" w:before="1"/>
        <w:rPr>
          <w:rFonts w:ascii="宋体" w:hAnsi="宋体" w:cs="宋体" w:eastAsia="宋体" w:hint="default"/>
          <w:sz w:val="25"/>
          <w:szCs w:val="25"/>
        </w:rPr>
      </w:pPr>
    </w:p>
    <w:p>
      <w:pPr>
        <w:pStyle w:val="Heading4"/>
        <w:spacing w:line="240" w:lineRule="auto"/>
        <w:ind w:left="217" w:right="227"/>
        <w:jc w:val="left"/>
        <w:rPr>
          <w:b w:val="0"/>
          <w:bCs w:val="0"/>
        </w:rPr>
      </w:pPr>
      <w:r>
        <w:rPr>
          <w:rFonts w:ascii="宋体" w:hAnsi="宋体" w:cs="宋体" w:eastAsia="宋体" w:hint="default"/>
        </w:rPr>
        <w:t>23</w:t>
      </w:r>
      <w:r>
        <w:rPr/>
        <w:t>、</w:t>
      </w:r>
      <w:r>
        <w:rPr>
          <w:spacing w:val="-23"/>
        </w:rPr>
        <w:t> </w:t>
      </w:r>
      <w:r>
        <w:rPr/>
        <w:t>长期待摊费用</w:t>
      </w:r>
      <w:r>
        <w:rPr>
          <w:b w:val="0"/>
          <w:bCs w:val="0"/>
        </w:rPr>
      </w:r>
    </w:p>
    <w:p>
      <w:pPr>
        <w:pStyle w:val="BodyText"/>
        <w:spacing w:line="240" w:lineRule="auto" w:before="58"/>
        <w:ind w:left="217" w:right="227"/>
        <w:jc w:val="left"/>
      </w:pPr>
      <w:r>
        <w:rPr/>
        <w:t>√适用 □不适用</w:t>
      </w:r>
    </w:p>
    <w:p>
      <w:pPr>
        <w:spacing w:after="0" w:line="240" w:lineRule="auto"/>
        <w:jc w:val="left"/>
        <w:sectPr>
          <w:pgSz w:w="11910" w:h="16840"/>
          <w:pgMar w:header="0" w:footer="1195" w:top="1120" w:bottom="1380" w:left="106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24"/>
        <w:gridCol w:w="1421"/>
        <w:gridCol w:w="1495"/>
        <w:gridCol w:w="1498"/>
        <w:gridCol w:w="1522"/>
        <w:gridCol w:w="1589"/>
      </w:tblGrid>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
              <w:jc w:val="center"/>
              <w:rPr>
                <w:rFonts w:ascii="宋体" w:hAnsi="宋体" w:cs="宋体" w:eastAsia="宋体" w:hint="default"/>
                <w:sz w:val="21"/>
                <w:szCs w:val="21"/>
              </w:rPr>
            </w:pPr>
            <w:r>
              <w:rPr>
                <w:rFonts w:ascii="宋体" w:hAnsi="宋体" w:cs="宋体" w:eastAsia="宋体" w:hint="default"/>
                <w:sz w:val="21"/>
                <w:szCs w:val="21"/>
              </w:rPr>
              <w:t>房屋装修支出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sz w:val="21"/>
              </w:rPr>
              <w:t>310,363.54</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180,671.58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sz w:val="21"/>
              </w:rPr>
              <w:t>129,691.96</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sz w:val="21"/>
              </w:rPr>
              <w:t>310,363.54</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180,671.58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sz w:val="21"/>
              </w:rPr>
              <w:t>129,691.96</w:t>
            </w:r>
          </w:p>
        </w:tc>
      </w:tr>
    </w:tbl>
    <w:p>
      <w:pPr>
        <w:spacing w:line="240" w:lineRule="auto" w:before="5"/>
        <w:rPr>
          <w:rFonts w:ascii="宋体" w:hAnsi="宋体" w:cs="宋体" w:eastAsia="宋体" w:hint="default"/>
          <w:sz w:val="15"/>
          <w:szCs w:val="15"/>
        </w:rPr>
      </w:pPr>
    </w:p>
    <w:p>
      <w:pPr>
        <w:pStyle w:val="BodyText"/>
        <w:spacing w:line="240" w:lineRule="auto" w:before="36"/>
        <w:ind w:left="217" w:right="7999"/>
        <w:jc w:val="left"/>
      </w:pPr>
      <w:r>
        <w:rPr/>
        <w:t>其他说明：</w:t>
      </w:r>
      <w:r>
        <w:rPr>
          <w:spacing w:val="-102"/>
        </w:rPr>
        <w:t> </w:t>
      </w:r>
      <w:r>
        <w:rPr>
          <w:spacing w:val="-102"/>
        </w:rPr>
      </w:r>
      <w:r>
        <w:rPr/>
        <w:t>无</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60" w:right="1560"/>
        </w:sectPr>
      </w:pPr>
    </w:p>
    <w:p>
      <w:pPr>
        <w:pStyle w:val="Heading4"/>
        <w:spacing w:line="290" w:lineRule="auto" w:before="36"/>
        <w:ind w:left="217" w:right="-17"/>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2"/>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87" w:space="2634"/>
            <w:col w:w="2769"/>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24"/>
        <w:gridCol w:w="1688"/>
        <w:gridCol w:w="1628"/>
        <w:gridCol w:w="1687"/>
        <w:gridCol w:w="1625"/>
      </w:tblGrid>
      <w:tr>
        <w:trPr>
          <w:trHeight w:val="295" w:hRule="exact"/>
        </w:trPr>
        <w:tc>
          <w:tcPr>
            <w:tcW w:w="24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2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4,627,194.50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488,842.58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4,579,655.63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579,373.18</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17,542,366.56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3,518,396.76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10,110,017.09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1,806,518.43</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已开票未确认收入毛利</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94,027,728.90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10,244,746.02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111,807,304.02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12,484,531.50</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股权激励计提费用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1,191,438.63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119,143.86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1,890,468.13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189,046.81</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117,388,728.59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14,371,129.22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128,387,444.87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15,059,469.92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before="36"/>
        <w:ind w:left="217" w:right="-14"/>
        <w:jc w:val="left"/>
        <w:rPr>
          <w:b w:val="0"/>
          <w:bCs w:val="0"/>
        </w:rPr>
      </w:pPr>
      <w:r>
        <w:rPr>
          <w:rFonts w:ascii="宋体" w:hAnsi="宋体" w:cs="宋体" w:eastAsia="宋体" w:hint="default"/>
        </w:rPr>
        <w:t>(2).</w:t>
      </w:r>
      <w:r>
        <w:rPr/>
        <w:t>未经抵销的递延所得税负债</w:t>
      </w:r>
      <w:r>
        <w:rPr>
          <w:b w:val="0"/>
          <w:bCs w:val="0"/>
        </w:rPr>
      </w:r>
    </w:p>
    <w:p>
      <w:pPr>
        <w:spacing w:line="290" w:lineRule="auto" w:before="56"/>
        <w:ind w:left="217"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90" w:lineRule="auto" w:before="12"/>
        <w:ind w:left="217"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14"/>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36"/>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653" w:space="186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2,135,</w:t>
            </w:r>
            <w:r>
              <w:rPr>
                <w:rFonts w:ascii="宋体"/>
                <w:spacing w:val="2"/>
                <w:sz w:val="21"/>
              </w:rPr>
              <w:t> </w:t>
            </w:r>
            <w:r>
              <w:rPr>
                <w:rFonts w:ascii="宋体"/>
                <w:sz w:val="21"/>
              </w:rPr>
              <w:t>633.17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764,442.79</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12,416,086.75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5,580,405.54</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14,551,719.92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6,344,848.33</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40" w:lineRule="auto" w:before="36"/>
        <w:ind w:left="217"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8"/>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704" w:space="762"/>
            <w:col w:w="282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973,815.40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973,815.40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1,562,734.59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1,562,734.59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3,043,855.55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3,043,855.55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6,835,681.21</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12,416,086.75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5,580,405.54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217" w:right="227"/>
        <w:jc w:val="left"/>
      </w:pPr>
      <w:r>
        <w:rPr/>
        <w:t>其他说明：</w:t>
      </w:r>
    </w:p>
    <w:p>
      <w:pPr>
        <w:pStyle w:val="BodyText"/>
        <w:spacing w:line="273" w:lineRule="exact"/>
        <w:ind w:left="217" w:right="227"/>
        <w:jc w:val="left"/>
      </w:pPr>
      <w:r>
        <w:rPr/>
        <w:t>□适用 √不适用</w:t>
      </w:r>
    </w:p>
    <w:p>
      <w:pPr>
        <w:spacing w:after="0" w:line="273" w:lineRule="exact"/>
        <w:jc w:val="left"/>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060" w:right="1560"/>
        </w:sectPr>
      </w:pPr>
    </w:p>
    <w:p>
      <w:pPr>
        <w:pStyle w:val="Heading4"/>
        <w:spacing w:line="240" w:lineRule="auto" w:before="36"/>
        <w:ind w:left="217" w:right="-19"/>
        <w:jc w:val="left"/>
        <w:rPr>
          <w:b w:val="0"/>
          <w:bCs w:val="0"/>
        </w:rPr>
      </w:pPr>
      <w:r>
        <w:rPr>
          <w:rFonts w:ascii="宋体" w:hAnsi="宋体" w:cs="宋体" w:eastAsia="宋体" w:hint="default"/>
        </w:rPr>
        <w:t>25</w:t>
      </w:r>
      <w:r>
        <w:rPr/>
        <w:t>、</w:t>
      </w:r>
      <w:r>
        <w:rPr>
          <w:spacing w:val="-23"/>
        </w:rPr>
        <w:t> </w:t>
      </w:r>
      <w:r>
        <w:rPr/>
        <w:t>其他非流动资产</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00" w:space="4322"/>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预付房屋款</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53,751,050.57</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53,751,050.57</w:t>
            </w:r>
          </w:p>
        </w:tc>
      </w:tr>
    </w:tbl>
    <w:p>
      <w:pPr>
        <w:spacing w:line="240" w:lineRule="auto" w:before="5"/>
        <w:rPr>
          <w:rFonts w:ascii="宋体" w:hAnsi="宋体" w:cs="宋体" w:eastAsia="宋体" w:hint="default"/>
          <w:sz w:val="15"/>
          <w:szCs w:val="15"/>
        </w:rPr>
      </w:pPr>
    </w:p>
    <w:p>
      <w:pPr>
        <w:pStyle w:val="BodyText"/>
        <w:spacing w:line="240" w:lineRule="auto" w:before="36"/>
        <w:ind w:left="217" w:right="7999"/>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90" w:lineRule="auto"/>
        <w:ind w:left="217" w:right="7361"/>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2"/>
        <w:ind w:left="217" w:right="227"/>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217" w:right="227"/>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6"/>
        <w:ind w:left="217" w:right="227"/>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217" w:right="227"/>
        <w:jc w:val="left"/>
      </w:pPr>
      <w:r>
        <w:rPr/>
        <w:t>其中重要的已逾期未偿还的短期借款情况如下：</w:t>
      </w:r>
    </w:p>
    <w:p>
      <w:pPr>
        <w:pStyle w:val="BodyText"/>
        <w:spacing w:line="272" w:lineRule="exact" w:before="27"/>
        <w:ind w:left="217" w:right="7474"/>
        <w:jc w:val="left"/>
      </w:pPr>
      <w:r>
        <w:rPr/>
        <w:t>□适用 √不适用</w:t>
      </w:r>
      <w:r>
        <w:rPr>
          <w:w w:val="100"/>
        </w:rPr>
        <w:t> </w:t>
      </w:r>
      <w:r>
        <w:rPr/>
        <w:t>其他说明</w:t>
      </w:r>
    </w:p>
    <w:p>
      <w:pPr>
        <w:pStyle w:val="BodyText"/>
        <w:spacing w:line="249"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17" w:right="227"/>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56"/>
        <w:ind w:left="217" w:right="227"/>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217" w:right="227"/>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58"/>
        <w:ind w:left="217" w:right="227"/>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60" w:right="1560"/>
        </w:sectPr>
      </w:pPr>
    </w:p>
    <w:p>
      <w:pPr>
        <w:pStyle w:val="Heading4"/>
        <w:spacing w:line="290" w:lineRule="auto" w:before="36"/>
        <w:ind w:left="217" w:right="-19"/>
        <w:jc w:val="left"/>
        <w:rPr>
          <w:b w:val="0"/>
          <w:bCs w:val="0"/>
        </w:rPr>
      </w:pPr>
      <w:r>
        <w:rPr>
          <w:rFonts w:ascii="宋体" w:hAnsi="宋体" w:cs="宋体" w:eastAsia="宋体" w:hint="default"/>
        </w:rPr>
        <w:t>29</w:t>
      </w:r>
      <w:r>
        <w:rPr/>
        <w:t>、</w:t>
      </w:r>
      <w:r>
        <w:rPr>
          <w:spacing w:val="-22"/>
        </w:rPr>
        <w:t> </w:t>
      </w:r>
      <w:r>
        <w:rPr/>
        <w:t>应付票据及应付账款</w:t>
      </w:r>
      <w:r>
        <w:rPr>
          <w:w w:val="100"/>
        </w:rPr>
        <w:t> </w:t>
      </w:r>
      <w:r>
        <w:rPr/>
        <w:t>总表情况</w:t>
      </w:r>
      <w:r>
        <w:rPr>
          <w:b w:val="0"/>
          <w:bCs w:val="0"/>
        </w:rPr>
      </w:r>
    </w:p>
    <w:p>
      <w:pPr>
        <w:pStyle w:val="Heading4"/>
        <w:spacing w:line="240" w:lineRule="auto" w:before="12"/>
        <w:ind w:left="217" w:right="-19"/>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623" w:space="389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1,594,734.59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1,103,508.23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1,594,734.59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1,103,508.23</w:t>
            </w:r>
          </w:p>
        </w:tc>
      </w:tr>
    </w:tbl>
    <w:p>
      <w:pPr>
        <w:spacing w:line="240" w:lineRule="auto" w:before="5"/>
        <w:rPr>
          <w:rFonts w:ascii="宋体" w:hAnsi="宋体" w:cs="宋体" w:eastAsia="宋体" w:hint="default"/>
          <w:sz w:val="15"/>
          <w:szCs w:val="15"/>
        </w:rPr>
      </w:pPr>
    </w:p>
    <w:p>
      <w:pPr>
        <w:pStyle w:val="BodyText"/>
        <w:spacing w:line="273" w:lineRule="exact" w:before="36"/>
        <w:ind w:left="217" w:right="227"/>
        <w:jc w:val="left"/>
      </w:pPr>
      <w:r>
        <w:rPr/>
        <w:t>其他说明：</w:t>
      </w:r>
    </w:p>
    <w:p>
      <w:pPr>
        <w:pStyle w:val="BodyText"/>
        <w:spacing w:line="273" w:lineRule="exact"/>
        <w:ind w:left="217" w:right="227"/>
        <w:jc w:val="left"/>
      </w:pPr>
      <w:r>
        <w:rPr/>
        <w:t>□适用 √不适用</w:t>
      </w:r>
    </w:p>
    <w:p>
      <w:pPr>
        <w:spacing w:after="0" w:line="273" w:lineRule="exact"/>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90" w:lineRule="auto" w:before="36"/>
        <w:ind w:left="217" w:right="7361"/>
        <w:jc w:val="left"/>
        <w:rPr>
          <w:b w:val="0"/>
          <w:bCs w:val="0"/>
        </w:rPr>
      </w:pPr>
      <w:r>
        <w:rPr/>
        <w:t>应付票据</w:t>
      </w:r>
      <w:r>
        <w:rPr>
          <w:w w:val="100"/>
        </w:rPr>
        <w:t> </w:t>
      </w:r>
      <w:r>
        <w:rPr>
          <w:rFonts w:ascii="宋体" w:hAnsi="宋体" w:cs="宋体" w:eastAsia="宋体" w:hint="default"/>
        </w:rPr>
        <w:t>(2).</w:t>
      </w:r>
      <w:r>
        <w:rPr/>
        <w:t>应付票据列示</w:t>
      </w:r>
      <w:r>
        <w:rPr>
          <w:b w:val="0"/>
          <w:bCs w:val="0"/>
        </w:rPr>
      </w:r>
    </w:p>
    <w:p>
      <w:pPr>
        <w:pStyle w:val="BodyText"/>
        <w:spacing w:line="240" w:lineRule="auto" w:before="14"/>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60" w:right="1560"/>
        </w:sectPr>
      </w:pPr>
    </w:p>
    <w:p>
      <w:pPr>
        <w:pStyle w:val="Heading4"/>
        <w:spacing w:line="290" w:lineRule="auto" w:before="36"/>
        <w:ind w:left="217" w:right="-14"/>
        <w:jc w:val="left"/>
        <w:rPr>
          <w:b w:val="0"/>
          <w:bCs w:val="0"/>
        </w:rPr>
      </w:pPr>
      <w:r>
        <w:rPr/>
        <w:t>应付账款</w:t>
      </w:r>
      <w:r>
        <w:rPr>
          <w:w w:val="100"/>
        </w:rPr>
        <w:t> </w:t>
      </w:r>
      <w:r>
        <w:rPr>
          <w:rFonts w:ascii="宋体" w:hAnsi="宋体" w:cs="宋体" w:eastAsia="宋体" w:hint="default"/>
        </w:rPr>
        <w:t>(3).</w:t>
      </w:r>
      <w:r>
        <w:rPr/>
        <w:t>应付账款列示</w:t>
      </w:r>
      <w:r>
        <w:rPr>
          <w:b w:val="0"/>
          <w:bCs w:val="0"/>
        </w:rPr>
      </w:r>
    </w:p>
    <w:p>
      <w:pPr>
        <w:pStyle w:val="BodyText"/>
        <w:spacing w:line="240" w:lineRule="auto" w:before="14"/>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1,594,734.59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1,103,508.23</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1,594,734.59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1,103,508.23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before="36"/>
        <w:ind w:left="217" w:right="227"/>
        <w:jc w:val="left"/>
        <w:rPr>
          <w:b w:val="0"/>
          <w:bCs w:val="0"/>
        </w:rPr>
      </w:pPr>
      <w:r>
        <w:rPr>
          <w:rFonts w:ascii="宋体" w:hAnsi="宋体" w:cs="宋体" w:eastAsia="宋体" w:hint="default"/>
        </w:rPr>
        <w:t>(4).</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6"/>
        <w:ind w:left="217" w:right="7474"/>
        <w:jc w:val="left"/>
      </w:pPr>
      <w:r>
        <w:rPr/>
        <w:t>□适用 √不适用</w:t>
      </w:r>
      <w:r>
        <w:rPr>
          <w:w w:val="100"/>
        </w:rPr>
        <w:t> </w:t>
      </w:r>
      <w:r>
        <w:rPr/>
        <w:t>其他说明</w:t>
      </w:r>
    </w:p>
    <w:p>
      <w:pPr>
        <w:pStyle w:val="BodyText"/>
        <w:spacing w:line="271" w:lineRule="exact"/>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4"/>
        <w:spacing w:line="240" w:lineRule="auto" w:before="36"/>
        <w:ind w:left="217" w:right="-19"/>
        <w:jc w:val="left"/>
        <w:rPr>
          <w:b w:val="0"/>
          <w:bCs w:val="0"/>
        </w:rPr>
      </w:pPr>
      <w:r>
        <w:rPr>
          <w:rFonts w:ascii="宋体" w:hAnsi="宋体" w:cs="宋体" w:eastAsia="宋体" w:hint="default"/>
        </w:rPr>
        <w:t>30</w:t>
      </w:r>
      <w:r>
        <w:rPr/>
        <w:t>、</w:t>
      </w:r>
      <w:r>
        <w:rPr>
          <w:spacing w:val="-24"/>
        </w:rPr>
        <w:t> </w:t>
      </w:r>
      <w:r>
        <w:rPr/>
        <w:t>预收款项</w:t>
      </w:r>
      <w:r>
        <w:rPr>
          <w:b w:val="0"/>
          <w:bCs w:val="0"/>
        </w:rPr>
      </w:r>
    </w:p>
    <w:p>
      <w:pPr>
        <w:pStyle w:val="Heading4"/>
        <w:spacing w:line="240" w:lineRule="auto" w:before="58"/>
        <w:ind w:left="217"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24" w:space="4298"/>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138,926,785.76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146,986,314.76</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138,926,785.76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146,986,314.76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before="36"/>
        <w:ind w:left="21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489" w:space="30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89"/>
        <w:gridCol w:w="3012"/>
        <w:gridCol w:w="3049"/>
      </w:tblGrid>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南京交通职业技术学院</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4,207,000.00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东吴证券股份有限公司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华鑫证券有限责任公司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2,825,471.67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山东医学高等专科学校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2,498,113.22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2,235,849.07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15,266,433.96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4"/>
        <w:spacing w:line="240" w:lineRule="auto" w:before="36"/>
        <w:ind w:left="217" w:right="227"/>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40" w:lineRule="auto" w:before="56"/>
        <w:ind w:left="217" w:right="7474"/>
        <w:jc w:val="left"/>
      </w:pPr>
      <w:r>
        <w:rPr/>
        <w:t>□适用 √不适用</w:t>
      </w:r>
      <w:r>
        <w:rPr>
          <w:w w:val="100"/>
        </w:rPr>
        <w:t> </w:t>
      </w:r>
      <w:r>
        <w:rPr/>
        <w:t>其他说明</w:t>
      </w:r>
    </w:p>
    <w:p>
      <w:pPr>
        <w:pStyle w:val="BodyText"/>
        <w:spacing w:line="271" w:lineRule="exact"/>
        <w:ind w:left="217" w:right="227"/>
        <w:jc w:val="left"/>
      </w:pPr>
      <w:r>
        <w:rPr/>
        <w:t>□适用 √不适用</w:t>
      </w:r>
    </w:p>
    <w:p>
      <w:pPr>
        <w:spacing w:after="0" w:line="271" w:lineRule="exact"/>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Heading4"/>
        <w:spacing w:line="290" w:lineRule="auto" w:before="36"/>
        <w:ind w:left="217"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5"/>
        <w:gridCol w:w="1702"/>
        <w:gridCol w:w="1702"/>
        <w:gridCol w:w="1790"/>
        <w:gridCol w:w="1621"/>
      </w:tblGrid>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9"/>
              <w:jc w:val="right"/>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6"/>
              <w:jc w:val="right"/>
              <w:rPr>
                <w:rFonts w:ascii="宋体" w:hAnsi="宋体" w:cs="宋体" w:eastAsia="宋体" w:hint="default"/>
                <w:sz w:val="21"/>
                <w:szCs w:val="21"/>
              </w:rPr>
            </w:pPr>
            <w:r>
              <w:rPr>
                <w:rFonts w:ascii="宋体" w:hAnsi="宋体" w:cs="宋体" w:eastAsia="宋体" w:hint="default"/>
                <w:spacing w:val="-1"/>
                <w:sz w:val="21"/>
                <w:szCs w:val="21"/>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18,961,150.00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131,683,074.82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128,507,482.32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22,136,742.50</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提存计划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8,857,984.82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8,857,984.82</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6"/>
              <w:jc w:val="right"/>
              <w:rPr>
                <w:rFonts w:ascii="宋体" w:hAnsi="宋体" w:cs="宋体" w:eastAsia="宋体" w:hint="default"/>
                <w:sz w:val="21"/>
                <w:szCs w:val="21"/>
              </w:rPr>
            </w:pPr>
            <w:r>
              <w:rPr>
                <w:rFonts w:ascii="宋体" w:hAnsi="宋体" w:cs="宋体" w:eastAsia="宋体" w:hint="default"/>
                <w:spacing w:val="-1"/>
                <w:sz w:val="21"/>
                <w:szCs w:val="21"/>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四、一年内到期的其他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9"/>
              <w:jc w:val="righ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18,961,150.00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140,541,059.64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137,365,467.14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22,136,742.50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40" w:lineRule="auto" w:before="36"/>
        <w:ind w:left="21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60" w:right="1560"/>
          <w:cols w:num="2" w:equalWidth="0">
            <w:col w:w="1910" w:space="4718"/>
            <w:col w:w="266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5"/>
        <w:gridCol w:w="1702"/>
        <w:gridCol w:w="1702"/>
        <w:gridCol w:w="1790"/>
        <w:gridCol w:w="1621"/>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一、工资、奖金、津贴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1" w:right="0"/>
              <w:jc w:val="center"/>
              <w:rPr>
                <w:rFonts w:ascii="宋体" w:hAnsi="宋体" w:cs="宋体" w:eastAsia="宋体" w:hint="default"/>
                <w:sz w:val="21"/>
                <w:szCs w:val="21"/>
              </w:rPr>
            </w:pPr>
            <w:r>
              <w:rPr>
                <w:rFonts w:ascii="宋体"/>
                <w:sz w:val="21"/>
              </w:rPr>
              <w:t>18,961,150.00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115,140,559.35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112,242,909.35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21,858,800.00</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5,913,346.47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5,913,346.47</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4,701,892.03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4,701,892.03</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4,238,811.11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4,238,811.11</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123,789.82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123,789.82</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339,291.10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339,291.10</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5,731,081.00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5,453,138.50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277,942.50</w:t>
            </w:r>
          </w:p>
        </w:tc>
      </w:tr>
      <w:tr>
        <w:trPr>
          <w:trHeight w:val="5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五、工会经费和职工教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196,195.97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196,195.97</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七、短期利润分享计划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18,961,150.00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131,683,074.82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128,507,482.32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22,136,742.50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40" w:lineRule="auto" w:before="36"/>
        <w:ind w:left="21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8,603,478.07</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8,603,478.07</w:t>
            </w:r>
          </w:p>
        </w:tc>
        <w:tc>
          <w:tcPr>
            <w:tcW w:w="1592"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254,506.75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254,506.75</w:t>
            </w: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8,857,984.82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8,857,984.82</w:t>
            </w:r>
          </w:p>
        </w:tc>
        <w:tc>
          <w:tcPr>
            <w:tcW w:w="15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7" w:right="227"/>
        <w:jc w:val="left"/>
      </w:pPr>
      <w:r>
        <w:rPr/>
        <w:t>其他说明：</w:t>
      </w:r>
    </w:p>
    <w:p>
      <w:pPr>
        <w:pStyle w:val="BodyText"/>
        <w:spacing w:line="273" w:lineRule="exact"/>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4"/>
        <w:spacing w:line="240" w:lineRule="auto" w:before="36"/>
        <w:ind w:left="217" w:right="-18"/>
        <w:jc w:val="left"/>
        <w:rPr>
          <w:b w:val="0"/>
          <w:bCs w:val="0"/>
        </w:rPr>
      </w:pPr>
      <w:r>
        <w:rPr>
          <w:rFonts w:ascii="宋体" w:hAnsi="宋体" w:cs="宋体" w:eastAsia="宋体" w:hint="default"/>
        </w:rPr>
        <w:t>32</w:t>
      </w:r>
      <w:r>
        <w:rPr/>
        <w:t>、</w:t>
      </w:r>
      <w:r>
        <w:rPr>
          <w:spacing w:val="-24"/>
        </w:rPr>
        <w:t> </w:t>
      </w:r>
      <w:r>
        <w:rPr/>
        <w:t>应交税费</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3" w:right="0"/>
              <w:jc w:val="left"/>
              <w:rPr>
                <w:rFonts w:ascii="宋体" w:hAnsi="宋体" w:cs="宋体" w:eastAsia="宋体" w:hint="default"/>
                <w:sz w:val="21"/>
                <w:szCs w:val="21"/>
              </w:rPr>
            </w:pPr>
            <w:r>
              <w:rPr>
                <w:rFonts w:ascii="宋体"/>
                <w:sz w:val="21"/>
              </w:rPr>
              <w:t>3,460,191.84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63" w:right="0"/>
              <w:jc w:val="left"/>
              <w:rPr>
                <w:rFonts w:ascii="宋体" w:hAnsi="宋体" w:cs="宋体" w:eastAsia="宋体" w:hint="default"/>
                <w:sz w:val="21"/>
                <w:szCs w:val="21"/>
              </w:rPr>
            </w:pPr>
            <w:r>
              <w:rPr>
                <w:rFonts w:ascii="宋体"/>
                <w:sz w:val="21"/>
              </w:rPr>
              <w:t>2,794,511.49</w:t>
            </w:r>
          </w:p>
        </w:tc>
      </w:tr>
    </w:tbl>
    <w:p>
      <w:pPr>
        <w:spacing w:after="0" w:line="243"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6,306,037.79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6,041,122.57</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169,941.74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320,728.39</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213,708.78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194,593.68</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165,623.41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138,888.32</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其他税种</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208,420.60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224,332.01</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10,523,924.16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9,714,176.46</w:t>
            </w:r>
          </w:p>
        </w:tc>
      </w:tr>
    </w:tbl>
    <w:p>
      <w:pPr>
        <w:pStyle w:val="BodyText"/>
        <w:spacing w:line="240" w:lineRule="exact"/>
        <w:ind w:left="217" w:right="227"/>
        <w:jc w:val="left"/>
      </w:pPr>
      <w:r>
        <w:rPr/>
        <w:t>其他说明：</w:t>
      </w:r>
    </w:p>
    <w:p>
      <w:pPr>
        <w:pStyle w:val="BodyText"/>
        <w:spacing w:line="274" w:lineRule="exact"/>
        <w:ind w:left="217" w:right="227"/>
        <w:jc w:val="left"/>
      </w:pPr>
      <w:r>
        <w:rPr>
          <w:w w:val="100"/>
        </w:rPr>
        <w:t>无</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60" w:right="1560"/>
        </w:sectPr>
      </w:pPr>
    </w:p>
    <w:p>
      <w:pPr>
        <w:pStyle w:val="Heading4"/>
        <w:spacing w:line="290" w:lineRule="auto" w:before="36"/>
        <w:ind w:left="217" w:right="-2"/>
        <w:jc w:val="left"/>
        <w:rPr>
          <w:b w:val="0"/>
          <w:bCs w:val="0"/>
        </w:rPr>
      </w:pPr>
      <w:r>
        <w:rPr>
          <w:rFonts w:ascii="宋体" w:hAnsi="宋体" w:cs="宋体" w:eastAsia="宋体" w:hint="default"/>
        </w:rPr>
        <w:t>33</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23,251,034.17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38,572,334.17</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23,251,034.17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38,572,334.17</w:t>
            </w:r>
          </w:p>
        </w:tc>
      </w:tr>
    </w:tbl>
    <w:p>
      <w:pPr>
        <w:spacing w:line="240" w:lineRule="auto" w:before="7"/>
        <w:rPr>
          <w:rFonts w:ascii="宋体" w:hAnsi="宋体" w:cs="宋体" w:eastAsia="宋体" w:hint="default"/>
          <w:sz w:val="15"/>
          <w:szCs w:val="15"/>
        </w:rPr>
      </w:pPr>
    </w:p>
    <w:p>
      <w:pPr>
        <w:pStyle w:val="BodyText"/>
        <w:spacing w:line="273" w:lineRule="exact" w:before="36"/>
        <w:ind w:left="217" w:right="227"/>
        <w:jc w:val="left"/>
      </w:pPr>
      <w:r>
        <w:rPr/>
        <w:t>其他说明：</w:t>
      </w:r>
    </w:p>
    <w:p>
      <w:pPr>
        <w:pStyle w:val="BodyText"/>
        <w:spacing w:line="273"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left="217" w:right="7782"/>
        <w:jc w:val="left"/>
        <w:rPr>
          <w:b w:val="0"/>
          <w:bCs w:val="0"/>
        </w:rPr>
      </w:pPr>
      <w:r>
        <w:rPr/>
        <w:t>应付利息</w:t>
      </w:r>
      <w:r>
        <w:rPr>
          <w:w w:val="100"/>
        </w:rPr>
        <w:t> </w:t>
      </w:r>
      <w:r>
        <w:rPr>
          <w:rFonts w:ascii="宋体" w:hAnsi="宋体" w:cs="宋体" w:eastAsia="宋体" w:hint="default"/>
        </w:rPr>
        <w:t>(2).</w:t>
      </w:r>
      <w:r>
        <w:rPr/>
        <w:t>分类列示</w:t>
      </w:r>
      <w:r>
        <w:rPr>
          <w:b w:val="0"/>
          <w:bCs w:val="0"/>
        </w:rPr>
      </w:r>
    </w:p>
    <w:p>
      <w:pPr>
        <w:pStyle w:val="BodyText"/>
        <w:spacing w:line="240" w:lineRule="auto" w:before="12"/>
        <w:ind w:left="217" w:right="227"/>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90" w:lineRule="auto"/>
        <w:ind w:left="217" w:right="7782"/>
        <w:jc w:val="left"/>
        <w:rPr>
          <w:b w:val="0"/>
          <w:bCs w:val="0"/>
        </w:rPr>
      </w:pPr>
      <w:r>
        <w:rPr/>
        <w:t>应付股利</w:t>
      </w:r>
      <w:r>
        <w:rPr>
          <w:w w:val="100"/>
        </w:rPr>
        <w:t> </w:t>
      </w:r>
      <w:r>
        <w:rPr>
          <w:rFonts w:ascii="宋体" w:hAnsi="宋体" w:cs="宋体" w:eastAsia="宋体" w:hint="default"/>
        </w:rPr>
        <w:t>(3).</w:t>
      </w:r>
      <w:r>
        <w:rPr/>
        <w:t>分类列示</w:t>
      </w:r>
      <w:r>
        <w:rPr>
          <w:b w:val="0"/>
          <w:bCs w:val="0"/>
        </w:rPr>
      </w:r>
    </w:p>
    <w:p>
      <w:pPr>
        <w:pStyle w:val="BodyText"/>
        <w:spacing w:line="240" w:lineRule="auto" w:before="12"/>
        <w:ind w:left="217" w:right="227"/>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60" w:right="1560"/>
        </w:sectPr>
      </w:pPr>
    </w:p>
    <w:p>
      <w:pPr>
        <w:pStyle w:val="Heading4"/>
        <w:spacing w:line="240" w:lineRule="auto" w:before="36"/>
        <w:ind w:left="217" w:right="-17"/>
        <w:jc w:val="left"/>
        <w:rPr>
          <w:b w:val="0"/>
          <w:bCs w:val="0"/>
        </w:rPr>
      </w:pPr>
      <w:r>
        <w:rPr/>
        <w:t>其他应付款</w:t>
      </w:r>
      <w:r>
        <w:rPr>
          <w:b w:val="0"/>
          <w:bCs w:val="0"/>
        </w:rPr>
      </w:r>
    </w:p>
    <w:p>
      <w:pPr>
        <w:pStyle w:val="Heading4"/>
        <w:spacing w:line="240" w:lineRule="auto" w:before="56"/>
        <w:ind w:left="217"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276" w:space="324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42,600.00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限制性股票回购义务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22,599,252.00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38,503,920.00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609,182.17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68,414.17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23,251,034.17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38,572,334.17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before="36"/>
        <w:ind w:left="21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700" w:space="2822"/>
            <w:col w:w="2768"/>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10"/>
        <w:gridCol w:w="3027"/>
        <w:gridCol w:w="3113"/>
      </w:tblGrid>
      <w:tr>
        <w:trPr>
          <w:trHeight w:val="28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限制性股票回购义务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22,599,252.00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限制性股票尚未解禁</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22,599,252.00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217" w:right="227"/>
        <w:jc w:val="left"/>
      </w:pPr>
      <w:r>
        <w:rPr/>
        <w:t>其他说明：</w:t>
      </w:r>
    </w:p>
    <w:p>
      <w:pPr>
        <w:pStyle w:val="BodyText"/>
        <w:spacing w:line="273"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17" w:right="227"/>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6"/>
        <w:ind w:left="217" w:right="227"/>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217" w:right="227"/>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7"/>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60" w:right="1560"/>
        </w:sectPr>
      </w:pPr>
    </w:p>
    <w:p>
      <w:pPr>
        <w:spacing w:line="290" w:lineRule="auto" w:before="36"/>
        <w:ind w:left="217" w:right="-1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59" w:val="left" w:leader="none"/>
        </w:tabs>
        <w:spacing w:line="227" w:lineRule="exact"/>
        <w:ind w:left="217"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2,116,989.88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2,459,976.09</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2,116,989.88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2,459,976.09</w:t>
            </w:r>
          </w:p>
        </w:tc>
      </w:tr>
    </w:tbl>
    <w:p>
      <w:pPr>
        <w:spacing w:line="240" w:lineRule="auto" w:before="7"/>
        <w:rPr>
          <w:rFonts w:ascii="宋体" w:hAnsi="宋体" w:cs="宋体" w:eastAsia="宋体" w:hint="default"/>
          <w:sz w:val="15"/>
          <w:szCs w:val="15"/>
        </w:rPr>
      </w:pPr>
    </w:p>
    <w:p>
      <w:pPr>
        <w:pStyle w:val="BodyText"/>
        <w:spacing w:line="273" w:lineRule="exact" w:before="36"/>
        <w:ind w:left="217" w:right="227"/>
        <w:jc w:val="left"/>
      </w:pPr>
      <w:r>
        <w:rPr/>
        <w:t>短期应付债券的增减变动：</w:t>
      </w:r>
    </w:p>
    <w:p>
      <w:pPr>
        <w:pStyle w:val="BodyText"/>
        <w:spacing w:line="290" w:lineRule="auto"/>
        <w:ind w:left="217" w:right="7474"/>
        <w:jc w:val="left"/>
      </w:pPr>
      <w:r>
        <w:rPr/>
        <w:t>□适用 √不适用</w:t>
      </w:r>
      <w:r>
        <w:rPr>
          <w:w w:val="100"/>
        </w:rPr>
        <w:t> </w:t>
      </w:r>
      <w:r>
        <w:rPr/>
        <w:t>其他说明：</w:t>
      </w:r>
    </w:p>
    <w:p>
      <w:pPr>
        <w:pStyle w:val="BodyText"/>
        <w:spacing w:line="240" w:lineRule="auto" w:before="12"/>
        <w:ind w:left="217" w:right="227"/>
        <w:jc w:val="left"/>
      </w:pPr>
      <w:r>
        <w:rPr/>
        <w:t>□适用 √不适用</w:t>
      </w:r>
    </w:p>
    <w:p>
      <w:pPr>
        <w:spacing w:line="240" w:lineRule="auto" w:before="11"/>
        <w:rPr>
          <w:rFonts w:ascii="宋体" w:hAnsi="宋体" w:cs="宋体" w:eastAsia="宋体" w:hint="default"/>
          <w:sz w:val="29"/>
          <w:szCs w:val="29"/>
        </w:rPr>
      </w:pPr>
    </w:p>
    <w:p>
      <w:pPr>
        <w:pStyle w:val="Heading4"/>
        <w:spacing w:line="240" w:lineRule="auto"/>
        <w:ind w:left="217" w:right="227"/>
        <w:jc w:val="left"/>
        <w:rPr>
          <w:b w:val="0"/>
          <w:bCs w:val="0"/>
        </w:rPr>
      </w:pPr>
      <w:r>
        <w:rPr>
          <w:rFonts w:ascii="宋体" w:hAnsi="宋体" w:cs="宋体" w:eastAsia="宋体" w:hint="default"/>
        </w:rPr>
        <w:t>37</w:t>
      </w:r>
      <w:r>
        <w:rPr/>
        <w:t>、</w:t>
      </w:r>
      <w:r>
        <w:rPr>
          <w:spacing w:val="-24"/>
        </w:rPr>
        <w:t> </w:t>
      </w:r>
      <w:r>
        <w:rPr/>
        <w:t>长期借款</w:t>
      </w:r>
      <w:r>
        <w:rPr>
          <w:b w:val="0"/>
          <w:bCs w:val="0"/>
        </w:rPr>
      </w:r>
    </w:p>
    <w:p>
      <w:pPr>
        <w:pStyle w:val="Heading4"/>
        <w:spacing w:line="240" w:lineRule="auto" w:before="58"/>
        <w:ind w:left="217" w:right="227"/>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6"/>
        <w:ind w:left="217" w:right="227"/>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73" w:lineRule="exact"/>
        <w:ind w:left="217" w:right="227"/>
        <w:jc w:val="left"/>
      </w:pPr>
      <w:r>
        <w:rPr/>
        <w:t>其他说明，包括利率区间：</w:t>
      </w:r>
    </w:p>
    <w:p>
      <w:pPr>
        <w:pStyle w:val="BodyText"/>
        <w:spacing w:line="273"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left="217" w:right="7701"/>
        <w:jc w:val="left"/>
        <w:rPr>
          <w:b w:val="0"/>
          <w:bCs w:val="0"/>
        </w:rPr>
      </w:pPr>
      <w:r>
        <w:rPr>
          <w:rFonts w:ascii="宋体" w:hAnsi="宋体" w:cs="宋体" w:eastAsia="宋体" w:hint="default"/>
        </w:rPr>
        <w:t>38</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Heading4"/>
        <w:spacing w:line="290" w:lineRule="auto" w:before="14"/>
        <w:ind w:left="217" w:right="93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b w:val="0"/>
          <w:bCs w:val="0"/>
          <w:spacing w:val="-3"/>
          <w:w w:val="100"/>
        </w:rPr>
      </w:r>
    </w:p>
    <w:p>
      <w:pPr>
        <w:spacing w:line="290" w:lineRule="auto" w:before="14"/>
        <w:ind w:left="217" w:right="46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pStyle w:val="BodyText"/>
        <w:tabs>
          <w:tab w:pos="1059" w:val="left" w:leader="none"/>
        </w:tabs>
        <w:spacing w:line="240" w:lineRule="auto" w:before="14"/>
        <w:ind w:left="217" w:right="227"/>
        <w:jc w:val="left"/>
      </w:pPr>
      <w:r>
        <w:rPr/>
        <w:t>□适用</w:t>
        <w:tab/>
        <w:t>√不适用</w:t>
      </w:r>
    </w:p>
    <w:p>
      <w:pPr>
        <w:spacing w:line="240" w:lineRule="auto" w:before="11"/>
        <w:rPr>
          <w:rFonts w:ascii="宋体" w:hAnsi="宋体" w:cs="宋体" w:eastAsia="宋体" w:hint="default"/>
          <w:sz w:val="29"/>
          <w:szCs w:val="29"/>
        </w:rPr>
      </w:pPr>
    </w:p>
    <w:p>
      <w:pPr>
        <w:spacing w:line="290" w:lineRule="auto" w:before="0"/>
        <w:ind w:left="217" w:right="22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spacing w:after="0" w:line="290" w:lineRule="auto"/>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137" w:right="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137" w:right="0"/>
        <w:jc w:val="left"/>
      </w:pPr>
      <w:r>
        <w:rPr/>
        <w:t>期末发行在外的优先股、永续债等金融工具变动情况表</w:t>
      </w:r>
    </w:p>
    <w:p>
      <w:pPr>
        <w:pStyle w:val="BodyText"/>
        <w:spacing w:line="290" w:lineRule="auto"/>
        <w:ind w:left="137" w:right="3467"/>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12"/>
        <w:ind w:left="137" w:right="0"/>
        <w:jc w:val="left"/>
      </w:pPr>
      <w:r>
        <w:rPr/>
        <w:t>□适用 √不适用</w:t>
      </w:r>
    </w:p>
    <w:p>
      <w:pPr>
        <w:spacing w:line="240" w:lineRule="auto" w:before="11"/>
        <w:rPr>
          <w:rFonts w:ascii="宋体" w:hAnsi="宋体" w:cs="宋体" w:eastAsia="宋体" w:hint="default"/>
          <w:sz w:val="29"/>
          <w:szCs w:val="29"/>
        </w:rPr>
      </w:pPr>
    </w:p>
    <w:p>
      <w:pPr>
        <w:pStyle w:val="BodyText"/>
        <w:spacing w:line="240" w:lineRule="auto"/>
        <w:ind w:left="137" w:right="0"/>
        <w:jc w:val="left"/>
      </w:pPr>
      <w:r>
        <w:rPr/>
        <w:t>其他说明：</w:t>
      </w:r>
    </w:p>
    <w:p>
      <w:pPr>
        <w:pStyle w:val="BodyText"/>
        <w:spacing w:line="240" w:lineRule="auto" w:before="58"/>
        <w:ind w:left="137" w:right="0"/>
        <w:jc w:val="left"/>
      </w:pPr>
      <w:r>
        <w:rPr/>
        <w:t>□适用 √不适用</w:t>
      </w:r>
    </w:p>
    <w:p>
      <w:pPr>
        <w:spacing w:line="240" w:lineRule="auto" w:before="11"/>
        <w:rPr>
          <w:rFonts w:ascii="宋体" w:hAnsi="宋体" w:cs="宋体" w:eastAsia="宋体" w:hint="default"/>
          <w:sz w:val="29"/>
          <w:szCs w:val="29"/>
        </w:rPr>
      </w:pPr>
    </w:p>
    <w:p>
      <w:pPr>
        <w:pStyle w:val="Heading4"/>
        <w:spacing w:line="290" w:lineRule="auto"/>
        <w:ind w:left="137" w:right="7392"/>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137" w:right="7374"/>
        <w:jc w:val="left"/>
      </w:pPr>
      <w:r>
        <w:rPr/>
        <w:t>□适用 √不适用</w:t>
      </w:r>
      <w:r>
        <w:rPr>
          <w:w w:val="100"/>
        </w:rPr>
        <w:t> </w:t>
      </w:r>
      <w:r>
        <w:rPr/>
        <w:t>其他说明：</w:t>
      </w:r>
    </w:p>
    <w:p>
      <w:pPr>
        <w:pStyle w:val="BodyText"/>
        <w:spacing w:line="271" w:lineRule="exact"/>
        <w:ind w:left="137" w:right="0"/>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left="137" w:right="5996"/>
        <w:jc w:val="left"/>
        <w:rPr>
          <w:b w:val="0"/>
          <w:bCs w:val="0"/>
        </w:rPr>
      </w:pPr>
      <w:r>
        <w:rPr/>
        <w:t>长期应付款</w:t>
      </w:r>
      <w:r>
        <w:rPr>
          <w:w w:val="100"/>
        </w:rPr>
        <w:t> </w:t>
      </w:r>
      <w:r>
        <w:rPr>
          <w:rFonts w:ascii="宋体" w:hAnsi="宋体" w:cs="宋体" w:eastAsia="宋体" w:hint="default"/>
        </w:rPr>
        <w:t>(2).</w:t>
      </w:r>
      <w:r>
        <w:rPr/>
        <w:t>按款项性质列示长期应付款</w:t>
      </w:r>
      <w:r>
        <w:rPr>
          <w:b w:val="0"/>
          <w:bCs w:val="0"/>
        </w:rPr>
      </w:r>
    </w:p>
    <w:p>
      <w:pPr>
        <w:pStyle w:val="BodyText"/>
        <w:spacing w:line="240" w:lineRule="auto" w:before="12"/>
        <w:ind w:left="137" w:right="0"/>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90" w:lineRule="auto"/>
        <w:ind w:left="137" w:right="5996"/>
        <w:jc w:val="left"/>
        <w:rPr>
          <w:b w:val="0"/>
          <w:bCs w:val="0"/>
        </w:rPr>
      </w:pPr>
      <w:r>
        <w:rPr/>
        <w:t>专项应付款</w:t>
      </w:r>
      <w:r>
        <w:rPr>
          <w:w w:val="100"/>
        </w:rPr>
        <w:t> </w:t>
      </w:r>
      <w:r>
        <w:rPr>
          <w:rFonts w:ascii="宋体" w:hAnsi="宋体" w:cs="宋体" w:eastAsia="宋体" w:hint="default"/>
        </w:rPr>
        <w:t>(3).</w:t>
      </w:r>
      <w:r>
        <w:rPr/>
        <w:t>按款项性质列示专项应付款</w:t>
      </w:r>
      <w:r>
        <w:rPr>
          <w:b w:val="0"/>
          <w:bCs w:val="0"/>
        </w:rPr>
      </w:r>
    </w:p>
    <w:p>
      <w:pPr>
        <w:pStyle w:val="BodyText"/>
        <w:spacing w:line="240" w:lineRule="auto" w:before="12"/>
        <w:ind w:left="137"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137" w:right="0"/>
        <w:jc w:val="left"/>
        <w:rPr>
          <w:b w:val="0"/>
          <w:bCs w:val="0"/>
        </w:rPr>
      </w:pPr>
      <w:r>
        <w:rPr>
          <w:rFonts w:ascii="宋体" w:hAnsi="宋体" w:cs="宋体" w:eastAsia="宋体" w:hint="default"/>
        </w:rPr>
        <w:t>40</w:t>
      </w:r>
      <w:r>
        <w:rPr/>
        <w:t>、</w:t>
      </w:r>
      <w:r>
        <w:rPr>
          <w:spacing w:val="-23"/>
        </w:rPr>
        <w:t> </w:t>
      </w:r>
      <w:r>
        <w:rPr/>
        <w:t>长期应付职工薪酬</w:t>
      </w:r>
      <w:r>
        <w:rPr>
          <w:b w:val="0"/>
          <w:bCs w:val="0"/>
        </w:rPr>
      </w:r>
    </w:p>
    <w:p>
      <w:pPr>
        <w:pStyle w:val="BodyText"/>
        <w:spacing w:line="240" w:lineRule="auto" w:before="56"/>
        <w:ind w:left="137"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137" w:right="0"/>
        <w:jc w:val="left"/>
        <w:rPr>
          <w:b w:val="0"/>
          <w:bCs w:val="0"/>
        </w:rPr>
      </w:pPr>
      <w:r>
        <w:rPr>
          <w:rFonts w:ascii="宋体" w:hAnsi="宋体" w:cs="宋体" w:eastAsia="宋体" w:hint="default"/>
        </w:rPr>
        <w:t>41</w:t>
      </w:r>
      <w:r>
        <w:rPr/>
        <w:t>、</w:t>
      </w:r>
      <w:r>
        <w:rPr>
          <w:spacing w:val="-24"/>
        </w:rPr>
        <w:t> </w:t>
      </w:r>
      <w:r>
        <w:rPr/>
        <w:t>预计负债</w:t>
      </w:r>
      <w:r>
        <w:rPr>
          <w:b w:val="0"/>
          <w:bCs w:val="0"/>
        </w:rPr>
      </w:r>
    </w:p>
    <w:p>
      <w:pPr>
        <w:pStyle w:val="BodyText"/>
        <w:spacing w:line="240" w:lineRule="auto" w:before="58"/>
        <w:ind w:left="137" w:right="0"/>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line="290" w:lineRule="auto" w:before="0"/>
        <w:ind w:left="137" w:right="7601"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979" w:val="left" w:leader="none"/>
        </w:tabs>
        <w:spacing w:line="227" w:lineRule="exact"/>
        <w:ind w:left="137" w:right="0"/>
        <w:jc w:val="left"/>
      </w:pPr>
      <w:r>
        <w:rPr/>
        <w:t>□适用</w:t>
        <w:tab/>
        <w:t>√不适用</w:t>
      </w:r>
    </w:p>
    <w:p>
      <w:pPr>
        <w:pStyle w:val="BodyText"/>
        <w:spacing w:line="240" w:lineRule="auto" w:before="58"/>
        <w:ind w:left="137" w:right="0"/>
        <w:jc w:val="left"/>
      </w:pPr>
      <w:r>
        <w:rPr/>
        <w:t>涉及政府补助的项目：</w:t>
      </w:r>
    </w:p>
    <w:p>
      <w:pPr>
        <w:pStyle w:val="BodyText"/>
        <w:spacing w:line="290" w:lineRule="auto" w:before="56"/>
        <w:ind w:left="137" w:right="7374"/>
        <w:jc w:val="left"/>
      </w:pPr>
      <w:r>
        <w:rPr/>
        <w:t>□适用 √不适用</w:t>
      </w:r>
      <w:r>
        <w:rPr>
          <w:w w:val="100"/>
        </w:rPr>
        <w:t> </w:t>
      </w:r>
      <w:r>
        <w:rPr/>
        <w:t>其他说明：</w:t>
      </w:r>
    </w:p>
    <w:p>
      <w:pPr>
        <w:pStyle w:val="BodyText"/>
        <w:spacing w:line="240" w:lineRule="auto" w:before="12"/>
        <w:ind w:left="137" w:right="0"/>
        <w:jc w:val="left"/>
      </w:pPr>
      <w:r>
        <w:rPr/>
        <w:t>□适用 √不适用</w:t>
      </w:r>
    </w:p>
    <w:p>
      <w:pPr>
        <w:spacing w:line="240" w:lineRule="auto" w:before="11"/>
        <w:rPr>
          <w:rFonts w:ascii="宋体" w:hAnsi="宋体" w:cs="宋体" w:eastAsia="宋体" w:hint="default"/>
          <w:sz w:val="29"/>
          <w:szCs w:val="29"/>
        </w:rPr>
      </w:pPr>
    </w:p>
    <w:p>
      <w:pPr>
        <w:pStyle w:val="Heading4"/>
        <w:spacing w:line="240" w:lineRule="auto"/>
        <w:ind w:left="137" w:right="0"/>
        <w:jc w:val="left"/>
        <w:rPr>
          <w:b w:val="0"/>
          <w:bCs w:val="0"/>
        </w:rPr>
      </w:pPr>
      <w:r>
        <w:rPr>
          <w:rFonts w:ascii="宋体" w:hAnsi="宋体" w:cs="宋体" w:eastAsia="宋体" w:hint="default"/>
        </w:rPr>
        <w:t>43</w:t>
      </w:r>
      <w:r>
        <w:rPr/>
        <w:t>、</w:t>
      </w:r>
      <w:r>
        <w:rPr>
          <w:spacing w:val="-23"/>
        </w:rPr>
        <w:t> </w:t>
      </w:r>
      <w:r>
        <w:rPr/>
        <w:t>其他非流动负债</w:t>
      </w:r>
      <w:r>
        <w:rPr>
          <w:b w:val="0"/>
          <w:bCs w:val="0"/>
        </w:rPr>
      </w:r>
    </w:p>
    <w:p>
      <w:pPr>
        <w:pStyle w:val="BodyText"/>
        <w:spacing w:line="240" w:lineRule="auto" w:before="56"/>
        <w:ind w:left="137" w:right="0"/>
        <w:jc w:val="left"/>
      </w:pPr>
      <w:r>
        <w:rPr/>
        <w:t>□适用 √不适用</w:t>
      </w:r>
    </w:p>
    <w:p>
      <w:pPr>
        <w:spacing w:after="0" w:line="240" w:lineRule="auto"/>
        <w:jc w:val="left"/>
        <w:sectPr>
          <w:footerReference w:type="default" r:id="rId54"/>
          <w:pgSz w:w="11910" w:h="16840"/>
          <w:pgMar w:footer="1195" w:header="0"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55"/>
          <w:pgSz w:w="11910" w:h="16840"/>
          <w:pgMar w:footer="1195" w:header="0" w:top="1120" w:bottom="1380" w:left="1040" w:right="1560"/>
          <w:pgNumType w:start="121"/>
        </w:sectPr>
      </w:pPr>
    </w:p>
    <w:p>
      <w:pPr>
        <w:pStyle w:val="Heading4"/>
        <w:spacing w:line="240" w:lineRule="auto" w:before="36"/>
        <w:ind w:left="237" w:right="82"/>
        <w:jc w:val="left"/>
        <w:rPr>
          <w:b w:val="0"/>
          <w:bCs w:val="0"/>
        </w:rPr>
      </w:pPr>
      <w:r>
        <w:rPr>
          <w:rFonts w:ascii="宋体" w:hAnsi="宋体" w:cs="宋体" w:eastAsia="宋体" w:hint="default"/>
        </w:rPr>
        <w:t>44</w:t>
      </w:r>
      <w:r>
        <w:rPr/>
        <w:t>、</w:t>
      </w:r>
      <w:r>
        <w:rPr>
          <w:spacing w:val="-25"/>
        </w:rPr>
        <w:t> </w:t>
      </w:r>
      <w:r>
        <w:rPr/>
        <w:t>股本</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752"/>
        <w:gridCol w:w="1582"/>
        <w:gridCol w:w="593"/>
        <w:gridCol w:w="595"/>
        <w:gridCol w:w="1582"/>
        <w:gridCol w:w="680"/>
        <w:gridCol w:w="1582"/>
        <w:gridCol w:w="1685"/>
      </w:tblGrid>
      <w:tr>
        <w:trPr>
          <w:trHeight w:val="283" w:hRule="exact"/>
        </w:trPr>
        <w:tc>
          <w:tcPr>
            <w:tcW w:w="752" w:type="dxa"/>
            <w:vMerge w:val="restart"/>
            <w:tcBorders>
              <w:top w:val="single" w:sz="4" w:space="0" w:color="000000"/>
              <w:left w:val="single" w:sz="4" w:space="0" w:color="000000"/>
              <w:right w:val="single" w:sz="4" w:space="0" w:color="000000"/>
            </w:tcBorders>
          </w:tcPr>
          <w:p>
            <w:pP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0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0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099" w:hRule="exact"/>
        </w:trPr>
        <w:tc>
          <w:tcPr>
            <w:tcW w:w="752"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both"/>
              <w:rPr>
                <w:rFonts w:ascii="宋体" w:hAnsi="宋体" w:cs="宋体" w:eastAsia="宋体" w:hint="default"/>
                <w:sz w:val="21"/>
                <w:szCs w:val="21"/>
              </w:rPr>
            </w:pPr>
            <w:r>
              <w:rPr>
                <w:rFonts w:ascii="宋体" w:hAnsi="宋体" w:cs="宋体" w:eastAsia="宋体" w:hint="default"/>
                <w:w w:val="100"/>
                <w:sz w:val="21"/>
                <w:szCs w:val="21"/>
              </w:rPr>
              <w:t>发</w:t>
            </w:r>
          </w:p>
          <w:p>
            <w:pPr>
              <w:pStyle w:val="TableParagraph"/>
              <w:spacing w:line="237" w:lineRule="auto" w:before="2"/>
              <w:ind w:left="182" w:right="18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87" w:right="185"/>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76" w:right="467"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5" w:type="dxa"/>
            <w:vMerge/>
            <w:tcBorders>
              <w:left w:val="single" w:sz="4" w:space="0" w:color="000000"/>
              <w:bottom w:val="single" w:sz="4" w:space="0" w:color="000000"/>
              <w:right w:val="single" w:sz="4" w:space="0" w:color="000000"/>
            </w:tcBorders>
          </w:tcPr>
          <w:p>
            <w:pPr/>
          </w:p>
        </w:tc>
      </w:tr>
      <w:tr>
        <w:trPr>
          <w:trHeight w:val="554"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1"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61"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85,867,000.00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34,346,800.00</w:t>
            </w:r>
          </w:p>
        </w:tc>
        <w:tc>
          <w:tcPr>
            <w:tcW w:w="6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34,346,800.00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120,213,800.00</w:t>
            </w:r>
          </w:p>
        </w:tc>
      </w:tr>
    </w:tbl>
    <w:p>
      <w:pPr>
        <w:pStyle w:val="BodyText"/>
        <w:spacing w:line="240" w:lineRule="auto" w:before="26"/>
        <w:ind w:left="237" w:right="0"/>
        <w:jc w:val="left"/>
      </w:pPr>
      <w:r>
        <w:rPr/>
        <w:t>其他说明：</w:t>
      </w:r>
    </w:p>
    <w:p>
      <w:pPr>
        <w:pStyle w:val="BodyText"/>
        <w:spacing w:line="273" w:lineRule="exact" w:before="58"/>
        <w:ind w:left="237"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t>日召开</w:t>
      </w:r>
      <w:r>
        <w:rPr>
          <w:spacing w:val="-53"/>
        </w:rPr>
        <w:t> </w:t>
      </w:r>
      <w:r>
        <w:rPr>
          <w:rFonts w:ascii="宋体" w:hAnsi="宋体" w:cs="宋体" w:eastAsia="宋体" w:hint="default"/>
        </w:rPr>
        <w:t>2017</w:t>
      </w:r>
      <w:r>
        <w:rPr>
          <w:rFonts w:ascii="宋体" w:hAnsi="宋体" w:cs="宋体" w:eastAsia="宋体" w:hint="default"/>
          <w:spacing w:val="-53"/>
        </w:rPr>
        <w:t> </w:t>
      </w:r>
      <w:r>
        <w:rPr/>
        <w:t>年年度股东大会审议通过《</w:t>
      </w:r>
      <w:r>
        <w:rPr>
          <w:rFonts w:ascii="宋体" w:hAnsi="宋体" w:cs="宋体" w:eastAsia="宋体" w:hint="default"/>
        </w:rPr>
        <w:t>2017</w:t>
      </w:r>
      <w:r>
        <w:rPr>
          <w:rFonts w:ascii="宋体" w:hAnsi="宋体" w:cs="宋体" w:eastAsia="宋体" w:hint="default"/>
          <w:spacing w:val="-55"/>
        </w:rPr>
        <w:t> </w:t>
      </w:r>
      <w:r>
        <w:rPr/>
        <w:t>年度利润分配预案》：以公司实施利</w:t>
      </w:r>
    </w:p>
    <w:p>
      <w:pPr>
        <w:pStyle w:val="BodyText"/>
        <w:spacing w:line="272" w:lineRule="exact"/>
        <w:ind w:left="237" w:right="0"/>
        <w:jc w:val="left"/>
      </w:pPr>
      <w:r>
        <w:rPr>
          <w:w w:val="100"/>
        </w:rPr>
        <w:t>润分</w:t>
      </w:r>
      <w:r>
        <w:rPr>
          <w:spacing w:val="-3"/>
          <w:w w:val="100"/>
        </w:rPr>
        <w:t>配</w:t>
      </w:r>
      <w:r>
        <w:rPr>
          <w:w w:val="100"/>
        </w:rPr>
        <w:t>方</w:t>
      </w:r>
      <w:r>
        <w:rPr>
          <w:spacing w:val="-3"/>
          <w:w w:val="100"/>
        </w:rPr>
        <w:t>案</w:t>
      </w:r>
      <w:r>
        <w:rPr>
          <w:w w:val="100"/>
        </w:rPr>
        <w:t>的</w:t>
      </w:r>
      <w:r>
        <w:rPr>
          <w:spacing w:val="-3"/>
          <w:w w:val="100"/>
        </w:rPr>
        <w:t>股</w:t>
      </w:r>
      <w:r>
        <w:rPr>
          <w:w w:val="100"/>
        </w:rPr>
        <w:t>权</w:t>
      </w:r>
      <w:r>
        <w:rPr>
          <w:spacing w:val="-3"/>
          <w:w w:val="100"/>
        </w:rPr>
        <w:t>登</w:t>
      </w:r>
      <w:r>
        <w:rPr>
          <w:w w:val="100"/>
        </w:rPr>
        <w:t>记</w:t>
      </w:r>
      <w:r>
        <w:rPr>
          <w:spacing w:val="-3"/>
          <w:w w:val="100"/>
        </w:rPr>
        <w:t>日</w:t>
      </w:r>
      <w:r>
        <w:rPr>
          <w:w w:val="100"/>
        </w:rPr>
        <w:t>总股本</w:t>
      </w:r>
      <w:r>
        <w:rPr>
          <w:spacing w:val="-69"/>
        </w:rPr>
        <w:t> </w:t>
      </w:r>
      <w:r>
        <w:rPr>
          <w:rFonts w:ascii="宋体" w:hAnsi="宋体" w:cs="宋体" w:eastAsia="宋体" w:hint="default"/>
          <w:w w:val="100"/>
        </w:rPr>
        <w:t>8</w:t>
      </w:r>
      <w:r>
        <w:rPr>
          <w:rFonts w:ascii="宋体" w:hAnsi="宋体" w:cs="宋体" w:eastAsia="宋体" w:hint="default"/>
          <w:spacing w:val="-3"/>
          <w:w w:val="100"/>
        </w:rPr>
        <w:t>,</w:t>
      </w:r>
      <w:r>
        <w:rPr>
          <w:rFonts w:ascii="宋体" w:hAnsi="宋体" w:cs="宋体" w:eastAsia="宋体" w:hint="default"/>
          <w:w w:val="100"/>
        </w:rPr>
        <w:t>586.7</w:t>
      </w:r>
      <w:r>
        <w:rPr>
          <w:rFonts w:ascii="宋体" w:hAnsi="宋体" w:cs="宋体" w:eastAsia="宋体" w:hint="default"/>
          <w:spacing w:val="-72"/>
        </w:rPr>
        <w:t> </w:t>
      </w:r>
      <w:r>
        <w:rPr>
          <w:w w:val="100"/>
        </w:rPr>
        <w:t>万</w:t>
      </w:r>
      <w:r>
        <w:rPr>
          <w:spacing w:val="-3"/>
          <w:w w:val="100"/>
        </w:rPr>
        <w:t>为</w:t>
      </w:r>
      <w:r>
        <w:rPr>
          <w:w w:val="100"/>
        </w:rPr>
        <w:t>基数</w:t>
      </w:r>
      <w:r>
        <w:rPr>
          <w:spacing w:val="-108"/>
          <w:w w:val="100"/>
        </w:rPr>
        <w:t>，</w:t>
      </w:r>
      <w:r>
        <w:rPr>
          <w:w w:val="100"/>
        </w:rPr>
        <w:t>向全</w:t>
      </w:r>
      <w:r>
        <w:rPr>
          <w:spacing w:val="-3"/>
          <w:w w:val="100"/>
        </w:rPr>
        <w:t>体</w:t>
      </w:r>
      <w:r>
        <w:rPr>
          <w:w w:val="100"/>
        </w:rPr>
        <w:t>股东每</w:t>
      </w:r>
      <w:r>
        <w:rPr>
          <w:spacing w:val="-72"/>
        </w:rPr>
        <w:t> </w:t>
      </w:r>
      <w:r>
        <w:rPr>
          <w:rFonts w:ascii="宋体" w:hAnsi="宋体" w:cs="宋体" w:eastAsia="宋体" w:hint="default"/>
          <w:w w:val="100"/>
        </w:rPr>
        <w:t>10</w:t>
      </w:r>
      <w:r>
        <w:rPr>
          <w:rFonts w:ascii="宋体" w:hAnsi="宋体" w:cs="宋体" w:eastAsia="宋体" w:hint="default"/>
          <w:spacing w:val="-69"/>
        </w:rPr>
        <w:t> </w:t>
      </w:r>
      <w:r>
        <w:rPr>
          <w:w w:val="100"/>
        </w:rPr>
        <w:t>股</w:t>
      </w:r>
      <w:r>
        <w:rPr>
          <w:spacing w:val="-3"/>
          <w:w w:val="100"/>
        </w:rPr>
        <w:t>派</w:t>
      </w:r>
      <w:r>
        <w:rPr>
          <w:w w:val="100"/>
        </w:rPr>
        <w:t>发</w:t>
      </w:r>
      <w:r>
        <w:rPr>
          <w:spacing w:val="-3"/>
          <w:w w:val="100"/>
        </w:rPr>
        <w:t>现</w:t>
      </w:r>
      <w:r>
        <w:rPr>
          <w:w w:val="100"/>
        </w:rPr>
        <w:t>金红利</w:t>
      </w:r>
      <w:r>
        <w:rPr>
          <w:spacing w:val="-69"/>
        </w:rPr>
        <w:t> </w:t>
      </w:r>
      <w:r>
        <w:rPr>
          <w:rFonts w:ascii="宋体" w:hAnsi="宋体" w:cs="宋体" w:eastAsia="宋体" w:hint="default"/>
          <w:w w:val="100"/>
        </w:rPr>
        <w:t>5</w:t>
      </w:r>
      <w:r>
        <w:rPr>
          <w:rFonts w:ascii="宋体" w:hAnsi="宋体" w:cs="宋体" w:eastAsia="宋体" w:hint="default"/>
          <w:spacing w:val="-69"/>
        </w:rPr>
        <w:t> </w:t>
      </w:r>
      <w:r>
        <w:rPr>
          <w:spacing w:val="-106"/>
          <w:w w:val="100"/>
        </w:rPr>
        <w:t>元</w:t>
      </w:r>
      <w:r>
        <w:rPr>
          <w:spacing w:val="-3"/>
          <w:w w:val="100"/>
        </w:rPr>
        <w:t>（</w:t>
      </w:r>
      <w:r>
        <w:rPr>
          <w:w w:val="100"/>
        </w:rPr>
        <w:t>含</w:t>
      </w:r>
      <w:r>
        <w:rPr>
          <w:spacing w:val="-3"/>
          <w:w w:val="100"/>
        </w:rPr>
        <w:t>税</w:t>
      </w:r>
      <w:r>
        <w:rPr>
          <w:spacing w:val="-108"/>
          <w:w w:val="100"/>
        </w:rPr>
        <w:t>）</w:t>
      </w:r>
      <w:r>
        <w:rPr>
          <w:w w:val="100"/>
        </w:rPr>
        <w:t>，</w:t>
      </w:r>
    </w:p>
    <w:p>
      <w:pPr>
        <w:pStyle w:val="BodyText"/>
        <w:spacing w:line="272" w:lineRule="exact"/>
        <w:ind w:left="237" w:right="0"/>
        <w:jc w:val="left"/>
      </w:pPr>
      <w:r>
        <w:rPr/>
        <w:t>资本公积每</w:t>
      </w:r>
      <w:r>
        <w:rPr>
          <w:spacing w:val="-38"/>
        </w:rPr>
        <w:t> </w:t>
      </w:r>
      <w:r>
        <w:rPr>
          <w:rFonts w:ascii="宋体" w:hAnsi="宋体" w:cs="宋体" w:eastAsia="宋体" w:hint="default"/>
        </w:rPr>
        <w:t>10</w:t>
      </w:r>
      <w:r>
        <w:rPr>
          <w:rFonts w:ascii="宋体" w:hAnsi="宋体" w:cs="宋体" w:eastAsia="宋体" w:hint="default"/>
          <w:spacing w:val="-41"/>
        </w:rPr>
        <w:t> </w:t>
      </w:r>
      <w:r>
        <w:rPr/>
        <w:t>股转增</w:t>
      </w:r>
      <w:r>
        <w:rPr>
          <w:spacing w:val="-38"/>
        </w:rPr>
        <w:t> </w:t>
      </w:r>
      <w:r>
        <w:rPr>
          <w:rFonts w:ascii="宋体" w:hAnsi="宋体" w:cs="宋体" w:eastAsia="宋体" w:hint="default"/>
        </w:rPr>
        <w:t>4</w:t>
      </w:r>
      <w:r>
        <w:rPr>
          <w:rFonts w:ascii="宋体" w:hAnsi="宋体" w:cs="宋体" w:eastAsia="宋体" w:hint="default"/>
          <w:spacing w:val="-41"/>
        </w:rPr>
        <w:t> </w:t>
      </w:r>
      <w:r>
        <w:rPr>
          <w:spacing w:val="-5"/>
        </w:rPr>
        <w:t>股；剩余未分配利润滚存至以后再行分配。上述增资已经致同会计师事务</w:t>
      </w:r>
    </w:p>
    <w:p>
      <w:pPr>
        <w:pStyle w:val="BodyText"/>
        <w:spacing w:line="240" w:lineRule="auto"/>
        <w:ind w:left="237" w:right="0"/>
        <w:jc w:val="left"/>
      </w:pPr>
      <w:r>
        <w:rPr>
          <w:spacing w:val="-5"/>
        </w:rPr>
        <w:t>所（特殊普通合伙）审验，并于</w:t>
      </w:r>
      <w:r>
        <w:rPr>
          <w:spacing w:val="-46"/>
        </w:rPr>
        <w:t> </w:t>
      </w:r>
      <w:r>
        <w:rPr>
          <w:rFonts w:ascii="宋体" w:hAnsi="宋体" w:cs="宋体" w:eastAsia="宋体" w:hint="default"/>
        </w:rPr>
        <w:t>2018</w:t>
      </w:r>
      <w:r>
        <w:rPr>
          <w:rFonts w:ascii="宋体" w:hAnsi="宋体" w:cs="宋体" w:eastAsia="宋体" w:hint="default"/>
          <w:spacing w:val="-49"/>
        </w:rPr>
        <w:t> </w:t>
      </w:r>
      <w:r>
        <w:rPr/>
        <w:t>年</w:t>
      </w:r>
      <w:r>
        <w:rPr>
          <w:spacing w:val="-46"/>
        </w:rPr>
        <w:t> </w:t>
      </w:r>
      <w:r>
        <w:rPr>
          <w:rFonts w:ascii="宋体" w:hAnsi="宋体" w:cs="宋体" w:eastAsia="宋体" w:hint="default"/>
        </w:rPr>
        <w:t>6</w:t>
      </w:r>
      <w:r>
        <w:rPr>
          <w:rFonts w:ascii="宋体" w:hAnsi="宋体" w:cs="宋体" w:eastAsia="宋体" w:hint="default"/>
          <w:spacing w:val="-49"/>
        </w:rPr>
        <w:t> </w:t>
      </w:r>
      <w:r>
        <w:rPr/>
        <w:t>月</w:t>
      </w:r>
      <w:r>
        <w:rPr>
          <w:spacing w:val="-46"/>
        </w:rPr>
        <w:t> </w:t>
      </w:r>
      <w:r>
        <w:rPr>
          <w:rFonts w:ascii="宋体" w:hAnsi="宋体" w:cs="宋体" w:eastAsia="宋体" w:hint="default"/>
        </w:rPr>
        <w:t>5</w:t>
      </w:r>
      <w:r>
        <w:rPr>
          <w:rFonts w:ascii="宋体" w:hAnsi="宋体" w:cs="宋体" w:eastAsia="宋体" w:hint="default"/>
          <w:spacing w:val="-49"/>
        </w:rPr>
        <w:t> </w:t>
      </w:r>
      <w:r>
        <w:rPr>
          <w:spacing w:val="-4"/>
        </w:rPr>
        <w:t>日出具“致同验字（</w:t>
      </w:r>
      <w:r>
        <w:rPr>
          <w:rFonts w:ascii="宋体" w:hAnsi="宋体" w:cs="宋体" w:eastAsia="宋体" w:hint="default"/>
          <w:spacing w:val="-4"/>
        </w:rPr>
        <w:t>2018</w:t>
      </w:r>
      <w:r>
        <w:rPr>
          <w:spacing w:val="-4"/>
        </w:rPr>
        <w:t>）第</w:t>
      </w:r>
      <w:r>
        <w:rPr>
          <w:spacing w:val="-49"/>
        </w:rPr>
        <w:t> </w:t>
      </w:r>
      <w:r>
        <w:rPr>
          <w:rFonts w:ascii="宋体" w:hAnsi="宋体" w:cs="宋体" w:eastAsia="宋体" w:hint="default"/>
        </w:rPr>
        <w:t>351ZA0008</w:t>
      </w:r>
      <w:r>
        <w:rPr>
          <w:rFonts w:ascii="宋体" w:hAnsi="宋体" w:cs="宋体" w:eastAsia="宋体" w:hint="default"/>
          <w:spacing w:val="-49"/>
        </w:rPr>
        <w:t> </w:t>
      </w:r>
      <w:r>
        <w:rPr>
          <w:spacing w:val="-5"/>
        </w:rPr>
        <w:t>号”《验</w:t>
      </w:r>
      <w:r>
        <w:rPr>
          <w:spacing w:val="-102"/>
        </w:rPr>
        <w:t> </w:t>
      </w:r>
      <w:r>
        <w:rPr>
          <w:spacing w:val="-102"/>
        </w:rPr>
      </w:r>
      <w:r>
        <w:rPr/>
        <w:t>资报告》。</w:t>
      </w:r>
    </w:p>
    <w:p>
      <w:pPr>
        <w:spacing w:line="240" w:lineRule="auto" w:before="3"/>
        <w:rPr>
          <w:rFonts w:ascii="宋体" w:hAnsi="宋体" w:cs="宋体" w:eastAsia="宋体" w:hint="default"/>
          <w:sz w:val="25"/>
          <w:szCs w:val="25"/>
        </w:rPr>
      </w:pPr>
    </w:p>
    <w:p>
      <w:pPr>
        <w:pStyle w:val="Heading4"/>
        <w:spacing w:line="290" w:lineRule="auto"/>
        <w:ind w:left="237" w:right="2024"/>
        <w:jc w:val="left"/>
        <w:rPr>
          <w:b w:val="0"/>
          <w:bCs w:val="0"/>
        </w:rPr>
      </w:pPr>
      <w:r>
        <w:rPr>
          <w:rFonts w:ascii="宋体" w:hAnsi="宋体" w:cs="宋体" w:eastAsia="宋体" w:hint="default"/>
        </w:rPr>
        <w:t>45</w:t>
      </w:r>
      <w:r>
        <w:rPr/>
        <w:t>、</w:t>
      </w:r>
      <w:r>
        <w:rPr>
          <w:spacing w:val="-25"/>
        </w:rPr>
        <w:t> </w:t>
      </w:r>
      <w:r>
        <w:rPr/>
        <w:t>其他权益工具</w:t>
      </w:r>
      <w:r>
        <w:rPr>
          <w:spacing w:val="-104"/>
        </w:rPr>
        <w:t> </w:t>
      </w:r>
      <w:r>
        <w:rPr>
          <w:spacing w:val="-104"/>
        </w:rPr>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4"/>
        <w:ind w:left="237"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37" w:right="0"/>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40" w:lineRule="auto" w:before="56"/>
        <w:ind w:left="237" w:right="1128"/>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71" w:lineRule="exact"/>
        <w:ind w:left="237" w:right="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237" w:right="0"/>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left="23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40" w:lineRule="auto" w:before="36"/>
        <w:ind w:left="237" w:right="82"/>
        <w:jc w:val="left"/>
        <w:rPr>
          <w:b w:val="0"/>
          <w:bCs w:val="0"/>
        </w:rPr>
      </w:pPr>
      <w:r>
        <w:rPr>
          <w:rFonts w:ascii="宋体" w:hAnsi="宋体" w:cs="宋体" w:eastAsia="宋体" w:hint="default"/>
        </w:rPr>
        <w:t>46</w:t>
      </w:r>
      <w:r>
        <w:rPr/>
        <w:t>、</w:t>
      </w:r>
      <w:r>
        <w:rPr>
          <w:spacing w:val="-24"/>
        </w:rPr>
        <w:t> </w:t>
      </w:r>
      <w:r>
        <w:rPr/>
        <w:t>资本公积</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07"/>
        <w:gridCol w:w="1822"/>
        <w:gridCol w:w="1856"/>
        <w:gridCol w:w="1838"/>
        <w:gridCol w:w="1839"/>
      </w:tblGrid>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464,674,574.94</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7,392,216.00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34,346,800.00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437,719,990.94</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2,007,958.30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6,693,186.50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7,392,216.00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1,308,928.80</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466,682,533.24</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14,085,402.50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41,739,016.00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439,028,919.74</w:t>
            </w:r>
          </w:p>
        </w:tc>
      </w:tr>
    </w:tbl>
    <w:p>
      <w:pPr>
        <w:pStyle w:val="BodyText"/>
        <w:spacing w:line="241" w:lineRule="exact"/>
        <w:ind w:left="237" w:right="0"/>
        <w:jc w:val="left"/>
      </w:pPr>
      <w:r>
        <w:rPr/>
        <w:t>其他说明，包括本期增减变动情况、变动原因说明：</w:t>
      </w:r>
    </w:p>
    <w:p>
      <w:pPr>
        <w:pStyle w:val="BodyText"/>
        <w:spacing w:line="273" w:lineRule="exact" w:before="118"/>
        <w:ind w:left="237" w:right="0"/>
        <w:jc w:val="left"/>
      </w:pPr>
      <w:r>
        <w:rPr/>
        <w:t>（</w:t>
      </w:r>
      <w:r>
        <w:rPr>
          <w:rFonts w:ascii="宋体" w:hAnsi="宋体" w:cs="宋体" w:eastAsia="宋体" w:hint="default"/>
        </w:rPr>
        <w:t>1</w:t>
      </w:r>
      <w:r>
        <w:rPr/>
        <w:t>）根据</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t>日召开的</w:t>
      </w:r>
      <w:r>
        <w:rPr>
          <w:spacing w:val="-52"/>
        </w:rPr>
        <w:t> </w:t>
      </w:r>
      <w:r>
        <w:rPr>
          <w:rFonts w:ascii="宋体" w:hAnsi="宋体" w:cs="宋体" w:eastAsia="宋体" w:hint="default"/>
        </w:rPr>
        <w:t>2017</w:t>
      </w:r>
      <w:r>
        <w:rPr>
          <w:rFonts w:ascii="宋体" w:hAnsi="宋体" w:cs="宋体" w:eastAsia="宋体" w:hint="default"/>
          <w:spacing w:val="-55"/>
        </w:rPr>
        <w:t> </w:t>
      </w:r>
      <w:r>
        <w:rPr/>
        <w:t>年年度股东大会决议和修改后的章程，已将资本公积</w:t>
      </w:r>
    </w:p>
    <w:p>
      <w:pPr>
        <w:pStyle w:val="BodyText"/>
        <w:spacing w:line="273" w:lineRule="exact"/>
        <w:ind w:left="237" w:right="0"/>
        <w:jc w:val="left"/>
      </w:pPr>
      <w:r>
        <w:rPr>
          <w:rFonts w:ascii="宋体" w:hAnsi="宋体" w:cs="宋体" w:eastAsia="宋体" w:hint="default"/>
          <w:spacing w:val="-1"/>
        </w:rPr>
        <w:t>34,346,800</w:t>
      </w:r>
      <w:r>
        <w:rPr>
          <w:rFonts w:ascii="宋体" w:hAnsi="宋体" w:cs="宋体" w:eastAsia="宋体" w:hint="default"/>
          <w:spacing w:val="14"/>
        </w:rPr>
        <w:t> </w:t>
      </w:r>
      <w:r>
        <w:rPr>
          <w:spacing w:val="-2"/>
        </w:rPr>
        <w:t>元转增股本，并在中国证券登记结算有限公司上海分公司办理股权登记。</w:t>
      </w:r>
    </w:p>
    <w:p>
      <w:pPr>
        <w:pStyle w:val="BodyText"/>
        <w:spacing w:line="240" w:lineRule="auto" w:before="118"/>
        <w:ind w:left="237" w:right="0"/>
        <w:jc w:val="left"/>
      </w:pPr>
      <w:r>
        <w:rPr/>
        <w:t>（</w:t>
      </w:r>
      <w:r>
        <w:rPr>
          <w:rFonts w:ascii="宋体" w:hAnsi="宋体" w:cs="宋体" w:eastAsia="宋体" w:hint="default"/>
        </w:rPr>
        <w:t>2</w:t>
      </w:r>
      <w:r>
        <w:rPr/>
        <w:t>）其他资本公积本期增加额系限制性股票激励计划本期摊销额。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ind w:left="237" w:right="0"/>
        <w:jc w:val="left"/>
        <w:rPr>
          <w:b w:val="0"/>
          <w:bCs w:val="0"/>
        </w:rPr>
      </w:pPr>
      <w:r>
        <w:rPr>
          <w:rFonts w:ascii="宋体" w:hAnsi="宋体" w:cs="宋体" w:eastAsia="宋体" w:hint="default"/>
        </w:rPr>
        <w:t>47</w:t>
      </w:r>
      <w:r>
        <w:rPr/>
        <w:t>、</w:t>
      </w:r>
      <w:r>
        <w:rPr>
          <w:spacing w:val="-24"/>
        </w:rPr>
        <w:t> </w:t>
      </w:r>
      <w:r>
        <w:rPr/>
        <w:t>库存股</w:t>
      </w:r>
      <w:r>
        <w:rPr>
          <w:b w:val="0"/>
          <w:bCs w:val="0"/>
        </w:rPr>
      </w:r>
    </w:p>
    <w:p>
      <w:pPr>
        <w:pStyle w:val="BodyText"/>
        <w:spacing w:line="240" w:lineRule="auto" w:before="58"/>
        <w:ind w:left="237" w:right="0"/>
        <w:jc w:val="left"/>
      </w:pPr>
      <w:r>
        <w:rPr/>
        <w:t>√适用 □不适用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股权激励库存股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38,503,920.00</w:t>
            </w:r>
          </w:p>
        </w:tc>
        <w:tc>
          <w:tcPr>
            <w:tcW w:w="1836"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15,904,668.00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22,599,252.00</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38,503,920.00</w:t>
            </w:r>
          </w:p>
        </w:tc>
        <w:tc>
          <w:tcPr>
            <w:tcW w:w="1836"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15,904,668.00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22,599,252.00</w:t>
            </w:r>
          </w:p>
        </w:tc>
      </w:tr>
    </w:tbl>
    <w:p>
      <w:pPr>
        <w:pStyle w:val="BodyText"/>
        <w:spacing w:line="239" w:lineRule="exact"/>
        <w:ind w:left="237" w:right="0"/>
        <w:jc w:val="left"/>
      </w:pPr>
      <w:r>
        <w:rPr/>
        <w:t>其他说明，包括本期增减变动情况、变动原因说明：</w:t>
      </w:r>
    </w:p>
    <w:p>
      <w:pPr>
        <w:pStyle w:val="BodyText"/>
        <w:spacing w:line="240" w:lineRule="auto"/>
        <w:ind w:left="237" w:right="295"/>
        <w:jc w:val="left"/>
      </w:pPr>
      <w:r>
        <w:rPr/>
        <w:t>本公司</w:t>
      </w:r>
      <w:r>
        <w:rPr>
          <w:spacing w:val="-57"/>
        </w:rPr>
        <w:t> </w:t>
      </w:r>
      <w:r>
        <w:rPr>
          <w:rFonts w:ascii="宋体" w:hAnsi="宋体" w:cs="宋体" w:eastAsia="宋体" w:hint="default"/>
        </w:rPr>
        <w:t>2017</w:t>
      </w:r>
      <w:r>
        <w:rPr>
          <w:rFonts w:ascii="宋体" w:hAnsi="宋体" w:cs="宋体" w:eastAsia="宋体" w:hint="default"/>
          <w:spacing w:val="-57"/>
        </w:rPr>
        <w:t> </w:t>
      </w:r>
      <w:r>
        <w:rPr/>
        <w:t>年实行限制性股票激励，</w:t>
      </w:r>
      <w:r>
        <w:rPr>
          <w:rFonts w:ascii="宋体" w:hAnsi="宋体" w:cs="宋体" w:eastAsia="宋体" w:hint="default"/>
        </w:rPr>
        <w:t>2018</w:t>
      </w:r>
      <w:r>
        <w:rPr>
          <w:rFonts w:ascii="宋体" w:hAnsi="宋体" w:cs="宋体" w:eastAsia="宋体" w:hint="default"/>
          <w:spacing w:val="-57"/>
        </w:rPr>
        <w:t> </w:t>
      </w:r>
      <w:r>
        <w:rPr/>
        <w:t>年第一个解锁期条件成就，减少股票回购义务，从而</w:t>
      </w:r>
      <w:r>
        <w:rPr>
          <w:w w:val="100"/>
        </w:rPr>
        <w:t> </w:t>
      </w:r>
      <w:r>
        <w:rPr/>
        <w:t>减少确认的库存股。</w:t>
      </w:r>
    </w:p>
    <w:p>
      <w:pPr>
        <w:spacing w:line="240" w:lineRule="auto" w:before="0"/>
        <w:rPr>
          <w:rFonts w:ascii="宋体" w:hAnsi="宋体" w:cs="宋体" w:eastAsia="宋体" w:hint="default"/>
          <w:sz w:val="25"/>
          <w:szCs w:val="25"/>
        </w:rPr>
      </w:pPr>
    </w:p>
    <w:p>
      <w:pPr>
        <w:pStyle w:val="Heading4"/>
        <w:spacing w:line="240" w:lineRule="auto"/>
        <w:ind w:left="237" w:right="0"/>
        <w:jc w:val="left"/>
        <w:rPr>
          <w:b w:val="0"/>
          <w:bCs w:val="0"/>
        </w:rPr>
      </w:pPr>
      <w:r>
        <w:rPr>
          <w:rFonts w:ascii="宋体" w:hAnsi="宋体" w:cs="宋体" w:eastAsia="宋体" w:hint="default"/>
        </w:rPr>
        <w:t>48</w:t>
      </w:r>
      <w:r>
        <w:rPr/>
        <w:t>、</w:t>
      </w:r>
      <w:r>
        <w:rPr>
          <w:spacing w:val="-23"/>
        </w:rPr>
        <w:t> </w:t>
      </w:r>
      <w:r>
        <w:rPr/>
        <w:t>其他综合收益</w:t>
      </w:r>
      <w:r>
        <w:rPr>
          <w:b w:val="0"/>
          <w:bCs w:val="0"/>
        </w:rPr>
      </w:r>
    </w:p>
    <w:p>
      <w:pPr>
        <w:pStyle w:val="BodyText"/>
        <w:spacing w:line="240" w:lineRule="auto" w:before="58"/>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left="237" w:right="0"/>
        <w:jc w:val="left"/>
        <w:rPr>
          <w:b w:val="0"/>
          <w:bCs w:val="0"/>
        </w:rPr>
      </w:pPr>
      <w:r>
        <w:rPr>
          <w:rFonts w:ascii="宋体" w:hAnsi="宋体" w:cs="宋体" w:eastAsia="宋体" w:hint="default"/>
        </w:rPr>
        <w:t>49</w:t>
      </w:r>
      <w:r>
        <w:rPr/>
        <w:t>、</w:t>
      </w:r>
      <w:r>
        <w:rPr>
          <w:spacing w:val="-24"/>
        </w:rPr>
        <w:t> </w:t>
      </w:r>
      <w:r>
        <w:rPr/>
        <w:t>专项储备</w:t>
      </w:r>
      <w:r>
        <w:rPr>
          <w:b w:val="0"/>
          <w:bCs w:val="0"/>
        </w:rPr>
      </w:r>
    </w:p>
    <w:p>
      <w:pPr>
        <w:pStyle w:val="BodyText"/>
        <w:spacing w:line="240" w:lineRule="auto" w:before="58"/>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6"/>
          <w:pgSz w:w="11910" w:h="16840"/>
          <w:pgMar w:footer="1195" w:header="0" w:top="1120" w:bottom="1380" w:left="1040" w:right="1560"/>
          <w:pgNumType w:start="122"/>
        </w:sectPr>
      </w:pPr>
    </w:p>
    <w:p>
      <w:pPr>
        <w:pStyle w:val="Heading4"/>
        <w:spacing w:line="240" w:lineRule="auto" w:before="36"/>
        <w:ind w:left="237" w:right="82"/>
        <w:jc w:val="left"/>
        <w:rPr>
          <w:b w:val="0"/>
          <w:bCs w:val="0"/>
        </w:rPr>
      </w:pPr>
      <w:r>
        <w:rPr>
          <w:rFonts w:ascii="宋体" w:hAnsi="宋体" w:cs="宋体" w:eastAsia="宋体" w:hint="default"/>
        </w:rPr>
        <w:t>50</w:t>
      </w:r>
      <w:r>
        <w:rPr/>
        <w:t>、</w:t>
      </w:r>
      <w:r>
        <w:rPr>
          <w:spacing w:val="-24"/>
        </w:rPr>
        <w:t> </w:t>
      </w:r>
      <w:r>
        <w:rPr/>
        <w:t>盈余公积</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 w:right="0"/>
              <w:jc w:val="center"/>
              <w:rPr>
                <w:rFonts w:ascii="宋体" w:hAnsi="宋体" w:cs="宋体" w:eastAsia="宋体" w:hint="default"/>
                <w:sz w:val="21"/>
                <w:szCs w:val="21"/>
              </w:rPr>
            </w:pPr>
            <w:r>
              <w:rPr>
                <w:rFonts w:ascii="宋体"/>
                <w:sz w:val="21"/>
              </w:rPr>
              <w:t>42,933,500.00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12,871,101.80</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55,804,601.80</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42,933,500.00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12,871,101.80</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55,804,601.80</w:t>
            </w:r>
          </w:p>
        </w:tc>
      </w:tr>
    </w:tbl>
    <w:p>
      <w:pPr>
        <w:pStyle w:val="BodyText"/>
        <w:spacing w:line="290" w:lineRule="auto" w:before="26"/>
        <w:ind w:left="237" w:right="3679"/>
        <w:jc w:val="left"/>
      </w:pPr>
      <w:r>
        <w:rPr>
          <w:spacing w:val="-2"/>
        </w:rPr>
        <w:t>盈余公积说明，包括本期增减变动情况、变动原因说明：</w:t>
      </w:r>
      <w:r>
        <w:rPr>
          <w:spacing w:val="-55"/>
        </w:rPr>
        <w:t> </w:t>
      </w:r>
      <w:r>
        <w:rPr>
          <w:spacing w:val="-55"/>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4"/>
        <w:spacing w:line="240" w:lineRule="auto" w:before="36"/>
        <w:ind w:left="237" w:right="-2"/>
        <w:jc w:val="left"/>
        <w:rPr>
          <w:b w:val="0"/>
          <w:bCs w:val="0"/>
        </w:rPr>
      </w:pPr>
      <w:r>
        <w:rPr>
          <w:rFonts w:ascii="宋体" w:hAnsi="宋体" w:cs="宋体" w:eastAsia="宋体" w:hint="default"/>
        </w:rPr>
        <w:t>51</w:t>
      </w:r>
      <w:r>
        <w:rPr/>
        <w:t>、</w:t>
      </w:r>
      <w:r>
        <w:rPr>
          <w:spacing w:val="-24"/>
        </w:rPr>
        <w:t> </w:t>
      </w:r>
      <w:r>
        <w:rPr/>
        <w:t>未分配利润</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380,752,173.85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292,659,472.43</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380,752,173.85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292,659,472.43</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119,777,157.54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101,908,339.29</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12,871,101.80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13,815,637.87</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42,933,500.00</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444,724,729.59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380,752,173.85</w:t>
            </w:r>
          </w:p>
        </w:tc>
      </w:tr>
    </w:tbl>
    <w:p>
      <w:pPr>
        <w:pStyle w:val="BodyText"/>
        <w:spacing w:line="290" w:lineRule="auto" w:before="26"/>
        <w:ind w:left="237" w:right="1128"/>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9"/>
        </w:rPr>
        <w:t> </w:t>
      </w:r>
      <w:r>
        <w:rPr/>
        <w:t>元。</w:t>
      </w:r>
    </w:p>
    <w:p>
      <w:pPr>
        <w:spacing w:after="0" w:line="29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73" w:lineRule="exact" w:before="36"/>
        <w:ind w:left="237" w:right="0"/>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237" w:right="0"/>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left="237" w:right="0"/>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3" w:lineRule="exact"/>
        <w:ind w:left="237" w:right="0"/>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4"/>
        <w:spacing w:line="290" w:lineRule="auto" w:before="36"/>
        <w:ind w:left="237" w:right="-14"/>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2"/>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986" w:space="3536"/>
            <w:col w:w="2788"/>
          </w:cols>
        </w:sectPr>
      </w:pP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295,522,213.41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76,152,585.29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243,776,725.70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51,728,254.04</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1"/>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295,522,213.41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76,152,585.29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243,776,725.70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51,728,254.04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4"/>
        <w:spacing w:line="240" w:lineRule="auto" w:before="36"/>
        <w:ind w:left="237" w:right="-2"/>
        <w:jc w:val="left"/>
        <w:rPr>
          <w:b w:val="0"/>
          <w:bCs w:val="0"/>
        </w:rPr>
      </w:pPr>
      <w:r>
        <w:rPr>
          <w:rFonts w:ascii="宋体" w:hAnsi="宋体" w:cs="宋体" w:eastAsia="宋体" w:hint="default"/>
        </w:rPr>
        <w:t>53</w:t>
      </w:r>
      <w:r>
        <w:rPr/>
        <w:t>、</w:t>
      </w:r>
      <w:r>
        <w:rPr>
          <w:spacing w:val="-24"/>
        </w:rPr>
        <w:t> </w:t>
      </w:r>
      <w:r>
        <w:rPr/>
        <w:t>税金及附加</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1,929,785.08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1,667,218.50</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1,386,031.84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1,198,380.65</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575,328.32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446,442.38</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17,021.43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15,703.88</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9,110.00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6,720.00</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120,018.80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331,222.30</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230,442.95</w:t>
            </w: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4,267,738.42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3,665,687.71</w:t>
            </w:r>
          </w:p>
        </w:tc>
      </w:tr>
    </w:tbl>
    <w:p>
      <w:pPr>
        <w:pStyle w:val="BodyText"/>
        <w:spacing w:line="290" w:lineRule="auto" w:before="26"/>
        <w:ind w:left="237" w:right="7999"/>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4"/>
        <w:spacing w:line="240" w:lineRule="auto" w:before="36"/>
        <w:ind w:left="237" w:right="82"/>
        <w:jc w:val="left"/>
        <w:rPr>
          <w:b w:val="0"/>
          <w:bCs w:val="0"/>
        </w:rPr>
      </w:pPr>
      <w:r>
        <w:rPr>
          <w:rFonts w:ascii="宋体" w:hAnsi="宋体" w:cs="宋体" w:eastAsia="宋体" w:hint="default"/>
        </w:rPr>
        <w:t>54</w:t>
      </w:r>
      <w:r>
        <w:rPr/>
        <w:t>、</w:t>
      </w:r>
      <w:r>
        <w:rPr>
          <w:spacing w:val="-24"/>
        </w:rPr>
        <w:t> </w:t>
      </w:r>
      <w:r>
        <w:rPr/>
        <w:t>销售费用</w:t>
      </w:r>
      <w:r>
        <w:rPr>
          <w:b w:val="0"/>
          <w:bCs w:val="0"/>
        </w:rPr>
      </w:r>
    </w:p>
    <w:p>
      <w:pPr>
        <w:pStyle w:val="BodyText"/>
        <w:spacing w:line="240" w:lineRule="auto" w:before="5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14,518,463.07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13,363,772.02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7,841,771.90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5,135,197.06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6,171,113.61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4,568,194.62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租赁及物业费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2,063,783.29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2,201,117.00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1,452,028.51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1,840,468.00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647,231.44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2,075,595.93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19,270.46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12,698.72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54,487.19</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32,768,149.47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29,197,043.35</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90" w:lineRule="auto" w:before="36"/>
        <w:ind w:left="217" w:right="7999"/>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060" w:right="1560"/>
        </w:sectPr>
      </w:pPr>
    </w:p>
    <w:p>
      <w:pPr>
        <w:pStyle w:val="Heading4"/>
        <w:spacing w:line="240" w:lineRule="auto" w:before="36"/>
        <w:ind w:left="217" w:right="-18"/>
        <w:jc w:val="left"/>
        <w:rPr>
          <w:b w:val="0"/>
          <w:bCs w:val="0"/>
        </w:rPr>
      </w:pPr>
      <w:r>
        <w:rPr>
          <w:rFonts w:ascii="宋体" w:hAnsi="宋体" w:cs="宋体" w:eastAsia="宋体" w:hint="default"/>
        </w:rPr>
        <w:t>55</w:t>
      </w:r>
      <w:r>
        <w:rPr/>
        <w:t>、</w:t>
      </w:r>
      <w:r>
        <w:rPr>
          <w:spacing w:val="-24"/>
        </w:rPr>
        <w:t> </w:t>
      </w:r>
      <w:r>
        <w:rPr/>
        <w:t>管理费用</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16,082,418.07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13,644,220.61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4,626,557.64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3,977,398.36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租赁及物业费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8,174,792.82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5,866,889.38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3,301,401.77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3,664,742.02</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2,286,931.38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2,030,142.11</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审计咨询顾问费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1,873,238.47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2,405,780.22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1,231,971.45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1,315,811.67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339,310.70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500,720.34</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6,693,186.50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1,890,468.13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47,225.88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44,609,808.80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35,343,398.72</w:t>
            </w:r>
          </w:p>
        </w:tc>
      </w:tr>
    </w:tbl>
    <w:p>
      <w:pPr>
        <w:spacing w:line="240" w:lineRule="auto" w:before="5"/>
        <w:rPr>
          <w:rFonts w:ascii="宋体" w:hAnsi="宋体" w:cs="宋体" w:eastAsia="宋体" w:hint="default"/>
          <w:sz w:val="15"/>
          <w:szCs w:val="15"/>
        </w:rPr>
      </w:pPr>
    </w:p>
    <w:p>
      <w:pPr>
        <w:pStyle w:val="BodyText"/>
        <w:spacing w:line="240" w:lineRule="auto" w:before="36"/>
        <w:ind w:left="217" w:right="7999"/>
        <w:jc w:val="left"/>
      </w:pPr>
      <w:r>
        <w:rPr/>
        <w:t>其他说明：</w:t>
      </w:r>
      <w:r>
        <w:rPr>
          <w:spacing w:val="-102"/>
        </w:rPr>
        <w:t> </w:t>
      </w:r>
      <w:r>
        <w:rPr>
          <w:spacing w:val="-102"/>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4"/>
        <w:spacing w:line="240" w:lineRule="auto" w:before="36"/>
        <w:ind w:left="217" w:right="-18"/>
        <w:jc w:val="left"/>
        <w:rPr>
          <w:b w:val="0"/>
          <w:bCs w:val="0"/>
        </w:rPr>
      </w:pPr>
      <w:r>
        <w:rPr>
          <w:rFonts w:ascii="宋体" w:hAnsi="宋体" w:cs="宋体" w:eastAsia="宋体" w:hint="default"/>
        </w:rPr>
        <w:t>56</w:t>
      </w:r>
      <w:r>
        <w:rPr/>
        <w:t>、</w:t>
      </w:r>
      <w:r>
        <w:rPr>
          <w:spacing w:val="-24"/>
        </w:rPr>
        <w:t> </w:t>
      </w:r>
      <w:r>
        <w:rPr/>
        <w:t>研发费用</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52,268,140.23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41,835,942.03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122,576.33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97,721.63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818,671.62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816,326.46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8,125,838.55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6,975,941.84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34,439.62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45,667.06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61,369,666.35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49,771,599.02</w:t>
            </w:r>
          </w:p>
        </w:tc>
      </w:tr>
    </w:tbl>
    <w:p>
      <w:pPr>
        <w:spacing w:line="240" w:lineRule="auto" w:before="5"/>
        <w:rPr>
          <w:rFonts w:ascii="宋体" w:hAnsi="宋体" w:cs="宋体" w:eastAsia="宋体" w:hint="default"/>
          <w:sz w:val="15"/>
          <w:szCs w:val="15"/>
        </w:rPr>
      </w:pPr>
    </w:p>
    <w:p>
      <w:pPr>
        <w:pStyle w:val="BodyText"/>
        <w:spacing w:line="240" w:lineRule="auto" w:before="36"/>
        <w:ind w:left="217" w:right="7999"/>
        <w:jc w:val="left"/>
      </w:pPr>
      <w:r>
        <w:rPr/>
        <w:t>其他说明：</w:t>
      </w:r>
      <w:r>
        <w:rPr>
          <w:spacing w:val="-102"/>
        </w:rPr>
        <w:t> </w:t>
      </w:r>
      <w:r>
        <w:rPr>
          <w:spacing w:val="-102"/>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4"/>
        <w:spacing w:line="240" w:lineRule="auto" w:before="36"/>
        <w:ind w:left="217" w:right="-18"/>
        <w:jc w:val="left"/>
        <w:rPr>
          <w:b w:val="0"/>
          <w:bCs w:val="0"/>
        </w:rPr>
      </w:pPr>
      <w:r>
        <w:rPr>
          <w:rFonts w:ascii="宋体" w:hAnsi="宋体" w:cs="宋体" w:eastAsia="宋体" w:hint="default"/>
        </w:rPr>
        <w:t>57</w:t>
      </w:r>
      <w:r>
        <w:rPr/>
        <w:t>、</w:t>
      </w:r>
      <w:r>
        <w:rPr>
          <w:spacing w:val="-24"/>
        </w:rPr>
        <w:t> </w:t>
      </w:r>
      <w:r>
        <w:rPr/>
        <w:t>财务费用</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115,864.48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64,670.59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-5,277,331.09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-4,672,350.17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-5,161,466.61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-4,607,679.58</w:t>
            </w:r>
          </w:p>
        </w:tc>
      </w:tr>
    </w:tbl>
    <w:p>
      <w:pPr>
        <w:pStyle w:val="BodyText"/>
        <w:spacing w:line="239" w:lineRule="exact"/>
        <w:ind w:left="217" w:right="227"/>
        <w:jc w:val="left"/>
      </w:pPr>
      <w:r>
        <w:rPr/>
        <w:t>其他说明：</w:t>
      </w:r>
    </w:p>
    <w:p>
      <w:pPr>
        <w:pStyle w:val="BodyText"/>
        <w:spacing w:line="273" w:lineRule="exact"/>
        <w:ind w:left="217" w:right="227"/>
        <w:jc w:val="left"/>
      </w:pPr>
      <w:r>
        <w:rPr>
          <w:w w:val="100"/>
        </w:rPr>
        <w:t>无</w:t>
      </w:r>
    </w:p>
    <w:p>
      <w:pPr>
        <w:spacing w:line="240" w:lineRule="auto" w:before="3"/>
        <w:rPr>
          <w:rFonts w:ascii="宋体" w:hAnsi="宋体" w:cs="宋体" w:eastAsia="宋体" w:hint="default"/>
          <w:sz w:val="25"/>
          <w:szCs w:val="25"/>
        </w:rPr>
      </w:pPr>
    </w:p>
    <w:p>
      <w:pPr>
        <w:pStyle w:val="Heading4"/>
        <w:spacing w:line="240" w:lineRule="auto"/>
        <w:ind w:left="217" w:right="227"/>
        <w:jc w:val="left"/>
        <w:rPr>
          <w:b w:val="0"/>
          <w:bCs w:val="0"/>
        </w:rPr>
      </w:pPr>
      <w:r>
        <w:rPr>
          <w:rFonts w:ascii="宋体" w:hAnsi="宋体" w:cs="宋体" w:eastAsia="宋体" w:hint="default"/>
        </w:rPr>
        <w:t>58</w:t>
      </w:r>
      <w:r>
        <w:rPr/>
        <w:t>、</w:t>
      </w:r>
      <w:r>
        <w:rPr>
          <w:spacing w:val="-23"/>
        </w:rPr>
        <w:t> </w:t>
      </w:r>
      <w:r>
        <w:rPr/>
        <w:t>资产减值损失</w:t>
      </w:r>
      <w:r>
        <w:rPr>
          <w:b w:val="0"/>
          <w:bCs w:val="0"/>
        </w:rPr>
      </w:r>
    </w:p>
    <w:p>
      <w:pPr>
        <w:pStyle w:val="BodyText"/>
        <w:spacing w:line="240" w:lineRule="auto" w:before="58"/>
        <w:ind w:left="217" w:right="227"/>
        <w:jc w:val="left"/>
      </w:pPr>
      <w:r>
        <w:rPr/>
        <w:t>√适用 □不适用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1,462,974.55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492,812.83</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1,462,974.55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492,812.83</w:t>
            </w:r>
          </w:p>
        </w:tc>
      </w:tr>
    </w:tbl>
    <w:p>
      <w:pPr>
        <w:pStyle w:val="BodyText"/>
        <w:spacing w:line="290" w:lineRule="auto" w:before="26"/>
        <w:ind w:left="217" w:right="7999"/>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060" w:right="1560"/>
        </w:sectPr>
      </w:pPr>
    </w:p>
    <w:p>
      <w:pPr>
        <w:pStyle w:val="Heading4"/>
        <w:spacing w:line="240" w:lineRule="auto" w:before="36"/>
        <w:ind w:left="217" w:right="-18"/>
        <w:jc w:val="left"/>
        <w:rPr>
          <w:b w:val="0"/>
          <w:bCs w:val="0"/>
        </w:rPr>
      </w:pPr>
      <w:r>
        <w:rPr>
          <w:rFonts w:ascii="宋体" w:hAnsi="宋体" w:cs="宋体" w:eastAsia="宋体" w:hint="default"/>
        </w:rPr>
        <w:t>59</w:t>
      </w:r>
      <w:r>
        <w:rPr/>
        <w:t>、</w:t>
      </w:r>
      <w:r>
        <w:rPr>
          <w:spacing w:val="-24"/>
        </w:rPr>
        <w:t> </w:t>
      </w:r>
      <w:r>
        <w:rPr/>
        <w:t>其他收益</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18,334,937.61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14,132,979.82</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3,659,082.00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1,668,000.00</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21,994,019.61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15,800,979.82</w:t>
            </w:r>
          </w:p>
        </w:tc>
      </w:tr>
    </w:tbl>
    <w:p>
      <w:pPr>
        <w:pStyle w:val="BodyText"/>
        <w:spacing w:line="239" w:lineRule="exact"/>
        <w:ind w:left="217" w:right="227"/>
        <w:jc w:val="left"/>
      </w:pPr>
      <w:r>
        <w:rPr/>
        <w:t>其他说明：</w:t>
      </w:r>
    </w:p>
    <w:p>
      <w:pPr>
        <w:pStyle w:val="BodyText"/>
        <w:spacing w:line="273" w:lineRule="exact"/>
        <w:ind w:left="217" w:right="227"/>
        <w:jc w:val="left"/>
      </w:pPr>
      <w:r>
        <w:rPr>
          <w:w w:val="100"/>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4"/>
        <w:spacing w:line="240" w:lineRule="auto" w:before="36"/>
        <w:ind w:left="217" w:right="-18"/>
        <w:jc w:val="left"/>
        <w:rPr>
          <w:b w:val="0"/>
          <w:bCs w:val="0"/>
        </w:rPr>
      </w:pPr>
      <w:r>
        <w:rPr>
          <w:rFonts w:ascii="宋体" w:hAnsi="宋体" w:cs="宋体" w:eastAsia="宋体" w:hint="default"/>
        </w:rPr>
        <w:t>60</w:t>
      </w:r>
      <w:r>
        <w:rPr/>
        <w:t>、</w:t>
      </w:r>
      <w:r>
        <w:rPr>
          <w:spacing w:val="-24"/>
        </w:rPr>
        <w:t> </w:t>
      </w:r>
      <w:r>
        <w:rPr/>
        <w:t>投资收益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6" w:right="0"/>
              <w:jc w:val="left"/>
              <w:rPr>
                <w:rFonts w:ascii="宋体" w:hAnsi="宋体" w:cs="宋体" w:eastAsia="宋体" w:hint="default"/>
                <w:sz w:val="21"/>
                <w:szCs w:val="21"/>
              </w:rPr>
            </w:pPr>
            <w:r>
              <w:rPr>
                <w:rFonts w:ascii="宋体"/>
                <w:sz w:val="21"/>
              </w:rPr>
              <w:t>434,950.53</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购买保本型理财产品取得的投资收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24,144,042.40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13,066,725.74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24,578,992.93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13,066,725.74</w:t>
            </w:r>
          </w:p>
        </w:tc>
      </w:tr>
    </w:tbl>
    <w:p>
      <w:pPr>
        <w:pStyle w:val="BodyText"/>
        <w:spacing w:line="240" w:lineRule="exact"/>
        <w:ind w:left="217" w:right="227"/>
        <w:jc w:val="left"/>
      </w:pPr>
      <w:r>
        <w:rPr/>
        <w:t>其他说明：</w:t>
      </w:r>
    </w:p>
    <w:p>
      <w:pPr>
        <w:pStyle w:val="BodyText"/>
        <w:spacing w:line="274" w:lineRule="exact"/>
        <w:ind w:left="217" w:right="227"/>
        <w:jc w:val="left"/>
      </w:pPr>
      <w:r>
        <w:rPr>
          <w:w w:val="100"/>
        </w:rPr>
        <w:t>无</w:t>
      </w:r>
    </w:p>
    <w:p>
      <w:pPr>
        <w:spacing w:line="240" w:lineRule="auto" w:before="3"/>
        <w:rPr>
          <w:rFonts w:ascii="宋体" w:hAnsi="宋体" w:cs="宋体" w:eastAsia="宋体" w:hint="default"/>
          <w:sz w:val="25"/>
          <w:szCs w:val="25"/>
        </w:rPr>
      </w:pPr>
    </w:p>
    <w:p>
      <w:pPr>
        <w:pStyle w:val="Heading4"/>
        <w:spacing w:line="240" w:lineRule="auto"/>
        <w:ind w:left="217" w:right="227"/>
        <w:jc w:val="left"/>
        <w:rPr>
          <w:b w:val="0"/>
          <w:bCs w:val="0"/>
        </w:rPr>
      </w:pPr>
      <w:r>
        <w:rPr>
          <w:rFonts w:ascii="宋体" w:hAnsi="宋体" w:cs="宋体" w:eastAsia="宋体" w:hint="default"/>
        </w:rPr>
        <w:t>61</w:t>
      </w:r>
      <w:r>
        <w:rPr/>
        <w:t>、</w:t>
      </w:r>
      <w:r>
        <w:rPr>
          <w:spacing w:val="-23"/>
        </w:rPr>
        <w:t> </w:t>
      </w:r>
      <w:r>
        <w:rPr/>
        <w:t>公允价值变动收益</w:t>
      </w:r>
      <w:r>
        <w:rPr>
          <w:b w:val="0"/>
          <w:bCs w:val="0"/>
        </w:rPr>
      </w:r>
    </w:p>
    <w:p>
      <w:pPr>
        <w:pStyle w:val="BodyText"/>
        <w:spacing w:line="240" w:lineRule="auto" w:before="56"/>
        <w:ind w:left="217" w:right="227"/>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060" w:right="1560"/>
        </w:sectPr>
      </w:pPr>
    </w:p>
    <w:p>
      <w:pPr>
        <w:pStyle w:val="Heading4"/>
        <w:spacing w:line="240" w:lineRule="auto" w:before="36"/>
        <w:ind w:left="217" w:right="-19"/>
        <w:jc w:val="left"/>
        <w:rPr>
          <w:b w:val="0"/>
          <w:bCs w:val="0"/>
        </w:rPr>
      </w:pPr>
      <w:r>
        <w:rPr>
          <w:rFonts w:ascii="宋体" w:hAnsi="宋体" w:cs="宋体" w:eastAsia="宋体" w:hint="default"/>
        </w:rPr>
        <w:t>62</w:t>
      </w:r>
      <w:r>
        <w:rPr/>
        <w:t>、</w:t>
      </w:r>
      <w:r>
        <w:rPr>
          <w:spacing w:val="-23"/>
        </w:rPr>
        <w:t> </w:t>
      </w:r>
      <w:r>
        <w:rPr/>
        <w:t>资产处置收益</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”填列）</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34,978.11</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34,978.11</w:t>
            </w:r>
          </w:p>
        </w:tc>
        <w:tc>
          <w:tcPr>
            <w:tcW w:w="30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17" w:right="227"/>
        <w:jc w:val="left"/>
      </w:pPr>
      <w:r>
        <w:rPr/>
        <w:t>其他说明：</w:t>
      </w:r>
    </w:p>
    <w:p>
      <w:pPr>
        <w:pStyle w:val="BodyText"/>
        <w:spacing w:line="273" w:lineRule="exact"/>
        <w:ind w:left="217" w:right="227"/>
        <w:jc w:val="left"/>
      </w:pPr>
      <w:r>
        <w:rPr>
          <w:w w:val="100"/>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spacing w:line="290" w:lineRule="auto" w:before="36"/>
        <w:ind w:left="217" w:right="209"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162" w:val="left" w:leader="none"/>
        </w:tabs>
        <w:spacing w:line="229" w:lineRule="exact"/>
        <w:ind w:left="217"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6" w:space="451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1,750,575.00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90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1,750,665.00</w:t>
            </w: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17" w:right="227"/>
        <w:jc w:val="left"/>
      </w:pPr>
      <w:r>
        <w:rPr/>
        <w:t>计入当期损益的政府补助</w:t>
      </w:r>
    </w:p>
    <w:p>
      <w:pPr>
        <w:pStyle w:val="BodyText"/>
        <w:spacing w:line="357" w:lineRule="auto"/>
        <w:ind w:left="217" w:right="7474"/>
        <w:jc w:val="left"/>
      </w:pPr>
      <w:r>
        <w:rPr/>
        <w:t>□适用 √不适用</w:t>
      </w:r>
      <w:r>
        <w:rPr>
          <w:w w:val="100"/>
        </w:rPr>
        <w:t> </w:t>
      </w:r>
      <w:r>
        <w:rPr/>
        <w:t>其他说明：</w:t>
      </w:r>
    </w:p>
    <w:p>
      <w:pPr>
        <w:spacing w:after="0" w:line="357" w:lineRule="auto"/>
        <w:jc w:val="left"/>
        <w:sectPr>
          <w:type w:val="continuous"/>
          <w:pgSz w:w="11910" w:h="16840"/>
          <w:pgMar w:top="1120" w:bottom="1380" w:left="1060" w:right="1560"/>
        </w:sectPr>
      </w:pPr>
    </w:p>
    <w:p>
      <w:pPr>
        <w:spacing w:line="240" w:lineRule="auto" w:before="7"/>
        <w:rPr>
          <w:rFonts w:ascii="宋体" w:hAnsi="宋体" w:cs="宋体" w:eastAsia="宋体" w:hint="default"/>
          <w:sz w:val="24"/>
          <w:szCs w:val="24"/>
        </w:rPr>
      </w:pPr>
    </w:p>
    <w:p>
      <w:pPr>
        <w:pStyle w:val="BodyText"/>
        <w:spacing w:line="240" w:lineRule="auto" w:before="36"/>
        <w:ind w:left="237" w:right="0"/>
        <w:jc w:val="left"/>
      </w:pPr>
      <w:r>
        <w:rPr/>
        <w:t>□适用 √不适用</w:t>
      </w: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120" w:bottom="1380" w:left="1040" w:right="1560"/>
        </w:sectPr>
      </w:pPr>
    </w:p>
    <w:p>
      <w:pPr>
        <w:pStyle w:val="Heading4"/>
        <w:spacing w:line="240" w:lineRule="auto" w:before="36"/>
        <w:ind w:left="237" w:right="-13"/>
        <w:jc w:val="left"/>
        <w:rPr>
          <w:b w:val="0"/>
          <w:bCs w:val="0"/>
        </w:rPr>
      </w:pPr>
      <w:r>
        <w:rPr>
          <w:rFonts w:ascii="宋体" w:hAnsi="宋体" w:cs="宋体" w:eastAsia="宋体" w:hint="default"/>
        </w:rPr>
        <w:t>64</w:t>
      </w:r>
      <w:r>
        <w:rPr/>
        <w:t>、</w:t>
      </w:r>
      <w:r>
        <w:rPr>
          <w:spacing w:val="-24"/>
        </w:rPr>
        <w:t> </w:t>
      </w:r>
      <w:r>
        <w:rPr/>
        <w:t>营业外支出</w:t>
      </w:r>
      <w:r>
        <w:rPr>
          <w:b w:val="0"/>
          <w:bCs w:val="0"/>
        </w:rPr>
      </w:r>
    </w:p>
    <w:p>
      <w:pPr>
        <w:pStyle w:val="BodyText"/>
        <w:tabs>
          <w:tab w:pos="1182" w:val="left" w:leader="none"/>
        </w:tabs>
        <w:spacing w:line="240" w:lineRule="auto" w:before="58"/>
        <w:ind w:left="237"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026" w:space="4496"/>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16,495.34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139,169.41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16,495.34</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16,495.34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139,169.41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16,495.34</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405,000.00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405,000.00</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421,495.34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539,769.41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421,495.34</w:t>
            </w:r>
          </w:p>
        </w:tc>
      </w:tr>
    </w:tbl>
    <w:p>
      <w:pPr>
        <w:pStyle w:val="BodyText"/>
        <w:spacing w:line="290" w:lineRule="auto" w:before="26"/>
        <w:ind w:left="237" w:right="7999"/>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4"/>
        <w:spacing w:line="290" w:lineRule="auto" w:before="36"/>
        <w:ind w:left="237"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tabs>
          <w:tab w:pos="1079" w:val="left" w:leader="none"/>
        </w:tabs>
        <w:spacing w:line="240" w:lineRule="auto" w:before="12"/>
        <w:ind w:left="237" w:right="-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8,464,020.22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
              <w:jc w:val="right"/>
              <w:rPr>
                <w:rFonts w:ascii="宋体" w:hAnsi="宋体" w:cs="宋体" w:eastAsia="宋体" w:hint="default"/>
                <w:sz w:val="21"/>
                <w:szCs w:val="21"/>
              </w:rPr>
            </w:pPr>
            <w:r>
              <w:rPr>
                <w:rFonts w:ascii="宋体"/>
                <w:spacing w:val="-1"/>
                <w:sz w:val="21"/>
              </w:rPr>
              <w:t>9,946,602.85</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688,340.70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-1,780,659.78</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9,152,360.92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8,165,943.07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4"/>
        <w:spacing w:line="240" w:lineRule="auto" w:before="36"/>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tabs>
          <w:tab w:pos="1079" w:val="left" w:leader="none"/>
        </w:tabs>
        <w:spacing w:line="240" w:lineRule="auto" w:before="59"/>
        <w:ind w:left="23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17" w:space="2905"/>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126,239,252.45</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12,623,925.25</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-602,785.71</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156,108.47</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1,449,083.94</w:t>
            </w:r>
          </w:p>
        </w:tc>
      </w:tr>
      <w:tr>
        <w:trPr>
          <w:trHeight w:val="56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-460,740.38</w:t>
            </w:r>
          </w:p>
        </w:tc>
      </w:tr>
      <w:tr>
        <w:trPr>
          <w:trHeight w:val="560"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2,051,717.90</w:t>
            </w: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权益法核算的合营企业和联营企业损益</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-43,495.05</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106" w:right="0"/>
              <w:jc w:val="left"/>
              <w:rPr>
                <w:rFonts w:ascii="宋体" w:hAnsi="宋体" w:cs="宋体" w:eastAsia="宋体" w:hint="default"/>
                <w:sz w:val="21"/>
                <w:szCs w:val="21"/>
              </w:rPr>
            </w:pPr>
            <w:r>
              <w:rPr>
                <w:rFonts w:ascii="宋体" w:hAnsi="宋体" w:cs="宋体" w:eastAsia="宋体" w:hint="default"/>
                <w:sz w:val="21"/>
                <w:szCs w:val="21"/>
              </w:rPr>
              <w:t>研究开发费加计扣除的影响</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-6,021,453.50</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9,152,360.92</w:t>
            </w:r>
          </w:p>
        </w:tc>
      </w:tr>
    </w:tbl>
    <w:p>
      <w:pPr>
        <w:spacing w:line="240" w:lineRule="auto" w:before="12"/>
        <w:rPr>
          <w:rFonts w:ascii="宋体" w:hAnsi="宋体" w:cs="宋体" w:eastAsia="宋体" w:hint="default"/>
          <w:sz w:val="19"/>
          <w:szCs w:val="19"/>
        </w:rPr>
      </w:pPr>
    </w:p>
    <w:p>
      <w:pPr>
        <w:pStyle w:val="BodyText"/>
        <w:spacing w:line="240" w:lineRule="auto" w:before="36"/>
        <w:ind w:left="237" w:right="0"/>
        <w:jc w:val="left"/>
      </w:pPr>
      <w:r>
        <w:rPr/>
        <w:t>其他说明：</w:t>
      </w:r>
    </w:p>
    <w:p>
      <w:pPr>
        <w:pStyle w:val="BodyText"/>
        <w:tabs>
          <w:tab w:pos="1079" w:val="left" w:leader="none"/>
        </w:tabs>
        <w:spacing w:line="290" w:lineRule="auto" w:before="58"/>
        <w:ind w:left="237" w:right="7384"/>
        <w:jc w:val="left"/>
      </w:pPr>
      <w:r>
        <w:rPr/>
        <w:t>√适用</w:t>
        <w:tab/>
      </w:r>
      <w:r>
        <w:rPr>
          <w:spacing w:val="-2"/>
        </w:rPr>
        <w:t>□不适用</w:t>
      </w:r>
      <w:r>
        <w:rPr>
          <w:spacing w:val="-99"/>
        </w:rPr>
        <w:t> </w:t>
      </w:r>
      <w:r>
        <w:rPr>
          <w:spacing w:val="-99"/>
        </w:rPr>
      </w:r>
      <w:r>
        <w:rPr/>
        <w:t>无</w:t>
      </w:r>
    </w:p>
    <w:p>
      <w:pPr>
        <w:spacing w:line="240" w:lineRule="auto" w:before="11"/>
        <w:rPr>
          <w:rFonts w:ascii="宋体" w:hAnsi="宋体" w:cs="宋体" w:eastAsia="宋体" w:hint="default"/>
          <w:sz w:val="21"/>
          <w:szCs w:val="21"/>
        </w:rPr>
      </w:pPr>
    </w:p>
    <w:p>
      <w:pPr>
        <w:pStyle w:val="Heading4"/>
        <w:spacing w:line="240" w:lineRule="auto"/>
        <w:ind w:left="237" w:right="0"/>
        <w:jc w:val="left"/>
        <w:rPr>
          <w:b w:val="0"/>
          <w:bCs w:val="0"/>
        </w:rPr>
      </w:pPr>
      <w:r>
        <w:rPr>
          <w:rFonts w:ascii="宋体" w:hAnsi="宋体" w:cs="宋体" w:eastAsia="宋体" w:hint="default"/>
        </w:rPr>
        <w:t>66</w:t>
      </w:r>
      <w:r>
        <w:rPr/>
        <w:t>、</w:t>
      </w:r>
      <w:r>
        <w:rPr>
          <w:spacing w:val="-23"/>
        </w:rPr>
        <w:t> </w:t>
      </w:r>
      <w:r>
        <w:rPr/>
        <w:t>其他综合收益</w:t>
      </w:r>
      <w:r>
        <w:rPr>
          <w:b w:val="0"/>
          <w:bCs w:val="0"/>
        </w:rPr>
      </w:r>
    </w:p>
    <w:p>
      <w:pPr>
        <w:pStyle w:val="BodyText"/>
        <w:spacing w:line="240" w:lineRule="auto" w:before="58"/>
        <w:ind w:left="23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4"/>
        <w:spacing w:line="290" w:lineRule="auto" w:before="36"/>
        <w:ind w:left="237" w:right="-15"/>
        <w:jc w:val="left"/>
        <w:rPr>
          <w:b w:val="0"/>
          <w:bCs w:val="0"/>
        </w:rPr>
      </w:pPr>
      <w:r>
        <w:rPr>
          <w:rFonts w:ascii="宋体" w:hAnsi="宋体" w:cs="宋体" w:eastAsia="宋体" w:hint="default"/>
        </w:rPr>
        <w:t>67</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2"/>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3,659,082.00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3,418,575.00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5,394,131.48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5,514,442.11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收到的其他往来款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533,045.44</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398,592.92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9,586,258.92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9,331,610.03</w:t>
            </w:r>
          </w:p>
        </w:tc>
      </w:tr>
    </w:tbl>
    <w:p>
      <w:pPr>
        <w:spacing w:line="240" w:lineRule="auto" w:before="12"/>
        <w:rPr>
          <w:rFonts w:ascii="宋体" w:hAnsi="宋体" w:cs="宋体" w:eastAsia="宋体" w:hint="default"/>
          <w:sz w:val="19"/>
          <w:szCs w:val="19"/>
        </w:rPr>
      </w:pPr>
    </w:p>
    <w:p>
      <w:pPr>
        <w:pStyle w:val="BodyText"/>
        <w:spacing w:line="290" w:lineRule="auto" w:before="36"/>
        <w:ind w:left="237" w:right="5135"/>
        <w:jc w:val="left"/>
      </w:pPr>
      <w:r>
        <w:rPr>
          <w:spacing w:val="-2"/>
        </w:rPr>
        <w:t>收到的其他与经营活动有关的现金说明：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4"/>
        <w:spacing w:line="240" w:lineRule="auto" w:before="36"/>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6"/>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支付各项付现费用等</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54,207,552.82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47,701,566.08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支付的捐赠款项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405,000.00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400,000.00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73,000.00</w:t>
            </w:r>
          </w:p>
        </w:tc>
        <w:tc>
          <w:tcPr>
            <w:tcW w:w="28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支付的其他往来款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3,502,257.71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233,446.41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58,187,810.53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48,335,012.49</w:t>
            </w:r>
          </w:p>
        </w:tc>
      </w:tr>
    </w:tbl>
    <w:p>
      <w:pPr>
        <w:spacing w:line="240" w:lineRule="auto" w:before="2"/>
        <w:rPr>
          <w:rFonts w:ascii="宋体" w:hAnsi="宋体" w:cs="宋体" w:eastAsia="宋体" w:hint="default"/>
          <w:sz w:val="20"/>
          <w:szCs w:val="20"/>
        </w:rPr>
      </w:pPr>
    </w:p>
    <w:p>
      <w:pPr>
        <w:pStyle w:val="BodyText"/>
        <w:spacing w:line="290" w:lineRule="auto" w:before="36"/>
        <w:ind w:left="237" w:right="5135"/>
        <w:jc w:val="left"/>
      </w:pPr>
      <w:r>
        <w:rPr>
          <w:spacing w:val="-2"/>
        </w:rPr>
        <w:t>支付的其他与经营活动有关的现金说明：</w:t>
      </w:r>
      <w:r>
        <w:rPr>
          <w:spacing w:val="-69"/>
        </w:rPr>
        <w:t> </w:t>
      </w:r>
      <w:r>
        <w:rPr>
          <w:spacing w:val="-69"/>
        </w:rPr>
      </w:r>
      <w:r>
        <w:rPr/>
        <w:t>无</w:t>
      </w:r>
    </w:p>
    <w:p>
      <w:pPr>
        <w:spacing w:line="240" w:lineRule="auto" w:before="8"/>
        <w:rPr>
          <w:rFonts w:ascii="宋体" w:hAnsi="宋体" w:cs="宋体" w:eastAsia="宋体" w:hint="default"/>
          <w:sz w:val="28"/>
          <w:szCs w:val="28"/>
        </w:rPr>
      </w:pPr>
    </w:p>
    <w:p>
      <w:pPr>
        <w:pStyle w:val="Heading4"/>
        <w:spacing w:line="240" w:lineRule="auto"/>
        <w:ind w:left="237" w:right="0"/>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6"/>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237" w:right="0"/>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6"/>
        <w:ind w:left="237" w:right="0"/>
        <w:jc w:val="left"/>
      </w:pPr>
      <w:r>
        <w:rPr/>
        <w:t>□适用 √不适用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4"/>
        <w:spacing w:line="240" w:lineRule="auto" w:before="36"/>
        <w:ind w:left="237" w:right="0"/>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6"/>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040" w:right="1560"/>
        </w:sectPr>
      </w:pPr>
    </w:p>
    <w:p>
      <w:pPr>
        <w:pStyle w:val="Heading4"/>
        <w:spacing w:line="240" w:lineRule="auto" w:before="36"/>
        <w:ind w:left="237" w:right="-15"/>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6"/>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支付给部分中介机构</w:t>
            </w:r>
            <w:r>
              <w:rPr>
                <w:rFonts w:ascii="宋体" w:hAnsi="宋体" w:cs="宋体" w:eastAsia="宋体" w:hint="default"/>
                <w:sz w:val="21"/>
                <w:szCs w:val="21"/>
              </w:rPr>
              <w:t>IPO</w:t>
            </w:r>
            <w:r>
              <w:rPr>
                <w:rFonts w:ascii="宋体" w:hAnsi="宋体" w:cs="宋体" w:eastAsia="宋体" w:hint="default"/>
                <w:sz w:val="21"/>
                <w:szCs w:val="21"/>
              </w:rPr>
              <w:t>服务费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7,894,050.00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7,894,050.00</w:t>
            </w:r>
          </w:p>
        </w:tc>
      </w:tr>
    </w:tbl>
    <w:p>
      <w:pPr>
        <w:pStyle w:val="BodyText"/>
        <w:spacing w:line="292" w:lineRule="auto" w:before="26"/>
        <w:ind w:left="237" w:right="5135"/>
        <w:jc w:val="left"/>
      </w:pPr>
      <w:r>
        <w:rPr>
          <w:spacing w:val="-2"/>
        </w:rPr>
        <w:t>支付的其他与筹资活动有关的现金说明：</w:t>
      </w:r>
      <w:r>
        <w:rPr>
          <w:spacing w:val="-69"/>
        </w:rPr>
        <w:t> </w:t>
      </w:r>
      <w:r>
        <w:rPr>
          <w:spacing w:val="-69"/>
        </w:rPr>
      </w:r>
      <w:r>
        <w:rPr/>
        <w:t>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4"/>
        <w:spacing w:line="290" w:lineRule="auto" w:before="36"/>
        <w:ind w:left="237"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79" w:val="left" w:leader="none"/>
        </w:tabs>
        <w:spacing w:line="240" w:lineRule="auto" w:before="14"/>
        <w:ind w:left="23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43" w:space="387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117,086,891.53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100,098,267.69</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1,462,974.55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492,812.83</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5,046,766.91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4,274,168.36</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237,061.23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201,812.60</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180,671.58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330,442.59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-34,978.11</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16,495.34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139,169.41</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-24,578,992.93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-13,066,725.74</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688,340.70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-1,780,659.78</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-958,572.37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-16,033,258.62</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-9,726,365.07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1,770,306.76</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-3,460,930.45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25,348,731.96</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6,693,186.50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1,890,468.13</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92,652,549.41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103,665,536.19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457,316,432.91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366,571,590.26</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366,571,590.26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512,834,515.41</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90,744,842.65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-146,262,925.15</w:t>
            </w:r>
          </w:p>
        </w:tc>
      </w:tr>
    </w:tbl>
    <w:p>
      <w:pPr>
        <w:spacing w:line="240" w:lineRule="auto" w:before="12"/>
        <w:rPr>
          <w:rFonts w:ascii="宋体" w:hAnsi="宋体" w:cs="宋体" w:eastAsia="宋体" w:hint="default"/>
          <w:sz w:val="19"/>
          <w:szCs w:val="19"/>
        </w:rPr>
      </w:pPr>
    </w:p>
    <w:p>
      <w:pPr>
        <w:pStyle w:val="Heading4"/>
        <w:spacing w:line="240" w:lineRule="auto" w:before="36"/>
        <w:ind w:left="217" w:right="227"/>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8"/>
        <w:ind w:left="217" w:right="227"/>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left="217" w:right="227"/>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8"/>
        <w:ind w:left="217" w:right="227"/>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7"/>
          <w:pgSz w:w="11910" w:h="16840"/>
          <w:pgMar w:footer="1195" w:header="0" w:top="1120" w:bottom="1380" w:left="1060" w:right="1560"/>
        </w:sectPr>
      </w:pPr>
    </w:p>
    <w:p>
      <w:pPr>
        <w:pStyle w:val="Heading4"/>
        <w:spacing w:line="240" w:lineRule="auto" w:before="36"/>
        <w:ind w:left="217"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8"/>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66" w:space="355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457,316,432.91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366,571,590.26</w:t>
            </w: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60,332.13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128,415.81</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457,256,100.78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366,439,699.90</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3,474.55</w:t>
            </w:r>
          </w:p>
        </w:tc>
      </w:tr>
      <w:tr>
        <w:trPr>
          <w:trHeight w:val="557"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457,316,432.91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366,571,590.26</w:t>
            </w:r>
          </w:p>
        </w:tc>
      </w:tr>
      <w:tr>
        <w:trPr>
          <w:trHeight w:val="55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BodyText"/>
        <w:spacing w:line="240" w:lineRule="auto" w:before="36"/>
        <w:ind w:left="217" w:right="227"/>
        <w:jc w:val="left"/>
      </w:pPr>
      <w:r>
        <w:rPr/>
        <w:t>其他说明：</w:t>
      </w:r>
    </w:p>
    <w:p>
      <w:pPr>
        <w:pStyle w:val="BodyText"/>
        <w:spacing w:line="240" w:lineRule="auto" w:before="56"/>
        <w:ind w:left="217" w:right="227"/>
        <w:jc w:val="left"/>
      </w:pPr>
      <w:r>
        <w:rPr/>
        <w:t>□适用 √不适用</w:t>
      </w:r>
    </w:p>
    <w:p>
      <w:pPr>
        <w:spacing w:line="240" w:lineRule="auto" w:before="11"/>
        <w:rPr>
          <w:rFonts w:ascii="宋体" w:hAnsi="宋体" w:cs="宋体" w:eastAsia="宋体" w:hint="default"/>
          <w:sz w:val="29"/>
          <w:szCs w:val="29"/>
        </w:rPr>
      </w:pPr>
    </w:p>
    <w:p>
      <w:pPr>
        <w:spacing w:line="290" w:lineRule="auto" w:before="0"/>
        <w:ind w:left="217" w:right="227"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17" w:right="227"/>
        <w:jc w:val="left"/>
        <w:rPr>
          <w:b w:val="0"/>
          <w:bCs w:val="0"/>
        </w:rPr>
      </w:pPr>
      <w:r>
        <w:rPr>
          <w:rFonts w:ascii="宋体" w:hAnsi="宋体" w:cs="宋体" w:eastAsia="宋体" w:hint="default"/>
        </w:rPr>
        <w:t>70</w:t>
      </w:r>
      <w:r>
        <w:rPr/>
        <w:t>、</w:t>
      </w:r>
      <w:r>
        <w:rPr>
          <w:spacing w:val="-26"/>
        </w:rPr>
        <w:t> </w:t>
      </w:r>
      <w:r>
        <w:rPr/>
        <w:t>所有权或使用权受到限制的资产</w:t>
      </w:r>
      <w:r>
        <w:rPr>
          <w:b w:val="0"/>
          <w:bCs w:val="0"/>
        </w:rPr>
      </w:r>
    </w:p>
    <w:p>
      <w:pPr>
        <w:pStyle w:val="BodyText"/>
        <w:spacing w:line="240" w:lineRule="auto" w:before="58"/>
        <w:ind w:left="217" w:right="227"/>
        <w:jc w:val="left"/>
      </w:pPr>
      <w:r>
        <w:rPr/>
        <w:t>√适用 □不适用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6"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98,000.00</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履约保函保证金</w:t>
            </w: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98,000.00</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BodyText"/>
        <w:spacing w:line="290" w:lineRule="auto" w:before="36"/>
        <w:ind w:left="237" w:right="7999"/>
        <w:jc w:val="left"/>
      </w:pPr>
      <w:r>
        <w:rPr/>
        <w:t>其他说明：</w:t>
      </w:r>
      <w:r>
        <w:rPr>
          <w:spacing w:val="-102"/>
        </w:rPr>
        <w:t> </w:t>
      </w:r>
      <w:r>
        <w:rPr>
          <w:spacing w:val="-102"/>
        </w:rPr>
      </w:r>
      <w:r>
        <w:rPr/>
        <w:t>无</w:t>
      </w:r>
    </w:p>
    <w:p>
      <w:pPr>
        <w:spacing w:line="240" w:lineRule="auto" w:before="11"/>
        <w:rPr>
          <w:rFonts w:ascii="宋体" w:hAnsi="宋体" w:cs="宋体" w:eastAsia="宋体" w:hint="default"/>
          <w:sz w:val="21"/>
          <w:szCs w:val="21"/>
        </w:rPr>
      </w:pPr>
    </w:p>
    <w:p>
      <w:pPr>
        <w:pStyle w:val="Heading4"/>
        <w:spacing w:line="290" w:lineRule="auto"/>
        <w:ind w:left="237" w:right="7068"/>
        <w:jc w:val="left"/>
        <w:rPr>
          <w:b w:val="0"/>
          <w:bCs w:val="0"/>
        </w:rPr>
      </w:pPr>
      <w:r>
        <w:rPr>
          <w:rFonts w:ascii="宋体" w:hAnsi="宋体" w:cs="宋体" w:eastAsia="宋体" w:hint="default"/>
        </w:rPr>
        <w:t>71</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4"/>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left="664" w:right="0"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BodyText"/>
        <w:spacing w:line="240" w:lineRule="auto" w:before="56"/>
        <w:ind w:left="237"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37" w:right="0"/>
        <w:jc w:val="left"/>
        <w:rPr>
          <w:b w:val="0"/>
          <w:bCs w:val="0"/>
        </w:rPr>
      </w:pPr>
      <w:r>
        <w:rPr>
          <w:rFonts w:ascii="宋体" w:hAnsi="宋体" w:cs="宋体" w:eastAsia="宋体" w:hint="default"/>
        </w:rPr>
        <w:t>72</w:t>
      </w:r>
      <w:r>
        <w:rPr/>
        <w:t>、</w:t>
      </w:r>
      <w:r>
        <w:rPr>
          <w:spacing w:val="-25"/>
        </w:rPr>
        <w:t> </w:t>
      </w:r>
      <w:r>
        <w:rPr/>
        <w:t>套期</w:t>
      </w:r>
      <w:r>
        <w:rPr>
          <w:b w:val="0"/>
          <w:bCs w:val="0"/>
        </w:rPr>
      </w:r>
    </w:p>
    <w:p>
      <w:pPr>
        <w:pStyle w:val="BodyText"/>
        <w:spacing w:line="240" w:lineRule="auto" w:before="56"/>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8"/>
          <w:pgSz w:w="11910" w:h="16840"/>
          <w:pgMar w:footer="1195" w:header="0" w:top="1120" w:bottom="1380" w:left="1040" w:right="1560"/>
          <w:pgNumType w:start="131"/>
        </w:sectPr>
      </w:pPr>
    </w:p>
    <w:p>
      <w:pPr>
        <w:pStyle w:val="Heading4"/>
        <w:spacing w:line="290" w:lineRule="auto" w:before="36"/>
        <w:ind w:left="237" w:right="-13"/>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079" w:val="left" w:leader="none"/>
        </w:tabs>
        <w:spacing w:line="240" w:lineRule="auto" w:before="14"/>
        <w:ind w:left="23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355" w:space="416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采用总额法计入当期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损益的政府补助情况</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5" w:right="0"/>
              <w:jc w:val="left"/>
              <w:rPr>
                <w:rFonts w:ascii="宋体" w:hAnsi="宋体" w:cs="宋体" w:eastAsia="宋体" w:hint="default"/>
                <w:sz w:val="21"/>
                <w:szCs w:val="21"/>
              </w:rPr>
            </w:pPr>
            <w:r>
              <w:rPr>
                <w:rFonts w:ascii="宋体"/>
                <w:sz w:val="21"/>
              </w:rPr>
              <w:t>21,994,019.61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4" w:right="0"/>
              <w:jc w:val="left"/>
              <w:rPr>
                <w:rFonts w:ascii="宋体" w:hAnsi="宋体" w:cs="宋体" w:eastAsia="宋体" w:hint="default"/>
                <w:sz w:val="21"/>
                <w:szCs w:val="21"/>
              </w:rPr>
            </w:pPr>
            <w:r>
              <w:rPr>
                <w:rFonts w:ascii="宋体"/>
                <w:sz w:val="21"/>
              </w:rPr>
              <w:t>21,994,019.61</w:t>
            </w:r>
          </w:p>
        </w:tc>
      </w:tr>
    </w:tbl>
    <w:p>
      <w:pPr>
        <w:spacing w:line="240" w:lineRule="auto" w:before="12"/>
        <w:rPr>
          <w:rFonts w:ascii="宋体" w:hAnsi="宋体" w:cs="宋体" w:eastAsia="宋体" w:hint="default"/>
          <w:sz w:val="19"/>
          <w:szCs w:val="19"/>
        </w:rPr>
      </w:pPr>
    </w:p>
    <w:p>
      <w:pPr>
        <w:pStyle w:val="Heading4"/>
        <w:spacing w:line="240" w:lineRule="auto" w:before="36"/>
        <w:ind w:left="237" w:right="0"/>
        <w:jc w:val="left"/>
        <w:rPr>
          <w:b w:val="0"/>
          <w:bCs w:val="0"/>
        </w:rPr>
      </w:pPr>
      <w:r>
        <w:rPr>
          <w:rFonts w:ascii="宋体" w:hAnsi="宋体" w:cs="宋体" w:eastAsia="宋体" w:hint="default"/>
        </w:rPr>
        <w:t>(2).</w:t>
      </w:r>
      <w:r>
        <w:rPr/>
        <w:t>政府补助退回情况</w:t>
      </w:r>
      <w:r>
        <w:rPr>
          <w:b w:val="0"/>
          <w:bCs w:val="0"/>
        </w:rPr>
      </w:r>
    </w:p>
    <w:p>
      <w:pPr>
        <w:pStyle w:val="BodyText"/>
        <w:spacing w:line="272" w:lineRule="exact" w:before="86"/>
        <w:ind w:left="237" w:right="7474"/>
        <w:jc w:val="left"/>
      </w:pPr>
      <w:r>
        <w:rPr/>
        <w:t>□适用 √不适用</w:t>
      </w:r>
      <w:r>
        <w:rPr>
          <w:w w:val="100"/>
        </w:rPr>
        <w:t> </w:t>
      </w:r>
      <w:r>
        <w:rPr/>
        <w:t>其他说明：</w:t>
      </w:r>
    </w:p>
    <w:p>
      <w:pPr>
        <w:pStyle w:val="BodyText"/>
        <w:spacing w:line="249" w:lineRule="exact"/>
        <w:ind w:left="237" w:right="0"/>
        <w:jc w:val="left"/>
      </w:pPr>
      <w:r>
        <w:rPr>
          <w:w w:val="100"/>
        </w:rPr>
        <w:t>无</w:t>
      </w:r>
    </w:p>
    <w:p>
      <w:pPr>
        <w:spacing w:line="240" w:lineRule="auto" w:before="3"/>
        <w:rPr>
          <w:rFonts w:ascii="宋体" w:hAnsi="宋体" w:cs="宋体" w:eastAsia="宋体" w:hint="default"/>
          <w:sz w:val="25"/>
          <w:szCs w:val="25"/>
        </w:rPr>
      </w:pPr>
    </w:p>
    <w:p>
      <w:pPr>
        <w:pStyle w:val="Heading4"/>
        <w:spacing w:line="240" w:lineRule="auto"/>
        <w:ind w:left="237" w:right="0"/>
        <w:jc w:val="left"/>
        <w:rPr>
          <w:b w:val="0"/>
          <w:bCs w:val="0"/>
        </w:rPr>
      </w:pPr>
      <w:r>
        <w:rPr>
          <w:rFonts w:ascii="宋体" w:hAnsi="宋体" w:cs="宋体" w:eastAsia="宋体" w:hint="default"/>
        </w:rPr>
        <w:t>74</w:t>
      </w:r>
      <w:r>
        <w:rPr/>
        <w:t>、</w:t>
      </w:r>
      <w:r>
        <w:rPr>
          <w:spacing w:val="-25"/>
        </w:rPr>
        <w:t> </w:t>
      </w:r>
      <w:r>
        <w:rPr/>
        <w:t>其他</w:t>
      </w:r>
      <w:r>
        <w:rPr>
          <w:b w:val="0"/>
          <w:bCs w:val="0"/>
        </w:rPr>
      </w:r>
    </w:p>
    <w:p>
      <w:pPr>
        <w:pStyle w:val="BodyText"/>
        <w:spacing w:line="240" w:lineRule="auto" w:before="56"/>
        <w:ind w:left="237"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37" w:right="0"/>
        <w:jc w:val="left"/>
        <w:rPr>
          <w:b w:val="0"/>
          <w:bCs w:val="0"/>
        </w:rPr>
      </w:pPr>
      <w:r>
        <w:rPr/>
        <w:t>八、合并范围的变更</w:t>
      </w:r>
      <w:r>
        <w:rPr>
          <w:b w:val="0"/>
          <w:bCs w:val="0"/>
        </w:rPr>
      </w:r>
    </w:p>
    <w:p>
      <w:pPr>
        <w:pStyle w:val="Heading4"/>
        <w:spacing w:line="240" w:lineRule="auto" w:before="56"/>
        <w:ind w:left="237" w:right="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237"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37"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237" w:right="0"/>
        <w:jc w:val="left"/>
      </w:pPr>
      <w:r>
        <w:rPr/>
        <w:t>□适用 √不适用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4"/>
        <w:spacing w:line="240" w:lineRule="auto" w:before="36"/>
        <w:ind w:left="137"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137" w:right="0"/>
        <w:jc w:val="left"/>
      </w:pPr>
      <w:r>
        <w:rPr/>
        <w:t>□适用 √不适用</w:t>
      </w:r>
    </w:p>
    <w:p>
      <w:pPr>
        <w:spacing w:after="0" w:line="240" w:lineRule="auto"/>
        <w:jc w:val="left"/>
        <w:sectPr>
          <w:pgSz w:w="11910" w:h="16840"/>
          <w:pgMar w:header="0" w:footer="1195" w:top="1120" w:bottom="1380" w:left="1140" w:right="1660"/>
        </w:sectPr>
      </w:pPr>
    </w:p>
    <w:p>
      <w:pPr>
        <w:spacing w:line="240" w:lineRule="auto" w:before="9"/>
        <w:rPr>
          <w:rFonts w:ascii="宋体" w:hAnsi="宋体" w:cs="宋体" w:eastAsia="宋体" w:hint="default"/>
          <w:sz w:val="29"/>
          <w:szCs w:val="29"/>
        </w:rPr>
      </w:pPr>
    </w:p>
    <w:p>
      <w:pPr>
        <w:spacing w:line="290" w:lineRule="auto" w:before="36"/>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6" w:lineRule="exact"/>
        <w:ind w:left="138" w:right="0"/>
        <w:jc w:val="left"/>
      </w:pPr>
      <w:r>
        <w:rPr/>
        <w:t>□适用</w:t>
      </w:r>
      <w:r>
        <w:rPr>
          <w:spacing w:val="-1"/>
        </w:rPr>
        <w:t> </w:t>
      </w:r>
      <w:r>
        <w:rPr/>
        <w:t>√不适用</w:t>
      </w:r>
    </w:p>
    <w:p>
      <w:pPr>
        <w:pStyle w:val="BodyText"/>
        <w:spacing w:line="272" w:lineRule="exact"/>
        <w:ind w:left="138" w:right="0"/>
        <w:jc w:val="left"/>
      </w:pPr>
      <w:r>
        <w:rPr/>
        <w:t>其他说明：</w:t>
      </w:r>
    </w:p>
    <w:p>
      <w:pPr>
        <w:pStyle w:val="BodyText"/>
        <w:spacing w:line="273" w:lineRule="exact"/>
        <w:ind w:left="1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0"/>
        <w:jc w:val="left"/>
      </w:pPr>
      <w:r>
        <w:rPr/>
        <w:t>是否存在通过多次交易分步处置对子公司投资且在本期丧失控制权的情形</w:t>
      </w:r>
    </w:p>
    <w:p>
      <w:pPr>
        <w:pStyle w:val="BodyText"/>
        <w:spacing w:line="274" w:lineRule="exact"/>
        <w:ind w:left="138" w:right="0"/>
        <w:jc w:val="left"/>
      </w:pPr>
      <w:r>
        <w:rPr/>
        <w:t>□适用 √不适用</w:t>
      </w:r>
    </w:p>
    <w:p>
      <w:pPr>
        <w:spacing w:line="240" w:lineRule="auto" w:before="12"/>
        <w:rPr>
          <w:rFonts w:ascii="宋体" w:hAnsi="宋体" w:cs="宋体" w:eastAsia="宋体" w:hint="default"/>
          <w:sz w:val="23"/>
          <w:szCs w:val="23"/>
        </w:rPr>
      </w:pP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8" w:lineRule="exact"/>
        <w:ind w:left="138"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4"/>
        <w:spacing w:line="240" w:lineRule="auto"/>
        <w:ind w:left="13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after="0" w:line="240" w:lineRule="auto"/>
        <w:jc w:val="left"/>
        <w:sectPr>
          <w:headerReference w:type="default" r:id="rId59"/>
          <w:footerReference w:type="default" r:id="rId60"/>
          <w:pgSz w:w="11910" w:h="16840"/>
          <w:pgMar w:header="882" w:footer="1195" w:top="1120" w:bottom="1380" w:left="1660" w:right="1140"/>
          <w:pgNumType w:start="133"/>
        </w:sectPr>
      </w:pPr>
    </w:p>
    <w:p>
      <w:pPr>
        <w:spacing w:line="240" w:lineRule="auto" w:before="9"/>
        <w:rPr>
          <w:rFonts w:ascii="宋体" w:hAnsi="宋体" w:cs="宋体" w:eastAsia="宋体" w:hint="default"/>
          <w:sz w:val="29"/>
          <w:szCs w:val="29"/>
        </w:rPr>
      </w:pPr>
    </w:p>
    <w:p>
      <w:pPr>
        <w:pStyle w:val="Heading4"/>
        <w:spacing w:line="290" w:lineRule="auto" w:before="36"/>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4"/>
        <w:ind w:right="22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994"/>
        <w:gridCol w:w="850"/>
        <w:gridCol w:w="1558"/>
        <w:gridCol w:w="1421"/>
        <w:gridCol w:w="1287"/>
        <w:gridCol w:w="1414"/>
      </w:tblGrid>
      <w:tr>
        <w:trPr>
          <w:trHeight w:val="283"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110"/>
              <w:ind w:left="23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994" w:type="dxa"/>
            <w:vMerge w:val="restart"/>
            <w:tcBorders>
              <w:top w:val="single" w:sz="4" w:space="0" w:color="000000"/>
              <w:left w:val="single" w:sz="4" w:space="0" w:color="000000"/>
              <w:right w:val="single" w:sz="4" w:space="0" w:color="000000"/>
            </w:tcBorders>
          </w:tcPr>
          <w:p>
            <w:pPr>
              <w:pStyle w:val="TableParagraph"/>
              <w:spacing w:line="272" w:lineRule="exact" w:before="3"/>
              <w:ind w:left="280" w:right="173"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10"/>
              <w:ind w:left="35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4" w:type="dxa"/>
            <w:vMerge w:val="restart"/>
            <w:tcBorders>
              <w:top w:val="single" w:sz="4" w:space="0" w:color="000000"/>
              <w:left w:val="single" w:sz="4" w:space="0" w:color="000000"/>
              <w:right w:val="single" w:sz="4" w:space="0" w:color="000000"/>
            </w:tcBorders>
          </w:tcPr>
          <w:p>
            <w:pPr>
              <w:pStyle w:val="TableParagraph"/>
              <w:spacing w:line="272" w:lineRule="exact" w:before="3"/>
              <w:ind w:left="491" w:right="487"/>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52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414" w:type="dxa"/>
            <w:vMerge/>
            <w:tcBorders>
              <w:left w:val="single" w:sz="4" w:space="0" w:color="000000"/>
              <w:bottom w:val="single" w:sz="4" w:space="0" w:color="000000"/>
              <w:right w:val="single" w:sz="4" w:space="0" w:color="000000"/>
            </w:tcBorders>
          </w:tcPr>
          <w:p>
            <w:pP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顶点数码公司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件开发、销售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件开发、销售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上海顶点公司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件开发、销售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顶点信息公司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件开发、销售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件开发、销售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亿维航公司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件开发、销售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bl>
    <w:p>
      <w:pPr>
        <w:spacing w:line="240" w:lineRule="auto" w:before="5"/>
        <w:rPr>
          <w:rFonts w:ascii="宋体" w:hAnsi="宋体" w:cs="宋体" w:eastAsia="宋体" w:hint="default"/>
          <w:sz w:val="15"/>
          <w:szCs w:val="15"/>
        </w:rPr>
      </w:pPr>
    </w:p>
    <w:p>
      <w:pPr>
        <w:pStyle w:val="BodyText"/>
        <w:spacing w:line="240" w:lineRule="auto" w:before="36"/>
        <w:ind w:right="4620"/>
        <w:jc w:val="left"/>
      </w:pPr>
      <w:r>
        <w:rPr>
          <w:spacing w:val="-2"/>
        </w:rPr>
        <w:t>在子公司的持股比例不同于表决权比例的说明：</w:t>
      </w:r>
      <w:r>
        <w:rPr>
          <w:spacing w:val="-65"/>
        </w:rPr>
        <w:t> </w:t>
      </w:r>
      <w:r>
        <w:rPr>
          <w:spacing w:val="-65"/>
        </w:rPr>
      </w:r>
      <w:r>
        <w:rPr/>
        <w:t>无</w:t>
      </w:r>
    </w:p>
    <w:p>
      <w:pPr>
        <w:spacing w:line="240" w:lineRule="auto" w:before="10"/>
        <w:rPr>
          <w:rFonts w:ascii="宋体" w:hAnsi="宋体" w:cs="宋体" w:eastAsia="宋体" w:hint="default"/>
          <w:sz w:val="22"/>
          <w:szCs w:val="22"/>
        </w:rPr>
      </w:pPr>
    </w:p>
    <w:p>
      <w:pPr>
        <w:pStyle w:val="BodyText"/>
        <w:spacing w:line="272" w:lineRule="exact"/>
        <w:ind w:right="227"/>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49" w:lineRule="exact"/>
        <w:ind w:right="227"/>
        <w:jc w:val="left"/>
      </w:pPr>
      <w:r>
        <w:rPr>
          <w:w w:val="100"/>
        </w:rPr>
        <w:t>无</w:t>
      </w:r>
    </w:p>
    <w:p>
      <w:pPr>
        <w:spacing w:line="240" w:lineRule="auto" w:before="10"/>
        <w:rPr>
          <w:rFonts w:ascii="宋体" w:hAnsi="宋体" w:cs="宋体" w:eastAsia="宋体" w:hint="default"/>
          <w:sz w:val="22"/>
          <w:szCs w:val="22"/>
        </w:rPr>
      </w:pPr>
    </w:p>
    <w:p>
      <w:pPr>
        <w:pStyle w:val="BodyText"/>
        <w:spacing w:line="272" w:lineRule="exact"/>
        <w:ind w:right="3886"/>
        <w:jc w:val="left"/>
      </w:pPr>
      <w:r>
        <w:rPr>
          <w:spacing w:val="-2"/>
        </w:rPr>
        <w:t>对于纳入合并范围的重要的结构化主体，控制的依据：</w:t>
      </w:r>
      <w:r>
        <w:rPr>
          <w:spacing w:val="-59"/>
        </w:rPr>
        <w:t> </w:t>
      </w:r>
      <w:r>
        <w:rPr>
          <w:spacing w:val="-59"/>
        </w:rPr>
      </w:r>
      <w:r>
        <w:rPr/>
        <w:t>无</w:t>
      </w:r>
    </w:p>
    <w:p>
      <w:pPr>
        <w:spacing w:line="240" w:lineRule="auto" w:before="10"/>
        <w:rPr>
          <w:rFonts w:ascii="宋体" w:hAnsi="宋体" w:cs="宋体" w:eastAsia="宋体" w:hint="default"/>
          <w:sz w:val="18"/>
          <w:szCs w:val="18"/>
        </w:rPr>
      </w:pPr>
    </w:p>
    <w:p>
      <w:pPr>
        <w:pStyle w:val="BodyText"/>
        <w:spacing w:line="240" w:lineRule="auto"/>
        <w:ind w:right="5342"/>
        <w:jc w:val="left"/>
      </w:pPr>
      <w:r>
        <w:rPr>
          <w:spacing w:val="-2"/>
        </w:rPr>
        <w:t>确定公司是代理人还是委托人的依据：</w:t>
      </w:r>
      <w:r>
        <w:rPr>
          <w:spacing w:val="-72"/>
        </w:rPr>
        <w:t> </w:t>
      </w:r>
      <w:r>
        <w:rPr>
          <w:spacing w:val="-72"/>
        </w:rPr>
      </w:r>
      <w:r>
        <w:rPr/>
        <w:t>无</w:t>
      </w:r>
    </w:p>
    <w:p>
      <w:pPr>
        <w:spacing w:line="240" w:lineRule="auto" w:before="10"/>
        <w:rPr>
          <w:rFonts w:ascii="宋体" w:hAnsi="宋体" w:cs="宋体" w:eastAsia="宋体" w:hint="default"/>
          <w:sz w:val="22"/>
          <w:szCs w:val="22"/>
        </w:rPr>
      </w:pPr>
    </w:p>
    <w:p>
      <w:pPr>
        <w:pStyle w:val="BodyText"/>
        <w:spacing w:line="272" w:lineRule="exact"/>
        <w:ind w:right="7998"/>
        <w:jc w:val="left"/>
      </w:pPr>
      <w:r>
        <w:rPr/>
        <w:t>其他说明：</w:t>
      </w:r>
      <w:r>
        <w:rPr>
          <w:spacing w:val="-102"/>
        </w:rPr>
        <w:t> </w:t>
      </w:r>
      <w:r>
        <w:rPr>
          <w:spacing w:val="-102"/>
        </w:rPr>
      </w:r>
      <w:r>
        <w:rPr/>
        <w:t>无</w:t>
      </w:r>
    </w:p>
    <w:p>
      <w:pPr>
        <w:spacing w:line="240" w:lineRule="auto" w:before="5"/>
        <w:rPr>
          <w:rFonts w:ascii="宋体" w:hAnsi="宋体" w:cs="宋体" w:eastAsia="宋体" w:hint="default"/>
          <w:sz w:val="23"/>
          <w:szCs w:val="23"/>
        </w:rPr>
      </w:pPr>
    </w:p>
    <w:p>
      <w:pPr>
        <w:pStyle w:val="Heading4"/>
        <w:spacing w:line="240" w:lineRule="auto"/>
        <w:ind w:right="227"/>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27"/>
        <w:jc w:val="left"/>
        <w:rPr>
          <w:b w:val="0"/>
          <w:bCs w:val="0"/>
        </w:rPr>
      </w:pPr>
      <w:r>
        <w:rPr>
          <w:rFonts w:ascii="宋体" w:hAnsi="宋体" w:cs="宋体" w:eastAsia="宋体" w:hint="default"/>
        </w:rPr>
        <w:t>(3).</w:t>
      </w:r>
      <w:r>
        <w:rPr/>
        <w:t>重要非全资子公司的主要财务信息</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27"/>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6"/>
        <w:ind w:right="227"/>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227"/>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tabs>
          <w:tab w:pos="1060" w:val="left" w:leader="none"/>
        </w:tabs>
        <w:spacing w:line="240" w:lineRule="auto" w:before="58"/>
        <w:ind w:right="22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227"/>
        <w:jc w:val="left"/>
      </w:pPr>
      <w:r>
        <w:rPr/>
        <w:t>其他说明：</w:t>
      </w:r>
    </w:p>
    <w:p>
      <w:pPr>
        <w:pStyle w:val="BodyText"/>
        <w:spacing w:line="273" w:lineRule="exact"/>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right="227"/>
        <w:jc w:val="left"/>
      </w:pPr>
      <w:r>
        <w:rPr/>
        <w:t>□适用</w:t>
      </w:r>
      <w:r>
        <w:rPr>
          <w:spacing w:val="-1"/>
        </w:rPr>
        <w:t> </w:t>
      </w:r>
      <w:r>
        <w:rPr/>
        <w:t>√不适用</w:t>
      </w:r>
    </w:p>
    <w:p>
      <w:pPr>
        <w:pStyle w:val="Heading4"/>
        <w:spacing w:line="240" w:lineRule="auto" w:before="56"/>
        <w:ind w:right="227"/>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8"/>
        <w:ind w:left="218" w:right="60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1060" w:val="left" w:leader="none"/>
        </w:tabs>
        <w:spacing w:line="240" w:lineRule="auto" w:before="15"/>
        <w:ind w:right="22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(2).</w:t>
      </w:r>
      <w:r>
        <w:rPr/>
        <w:t>重要合营企业的主要财务信息</w:t>
      </w:r>
      <w:r>
        <w:rPr>
          <w:b w:val="0"/>
          <w:bCs w:val="0"/>
        </w:rPr>
      </w:r>
    </w:p>
    <w:p>
      <w:pPr>
        <w:pStyle w:val="BodyText"/>
        <w:tabs>
          <w:tab w:pos="1060" w:val="left" w:leader="none"/>
        </w:tabs>
        <w:spacing w:line="240" w:lineRule="auto" w:before="58"/>
        <w:ind w:right="22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(3).</w:t>
      </w:r>
      <w:r>
        <w:rPr/>
        <w:t>重要联营企业的主要财务信息</w:t>
      </w:r>
      <w:r>
        <w:rPr>
          <w:b w:val="0"/>
          <w:bCs w:val="0"/>
        </w:rPr>
      </w:r>
    </w:p>
    <w:p>
      <w:pPr>
        <w:pStyle w:val="BodyText"/>
        <w:tabs>
          <w:tab w:pos="1060" w:val="left" w:leader="none"/>
        </w:tabs>
        <w:spacing w:line="240" w:lineRule="auto" w:before="56"/>
        <w:ind w:right="22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before="36"/>
        <w:ind w:right="0"/>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1060" w:val="left" w:leader="none"/>
        </w:tabs>
        <w:spacing w:line="240" w:lineRule="auto" w:before="56"/>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63" w:space="165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东吴软件技术（北京）有限公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2,434,950.53</w:t>
            </w: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434,950.53</w:t>
            </w: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434,950.53</w:t>
            </w:r>
          </w:p>
        </w:tc>
        <w:tc>
          <w:tcPr>
            <w:tcW w:w="307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27"/>
        <w:jc w:val="left"/>
      </w:pPr>
      <w:r>
        <w:rPr/>
        <w:t>其他说明</w:t>
      </w:r>
    </w:p>
    <w:p>
      <w:pPr>
        <w:pStyle w:val="BodyText"/>
        <w:spacing w:line="274" w:lineRule="exact"/>
        <w:ind w:right="227"/>
        <w:jc w:val="left"/>
      </w:pPr>
      <w:r>
        <w:rPr>
          <w:w w:val="100"/>
        </w:rPr>
        <w:t>无</w:t>
      </w:r>
    </w:p>
    <w:p>
      <w:pPr>
        <w:spacing w:after="0" w:line="274"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both"/>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(6).</w:t>
      </w:r>
      <w:r>
        <w:rPr/>
        <w:t>合营企业或联营企业发生的超额亏损</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138" w:right="0"/>
        <w:jc w:val="both"/>
        <w:rPr>
          <w:b w:val="0"/>
          <w:bCs w:val="0"/>
        </w:rPr>
      </w:pPr>
      <w:r>
        <w:rPr>
          <w:rFonts w:ascii="宋体" w:hAnsi="宋体" w:cs="宋体" w:eastAsia="宋体" w:hint="default"/>
        </w:rPr>
        <w:t>(7).</w:t>
      </w:r>
      <w:r>
        <w:rPr/>
        <w:t>与合营企业投资相关的未确认承诺</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(8).</w:t>
      </w:r>
      <w:r>
        <w:rPr/>
        <w:t>与合营企业或联营企业投资相关的或有负债</w:t>
      </w:r>
      <w:r>
        <w:rPr>
          <w:b w:val="0"/>
          <w:bCs w:val="0"/>
        </w:rPr>
      </w:r>
    </w:p>
    <w:p>
      <w:pPr>
        <w:pStyle w:val="BodyText"/>
        <w:spacing w:line="240" w:lineRule="auto" w:before="59"/>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90" w:lineRule="auto" w:before="0"/>
        <w:ind w:left="13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t>十、与金融工具相关的风险</w:t>
      </w:r>
      <w:r>
        <w:rPr>
          <w:b w:val="0"/>
          <w:bCs w:val="0"/>
        </w:rPr>
      </w:r>
    </w:p>
    <w:p>
      <w:pPr>
        <w:pStyle w:val="BodyText"/>
        <w:spacing w:line="240" w:lineRule="auto" w:before="56"/>
        <w:ind w:left="138" w:right="0"/>
        <w:jc w:val="both"/>
      </w:pPr>
      <w:r>
        <w:rPr/>
        <w:t>√适用</w:t>
      </w:r>
      <w:r>
        <w:rPr>
          <w:spacing w:val="-1"/>
        </w:rPr>
        <w:t> </w:t>
      </w:r>
      <w:r>
        <w:rPr/>
        <w:t>□不适用</w:t>
      </w:r>
    </w:p>
    <w:p>
      <w:pPr>
        <w:pStyle w:val="BodyText"/>
        <w:spacing w:line="237" w:lineRule="auto" w:before="121"/>
        <w:ind w:left="138" w:right="128"/>
        <w:jc w:val="both"/>
      </w:pPr>
      <w:r>
        <w:rPr>
          <w:spacing w:val="-2"/>
        </w:rPr>
        <w:t>本公司的主要金融工具包括货币资金、应收账款、应收利息、其他应收款、其他流动资产、应付</w:t>
      </w:r>
      <w:r>
        <w:rPr>
          <w:spacing w:val="-25"/>
        </w:rPr>
        <w:t> </w:t>
      </w:r>
      <w:r>
        <w:rPr>
          <w:spacing w:val="-25"/>
        </w:rPr>
      </w:r>
      <w:r>
        <w:rPr>
          <w:spacing w:val="-6"/>
        </w:rPr>
        <w:t>账款、其他应付款。各项金融工具的详细情况已于相关附注内披露。与这些金融工具有关的风险，</w:t>
      </w:r>
      <w:r>
        <w:rPr>
          <w:spacing w:val="-54"/>
        </w:rPr>
        <w:t> </w:t>
      </w:r>
      <w:r>
        <w:rPr>
          <w:spacing w:val="-54"/>
        </w:rPr>
      </w:r>
      <w:r>
        <w:rPr>
          <w:spacing w:val="-2"/>
        </w:rPr>
        <w:t>以及本公司为降低这些风险所采取的风险管理政策如下所述。本公司管理层对这些风险敞口进行</w:t>
      </w:r>
      <w:r>
        <w:rPr>
          <w:spacing w:val="-25"/>
        </w:rPr>
        <w:t> </w:t>
      </w:r>
      <w:r>
        <w:rPr>
          <w:spacing w:val="-25"/>
        </w:rPr>
      </w:r>
      <w:r>
        <w:rPr/>
        <w:t>管理和监控以确保将上述风险控制在限定的范围之内。</w:t>
      </w:r>
    </w:p>
    <w:p>
      <w:pPr>
        <w:pStyle w:val="BodyText"/>
        <w:spacing w:line="240" w:lineRule="auto" w:before="119"/>
        <w:ind w:left="138" w:right="0"/>
        <w:jc w:val="both"/>
      </w:pPr>
      <w:r>
        <w:rPr>
          <w:rFonts w:ascii="宋体" w:hAnsi="宋体" w:cs="宋体" w:eastAsia="宋体" w:hint="default"/>
        </w:rPr>
        <w:t>1</w:t>
      </w:r>
      <w:r>
        <w:rPr/>
        <w:t>、风险管理目标和政策</w:t>
      </w:r>
    </w:p>
    <w:p>
      <w:pPr>
        <w:pStyle w:val="BodyText"/>
        <w:spacing w:line="237" w:lineRule="auto" w:before="119"/>
        <w:ind w:left="138" w:right="128"/>
        <w:jc w:val="both"/>
      </w:pPr>
      <w:r>
        <w:rPr>
          <w:spacing w:val="-2"/>
        </w:rPr>
        <w:t>本本公司从事风险管理的目标是在风险和收益之间取得适当的平衡，力求降低金融风险对本公司</w:t>
      </w:r>
      <w:r>
        <w:rPr>
          <w:spacing w:val="-25"/>
        </w:rPr>
        <w:t> </w:t>
      </w:r>
      <w:r>
        <w:rPr>
          <w:spacing w:val="-25"/>
        </w:rPr>
      </w:r>
      <w:r>
        <w:rPr>
          <w:spacing w:val="-2"/>
        </w:rPr>
        <w:t>财务业绩的不利影响。基于该风险管理目标，本公司已制定风险管理政策以辨别和分析本公司所</w:t>
      </w:r>
      <w:r>
        <w:rPr>
          <w:spacing w:val="-25"/>
        </w:rPr>
        <w:t> </w:t>
      </w:r>
      <w:r>
        <w:rPr>
          <w:spacing w:val="-25"/>
        </w:rPr>
      </w:r>
      <w:r>
        <w:rPr>
          <w:spacing w:val="-6"/>
          <w:w w:val="100"/>
        </w:rPr>
        <w:t>面临的风险，设定适当的风险可接受水平并设计相应的内部控制程序，以监控本公司的风险水平。</w:t>
      </w:r>
      <w:r>
        <w:rPr>
          <w:w w:val="100"/>
        </w:rPr>
        <w:t> </w:t>
      </w:r>
      <w:r>
        <w:rPr>
          <w:spacing w:val="-2"/>
        </w:rPr>
        <w:t>本公司会定期审阅这些风险管理政策及有关内部控制系统，以适应市场情况或本公司经营活动的</w:t>
      </w:r>
      <w:r>
        <w:rPr>
          <w:spacing w:val="-25"/>
        </w:rPr>
        <w:t> </w:t>
      </w:r>
      <w:r>
        <w:rPr>
          <w:spacing w:val="-25"/>
        </w:rPr>
      </w:r>
      <w:r>
        <w:rPr/>
        <w:t>改变。本公司的内部审计部门也定期或随机检查内部控制系统的执行是否符合风险管理政策。</w:t>
      </w:r>
    </w:p>
    <w:p>
      <w:pPr>
        <w:pStyle w:val="BodyText"/>
        <w:spacing w:line="272" w:lineRule="exact" w:before="146"/>
        <w:ind w:left="138" w:right="0"/>
        <w:jc w:val="left"/>
      </w:pPr>
      <w:r>
        <w:rPr>
          <w:spacing w:val="-2"/>
        </w:rPr>
        <w:t>本公司的金融工具导致的主要风险是信用风险、流动性风险、市场风险（包括利率风险和商品价</w:t>
      </w:r>
      <w:r>
        <w:rPr>
          <w:spacing w:val="-25"/>
        </w:rPr>
        <w:t> </w:t>
      </w:r>
      <w:r>
        <w:rPr>
          <w:spacing w:val="-25"/>
        </w:rPr>
      </w:r>
      <w:r>
        <w:rPr/>
        <w:t>格风险）。</w:t>
      </w:r>
    </w:p>
    <w:p>
      <w:pPr>
        <w:pStyle w:val="BodyText"/>
        <w:spacing w:line="340" w:lineRule="auto" w:before="94"/>
        <w:ind w:left="138" w:right="129"/>
        <w:jc w:val="left"/>
      </w:pPr>
      <w:r>
        <w:rPr/>
        <w:t>（</w:t>
      </w:r>
      <w:r>
        <w:rPr>
          <w:rFonts w:ascii="宋体" w:hAnsi="宋体" w:cs="宋体" w:eastAsia="宋体" w:hint="default"/>
        </w:rPr>
        <w:t>1</w:t>
      </w:r>
      <w:r>
        <w:rPr/>
        <w:t>）信用风险</w:t>
      </w:r>
      <w:r>
        <w:rPr>
          <w:w w:val="100"/>
        </w:rPr>
        <w:t> </w:t>
      </w:r>
      <w:r>
        <w:rPr/>
        <w:t>信用风险，是指交易对手方未能履行合同义务而导致本公司产生财务损失的风险。</w:t>
      </w:r>
      <w:r>
        <w:rPr>
          <w:w w:val="100"/>
        </w:rPr>
        <w:t> </w:t>
      </w:r>
      <w:r>
        <w:rPr/>
        <w:t>本公司对信用风险按组合分类进行管理。信用风险主要产生于银行存款和应收款项等。</w:t>
      </w:r>
    </w:p>
    <w:p>
      <w:pPr>
        <w:pStyle w:val="BodyText"/>
        <w:spacing w:line="272" w:lineRule="exact" w:before="58"/>
        <w:ind w:left="138" w:right="0"/>
        <w:jc w:val="left"/>
      </w:pPr>
      <w:r>
        <w:rPr>
          <w:spacing w:val="-2"/>
        </w:rPr>
        <w:t>本公司银行存款主要存放于声誉良好并拥有较高信用评级的金融机构，本公司预期银行存款不存</w:t>
      </w:r>
      <w:r>
        <w:rPr>
          <w:spacing w:val="-25"/>
        </w:rPr>
        <w:t> </w:t>
      </w:r>
      <w:r>
        <w:rPr>
          <w:spacing w:val="-25"/>
        </w:rPr>
      </w:r>
      <w:r>
        <w:rPr/>
        <w:t>在重大的信用风险。</w:t>
      </w:r>
    </w:p>
    <w:p>
      <w:pPr>
        <w:spacing w:after="0" w:line="272"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right="237"/>
        <w:jc w:val="both"/>
      </w:pPr>
      <w:r>
        <w:rPr>
          <w:spacing w:val="-2"/>
        </w:rPr>
        <w:t>对于应收款项，本公司设定相关政策以控制信用风险敞口。本公司基于对债务人的财务状况、外</w:t>
      </w:r>
      <w:r>
        <w:rPr>
          <w:spacing w:val="-25"/>
        </w:rPr>
        <w:t> </w:t>
      </w:r>
      <w:r>
        <w:rPr>
          <w:spacing w:val="-25"/>
        </w:rPr>
      </w:r>
      <w:r>
        <w:rPr>
          <w:spacing w:val="-2"/>
        </w:rPr>
        <w:t>部评级、从第三方获取担保的可能性、信用记录及其它因素诸如目前市场状况等评估债务人的信</w:t>
      </w:r>
      <w:r>
        <w:rPr>
          <w:spacing w:val="-25"/>
        </w:rPr>
        <w:t> </w:t>
      </w:r>
      <w:r>
        <w:rPr>
          <w:spacing w:val="-25"/>
        </w:rPr>
      </w:r>
      <w:r>
        <w:rPr>
          <w:spacing w:val="-2"/>
        </w:rPr>
        <w:t>用资质并设置相应欠款额度与信用期限。本公司会定期对债务人信用记录进行监控，对于信用记</w:t>
      </w:r>
      <w:r>
        <w:rPr>
          <w:spacing w:val="-25"/>
        </w:rPr>
        <w:t> </w:t>
      </w:r>
      <w:r>
        <w:rPr>
          <w:spacing w:val="-25"/>
        </w:rPr>
      </w:r>
      <w:r>
        <w:rPr>
          <w:spacing w:val="-2"/>
        </w:rPr>
        <w:t>录不良的债务人，本公司会采用书面催款、缩短信用期或取消信用期等方式，以确保本公司的整</w:t>
      </w:r>
      <w:r>
        <w:rPr>
          <w:spacing w:val="-25"/>
        </w:rPr>
        <w:t> </w:t>
      </w:r>
      <w:r>
        <w:rPr>
          <w:spacing w:val="-25"/>
        </w:rPr>
      </w:r>
      <w:r>
        <w:rPr/>
        <w:t>体信用风险在可控的范围内。</w:t>
      </w:r>
    </w:p>
    <w:p>
      <w:pPr>
        <w:pStyle w:val="BodyText"/>
        <w:spacing w:line="272" w:lineRule="exact" w:before="146"/>
        <w:ind w:right="99"/>
        <w:jc w:val="left"/>
      </w:pPr>
      <w:r>
        <w:rPr/>
        <w:t>本公司所承受的最大信用风险敞口为资产负债表中每项金融资产的账面金额。本公司没有提供任</w:t>
      </w:r>
      <w:r>
        <w:rPr>
          <w:w w:val="100"/>
        </w:rPr>
        <w:t> </w:t>
      </w:r>
      <w:r>
        <w:rPr/>
        <w:t>何其他可能令本公司承受信用风险的担保。</w:t>
      </w:r>
    </w:p>
    <w:p>
      <w:pPr>
        <w:pStyle w:val="BodyText"/>
        <w:spacing w:line="272" w:lineRule="exact" w:before="121"/>
        <w:ind w:right="120"/>
        <w:jc w:val="left"/>
      </w:pPr>
      <w:r>
        <w:rPr/>
        <w:t>本公司应收账款中，欠款金额前五大客户的应收账款占本公司应收账款总额的</w:t>
      </w:r>
      <w:r>
        <w:rPr>
          <w:spacing w:val="-52"/>
        </w:rPr>
        <w:t> </w:t>
      </w:r>
      <w:r>
        <w:rPr>
          <w:rFonts w:ascii="宋体" w:hAnsi="宋体" w:cs="宋体" w:eastAsia="宋体" w:hint="default"/>
        </w:rPr>
        <w:t>23.74%</w:t>
      </w:r>
      <w:r>
        <w:rPr/>
        <w:t>（</w:t>
      </w:r>
      <w:r>
        <w:rPr>
          <w:rFonts w:ascii="宋体" w:hAnsi="宋体" w:cs="宋体" w:eastAsia="宋体" w:hint="default"/>
        </w:rPr>
        <w:t>2017</w:t>
      </w:r>
      <w:r>
        <w:rPr>
          <w:rFonts w:ascii="宋体" w:hAnsi="宋体" w:cs="宋体" w:eastAsia="宋体" w:hint="default"/>
          <w:spacing w:val="-50"/>
        </w:rPr>
        <w:t> </w:t>
      </w:r>
      <w:r>
        <w:rPr/>
        <w:t>年：</w:t>
      </w:r>
      <w:r>
        <w:rPr>
          <w:spacing w:val="2"/>
          <w:w w:val="100"/>
        </w:rPr>
        <w:t> </w:t>
      </w:r>
      <w:r>
        <w:rPr>
          <w:rFonts w:ascii="宋体" w:hAnsi="宋体" w:cs="宋体" w:eastAsia="宋体" w:hint="default"/>
        </w:rPr>
        <w:t>24.27%</w:t>
      </w:r>
      <w:r>
        <w:rPr/>
        <w:t>）；本公司其他应收款中，欠款金额前五大公司的其他应收款占本公司其他应收款总额的</w:t>
      </w:r>
    </w:p>
    <w:p>
      <w:pPr>
        <w:pStyle w:val="BodyText"/>
        <w:spacing w:line="249" w:lineRule="exact"/>
        <w:ind w:right="0"/>
        <w:jc w:val="both"/>
      </w:pPr>
      <w:r>
        <w:rPr>
          <w:rFonts w:ascii="宋体" w:hAnsi="宋体" w:cs="宋体" w:eastAsia="宋体" w:hint="default"/>
        </w:rPr>
        <w:t>47.09%</w:t>
      </w:r>
      <w:r>
        <w:rPr/>
        <w:t>（</w:t>
      </w:r>
      <w:r>
        <w:rPr>
          <w:rFonts w:ascii="宋体" w:hAnsi="宋体" w:cs="宋体" w:eastAsia="宋体" w:hint="default"/>
        </w:rPr>
        <w:t>2017</w:t>
      </w:r>
      <w:r>
        <w:rPr>
          <w:rFonts w:ascii="宋体" w:hAnsi="宋体" w:cs="宋体" w:eastAsia="宋体" w:hint="default"/>
          <w:spacing w:val="-54"/>
        </w:rPr>
        <w:t> </w:t>
      </w:r>
      <w:r>
        <w:rPr/>
        <w:t>年：</w:t>
      </w:r>
      <w:r>
        <w:rPr>
          <w:rFonts w:ascii="宋体" w:hAnsi="宋体" w:cs="宋体" w:eastAsia="宋体" w:hint="default"/>
        </w:rPr>
        <w:t>30.89%</w:t>
      </w:r>
      <w:r>
        <w:rPr/>
        <w:t>）。</w:t>
      </w:r>
    </w:p>
    <w:p>
      <w:pPr>
        <w:pStyle w:val="BodyText"/>
        <w:spacing w:line="240" w:lineRule="auto" w:before="116"/>
        <w:ind w:right="0"/>
        <w:jc w:val="both"/>
      </w:pPr>
      <w:r>
        <w:rPr/>
        <w:t>（</w:t>
      </w:r>
      <w:r>
        <w:rPr>
          <w:rFonts w:ascii="宋体" w:hAnsi="宋体" w:cs="宋体" w:eastAsia="宋体" w:hint="default"/>
        </w:rPr>
        <w:t>2</w:t>
      </w:r>
      <w:r>
        <w:rPr/>
        <w:t>）流动性风险</w:t>
      </w:r>
    </w:p>
    <w:p>
      <w:pPr>
        <w:pStyle w:val="BodyText"/>
        <w:spacing w:line="272" w:lineRule="exact" w:before="147"/>
        <w:ind w:right="237"/>
        <w:jc w:val="both"/>
      </w:pPr>
      <w:r>
        <w:rPr>
          <w:spacing w:val="-2"/>
        </w:rPr>
        <w:t>流动性风险，是指本公司在履行以交付现金或其他金融资产的方式结算的义务时发生资金短缺的</w:t>
      </w:r>
      <w:r>
        <w:rPr>
          <w:spacing w:val="-25"/>
        </w:rPr>
        <w:t> </w:t>
      </w:r>
      <w:r>
        <w:rPr>
          <w:spacing w:val="-25"/>
        </w:rPr>
      </w:r>
      <w:r>
        <w:rPr/>
        <w:t>风险。</w:t>
      </w:r>
    </w:p>
    <w:p>
      <w:pPr>
        <w:pStyle w:val="BodyText"/>
        <w:spacing w:line="237" w:lineRule="auto" w:before="96"/>
        <w:ind w:right="237"/>
        <w:jc w:val="both"/>
      </w:pPr>
      <w:r>
        <w:rPr>
          <w:spacing w:val="-2"/>
        </w:rPr>
        <w:t>管理流动风险时，本公司保持管理层认为充分的现金及现金等价物，并对其进行监控，以满足本</w:t>
      </w:r>
      <w:r>
        <w:rPr>
          <w:spacing w:val="-25"/>
        </w:rPr>
        <w:t> </w:t>
      </w:r>
      <w:r>
        <w:rPr>
          <w:spacing w:val="-25"/>
        </w:rPr>
      </w:r>
      <w:r>
        <w:rPr>
          <w:spacing w:val="-2"/>
        </w:rPr>
        <w:t>公司经营需要，并降低现金流量波动的影响。本公司主要通过经营业务产生的资金来筹措营运资</w:t>
      </w:r>
      <w:r>
        <w:rPr>
          <w:spacing w:val="-25"/>
        </w:rPr>
        <w:t> </w:t>
      </w:r>
      <w:r>
        <w:rPr>
          <w:spacing w:val="-25"/>
        </w:rPr>
      </w:r>
      <w:r>
        <w:rPr/>
        <w:t>金，无银行融资行为。</w:t>
      </w:r>
    </w:p>
    <w:p>
      <w:pPr>
        <w:pStyle w:val="BodyText"/>
        <w:spacing w:line="240" w:lineRule="auto" w:before="116"/>
        <w:ind w:right="0"/>
        <w:jc w:val="both"/>
      </w:pPr>
      <w:r>
        <w:rPr/>
        <w:t>本公司通过经营业务产生的资金筹措营运资金，未通过银行及其他借款来源筹资。</w:t>
      </w:r>
    </w:p>
    <w:p>
      <w:pPr>
        <w:pStyle w:val="BodyText"/>
        <w:spacing w:line="272" w:lineRule="exact" w:before="146"/>
        <w:ind w:right="237"/>
        <w:jc w:val="both"/>
      </w:pPr>
      <w:r>
        <w:rPr>
          <w:spacing w:val="-2"/>
        </w:rPr>
        <w:t>期末本公司持有的金融资产、金融负债和表外担保项目按未折现剩余合同现金流量的到期期限分</w:t>
      </w:r>
      <w:r>
        <w:rPr>
          <w:spacing w:val="-25"/>
        </w:rPr>
        <w:t> </w:t>
      </w:r>
      <w:r>
        <w:rPr>
          <w:spacing w:val="-25"/>
        </w:rPr>
      </w:r>
      <w:r>
        <w:rPr/>
        <w:t>析如下（单位：人民币元）：</w:t>
      </w:r>
    </w:p>
    <w:p>
      <w:pPr>
        <w:pStyle w:val="BodyText"/>
        <w:spacing w:line="240" w:lineRule="auto" w:before="91"/>
        <w:ind w:right="0"/>
        <w:jc w:val="both"/>
      </w:pPr>
      <w:r>
        <w:rPr/>
        <w:t>期末本公司持有的金融负债和表外担保项目按未折现剩余合同现金流量的到期期限分析如下：</w:t>
      </w: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284" w:hRule="exact"/>
        </w:trPr>
        <w:tc>
          <w:tcPr>
            <w:tcW w:w="1810"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2018.12.31</w:t>
            </w:r>
          </w:p>
        </w:tc>
      </w:tr>
      <w:tr>
        <w:trPr>
          <w:trHeight w:val="281" w:hRule="exact"/>
        </w:trPr>
        <w:tc>
          <w:tcPr>
            <w:tcW w:w="1810" w:type="dxa"/>
            <w:vMerge/>
            <w:tcBorders>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
              <w:jc w:val="righ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个月以内</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1,594,734.59</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1,594,734.59</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651,782.17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11,299,626.00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11,299,626.00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23,251,034.17</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金融负债和或有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2,246,516.76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11,299,626.00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11,299,626.00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24,845,768.76</w:t>
            </w:r>
          </w:p>
        </w:tc>
      </w:tr>
    </w:tbl>
    <w:p>
      <w:pPr>
        <w:pStyle w:val="BodyText"/>
        <w:spacing w:line="240" w:lineRule="auto" w:before="86"/>
        <w:ind w:right="227"/>
        <w:jc w:val="left"/>
      </w:pPr>
      <w:r>
        <w:rPr/>
        <w:t>期初本公司持有的金融负债和表外担保项目按未折现剩余合同现金流量的到期期限分析如下：</w:t>
      </w: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283" w:hRule="exact"/>
        </w:trPr>
        <w:tc>
          <w:tcPr>
            <w:tcW w:w="1810" w:type="dxa"/>
            <w:vMerge w:val="restart"/>
            <w:tcBorders>
              <w:top w:val="single" w:sz="4" w:space="0" w:color="000000"/>
              <w:left w:val="single" w:sz="4" w:space="0" w:color="000000"/>
              <w:right w:val="single" w:sz="4" w:space="0" w:color="000000"/>
            </w:tcBorders>
          </w:tcPr>
          <w:p>
            <w:pPr/>
          </w:p>
        </w:tc>
        <w:tc>
          <w:tcPr>
            <w:tcW w:w="72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2017.12.31</w:t>
            </w:r>
          </w:p>
        </w:tc>
      </w:tr>
      <w:tr>
        <w:trPr>
          <w:trHeight w:val="281" w:hRule="exact"/>
        </w:trPr>
        <w:tc>
          <w:tcPr>
            <w:tcW w:w="1810" w:type="dxa"/>
            <w:vMerge/>
            <w:tcBorders>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
              <w:jc w:val="righ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个月以内</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4"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1,103,508.23</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1,103,508.23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68,414.17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15,904,668.00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22,599,252.00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38,572,334.17</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金融负债和或有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15,973,082.17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15,904,668.00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22,599,252.00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39,675,842.40</w:t>
            </w:r>
          </w:p>
        </w:tc>
      </w:tr>
    </w:tbl>
    <w:p>
      <w:pPr>
        <w:pStyle w:val="BodyText"/>
        <w:spacing w:line="240" w:lineRule="auto" w:before="86"/>
        <w:ind w:right="227"/>
        <w:jc w:val="left"/>
      </w:pPr>
      <w:r>
        <w:rPr>
          <w:spacing w:val="-2"/>
        </w:rPr>
        <w:t>上表中披露的金融负债金额为未经折现的合同现金流量，因而可能与资产负债表中的账面金额有</w:t>
      </w:r>
      <w:r>
        <w:rPr>
          <w:spacing w:val="-25"/>
        </w:rPr>
        <w:t> </w:t>
      </w:r>
      <w:r>
        <w:rPr>
          <w:spacing w:val="-25"/>
        </w:rPr>
      </w:r>
      <w:r>
        <w:rPr/>
        <w:t>所不同。</w:t>
      </w:r>
    </w:p>
    <w:p>
      <w:pPr>
        <w:pStyle w:val="BodyText"/>
        <w:spacing w:line="240" w:lineRule="auto" w:before="116"/>
        <w:ind w:right="227"/>
        <w:jc w:val="left"/>
      </w:pPr>
      <w:r>
        <w:rPr/>
        <w:t>（</w:t>
      </w:r>
      <w:r>
        <w:rPr>
          <w:rFonts w:ascii="宋体" w:hAnsi="宋体" w:cs="宋体" w:eastAsia="宋体" w:hint="default"/>
        </w:rPr>
        <w:t>3</w:t>
      </w:r>
      <w:r>
        <w:rPr/>
        <w:t>）市场风险</w:t>
      </w:r>
    </w:p>
    <w:p>
      <w:pPr>
        <w:pStyle w:val="BodyText"/>
        <w:spacing w:line="272" w:lineRule="exact" w:before="146"/>
        <w:ind w:right="227"/>
        <w:jc w:val="left"/>
      </w:pPr>
      <w:r>
        <w:rPr>
          <w:spacing w:val="-2"/>
        </w:rPr>
        <w:t>金融工具的市场风险，是指金融工具的公允价值或未来现金流量因市场价格变动而发生波动的风</w:t>
      </w:r>
      <w:r>
        <w:rPr>
          <w:spacing w:val="-25"/>
        </w:rPr>
        <w:t> </w:t>
      </w:r>
      <w:r>
        <w:rPr>
          <w:spacing w:val="-25"/>
        </w:rPr>
      </w:r>
      <w:r>
        <w:rPr/>
        <w:t>险，包括利率风险和其他价格风险。</w:t>
      </w:r>
    </w:p>
    <w:p>
      <w:pPr>
        <w:pStyle w:val="BodyText"/>
        <w:spacing w:line="240" w:lineRule="auto" w:before="94"/>
        <w:ind w:right="227"/>
        <w:jc w:val="left"/>
      </w:pPr>
      <w:r>
        <w:rPr>
          <w:rFonts w:ascii="宋体" w:hAnsi="宋体" w:cs="宋体" w:eastAsia="宋体" w:hint="default"/>
        </w:rPr>
        <w:t>2</w:t>
      </w:r>
      <w:r>
        <w:rPr/>
        <w:t>、资本管理</w:t>
      </w:r>
    </w:p>
    <w:p>
      <w:pPr>
        <w:pStyle w:val="BodyText"/>
        <w:spacing w:line="240" w:lineRule="auto" w:before="116"/>
        <w:ind w:right="227"/>
        <w:jc w:val="left"/>
      </w:pPr>
      <w:r>
        <w:rPr>
          <w:spacing w:val="-2"/>
        </w:rPr>
        <w:t>本公司资本管理政策的目标是为了保障本公司能够持续经营，从而为股东提供回报，并使其他利</w:t>
      </w:r>
      <w:r>
        <w:rPr>
          <w:spacing w:val="-25"/>
        </w:rPr>
        <w:t> </w:t>
      </w:r>
      <w:r>
        <w:rPr>
          <w:spacing w:val="-25"/>
        </w:rPr>
      </w:r>
      <w:r>
        <w:rPr/>
        <w:t>益相关者获益，同时维持最佳的资本结构以降低资本成本。</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97"/>
        <w:jc w:val="left"/>
      </w:pPr>
      <w:r>
        <w:rPr>
          <w:spacing w:val="-2"/>
        </w:rPr>
        <w:t>为了维持或调整资本结构，本公司可能会调整支付给股东的股利金额、向股东返还资本、发行新</w:t>
      </w:r>
      <w:r>
        <w:rPr>
          <w:spacing w:val="-25"/>
        </w:rPr>
        <w:t> </w:t>
      </w:r>
      <w:r>
        <w:rPr>
          <w:spacing w:val="-25"/>
        </w:rPr>
      </w:r>
      <w:r>
        <w:rPr/>
        <w:t>股或出售资产以减低债务。</w:t>
      </w:r>
    </w:p>
    <w:p>
      <w:pPr>
        <w:pStyle w:val="BodyText"/>
        <w:spacing w:line="240" w:lineRule="auto" w:before="116"/>
        <w:ind w:right="471"/>
        <w:jc w:val="left"/>
      </w:pPr>
      <w:r>
        <w:rPr/>
        <w:t>本公司以资产负债率（即总负债除以总资产）为基础对资本结构进行监控。于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w w:val="100"/>
        </w:rPr>
        <w:t> </w:t>
      </w:r>
      <w:r>
        <w:rPr/>
        <w:t>日，本公司的资产负债率为</w:t>
      </w:r>
      <w:r>
        <w:rPr>
          <w:spacing w:val="-53"/>
        </w:rPr>
        <w:t> </w:t>
      </w:r>
      <w:r>
        <w:rPr>
          <w:rFonts w:ascii="宋体" w:hAnsi="宋体" w:cs="宋体" w:eastAsia="宋体" w:hint="default"/>
        </w:rPr>
        <w:t>16.04%</w:t>
      </w:r>
      <w:r>
        <w:rPr/>
        <w:t>（</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18.80%</w: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tabs>
          <w:tab w:pos="1057" w:val="left" w:leader="none"/>
        </w:tabs>
        <w:spacing w:line="240" w:lineRule="auto"/>
        <w:ind w:right="297"/>
        <w:jc w:val="left"/>
        <w:rPr>
          <w:b w:val="0"/>
          <w:bCs w:val="0"/>
        </w:rPr>
      </w:pPr>
      <w:r>
        <w:rPr/>
        <w:t>十一、</w:t>
        <w:tab/>
        <w:t>公允价值的披露</w:t>
      </w:r>
      <w:r>
        <w:rPr>
          <w:b w:val="0"/>
          <w:bCs w:val="0"/>
        </w:rPr>
      </w:r>
    </w:p>
    <w:p>
      <w:pPr>
        <w:pStyle w:val="Heading4"/>
        <w:spacing w:line="240" w:lineRule="auto" w:before="56"/>
        <w:ind w:right="297"/>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60" w:val="left" w:leader="none"/>
        </w:tabs>
        <w:spacing w:line="240" w:lineRule="auto" w:before="58"/>
        <w:ind w:right="297"/>
        <w:jc w:val="left"/>
      </w:pPr>
      <w:r>
        <w:rPr>
          <w:spacing w:val="-1"/>
        </w:rPr>
        <w:t>□适用</w:t>
        <w:tab/>
      </w:r>
      <w:r>
        <w:rPr>
          <w:spacing w:val="-2"/>
        </w:rPr>
        <w:t>√不适用</w:t>
      </w:r>
    </w:p>
    <w:p>
      <w:pPr>
        <w:pStyle w:val="Heading4"/>
        <w:spacing w:line="240" w:lineRule="auto" w:before="56"/>
        <w:ind w:right="297"/>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60" w:val="left" w:leader="none"/>
        </w:tabs>
        <w:spacing w:line="240" w:lineRule="auto" w:before="58"/>
        <w:ind w:right="2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9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60" w:val="left" w:leader="none"/>
        </w:tabs>
        <w:spacing w:line="240" w:lineRule="auto" w:before="56"/>
        <w:ind w:right="2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9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8"/>
        <w:ind w:right="297"/>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4"/>
        <w:spacing w:line="272" w:lineRule="exact"/>
        <w:ind w:left="642" w:right="29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31"/>
        <w:ind w:right="2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642" w:right="29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56"/>
        <w:ind w:right="2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97"/>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right="2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97"/>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6"/>
        <w:ind w:right="29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960"/>
        </w:sectPr>
      </w:pPr>
    </w:p>
    <w:p>
      <w:pPr>
        <w:pStyle w:val="Heading4"/>
        <w:spacing w:line="240" w:lineRule="auto" w:before="36"/>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8"/>
        <w:ind w:right="0"/>
        <w:jc w:val="left"/>
      </w:pPr>
      <w:r>
        <w:rPr>
          <w:spacing w:val="-1"/>
        </w:rPr>
        <w:t>□适用</w:t>
        <w:tab/>
      </w:r>
      <w:r>
        <w:rPr>
          <w:spacing w:val="-2"/>
        </w:rPr>
        <w:t>√不适用</w:t>
      </w:r>
    </w:p>
    <w:p>
      <w:pPr>
        <w:pStyle w:val="Heading4"/>
        <w:tabs>
          <w:tab w:pos="1057" w:val="left" w:leader="none"/>
        </w:tabs>
        <w:spacing w:line="290" w:lineRule="auto" w:before="56"/>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2"/>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960"/>
          <w:cols w:num="2" w:equalWidth="0">
            <w:col w:w="2748" w:space="3562"/>
            <w:col w:w="306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2"/>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297"/>
        <w:jc w:val="left"/>
      </w:pPr>
      <w:r>
        <w:rPr/>
        <w:t>本企业的母公司情况的说明</w:t>
      </w:r>
    </w:p>
    <w:p>
      <w:pPr>
        <w:pStyle w:val="BodyText"/>
        <w:spacing w:line="273" w:lineRule="exact"/>
        <w:ind w:right="297"/>
        <w:jc w:val="left"/>
      </w:pPr>
      <w:r>
        <w:rPr>
          <w:w w:val="100"/>
        </w:rPr>
        <w:t>无</w:t>
      </w:r>
    </w:p>
    <w:p>
      <w:pPr>
        <w:pStyle w:val="BodyText"/>
        <w:spacing w:line="272" w:lineRule="exact" w:before="27"/>
        <w:ind w:right="0"/>
        <w:jc w:val="left"/>
      </w:pPr>
      <w:r>
        <w:rPr>
          <w:spacing w:val="-3"/>
        </w:rPr>
        <w:t>本企业最终控制方是本公司控股股东及实际控制人为严孟宇先生，期末持有本公司</w:t>
      </w:r>
      <w:r>
        <w:rPr>
          <w:spacing w:val="-15"/>
        </w:rPr>
        <w:t> </w:t>
      </w:r>
      <w:r>
        <w:rPr>
          <w:rFonts w:ascii="宋体" w:hAnsi="宋体" w:cs="宋体" w:eastAsia="宋体" w:hint="default"/>
        </w:rPr>
        <w:t>21.32%</w:t>
      </w:r>
      <w:r>
        <w:rPr/>
        <w:t>的股权。</w:t>
      </w:r>
      <w:r>
        <w:rPr>
          <w:spacing w:val="-91"/>
        </w:rPr>
        <w:t> </w:t>
      </w:r>
      <w:r>
        <w:rPr/>
        <w:t>其他说明：</w:t>
      </w:r>
    </w:p>
    <w:p>
      <w:pPr>
        <w:spacing w:after="0" w:line="272" w:lineRule="exact"/>
        <w:jc w:val="left"/>
        <w:sectPr>
          <w:type w:val="continuous"/>
          <w:pgSz w:w="11910" w:h="16840"/>
          <w:pgMar w:top="1120" w:bottom="1380" w:left="1580" w:right="960"/>
        </w:sectPr>
      </w:pPr>
    </w:p>
    <w:p>
      <w:pPr>
        <w:spacing w:line="240" w:lineRule="auto" w:before="1"/>
        <w:rPr>
          <w:rFonts w:ascii="宋体" w:hAnsi="宋体" w:cs="宋体" w:eastAsia="宋体" w:hint="default"/>
          <w:sz w:val="25"/>
          <w:szCs w:val="25"/>
        </w:rPr>
      </w:pPr>
    </w:p>
    <w:p>
      <w:pPr>
        <w:pStyle w:val="BodyText"/>
        <w:spacing w:line="240" w:lineRule="auto" w:before="36"/>
        <w:ind w:right="227"/>
        <w:jc w:val="left"/>
      </w:pPr>
      <w:r>
        <w:rPr>
          <w:w w:val="100"/>
        </w:rPr>
        <w:t>无</w:t>
      </w:r>
    </w:p>
    <w:p>
      <w:pPr>
        <w:spacing w:line="240" w:lineRule="auto" w:before="3"/>
        <w:rPr>
          <w:rFonts w:ascii="宋体" w:hAnsi="宋体" w:cs="宋体" w:eastAsia="宋体" w:hint="default"/>
          <w:sz w:val="25"/>
          <w:szCs w:val="25"/>
        </w:rPr>
      </w:pPr>
    </w:p>
    <w:p>
      <w:pPr>
        <w:spacing w:line="290" w:lineRule="auto" w:before="0"/>
        <w:ind w:left="218" w:right="672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21"/>
          <w:szCs w:val="21"/>
        </w:rPr>
        <w:t>本企业子公司的情况详见</w:t>
      </w:r>
    </w:p>
    <w:p>
      <w:pPr>
        <w:pStyle w:val="BodyText"/>
        <w:tabs>
          <w:tab w:pos="1060" w:val="left" w:leader="none"/>
        </w:tabs>
        <w:spacing w:line="226" w:lineRule="exact"/>
        <w:ind w:right="227"/>
        <w:jc w:val="left"/>
      </w:pPr>
      <w:r>
        <w:rPr>
          <w:spacing w:val="-1"/>
        </w:rPr>
        <w:t>√适用</w:t>
        <w:tab/>
      </w:r>
      <w:r>
        <w:rPr>
          <w:spacing w:val="-2"/>
        </w:rPr>
        <w:t>□不适用</w:t>
      </w:r>
    </w:p>
    <w:p>
      <w:pPr>
        <w:pStyle w:val="BodyText"/>
        <w:spacing w:line="274" w:lineRule="exact"/>
        <w:ind w:right="227"/>
        <w:jc w:val="left"/>
      </w:pPr>
      <w:r>
        <w:rPr>
          <w:spacing w:val="-2"/>
        </w:rPr>
        <w:t>本企业子公司的情况详见财务报告九、在其他主体的权益</w:t>
      </w:r>
      <w:r>
        <w:rPr>
          <w:spacing w:val="16"/>
        </w:rPr>
        <w:t> </w:t>
      </w:r>
      <w:r>
        <w:rPr>
          <w:rFonts w:ascii="宋体" w:hAnsi="宋体" w:cs="宋体" w:eastAsia="宋体" w:hint="default"/>
          <w:spacing w:val="-2"/>
        </w:rPr>
        <w:t>1</w:t>
      </w:r>
      <w:r>
        <w:rPr>
          <w:spacing w:val="-2"/>
        </w:rPr>
        <w:t>、在子公司中的权益。</w:t>
      </w:r>
    </w:p>
    <w:p>
      <w:pPr>
        <w:spacing w:line="240" w:lineRule="auto" w:before="3"/>
        <w:rPr>
          <w:rFonts w:ascii="宋体" w:hAnsi="宋体" w:cs="宋体" w:eastAsia="宋体" w:hint="default"/>
          <w:sz w:val="25"/>
          <w:szCs w:val="25"/>
        </w:rPr>
      </w:pPr>
    </w:p>
    <w:p>
      <w:pPr>
        <w:spacing w:line="290" w:lineRule="auto" w:before="0"/>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8" w:lineRule="exact"/>
        <w:ind w:right="227"/>
        <w:jc w:val="left"/>
      </w:pPr>
      <w:r>
        <w:rPr/>
        <w:t>□适用</w:t>
      </w:r>
      <w:r>
        <w:rPr>
          <w:spacing w:val="-1"/>
        </w:rPr>
        <w:t> </w:t>
      </w:r>
      <w:r>
        <w:rPr/>
        <w:t>√不适用</w:t>
      </w:r>
    </w:p>
    <w:p>
      <w:pPr>
        <w:pStyle w:val="BodyText"/>
        <w:spacing w:line="240" w:lineRule="auto"/>
        <w:ind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4" w:lineRule="exact" w:before="22"/>
        <w:ind w:right="7474"/>
        <w:jc w:val="left"/>
      </w:pPr>
      <w:r>
        <w:rPr/>
        <w:t>□适用</w:t>
      </w:r>
      <w:r>
        <w:rPr>
          <w:spacing w:val="-1"/>
        </w:rPr>
        <w:t> </w:t>
      </w:r>
      <w:r>
        <w:rPr/>
        <w:t>√不适用</w:t>
      </w:r>
      <w:r>
        <w:rPr>
          <w:w w:val="100"/>
        </w:rPr>
        <w:t> </w:t>
      </w:r>
      <w:r>
        <w:rPr/>
        <w:t>其他说明</w:t>
      </w:r>
    </w:p>
    <w:p>
      <w:pPr>
        <w:pStyle w:val="BodyText"/>
        <w:spacing w:line="246" w:lineRule="exact"/>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中信期货有限公司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董事、监事、经理、财务总监及董事会秘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7"/>
        <w:rPr>
          <w:rFonts w:ascii="宋体" w:hAnsi="宋体" w:cs="宋体" w:eastAsia="宋体" w:hint="default"/>
          <w:sz w:val="15"/>
          <w:szCs w:val="15"/>
        </w:rPr>
      </w:pPr>
    </w:p>
    <w:p>
      <w:pPr>
        <w:pStyle w:val="BodyText"/>
        <w:spacing w:line="272" w:lineRule="exact" w:before="64"/>
        <w:ind w:right="8208"/>
        <w:jc w:val="left"/>
      </w:pPr>
      <w:r>
        <w:rPr/>
        <w:t>其他说明</w:t>
      </w:r>
      <w:r>
        <w:rPr>
          <w:w w:val="100"/>
        </w:rPr>
        <w:t> </w:t>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8" w:lineRule="exact"/>
        <w:ind w:right="0"/>
        <w:jc w:val="left"/>
      </w:pPr>
      <w:r>
        <w:rPr/>
        <w:t>□适用</w:t>
      </w:r>
      <w:r>
        <w:rPr>
          <w:spacing w:val="-1"/>
        </w:rPr>
        <w:t> </w:t>
      </w:r>
      <w:r>
        <w:rPr/>
        <w:t>√不适用</w:t>
      </w:r>
    </w:p>
    <w:p>
      <w:pPr>
        <w:pStyle w:val="BodyText"/>
        <w:spacing w:line="272" w:lineRule="exact"/>
        <w:ind w:right="0"/>
        <w:jc w:val="left"/>
      </w:pPr>
      <w:r>
        <w:rPr/>
        <w:t>出售商品</w:t>
      </w:r>
      <w:r>
        <w:rPr>
          <w:rFonts w:ascii="宋体" w:hAnsi="宋体" w:cs="宋体" w:eastAsia="宋体" w:hint="default"/>
        </w:rPr>
        <w:t>/</w:t>
      </w:r>
      <w:r>
        <w:rPr/>
        <w:t>提供劳务情况表</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9" w:space="229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软件开发等</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14,010,965.99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5,292,452.83</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中信期货有限公司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软件开发等</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263,679.25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1,303,015.64</w:t>
            </w:r>
          </w:p>
        </w:tc>
      </w:tr>
    </w:tbl>
    <w:p>
      <w:pPr>
        <w:spacing w:line="240" w:lineRule="auto" w:before="5"/>
        <w:rPr>
          <w:rFonts w:ascii="宋体" w:hAnsi="宋体" w:cs="宋体" w:eastAsia="宋体" w:hint="default"/>
          <w:sz w:val="15"/>
          <w:szCs w:val="15"/>
        </w:rPr>
      </w:pPr>
    </w:p>
    <w:p>
      <w:pPr>
        <w:pStyle w:val="BodyText"/>
        <w:spacing w:line="274" w:lineRule="exact" w:before="36"/>
        <w:ind w:right="227"/>
        <w:jc w:val="left"/>
      </w:pPr>
      <w:r>
        <w:rPr/>
        <w:t>购销商品、提供和接受劳务的关联交易说明</w:t>
      </w:r>
    </w:p>
    <w:p>
      <w:pPr>
        <w:pStyle w:val="BodyText"/>
        <w:spacing w:line="237" w:lineRule="auto" w:before="2"/>
        <w:ind w:right="227"/>
        <w:jc w:val="left"/>
      </w:pPr>
      <w:r>
        <w:rPr/>
        <w:t>√适用</w:t>
      </w:r>
      <w:r>
        <w:rPr>
          <w:spacing w:val="-2"/>
        </w:rPr>
        <w:t> </w:t>
      </w:r>
      <w:r>
        <w:rPr/>
        <w:t>□不适用</w:t>
      </w:r>
      <w:r>
        <w:rPr>
          <w:w w:val="100"/>
        </w:rPr>
        <w:t> </w:t>
      </w:r>
      <w:r>
        <w:rPr>
          <w:spacing w:val="-2"/>
        </w:rPr>
        <w:t>本公司主要对关联方提供软件定制化服务，关联交易均按照平等互利、等价有偿、公平公允的市</w:t>
      </w:r>
      <w:r>
        <w:rPr>
          <w:spacing w:val="-25"/>
        </w:rPr>
        <w:t> </w:t>
      </w:r>
      <w:r>
        <w:rPr>
          <w:spacing w:val="-25"/>
        </w:rPr>
      </w:r>
      <w:r>
        <w:rPr/>
        <w:t>场原则，通过商务谈判方式，以公允的价格和交易条件，确定双方的权利义务关系。</w:t>
      </w:r>
    </w:p>
    <w:p>
      <w:pPr>
        <w:spacing w:line="240" w:lineRule="auto" w:before="3"/>
        <w:rPr>
          <w:rFonts w:ascii="宋体" w:hAnsi="宋体" w:cs="宋体" w:eastAsia="宋体" w:hint="default"/>
          <w:sz w:val="25"/>
          <w:szCs w:val="25"/>
        </w:rPr>
      </w:pPr>
    </w:p>
    <w:p>
      <w:pPr>
        <w:spacing w:line="290" w:lineRule="auto" w:before="0"/>
        <w:ind w:left="218" w:right="482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8" w:lineRule="exact"/>
        <w:ind w:right="227"/>
        <w:jc w:val="left"/>
      </w:pPr>
      <w:r>
        <w:rPr/>
        <w:t>□适用</w:t>
      </w:r>
      <w:r>
        <w:rPr>
          <w:spacing w:val="-1"/>
        </w:rPr>
        <w:t> </w:t>
      </w:r>
      <w:r>
        <w:rPr/>
        <w:t>√不适用</w:t>
      </w:r>
    </w:p>
    <w:p>
      <w:pPr>
        <w:pStyle w:val="BodyText"/>
        <w:spacing w:line="272" w:lineRule="exact"/>
        <w:ind w:right="227"/>
        <w:jc w:val="left"/>
      </w:pPr>
      <w:r>
        <w:rPr/>
        <w:t>关联托管</w:t>
      </w:r>
      <w:r>
        <w:rPr>
          <w:rFonts w:ascii="宋体" w:hAnsi="宋体" w:cs="宋体" w:eastAsia="宋体" w:hint="default"/>
        </w:rPr>
        <w:t>/</w:t>
      </w:r>
      <w:r>
        <w:rPr/>
        <w:t>承包情况说明</w:t>
      </w:r>
    </w:p>
    <w:p>
      <w:pPr>
        <w:pStyle w:val="BodyText"/>
        <w:spacing w:line="274" w:lineRule="exact"/>
        <w:ind w:right="227"/>
        <w:jc w:val="left"/>
      </w:pPr>
      <w:r>
        <w:rPr/>
        <w:t>□适用</w:t>
      </w:r>
      <w:r>
        <w:rPr>
          <w:spacing w:val="-1"/>
        </w:rPr>
        <w:t> </w:t>
      </w:r>
      <w:r>
        <w:rPr/>
        <w:t>√不适用</w:t>
      </w:r>
    </w:p>
    <w:p>
      <w:pPr>
        <w:spacing w:after="0" w:line="274"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right="227"/>
        <w:jc w:val="left"/>
      </w:pPr>
      <w:r>
        <w:rPr/>
        <w:t>本公司委托管理</w:t>
      </w:r>
      <w:r>
        <w:rPr>
          <w:rFonts w:ascii="宋体" w:hAnsi="宋体" w:cs="宋体" w:eastAsia="宋体" w:hint="default"/>
        </w:rPr>
        <w:t>/</w:t>
      </w:r>
      <w:r>
        <w:rPr/>
        <w:t>出包情况表</w:t>
      </w:r>
    </w:p>
    <w:p>
      <w:pPr>
        <w:pStyle w:val="BodyText"/>
        <w:spacing w:line="240" w:lineRule="auto"/>
        <w:ind w:right="6096"/>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71" w:lineRule="exact"/>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716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6" w:lineRule="exact"/>
        <w:ind w:right="227"/>
        <w:jc w:val="left"/>
      </w:pPr>
      <w:r>
        <w:rPr/>
        <w:t>□适用</w:t>
      </w:r>
      <w:r>
        <w:rPr>
          <w:spacing w:val="-1"/>
        </w:rPr>
        <w:t> </w:t>
      </w:r>
      <w:r>
        <w:rPr/>
        <w:t>√不适用</w:t>
      </w:r>
    </w:p>
    <w:p>
      <w:pPr>
        <w:pStyle w:val="BodyText"/>
        <w:spacing w:line="272" w:lineRule="exact"/>
        <w:ind w:right="227"/>
        <w:jc w:val="left"/>
      </w:pPr>
      <w:r>
        <w:rPr/>
        <w:t>本公司作为承租方：</w:t>
      </w:r>
    </w:p>
    <w:p>
      <w:pPr>
        <w:pStyle w:val="BodyText"/>
        <w:spacing w:line="240" w:lineRule="auto"/>
        <w:ind w:right="6096"/>
        <w:jc w:val="left"/>
      </w:pPr>
      <w:r>
        <w:rPr/>
        <w:t>□适用</w:t>
      </w:r>
      <w:r>
        <w:rPr>
          <w:spacing w:val="-2"/>
        </w:rPr>
        <w:t> </w:t>
      </w:r>
      <w:r>
        <w:rPr/>
        <w:t>√不适用</w:t>
      </w:r>
      <w:r>
        <w:rPr>
          <w:w w:val="100"/>
        </w:rPr>
        <w:t> </w:t>
      </w:r>
      <w:r>
        <w:rPr>
          <w:spacing w:val="-2"/>
        </w:rPr>
        <w:t>关联租赁情况说明</w:t>
      </w:r>
    </w:p>
    <w:p>
      <w:pPr>
        <w:pStyle w:val="BodyText"/>
        <w:spacing w:line="272" w:lineRule="exact"/>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736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26" w:lineRule="exact"/>
        <w:ind w:right="227"/>
        <w:jc w:val="left"/>
      </w:pPr>
      <w:r>
        <w:rPr/>
        <w:t>□适用</w:t>
      </w:r>
      <w:r>
        <w:rPr>
          <w:spacing w:val="-1"/>
        </w:rPr>
        <w:t> </w:t>
      </w:r>
      <w:r>
        <w:rPr/>
        <w:t>√不适用</w:t>
      </w:r>
    </w:p>
    <w:p>
      <w:pPr>
        <w:pStyle w:val="BodyText"/>
        <w:spacing w:line="272" w:lineRule="exact"/>
        <w:ind w:right="227"/>
        <w:jc w:val="left"/>
      </w:pPr>
      <w:r>
        <w:rPr/>
        <w:t>本公司作为被担保方</w:t>
      </w:r>
    </w:p>
    <w:p>
      <w:pPr>
        <w:pStyle w:val="BodyText"/>
        <w:spacing w:line="272" w:lineRule="exact" w:before="26"/>
        <w:ind w:right="6096"/>
        <w:jc w:val="left"/>
      </w:pPr>
      <w:r>
        <w:rPr/>
        <w:t>□适用</w:t>
      </w:r>
      <w:r>
        <w:rPr>
          <w:spacing w:val="-2"/>
        </w:rPr>
        <w:t> </w:t>
      </w:r>
      <w:r>
        <w:rPr/>
        <w:t>√不适用</w:t>
      </w:r>
      <w:r>
        <w:rPr>
          <w:w w:val="100"/>
        </w:rPr>
        <w:t> </w:t>
      </w:r>
      <w:r>
        <w:rPr>
          <w:spacing w:val="-2"/>
        </w:rPr>
        <w:t>关联担保情况说明</w:t>
      </w:r>
    </w:p>
    <w:p>
      <w:pPr>
        <w:pStyle w:val="BodyText"/>
        <w:spacing w:line="249" w:lineRule="exact"/>
        <w:ind w:right="227"/>
        <w:jc w:val="left"/>
      </w:pPr>
      <w:r>
        <w:rPr/>
        <w:t>□适用</w:t>
      </w:r>
      <w:r>
        <w:rPr>
          <w:spacing w:val="-1"/>
        </w:rPr>
        <w:t> </w:t>
      </w:r>
      <w:r>
        <w:rPr/>
        <w:t>√不适用</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61"/>
          <w:pgSz w:w="11910" w:h="16840"/>
          <w:pgMar w:footer="1195" w:header="882" w:top="1120" w:bottom="1380" w:left="1580" w:right="1040"/>
        </w:sectPr>
      </w:pPr>
    </w:p>
    <w:p>
      <w:pPr>
        <w:pStyle w:val="Heading4"/>
        <w:spacing w:line="240" w:lineRule="auto" w:before="36"/>
        <w:ind w:right="0"/>
        <w:jc w:val="left"/>
        <w:rPr>
          <w:b w:val="0"/>
          <w:bCs w:val="0"/>
        </w:rPr>
      </w:pPr>
      <w:r>
        <w:rPr>
          <w:rFonts w:ascii="宋体" w:hAnsi="宋体" w:cs="宋体" w:eastAsia="宋体" w:hint="default"/>
        </w:rPr>
        <w:t>(5).</w:t>
      </w:r>
      <w:r>
        <w:rPr/>
        <w:t>关联方资金拆借</w:t>
      </w:r>
      <w:r>
        <w:rPr>
          <w:b w:val="0"/>
          <w:bCs w:val="0"/>
        </w:rPr>
      </w:r>
    </w:p>
    <w:p>
      <w:pPr>
        <w:spacing w:line="290" w:lineRule="auto" w:before="59"/>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关联方资产转让、债务重组情况</w:t>
      </w:r>
      <w:r>
        <w:rPr>
          <w:rFonts w:ascii="宋体" w:hAnsi="宋体" w:cs="宋体" w:eastAsia="宋体" w:hint="default"/>
          <w:spacing w:val="-1"/>
          <w:sz w:val="21"/>
          <w:szCs w:val="21"/>
        </w:rPr>
      </w:r>
    </w:p>
    <w:p>
      <w:pPr>
        <w:spacing w:line="290" w:lineRule="auto" w:before="14"/>
        <w:ind w:left="218" w:right="124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78" w:val="left" w:leader="none"/>
        </w:tabs>
        <w:spacing w:line="240" w:lineRule="auto" w:before="139"/>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3595" w:space="2715"/>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59" w:right="0"/>
              <w:jc w:val="left"/>
              <w:rPr>
                <w:rFonts w:ascii="宋体" w:hAnsi="宋体" w:cs="宋体" w:eastAsia="宋体" w:hint="default"/>
                <w:sz w:val="21"/>
                <w:szCs w:val="21"/>
              </w:rPr>
            </w:pPr>
            <w:r>
              <w:rPr>
                <w:rFonts w:ascii="宋体" w:hAnsi="宋体" w:cs="宋体" w:eastAsia="宋体" w:hint="default"/>
                <w:sz w:val="21"/>
                <w:szCs w:val="21"/>
              </w:rPr>
              <w:t>411.47</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6" w:right="0"/>
              <w:jc w:val="left"/>
              <w:rPr>
                <w:rFonts w:ascii="宋体" w:hAnsi="宋体" w:cs="宋体" w:eastAsia="宋体" w:hint="default"/>
                <w:sz w:val="21"/>
                <w:szCs w:val="21"/>
              </w:rPr>
            </w:pPr>
            <w:r>
              <w:rPr>
                <w:rFonts w:ascii="宋体" w:hAnsi="宋体" w:cs="宋体" w:eastAsia="宋体" w:hint="default"/>
                <w:sz w:val="21"/>
                <w:szCs w:val="21"/>
              </w:rPr>
              <w:t>358.36</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12"/>
        <w:rPr>
          <w:rFonts w:ascii="宋体" w:hAnsi="宋体" w:cs="宋体" w:eastAsia="宋体" w:hint="default"/>
          <w:sz w:val="19"/>
          <w:szCs w:val="19"/>
        </w:rPr>
      </w:pPr>
    </w:p>
    <w:p>
      <w:pPr>
        <w:pStyle w:val="Heading4"/>
        <w:spacing w:line="240" w:lineRule="auto" w:before="36"/>
        <w:ind w:right="227"/>
        <w:jc w:val="left"/>
        <w:rPr>
          <w:b w:val="0"/>
          <w:bCs w:val="0"/>
        </w:rPr>
      </w:pPr>
      <w:r>
        <w:rPr>
          <w:rFonts w:ascii="宋体" w:hAnsi="宋体" w:cs="宋体" w:eastAsia="宋体" w:hint="default"/>
        </w:rPr>
        <w:t>(8).</w:t>
      </w:r>
      <w:r>
        <w:rPr/>
        <w:t>其他关联交易</w:t>
      </w:r>
      <w:r>
        <w:rPr>
          <w:b w:val="0"/>
          <w:bCs w:val="0"/>
        </w:rPr>
      </w:r>
    </w:p>
    <w:p>
      <w:pPr>
        <w:pStyle w:val="BodyText"/>
        <w:tabs>
          <w:tab w:pos="1060" w:val="left" w:leader="none"/>
        </w:tabs>
        <w:spacing w:line="240" w:lineRule="auto" w:before="59"/>
        <w:ind w:right="2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before="36"/>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1060" w:val="left" w:leader="none"/>
        </w:tabs>
        <w:spacing w:line="240" w:lineRule="auto" w:before="14"/>
        <w:ind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1"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中信证券股份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sz w:val="21"/>
              </w:rPr>
              <w:t>286,000.00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sz w:val="21"/>
              </w:rPr>
              <w:t>14,300.00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sz w:val="21"/>
              </w:rPr>
              <w:t>42,000.00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6" w:right="0"/>
              <w:jc w:val="left"/>
              <w:rPr>
                <w:rFonts w:ascii="宋体" w:hAnsi="宋体" w:cs="宋体" w:eastAsia="宋体" w:hint="default"/>
                <w:sz w:val="21"/>
                <w:szCs w:val="21"/>
              </w:rPr>
            </w:pPr>
            <w:r>
              <w:rPr>
                <w:rFonts w:ascii="宋体"/>
                <w:sz w:val="21"/>
              </w:rPr>
              <w:t>40,000.00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202"/>
        <w:jc w:val="left"/>
        <w:rPr>
          <w:b w:val="0"/>
          <w:bCs w:val="0"/>
        </w:rPr>
      </w:pPr>
      <w:r>
        <w:rPr>
          <w:rFonts w:ascii="宋体" w:hAnsi="宋体" w:cs="宋体" w:eastAsia="宋体" w:hint="default"/>
        </w:rPr>
        <w:t>(2).</w:t>
      </w:r>
      <w:r>
        <w:rPr/>
        <w:t>应付项目</w:t>
      </w:r>
      <w:r>
        <w:rPr>
          <w:b w:val="0"/>
          <w:bCs w:val="0"/>
        </w:rPr>
      </w:r>
    </w:p>
    <w:p>
      <w:pPr>
        <w:pStyle w:val="BodyText"/>
        <w:tabs>
          <w:tab w:pos="1060" w:val="left" w:leader="none"/>
        </w:tabs>
        <w:spacing w:line="240" w:lineRule="auto" w:before="56"/>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1901" w:space="4832"/>
            <w:col w:w="255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129"/>
        <w:gridCol w:w="2297"/>
        <w:gridCol w:w="179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179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4,809,562.97</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中信期货有限公司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sz w:val="21"/>
              </w:rPr>
              <w:t>46,698.11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169,811.32</w:t>
            </w:r>
          </w:p>
        </w:tc>
      </w:tr>
    </w:tbl>
    <w:p>
      <w:pPr>
        <w:spacing w:line="240" w:lineRule="auto" w:before="12"/>
        <w:rPr>
          <w:rFonts w:ascii="宋体" w:hAnsi="宋体" w:cs="宋体" w:eastAsia="宋体" w:hint="default"/>
          <w:sz w:val="19"/>
          <w:szCs w:val="19"/>
        </w:rPr>
      </w:pPr>
    </w:p>
    <w:p>
      <w:pPr>
        <w:pStyle w:val="Heading4"/>
        <w:spacing w:line="240" w:lineRule="auto" w:before="36"/>
        <w:ind w:right="227"/>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1060" w:val="left" w:leader="none"/>
        </w:tabs>
        <w:spacing w:line="240" w:lineRule="auto" w:before="56"/>
        <w:ind w:right="2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before="0"/>
        <w:ind w:left="218" w:right="227"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56"/>
        <w:ind w:right="2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2"/>
          <w:pgSz w:w="11910" w:h="16840"/>
          <w:pgMar w:footer="1195" w:header="882" w:top="1120" w:bottom="1380" w:left="1580" w:right="1040"/>
          <w:pgNumType w:start="141"/>
        </w:sectPr>
      </w:pPr>
    </w:p>
    <w:p>
      <w:pPr>
        <w:pStyle w:val="Heading4"/>
        <w:tabs>
          <w:tab w:pos="1057" w:val="left" w:leader="none"/>
        </w:tabs>
        <w:spacing w:line="240" w:lineRule="auto" w:before="36"/>
        <w:ind w:right="-20"/>
        <w:jc w:val="left"/>
        <w:rPr>
          <w:b w:val="0"/>
          <w:bCs w:val="0"/>
        </w:rPr>
      </w:pPr>
      <w:r>
        <w:rPr/>
        <w:t>十三、</w:t>
        <w:tab/>
        <w:t>股份支付</w:t>
      </w:r>
      <w:r>
        <w:rPr>
          <w:b w:val="0"/>
          <w:bCs w:val="0"/>
        </w:rPr>
      </w:r>
    </w:p>
    <w:p>
      <w:pPr>
        <w:pStyle w:val="Heading4"/>
        <w:spacing w:line="240" w:lineRule="auto" w:before="59"/>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939,120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16.04</w:t>
            </w:r>
            <w:r>
              <w:rPr>
                <w:rFonts w:ascii="宋体" w:hAnsi="宋体" w:cs="宋体" w:eastAsia="宋体" w:hint="default"/>
                <w:spacing w:val="-51"/>
                <w:sz w:val="21"/>
                <w:szCs w:val="21"/>
              </w:rPr>
              <w:t> </w:t>
            </w:r>
            <w:r>
              <w:rPr>
                <w:rFonts w:ascii="宋体" w:hAnsi="宋体" w:cs="宋体" w:eastAsia="宋体" w:hint="default"/>
                <w:spacing w:val="-12"/>
                <w:sz w:val="21"/>
                <w:szCs w:val="21"/>
              </w:rPr>
              <w:t>元</w:t>
            </w:r>
            <w:r>
              <w:rPr>
                <w:rFonts w:ascii="宋体" w:hAnsi="宋体" w:cs="宋体" w:eastAsia="宋体" w:hint="default"/>
                <w:spacing w:val="-12"/>
                <w:sz w:val="21"/>
                <w:szCs w:val="21"/>
              </w:rPr>
              <w:t>/</w:t>
            </w:r>
            <w:r>
              <w:rPr>
                <w:rFonts w:ascii="宋体" w:hAnsi="宋体" w:cs="宋体" w:eastAsia="宋体" w:hint="default"/>
                <w:spacing w:val="-12"/>
                <w:sz w:val="21"/>
                <w:szCs w:val="21"/>
              </w:rPr>
              <w:t>股，</w:t>
            </w:r>
            <w:r>
              <w:rPr>
                <w:rFonts w:ascii="宋体" w:hAnsi="宋体" w:cs="宋体" w:eastAsia="宋体" w:hint="default"/>
                <w:spacing w:val="-12"/>
                <w:sz w:val="21"/>
                <w:szCs w:val="21"/>
              </w:rPr>
              <w:t>704</w:t>
            </w:r>
            <w:r>
              <w:rPr>
                <w:rFonts w:ascii="宋体" w:hAnsi="宋体" w:cs="宋体" w:eastAsia="宋体" w:hint="default"/>
                <w:spacing w:val="-12"/>
                <w:sz w:val="21"/>
                <w:szCs w:val="21"/>
              </w:rPr>
              <w:t>，</w:t>
            </w:r>
            <w:r>
              <w:rPr>
                <w:rFonts w:ascii="宋体" w:hAnsi="宋体" w:cs="宋体" w:eastAsia="宋体" w:hint="default"/>
                <w:spacing w:val="-12"/>
                <w:sz w:val="21"/>
                <w:szCs w:val="21"/>
              </w:rPr>
              <w:t>340</w:t>
            </w:r>
            <w:r>
              <w:rPr>
                <w:rFonts w:ascii="宋体" w:hAnsi="宋体" w:cs="宋体" w:eastAsia="宋体" w:hint="default"/>
                <w:spacing w:val="-49"/>
                <w:sz w:val="21"/>
                <w:szCs w:val="21"/>
              </w:rPr>
              <w:t> </w:t>
            </w:r>
            <w:r>
              <w:rPr>
                <w:rFonts w:ascii="宋体" w:hAnsi="宋体" w:cs="宋体" w:eastAsia="宋体" w:hint="default"/>
                <w:sz w:val="21"/>
                <w:szCs w:val="21"/>
              </w:rPr>
              <w:t>股剩余期限</w:t>
            </w:r>
            <w:r>
              <w:rPr>
                <w:rFonts w:ascii="宋体" w:hAnsi="宋体" w:cs="宋体" w:eastAsia="宋体" w:hint="default"/>
                <w:spacing w:val="-48"/>
                <w:sz w:val="21"/>
                <w:szCs w:val="21"/>
              </w:rPr>
              <w:t> </w:t>
            </w:r>
            <w:r>
              <w:rPr>
                <w:rFonts w:ascii="宋体" w:hAnsi="宋体" w:cs="宋体" w:eastAsia="宋体" w:hint="default"/>
                <w:sz w:val="21"/>
                <w:szCs w:val="21"/>
              </w:rPr>
              <w:t>7-19</w:t>
            </w:r>
            <w:r>
              <w:rPr>
                <w:rFonts w:ascii="宋体" w:hAnsi="宋体" w:cs="宋体" w:eastAsia="宋体" w:hint="default"/>
                <w:spacing w:val="-51"/>
                <w:sz w:val="21"/>
                <w:szCs w:val="21"/>
              </w:rPr>
              <w:t> </w:t>
            </w:r>
            <w:r>
              <w:rPr>
                <w:rFonts w:ascii="宋体" w:hAnsi="宋体" w:cs="宋体" w:eastAsia="宋体" w:hint="default"/>
                <w:sz w:val="21"/>
                <w:szCs w:val="21"/>
              </w:rPr>
              <w:t>个月、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704,340</w:t>
            </w:r>
            <w:r>
              <w:rPr>
                <w:rFonts w:ascii="宋体" w:hAnsi="宋体" w:cs="宋体" w:eastAsia="宋体" w:hint="default"/>
                <w:spacing w:val="-54"/>
                <w:sz w:val="21"/>
                <w:szCs w:val="21"/>
              </w:rPr>
              <w:t> </w:t>
            </w:r>
            <w:r>
              <w:rPr>
                <w:rFonts w:ascii="宋体" w:hAnsi="宋体" w:cs="宋体" w:eastAsia="宋体" w:hint="default"/>
                <w:sz w:val="21"/>
                <w:szCs w:val="21"/>
              </w:rPr>
              <w:t>万股剩余期限</w:t>
            </w:r>
            <w:r>
              <w:rPr>
                <w:rFonts w:ascii="宋体" w:hAnsi="宋体" w:cs="宋体" w:eastAsia="宋体" w:hint="default"/>
                <w:spacing w:val="-54"/>
                <w:sz w:val="21"/>
                <w:szCs w:val="21"/>
              </w:rPr>
              <w:t> </w:t>
            </w:r>
            <w:r>
              <w:rPr>
                <w:rFonts w:ascii="宋体" w:hAnsi="宋体" w:cs="宋体" w:eastAsia="宋体" w:hint="default"/>
                <w:sz w:val="21"/>
                <w:szCs w:val="21"/>
              </w:rPr>
              <w:t>19-31</w:t>
            </w:r>
            <w:r>
              <w:rPr>
                <w:rFonts w:ascii="宋体" w:hAnsi="宋体" w:cs="宋体" w:eastAsia="宋体" w:hint="default"/>
                <w:spacing w:val="-5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0"/>
        <w:jc w:val="both"/>
      </w:pPr>
      <w:r>
        <w:rPr/>
        <w:t>其他说明</w:t>
      </w:r>
    </w:p>
    <w:p>
      <w:pPr>
        <w:pStyle w:val="BodyText"/>
        <w:spacing w:line="237" w:lineRule="auto" w:before="2"/>
        <w:ind w:right="229"/>
        <w:jc w:val="both"/>
      </w:pPr>
      <w:r>
        <w:rPr>
          <w:rFonts w:ascii="宋体" w:hAnsi="宋体" w:cs="宋体" w:eastAsia="宋体" w:hint="default"/>
          <w:w w:val="100"/>
        </w:rPr>
        <w:t>2017</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7</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26</w:t>
      </w:r>
      <w:r>
        <w:rPr>
          <w:rFonts w:ascii="宋体" w:hAnsi="宋体" w:cs="宋体" w:eastAsia="宋体" w:hint="default"/>
          <w:spacing w:val="-54"/>
          <w:w w:val="100"/>
        </w:rPr>
        <w:t> </w:t>
      </w:r>
      <w:r>
        <w:rPr>
          <w:spacing w:val="-16"/>
          <w:w w:val="100"/>
        </w:rPr>
        <w:t>日，公司召开</w:t>
      </w:r>
      <w:r>
        <w:rPr>
          <w:spacing w:val="-51"/>
          <w:w w:val="100"/>
        </w:rPr>
        <w:t> </w:t>
      </w:r>
      <w:r>
        <w:rPr>
          <w:rFonts w:ascii="宋体" w:hAnsi="宋体" w:cs="宋体" w:eastAsia="宋体" w:hint="default"/>
          <w:spacing w:val="-1"/>
          <w:w w:val="100"/>
        </w:rPr>
        <w:t>2017</w:t>
      </w:r>
      <w:r>
        <w:rPr>
          <w:rFonts w:ascii="宋体" w:hAnsi="宋体" w:cs="宋体" w:eastAsia="宋体" w:hint="default"/>
          <w:spacing w:val="-52"/>
          <w:w w:val="100"/>
        </w:rPr>
        <w:t> </w:t>
      </w:r>
      <w:r>
        <w:rPr>
          <w:spacing w:val="-8"/>
          <w:w w:val="100"/>
        </w:rPr>
        <w:t>年第三次临时股东大会《关于公司限制性股票激励计划（草案）</w:t>
      </w:r>
      <w:r>
        <w:rPr>
          <w:w w:val="100"/>
        </w:rPr>
        <w:t> </w:t>
      </w:r>
      <w:r>
        <w:rPr>
          <w:spacing w:val="-4"/>
        </w:rPr>
        <w:t>及其摘要的议案》（以下简称《激励计划》）、《关于公司</w:t>
      </w:r>
      <w:r>
        <w:rPr>
          <w:rFonts w:ascii="宋体" w:hAnsi="宋体" w:cs="宋体" w:eastAsia="宋体" w:hint="default"/>
          <w:spacing w:val="-4"/>
        </w:rPr>
        <w:t>&lt;</w:t>
      </w:r>
      <w:r>
        <w:rPr>
          <w:spacing w:val="-4"/>
        </w:rPr>
        <w:t>限制性股票激励计划实施考核管理办</w:t>
      </w:r>
      <w:r>
        <w:rPr>
          <w:spacing w:val="-35"/>
        </w:rPr>
        <w:t> </w:t>
      </w:r>
      <w:r>
        <w:rPr>
          <w:spacing w:val="-35"/>
        </w:rPr>
      </w:r>
      <w:r>
        <w:rPr/>
        <w:t>法</w:t>
      </w:r>
      <w:r>
        <w:rPr>
          <w:rFonts w:ascii="宋体" w:hAnsi="宋体" w:cs="宋体" w:eastAsia="宋体" w:hint="default"/>
        </w:rPr>
        <w:t>&gt;</w:t>
      </w:r>
      <w:r>
        <w:rPr/>
        <w:t>的议案》，</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日，公司召开</w:t>
      </w:r>
      <w:r>
        <w:rPr>
          <w:spacing w:val="-55"/>
        </w:rPr>
        <w:t> </w:t>
      </w:r>
      <w:r>
        <w:rPr>
          <w:rFonts w:ascii="宋体" w:hAnsi="宋体" w:cs="宋体" w:eastAsia="宋体" w:hint="default"/>
        </w:rPr>
        <w:t>2017</w:t>
      </w:r>
      <w:r>
        <w:rPr>
          <w:rFonts w:ascii="宋体" w:hAnsi="宋体" w:cs="宋体" w:eastAsia="宋体" w:hint="default"/>
          <w:spacing w:val="-55"/>
        </w:rPr>
        <w:t> </w:t>
      </w:r>
      <w:r>
        <w:rPr/>
        <w:t>年第七届董事会第二次会议审议通过了《关于</w:t>
      </w:r>
      <w:r>
        <w:rPr>
          <w:w w:val="100"/>
        </w:rPr>
        <w:t> </w:t>
      </w:r>
      <w:r>
        <w:rPr>
          <w:spacing w:val="-2"/>
        </w:rPr>
        <w:t>调整公司限制性股票激励计划激励对象和授予数量的议案》、《关于向激励对象授予限制性股票</w:t>
      </w:r>
      <w:r>
        <w:rPr>
          <w:spacing w:val="-25"/>
        </w:rPr>
        <w:t> </w:t>
      </w:r>
      <w:r>
        <w:rPr>
          <w:spacing w:val="-25"/>
        </w:rPr>
      </w:r>
      <w:r>
        <w:rPr>
          <w:spacing w:val="-3"/>
        </w:rPr>
        <w:t>的议案》。本次激励计划限制性股票的激励对象为</w:t>
      </w:r>
      <w:r>
        <w:rPr>
          <w:spacing w:val="21"/>
        </w:rPr>
        <w:t> </w:t>
      </w:r>
      <w:r>
        <w:rPr>
          <w:rFonts w:ascii="宋体" w:hAnsi="宋体" w:cs="宋体" w:eastAsia="宋体" w:hint="default"/>
        </w:rPr>
        <w:t>134</w:t>
      </w:r>
      <w:r>
        <w:rPr>
          <w:rFonts w:ascii="宋体" w:hAnsi="宋体" w:cs="宋体" w:eastAsia="宋体" w:hint="default"/>
          <w:spacing w:val="-40"/>
        </w:rPr>
        <w:t> </w:t>
      </w:r>
      <w:r>
        <w:rPr>
          <w:spacing w:val="-3"/>
        </w:rPr>
        <w:t>人，授予的限制性股票</w:t>
      </w:r>
      <w:r>
        <w:rPr>
          <w:spacing w:val="-40"/>
        </w:rPr>
        <w:t> </w:t>
      </w:r>
      <w:r>
        <w:rPr>
          <w:rFonts w:ascii="宋体" w:hAnsi="宋体" w:cs="宋体" w:eastAsia="宋体" w:hint="default"/>
        </w:rPr>
        <w:t>167.7</w:t>
      </w:r>
      <w:r>
        <w:rPr>
          <w:rFonts w:ascii="宋体" w:hAnsi="宋体" w:cs="宋体" w:eastAsia="宋体" w:hint="default"/>
          <w:spacing w:val="-40"/>
        </w:rPr>
        <w:t> </w:t>
      </w:r>
      <w:r>
        <w:rPr>
          <w:spacing w:val="-4"/>
        </w:rPr>
        <w:t>万股。本次</w:t>
      </w:r>
    </w:p>
    <w:p>
      <w:pPr>
        <w:pStyle w:val="BodyText"/>
        <w:spacing w:line="237" w:lineRule="auto"/>
        <w:ind w:right="237"/>
        <w:jc w:val="both"/>
      </w:pPr>
      <w:r>
        <w:rPr/>
        <w:t>限制性股票激励对象自获授限制性股票之日起 </w:t>
      </w:r>
      <w:r>
        <w:rPr>
          <w:rFonts w:ascii="宋体" w:hAnsi="宋体" w:cs="宋体" w:eastAsia="宋体" w:hint="default"/>
        </w:rPr>
        <w:t>12</w:t>
      </w:r>
      <w:r>
        <w:rPr>
          <w:rFonts w:ascii="宋体" w:hAnsi="宋体" w:cs="宋体" w:eastAsia="宋体" w:hint="default"/>
          <w:spacing w:val="-4"/>
        </w:rPr>
        <w:t> </w:t>
      </w:r>
      <w:r>
        <w:rPr/>
        <w:t>个月内为锁定期。在锁定期内，激励对象根据</w:t>
      </w:r>
      <w:r>
        <w:rPr>
          <w:w w:val="100"/>
        </w:rPr>
        <w:t> </w:t>
      </w:r>
      <w:r>
        <w:rPr>
          <w:spacing w:val="-2"/>
        </w:rPr>
        <w:t>本计划获授的限制性股票予以锁定，激励对象获授的限制性股票在解禁前不得转让或用于担保或</w:t>
      </w:r>
      <w:r>
        <w:rPr>
          <w:spacing w:val="-25"/>
        </w:rPr>
        <w:t> </w:t>
      </w:r>
      <w:r>
        <w:rPr>
          <w:spacing w:val="-25"/>
        </w:rPr>
      </w:r>
      <w:r>
        <w:rPr/>
        <w:t>偿还债务。</w:t>
      </w:r>
    </w:p>
    <w:p>
      <w:pPr>
        <w:pStyle w:val="BodyText"/>
        <w:spacing w:line="274" w:lineRule="exact"/>
        <w:ind w:right="0"/>
        <w:jc w:val="both"/>
      </w:pPr>
      <w:r>
        <w:rPr/>
        <w:t>业绩限制性股票解锁安排及公司业绩考核条件如下：</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8"/>
        <w:gridCol w:w="2696"/>
        <w:gridCol w:w="3829"/>
        <w:gridCol w:w="1171"/>
      </w:tblGrid>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解锁期</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解锁条件</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解锁时间</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解锁比例</w:t>
            </w:r>
          </w:p>
        </w:tc>
      </w:tr>
      <w:tr>
        <w:trPr>
          <w:trHeight w:val="826"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第一个解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锁期</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年实现的净利润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金额较 </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年同比增长不</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w:t>
            </w:r>
            <w:r>
              <w:rPr>
                <w:rFonts w:ascii="宋体" w:hAnsi="宋体" w:cs="宋体" w:eastAsia="宋体" w:hint="default"/>
                <w:spacing w:val="-52"/>
                <w:sz w:val="21"/>
                <w:szCs w:val="21"/>
              </w:rPr>
              <w:t> </w:t>
            </w:r>
            <w:r>
              <w:rPr>
                <w:rFonts w:ascii="宋体" w:hAnsi="宋体" w:cs="宋体" w:eastAsia="宋体" w:hint="default"/>
                <w:sz w:val="21"/>
                <w:szCs w:val="21"/>
              </w:rPr>
              <w:t>20%</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自首个授予日起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个月后的首个交易</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日起至授予日起</w:t>
            </w:r>
            <w:r>
              <w:rPr>
                <w:rFonts w:ascii="宋体" w:hAnsi="宋体" w:cs="宋体" w:eastAsia="宋体" w:hint="default"/>
                <w:spacing w:val="21"/>
                <w:sz w:val="21"/>
                <w:szCs w:val="21"/>
              </w:rPr>
              <w:t> </w:t>
            </w:r>
            <w:r>
              <w:rPr>
                <w:rFonts w:ascii="宋体" w:hAnsi="宋体" w:cs="宋体" w:eastAsia="宋体" w:hint="default"/>
                <w:sz w:val="21"/>
                <w:szCs w:val="21"/>
              </w:rPr>
              <w:t>24</w:t>
            </w:r>
            <w:r>
              <w:rPr>
                <w:rFonts w:ascii="宋体" w:hAnsi="宋体" w:cs="宋体" w:eastAsia="宋体" w:hint="default"/>
                <w:spacing w:val="17"/>
                <w:sz w:val="21"/>
                <w:szCs w:val="21"/>
              </w:rPr>
              <w:t> </w:t>
            </w:r>
            <w:r>
              <w:rPr>
                <w:rFonts w:ascii="宋体" w:hAnsi="宋体" w:cs="宋体" w:eastAsia="宋体" w:hint="default"/>
                <w:sz w:val="21"/>
                <w:szCs w:val="21"/>
              </w:rPr>
              <w:t>个月内的最后一个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交易日当日止</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40%</w:t>
            </w:r>
          </w:p>
        </w:tc>
      </w:tr>
      <w:tr>
        <w:trPr>
          <w:trHeight w:val="82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第二个解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锁期</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年实现的净利润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金额较 </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年同比增长不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w:t>
            </w:r>
            <w:r>
              <w:rPr>
                <w:rFonts w:ascii="宋体" w:hAnsi="宋体" w:cs="宋体" w:eastAsia="宋体" w:hint="default"/>
                <w:spacing w:val="-52"/>
                <w:sz w:val="21"/>
                <w:szCs w:val="21"/>
              </w:rPr>
              <w:t> </w:t>
            </w:r>
            <w:r>
              <w:rPr>
                <w:rFonts w:ascii="宋体" w:hAnsi="宋体" w:cs="宋体" w:eastAsia="宋体" w:hint="default"/>
                <w:sz w:val="21"/>
                <w:szCs w:val="21"/>
              </w:rPr>
              <w:t>30%</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自首个授予日起 </w:t>
            </w:r>
            <w:r>
              <w:rPr>
                <w:rFonts w:ascii="宋体" w:hAnsi="宋体" w:cs="宋体" w:eastAsia="宋体" w:hint="default"/>
                <w:sz w:val="21"/>
                <w:szCs w:val="21"/>
              </w:rPr>
              <w:t>24</w:t>
            </w:r>
            <w:r>
              <w:rPr>
                <w:rFonts w:ascii="宋体" w:hAnsi="宋体" w:cs="宋体" w:eastAsia="宋体" w:hint="default"/>
                <w:spacing w:val="41"/>
                <w:sz w:val="21"/>
                <w:szCs w:val="21"/>
              </w:rPr>
              <w:t> </w:t>
            </w:r>
            <w:r>
              <w:rPr>
                <w:rFonts w:ascii="宋体" w:hAnsi="宋体" w:cs="宋体" w:eastAsia="宋体" w:hint="default"/>
                <w:sz w:val="21"/>
                <w:szCs w:val="21"/>
              </w:rPr>
              <w:t>个月后的首个交易</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日起至授予日起</w:t>
            </w:r>
            <w:r>
              <w:rPr>
                <w:rFonts w:ascii="宋体" w:hAnsi="宋体" w:cs="宋体" w:eastAsia="宋体" w:hint="default"/>
                <w:spacing w:val="21"/>
                <w:sz w:val="21"/>
                <w:szCs w:val="21"/>
              </w:rPr>
              <w:t> </w:t>
            </w:r>
            <w:r>
              <w:rPr>
                <w:rFonts w:ascii="宋体" w:hAnsi="宋体" w:cs="宋体" w:eastAsia="宋体" w:hint="default"/>
                <w:sz w:val="21"/>
                <w:szCs w:val="21"/>
              </w:rPr>
              <w:t>36</w:t>
            </w:r>
            <w:r>
              <w:rPr>
                <w:rFonts w:ascii="宋体" w:hAnsi="宋体" w:cs="宋体" w:eastAsia="宋体" w:hint="default"/>
                <w:spacing w:val="17"/>
                <w:sz w:val="21"/>
                <w:szCs w:val="21"/>
              </w:rPr>
              <w:t> </w:t>
            </w:r>
            <w:r>
              <w:rPr>
                <w:rFonts w:ascii="宋体" w:hAnsi="宋体" w:cs="宋体" w:eastAsia="宋体" w:hint="default"/>
                <w:sz w:val="21"/>
                <w:szCs w:val="21"/>
              </w:rPr>
              <w:t>个月内的最后一个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交易日当日止</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w:t>
            </w:r>
          </w:p>
        </w:tc>
      </w:tr>
      <w:tr>
        <w:trPr>
          <w:trHeight w:val="82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第三个解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锁期</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年实现的净利润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金额较 </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年同比增长不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w:t>
            </w:r>
            <w:r>
              <w:rPr>
                <w:rFonts w:ascii="宋体" w:hAnsi="宋体" w:cs="宋体" w:eastAsia="宋体" w:hint="default"/>
                <w:spacing w:val="-52"/>
                <w:sz w:val="21"/>
                <w:szCs w:val="21"/>
              </w:rPr>
              <w:t> </w:t>
            </w:r>
            <w:r>
              <w:rPr>
                <w:rFonts w:ascii="宋体" w:hAnsi="宋体" w:cs="宋体" w:eastAsia="宋体" w:hint="default"/>
                <w:sz w:val="21"/>
                <w:szCs w:val="21"/>
              </w:rPr>
              <w:t>40%</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自首个授予日起 </w:t>
            </w:r>
            <w:r>
              <w:rPr>
                <w:rFonts w:ascii="宋体" w:hAnsi="宋体" w:cs="宋体" w:eastAsia="宋体" w:hint="default"/>
                <w:sz w:val="21"/>
                <w:szCs w:val="21"/>
              </w:rPr>
              <w:t>36</w:t>
            </w:r>
            <w:r>
              <w:rPr>
                <w:rFonts w:ascii="宋体" w:hAnsi="宋体" w:cs="宋体" w:eastAsia="宋体" w:hint="default"/>
                <w:spacing w:val="41"/>
                <w:sz w:val="21"/>
                <w:szCs w:val="21"/>
              </w:rPr>
              <w:t> </w:t>
            </w:r>
            <w:r>
              <w:rPr>
                <w:rFonts w:ascii="宋体" w:hAnsi="宋体" w:cs="宋体" w:eastAsia="宋体" w:hint="default"/>
                <w:sz w:val="21"/>
                <w:szCs w:val="21"/>
              </w:rPr>
              <w:t>个月后的首个交易</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日起至授予日起</w:t>
            </w:r>
            <w:r>
              <w:rPr>
                <w:rFonts w:ascii="宋体" w:hAnsi="宋体" w:cs="宋体" w:eastAsia="宋体" w:hint="default"/>
                <w:spacing w:val="21"/>
                <w:sz w:val="21"/>
                <w:szCs w:val="21"/>
              </w:rPr>
              <w:t> </w:t>
            </w:r>
            <w:r>
              <w:rPr>
                <w:rFonts w:ascii="宋体" w:hAnsi="宋体" w:cs="宋体" w:eastAsia="宋体" w:hint="default"/>
                <w:sz w:val="21"/>
                <w:szCs w:val="21"/>
              </w:rPr>
              <w:t>48</w:t>
            </w:r>
            <w:r>
              <w:rPr>
                <w:rFonts w:ascii="宋体" w:hAnsi="宋体" w:cs="宋体" w:eastAsia="宋体" w:hint="default"/>
                <w:spacing w:val="17"/>
                <w:sz w:val="21"/>
                <w:szCs w:val="21"/>
              </w:rPr>
              <w:t> </w:t>
            </w:r>
            <w:r>
              <w:rPr>
                <w:rFonts w:ascii="宋体" w:hAnsi="宋体" w:cs="宋体" w:eastAsia="宋体" w:hint="default"/>
                <w:sz w:val="21"/>
                <w:szCs w:val="21"/>
              </w:rPr>
              <w:t>个月内的最后一个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交易日当日止</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w:t>
            </w:r>
          </w:p>
        </w:tc>
      </w:tr>
    </w:tbl>
    <w:p>
      <w:pPr>
        <w:pStyle w:val="BodyText"/>
        <w:spacing w:line="237" w:lineRule="auto" w:before="88"/>
        <w:ind w:right="230"/>
        <w:jc w:val="both"/>
      </w:pPr>
      <w:r>
        <w:rPr>
          <w:rFonts w:ascii="宋体" w:hAnsi="宋体" w:cs="宋体" w:eastAsia="宋体" w:hint="default"/>
        </w:rPr>
        <w:t>2017</w:t>
      </w:r>
      <w:r>
        <w:rPr>
          <w:rFonts w:ascii="宋体" w:hAnsi="宋体" w:cs="宋体" w:eastAsia="宋体" w:hint="default"/>
          <w:spacing w:val="-57"/>
        </w:rPr>
        <w:t> </w:t>
      </w:r>
      <w:r>
        <w:rPr/>
        <w:t>年公司实现扣除非经常性损益后归属于公司普通股股东的净利润</w:t>
      </w:r>
      <w:r>
        <w:rPr>
          <w:spacing w:val="-55"/>
        </w:rPr>
        <w:t> </w:t>
      </w:r>
      <w:r>
        <w:rPr>
          <w:rFonts w:ascii="宋体" w:hAnsi="宋体" w:cs="宋体" w:eastAsia="宋体" w:hint="default"/>
        </w:rPr>
        <w:t>8,764.69</w:t>
      </w:r>
      <w:r>
        <w:rPr>
          <w:rFonts w:ascii="宋体" w:hAnsi="宋体" w:cs="宋体" w:eastAsia="宋体" w:hint="default"/>
          <w:spacing w:val="-54"/>
        </w:rPr>
        <w:t> </w:t>
      </w:r>
      <w:r>
        <w:rPr/>
        <w:t>万元，比上年同</w:t>
      </w:r>
      <w:r>
        <w:rPr>
          <w:w w:val="100"/>
        </w:rPr>
        <w:t> </w:t>
      </w:r>
      <w:r>
        <w:rPr/>
        <w:t>期增长</w:t>
      </w:r>
      <w:r>
        <w:rPr>
          <w:spacing w:val="6"/>
        </w:rPr>
        <w:t> </w:t>
      </w:r>
      <w:r>
        <w:rPr>
          <w:rFonts w:ascii="宋体" w:hAnsi="宋体" w:cs="宋体" w:eastAsia="宋体" w:hint="default"/>
          <w:spacing w:val="-4"/>
        </w:rPr>
        <w:t>25.59%</w:t>
      </w:r>
      <w:r>
        <w:rPr>
          <w:spacing w:val="-4"/>
        </w:rPr>
        <w:t>，实现</w:t>
      </w:r>
      <w:r>
        <w:rPr>
          <w:spacing w:val="-48"/>
        </w:rPr>
        <w:t> </w:t>
      </w:r>
      <w:r>
        <w:rPr>
          <w:rFonts w:ascii="宋体" w:hAnsi="宋体" w:cs="宋体" w:eastAsia="宋体" w:hint="default"/>
        </w:rPr>
        <w:t>2017</w:t>
      </w:r>
      <w:r>
        <w:rPr>
          <w:rFonts w:ascii="宋体" w:hAnsi="宋体" w:cs="宋体" w:eastAsia="宋体" w:hint="default"/>
          <w:spacing w:val="-49"/>
        </w:rPr>
        <w:t> </w:t>
      </w:r>
      <w:r>
        <w:rPr/>
        <w:t>年扣非后净利润金额较</w:t>
      </w:r>
      <w:r>
        <w:rPr>
          <w:spacing w:val="-51"/>
        </w:rPr>
        <w:t> </w:t>
      </w:r>
      <w:r>
        <w:rPr>
          <w:rFonts w:ascii="宋体" w:hAnsi="宋体" w:cs="宋体" w:eastAsia="宋体" w:hint="default"/>
        </w:rPr>
        <w:t>2016</w:t>
      </w:r>
      <w:r>
        <w:rPr>
          <w:rFonts w:ascii="宋体" w:hAnsi="宋体" w:cs="宋体" w:eastAsia="宋体" w:hint="default"/>
          <w:spacing w:val="-49"/>
        </w:rPr>
        <w:t> </w:t>
      </w:r>
      <w:r>
        <w:rPr/>
        <w:t>年同比增长不低于</w:t>
      </w:r>
      <w:r>
        <w:rPr>
          <w:spacing w:val="-49"/>
        </w:rPr>
        <w:t> </w:t>
      </w:r>
      <w:r>
        <w:rPr>
          <w:rFonts w:ascii="宋体" w:hAnsi="宋体" w:cs="宋体" w:eastAsia="宋体" w:hint="default"/>
          <w:spacing w:val="-4"/>
        </w:rPr>
        <w:t>20%</w:t>
      </w:r>
      <w:r>
        <w:rPr>
          <w:spacing w:val="-4"/>
        </w:rPr>
        <w:t>，符合股权激励第</w:t>
      </w:r>
      <w:r>
        <w:rPr>
          <w:w w:val="100"/>
        </w:rPr>
        <w:t> </w:t>
      </w:r>
      <w:r>
        <w:rPr/>
        <w:t>一个解锁期业绩考核条件。</w:t>
      </w:r>
    </w:p>
    <w:p>
      <w:pPr>
        <w:pStyle w:val="BodyText"/>
        <w:spacing w:line="237" w:lineRule="auto" w:before="119"/>
        <w:ind w:right="230"/>
        <w:jc w:val="both"/>
      </w:pPr>
      <w:r>
        <w:rPr>
          <w:rFonts w:ascii="宋体" w:hAnsi="宋体" w:cs="宋体" w:eastAsia="宋体" w:hint="default"/>
        </w:rPr>
        <w:t>2018</w:t>
      </w:r>
      <w:r>
        <w:rPr>
          <w:rFonts w:ascii="宋体" w:hAnsi="宋体" w:cs="宋体" w:eastAsia="宋体" w:hint="default"/>
          <w:spacing w:val="-55"/>
        </w:rPr>
        <w:t> </w:t>
      </w:r>
      <w:r>
        <w:rPr/>
        <w:t>年公司扣除非经常性损益后归属于公司普通股股东的净利润</w:t>
      </w:r>
      <w:r>
        <w:rPr>
          <w:spacing w:val="-53"/>
        </w:rPr>
        <w:t> </w:t>
      </w:r>
      <w:r>
        <w:rPr>
          <w:rFonts w:ascii="宋体" w:hAnsi="宋体" w:cs="宋体" w:eastAsia="宋体" w:hint="default"/>
        </w:rPr>
        <w:t>9,534.92</w:t>
      </w:r>
      <w:r>
        <w:rPr>
          <w:rFonts w:ascii="宋体" w:hAnsi="宋体" w:cs="宋体" w:eastAsia="宋体" w:hint="default"/>
          <w:spacing w:val="-55"/>
        </w:rPr>
        <w:t> </w:t>
      </w:r>
      <w:r>
        <w:rPr>
          <w:spacing w:val="-11"/>
        </w:rPr>
        <w:t>万元，较</w:t>
      </w:r>
      <w:r>
        <w:rPr>
          <w:spacing w:val="-53"/>
        </w:rPr>
        <w:t> </w:t>
      </w:r>
      <w:r>
        <w:rPr>
          <w:rFonts w:ascii="宋体" w:hAnsi="宋体" w:cs="宋体" w:eastAsia="宋体" w:hint="default"/>
        </w:rPr>
        <w:t>2016</w:t>
      </w:r>
      <w:r>
        <w:rPr>
          <w:rFonts w:ascii="宋体" w:hAnsi="宋体" w:cs="宋体" w:eastAsia="宋体" w:hint="default"/>
          <w:spacing w:val="-55"/>
        </w:rPr>
        <w:t> </w:t>
      </w:r>
      <w:r>
        <w:rPr/>
        <w:t>年同比</w:t>
      </w:r>
      <w:r>
        <w:rPr>
          <w:w w:val="100"/>
        </w:rPr>
        <w:t> </w:t>
      </w:r>
      <w:r>
        <w:rPr/>
        <w:t>增长</w:t>
      </w:r>
      <w:r>
        <w:rPr>
          <w:spacing w:val="-54"/>
        </w:rPr>
        <w:t> </w:t>
      </w:r>
      <w:r>
        <w:rPr>
          <w:rFonts w:ascii="宋体" w:hAnsi="宋体" w:cs="宋体" w:eastAsia="宋体" w:hint="default"/>
        </w:rPr>
        <w:t>36.62%</w:t>
      </w:r>
      <w:r>
        <w:rPr/>
        <w:t>，实现</w:t>
      </w:r>
      <w:r>
        <w:rPr>
          <w:spacing w:val="-54"/>
        </w:rPr>
        <w:t> </w:t>
      </w:r>
      <w:r>
        <w:rPr>
          <w:rFonts w:ascii="宋体" w:hAnsi="宋体" w:cs="宋体" w:eastAsia="宋体" w:hint="default"/>
        </w:rPr>
        <w:t>2018</w:t>
      </w:r>
      <w:r>
        <w:rPr>
          <w:rFonts w:ascii="宋体" w:hAnsi="宋体" w:cs="宋体" w:eastAsia="宋体" w:hint="default"/>
          <w:spacing w:val="-56"/>
        </w:rPr>
        <w:t> </w:t>
      </w:r>
      <w:r>
        <w:rPr/>
        <w:t>年扣非后净利润金额较</w:t>
      </w:r>
      <w:r>
        <w:rPr>
          <w:spacing w:val="-54"/>
        </w:rPr>
        <w:t> </w:t>
      </w:r>
      <w:r>
        <w:rPr>
          <w:rFonts w:ascii="宋体" w:hAnsi="宋体" w:cs="宋体" w:eastAsia="宋体" w:hint="default"/>
        </w:rPr>
        <w:t>2016</w:t>
      </w:r>
      <w:r>
        <w:rPr>
          <w:rFonts w:ascii="宋体" w:hAnsi="宋体" w:cs="宋体" w:eastAsia="宋体" w:hint="default"/>
          <w:spacing w:val="-53"/>
        </w:rPr>
        <w:t> </w:t>
      </w:r>
      <w:r>
        <w:rPr/>
        <w:t>年同比增长不低于</w:t>
      </w:r>
      <w:r>
        <w:rPr>
          <w:spacing w:val="-54"/>
        </w:rPr>
        <w:t> </w:t>
      </w:r>
      <w:r>
        <w:rPr>
          <w:rFonts w:ascii="宋体" w:hAnsi="宋体" w:cs="宋体" w:eastAsia="宋体" w:hint="default"/>
        </w:rPr>
        <w:t>30%</w:t>
      </w:r>
      <w:r>
        <w:rPr/>
        <w:t>，符合股权激励第二</w:t>
      </w:r>
      <w:r>
        <w:rPr>
          <w:w w:val="100"/>
        </w:rPr>
        <w:t> </w:t>
      </w:r>
      <w:r>
        <w:rPr/>
        <w:t>个解锁期业绩考核条件。</w:t>
      </w:r>
    </w:p>
    <w:p>
      <w:pPr>
        <w:spacing w:after="0" w:line="237" w:lineRule="auto"/>
        <w:jc w:val="both"/>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580" w:right="960"/>
        </w:sectPr>
      </w:pPr>
    </w:p>
    <w:p>
      <w:pPr>
        <w:pStyle w:val="Heading4"/>
        <w:spacing w:line="240" w:lineRule="auto" w:before="36"/>
        <w:ind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3173" w:space="3349"/>
            <w:col w:w="28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1099"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公司采用授予日市价减去认沽期权价值的方</w:t>
            </w:r>
          </w:p>
          <w:p>
            <w:pPr>
              <w:pStyle w:val="TableParagraph"/>
              <w:spacing w:line="237" w:lineRule="auto"/>
              <w:ind w:left="103" w:right="86"/>
              <w:jc w:val="both"/>
              <w:rPr>
                <w:rFonts w:ascii="宋体" w:hAnsi="宋体" w:cs="宋体" w:eastAsia="宋体" w:hint="default"/>
                <w:sz w:val="21"/>
                <w:szCs w:val="21"/>
              </w:rPr>
            </w:pPr>
            <w:r>
              <w:rPr>
                <w:rFonts w:ascii="宋体" w:hAnsi="宋体" w:cs="宋体" w:eastAsia="宋体" w:hint="default"/>
                <w:spacing w:val="-2"/>
                <w:sz w:val="21"/>
                <w:szCs w:val="21"/>
              </w:rPr>
              <w:t>法确定限制性股票的公允价值，期权定价模型</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确定认沽期权价值，限制性股票成本由限制性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股票公允价值减去限制性股票授予价格确定。</w:t>
            </w:r>
          </w:p>
        </w:tc>
      </w:tr>
      <w:tr>
        <w:trPr>
          <w:trHeight w:val="826"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公司根据在职激励对象对应的权益工具、公司</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pacing w:val="-2"/>
                <w:sz w:val="21"/>
                <w:szCs w:val="21"/>
              </w:rPr>
              <w:t>业绩以及对未来年度公司业绩的预测进行确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定。</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8,583,654.63</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6,693,186.50</w:t>
            </w:r>
          </w:p>
        </w:tc>
      </w:tr>
    </w:tbl>
    <w:p>
      <w:pPr>
        <w:pStyle w:val="BodyText"/>
        <w:spacing w:line="241" w:lineRule="exact"/>
        <w:ind w:right="0"/>
        <w:jc w:val="both"/>
      </w:pPr>
      <w:r>
        <w:rPr/>
        <w:t>其他说明</w:t>
      </w:r>
    </w:p>
    <w:p>
      <w:pPr>
        <w:pStyle w:val="BodyText"/>
        <w:spacing w:line="237" w:lineRule="auto" w:before="121"/>
        <w:ind w:right="320"/>
        <w:jc w:val="both"/>
      </w:pPr>
      <w:r>
        <w:rPr>
          <w:rFonts w:ascii="宋体" w:hAnsi="宋体" w:cs="宋体" w:eastAsia="宋体" w:hint="default"/>
        </w:rPr>
        <w:t>2017</w:t>
      </w:r>
      <w:r>
        <w:rPr>
          <w:rFonts w:ascii="宋体" w:hAnsi="宋体" w:cs="宋体" w:eastAsia="宋体" w:hint="default"/>
          <w:spacing w:val="-57"/>
        </w:rPr>
        <w:t> </w:t>
      </w:r>
      <w:r>
        <w:rPr/>
        <w:t>年公司实现扣除非经常性损益后归属于公司普通股股东的净利润</w:t>
      </w:r>
      <w:r>
        <w:rPr>
          <w:spacing w:val="-55"/>
        </w:rPr>
        <w:t> </w:t>
      </w:r>
      <w:r>
        <w:rPr>
          <w:rFonts w:ascii="宋体" w:hAnsi="宋体" w:cs="宋体" w:eastAsia="宋体" w:hint="default"/>
        </w:rPr>
        <w:t>8,764.69</w:t>
      </w:r>
      <w:r>
        <w:rPr>
          <w:rFonts w:ascii="宋体" w:hAnsi="宋体" w:cs="宋体" w:eastAsia="宋体" w:hint="default"/>
          <w:spacing w:val="-54"/>
        </w:rPr>
        <w:t> </w:t>
      </w:r>
      <w:r>
        <w:rPr/>
        <w:t>万元，比上年同</w:t>
      </w:r>
      <w:r>
        <w:rPr>
          <w:w w:val="100"/>
        </w:rPr>
        <w:t> </w:t>
      </w:r>
      <w:r>
        <w:rPr/>
        <w:t>期增长</w:t>
      </w:r>
      <w:r>
        <w:rPr>
          <w:spacing w:val="-3"/>
        </w:rPr>
        <w:t> </w:t>
      </w:r>
      <w:r>
        <w:rPr>
          <w:rFonts w:ascii="宋体" w:hAnsi="宋体" w:cs="宋体" w:eastAsia="宋体" w:hint="default"/>
        </w:rPr>
        <w:t>25.59%</w:t>
      </w:r>
      <w:r>
        <w:rPr/>
        <w:t>，</w:t>
      </w:r>
      <w:r>
        <w:rPr>
          <w:rFonts w:ascii="宋体" w:hAnsi="宋体" w:cs="宋体" w:eastAsia="宋体" w:hint="default"/>
        </w:rPr>
        <w:t>2017</w:t>
      </w:r>
      <w:r>
        <w:rPr>
          <w:rFonts w:ascii="宋体" w:hAnsi="宋体" w:cs="宋体" w:eastAsia="宋体" w:hint="default"/>
          <w:spacing w:val="-53"/>
        </w:rPr>
        <w:t> </w:t>
      </w:r>
      <w:r>
        <w:rPr/>
        <w:t>年扣非后净利润金额较</w:t>
      </w:r>
      <w:r>
        <w:rPr>
          <w:spacing w:val="-54"/>
        </w:rPr>
        <w:t> </w:t>
      </w:r>
      <w:r>
        <w:rPr>
          <w:rFonts w:ascii="宋体" w:hAnsi="宋体" w:cs="宋体" w:eastAsia="宋体" w:hint="default"/>
        </w:rPr>
        <w:t>2016</w:t>
      </w:r>
      <w:r>
        <w:rPr>
          <w:rFonts w:ascii="宋体" w:hAnsi="宋体" w:cs="宋体" w:eastAsia="宋体" w:hint="default"/>
          <w:spacing w:val="-56"/>
        </w:rPr>
        <w:t> </w:t>
      </w:r>
      <w:r>
        <w:rPr/>
        <w:t>年同比增长不低于</w:t>
      </w:r>
      <w:r>
        <w:rPr>
          <w:spacing w:val="-54"/>
        </w:rPr>
        <w:t> </w:t>
      </w:r>
      <w:r>
        <w:rPr>
          <w:rFonts w:ascii="宋体" w:hAnsi="宋体" w:cs="宋体" w:eastAsia="宋体" w:hint="default"/>
        </w:rPr>
        <w:t>20%</w:t>
      </w:r>
      <w:r>
        <w:rPr/>
        <w:t>，符合股权激励第一个</w:t>
      </w:r>
      <w:r>
        <w:rPr>
          <w:w w:val="100"/>
        </w:rPr>
        <w:t> </w:t>
      </w:r>
      <w:r>
        <w:rPr/>
        <w:t>解锁期业绩考核条件。</w:t>
      </w:r>
    </w:p>
    <w:p>
      <w:pPr>
        <w:pStyle w:val="BodyText"/>
        <w:spacing w:line="274" w:lineRule="exact" w:before="116"/>
        <w:ind w:right="0"/>
        <w:jc w:val="both"/>
      </w:pPr>
      <w:r>
        <w:rPr>
          <w:rFonts w:ascii="宋体" w:hAnsi="宋体" w:cs="宋体" w:eastAsia="宋体" w:hint="default"/>
        </w:rPr>
        <w:t>2018 </w:t>
      </w:r>
      <w:r>
        <w:rPr/>
        <w:t>年 </w:t>
      </w:r>
      <w:r>
        <w:rPr>
          <w:rFonts w:ascii="宋体" w:hAnsi="宋体" w:cs="宋体" w:eastAsia="宋体" w:hint="default"/>
        </w:rPr>
        <w:t>8 </w:t>
      </w:r>
      <w:r>
        <w:rPr/>
        <w:t>月 </w:t>
      </w:r>
      <w:r>
        <w:rPr>
          <w:rFonts w:ascii="宋体" w:hAnsi="宋体" w:cs="宋体" w:eastAsia="宋体" w:hint="default"/>
        </w:rPr>
        <w:t>27</w:t>
      </w:r>
      <w:r>
        <w:rPr>
          <w:rFonts w:ascii="宋体" w:hAnsi="宋体" w:cs="宋体" w:eastAsia="宋体" w:hint="default"/>
          <w:spacing w:val="-5"/>
        </w:rPr>
        <w:t> </w:t>
      </w:r>
      <w:r>
        <w:rPr/>
        <w:t>日，公司第七届董事会第十五次会议和第七届监事会第十一次会议审议通过了</w:t>
      </w:r>
    </w:p>
    <w:p>
      <w:pPr>
        <w:pStyle w:val="BodyText"/>
        <w:spacing w:line="237" w:lineRule="auto" w:before="2"/>
        <w:ind w:right="310"/>
        <w:jc w:val="both"/>
        <w:rPr>
          <w:rFonts w:ascii="宋体" w:hAnsi="宋体" w:cs="宋体" w:eastAsia="宋体" w:hint="default"/>
        </w:rPr>
      </w:pPr>
      <w:r>
        <w:rPr>
          <w:spacing w:val="-2"/>
        </w:rPr>
        <w:t>《关于调整限制性股票激励计划授予价格与数量的议案》、《关于限制性股票激励计划第一个解</w:t>
      </w:r>
      <w:r>
        <w:rPr>
          <w:spacing w:val="-25"/>
        </w:rPr>
        <w:t> </w:t>
      </w:r>
      <w:r>
        <w:rPr>
          <w:spacing w:val="-25"/>
        </w:rPr>
      </w:r>
      <w:r>
        <w:rPr>
          <w:spacing w:val="-2"/>
        </w:rPr>
        <w:t>锁期解锁条件成就的议案》，公司独立董事对以上事项发表了独立意见，同意对限制性股票的授</w:t>
      </w:r>
      <w:r>
        <w:rPr>
          <w:spacing w:val="-25"/>
        </w:rPr>
        <w:t> </w:t>
      </w:r>
      <w:r>
        <w:rPr>
          <w:spacing w:val="-25"/>
        </w:rPr>
      </w:r>
      <w:r>
        <w:rPr>
          <w:spacing w:val="-7"/>
        </w:rPr>
        <w:t>予价格与授予数量进行调整，调整后，限制性股票的授予价格为 </w:t>
      </w:r>
      <w:r>
        <w:rPr>
          <w:rFonts w:ascii="宋体" w:hAnsi="宋体" w:cs="宋体" w:eastAsia="宋体" w:hint="default"/>
        </w:rPr>
        <w:t>16.04 </w:t>
      </w:r>
      <w:r>
        <w:rPr>
          <w:spacing w:val="-11"/>
        </w:rPr>
        <w:t>元</w:t>
      </w:r>
      <w:r>
        <w:rPr>
          <w:rFonts w:ascii="宋体" w:hAnsi="宋体" w:cs="宋体" w:eastAsia="宋体" w:hint="default"/>
          <w:spacing w:val="-11"/>
        </w:rPr>
        <w:t>/</w:t>
      </w:r>
      <w:r>
        <w:rPr>
          <w:spacing w:val="-11"/>
        </w:rPr>
        <w:t>股，数量为</w:t>
      </w:r>
      <w:r>
        <w:rPr>
          <w:spacing w:val="72"/>
        </w:rPr>
        <w:t> </w:t>
      </w:r>
      <w:r>
        <w:rPr>
          <w:rFonts w:ascii="宋体" w:hAnsi="宋体" w:cs="宋体" w:eastAsia="宋体" w:hint="default"/>
        </w:rPr>
        <w:t>2,347,800</w:t>
      </w:r>
    </w:p>
    <w:p>
      <w:pPr>
        <w:pStyle w:val="BodyText"/>
        <w:spacing w:line="271" w:lineRule="exact"/>
        <w:ind w:right="0"/>
        <w:jc w:val="both"/>
      </w:pPr>
      <w:r>
        <w:rPr>
          <w:spacing w:val="-7"/>
        </w:rPr>
        <w:t>股；认为公司 </w:t>
      </w:r>
      <w:r>
        <w:rPr>
          <w:rFonts w:ascii="宋体" w:hAnsi="宋体" w:cs="宋体" w:eastAsia="宋体" w:hint="default"/>
        </w:rPr>
        <w:t>134</w:t>
      </w:r>
      <w:r>
        <w:rPr>
          <w:rFonts w:ascii="宋体" w:hAnsi="宋体" w:cs="宋体" w:eastAsia="宋体" w:hint="default"/>
          <w:spacing w:val="82"/>
        </w:rPr>
        <w:t> </w:t>
      </w:r>
      <w:r>
        <w:rPr>
          <w:spacing w:val="-4"/>
        </w:rPr>
        <w:t>名激励对象的主体资格合法、有效，公司限制性股票激励计划第一个解锁期解</w:t>
      </w:r>
    </w:p>
    <w:p>
      <w:pPr>
        <w:pStyle w:val="BodyText"/>
        <w:spacing w:line="273" w:lineRule="exact"/>
        <w:ind w:right="0"/>
        <w:jc w:val="both"/>
      </w:pPr>
      <w:r>
        <w:rPr>
          <w:w w:val="100"/>
        </w:rPr>
        <w:t>锁条</w:t>
      </w:r>
      <w:r>
        <w:rPr>
          <w:spacing w:val="-3"/>
          <w:w w:val="100"/>
        </w:rPr>
        <w:t>件</w:t>
      </w:r>
      <w:r>
        <w:rPr>
          <w:w w:val="100"/>
        </w:rPr>
        <w:t>已</w:t>
      </w:r>
      <w:r>
        <w:rPr>
          <w:spacing w:val="-3"/>
          <w:w w:val="100"/>
        </w:rPr>
        <w:t>成就</w:t>
      </w:r>
      <w:r>
        <w:rPr>
          <w:spacing w:val="-92"/>
          <w:w w:val="100"/>
        </w:rPr>
        <w:t>。</w:t>
      </w:r>
      <w:r>
        <w:rPr>
          <w:spacing w:val="-3"/>
          <w:w w:val="100"/>
        </w:rPr>
        <w:t>董</w:t>
      </w:r>
      <w:r>
        <w:rPr>
          <w:w w:val="100"/>
        </w:rPr>
        <w:t>事</w:t>
      </w:r>
      <w:r>
        <w:rPr>
          <w:spacing w:val="-3"/>
          <w:w w:val="100"/>
        </w:rPr>
        <w:t>会</w:t>
      </w:r>
      <w:r>
        <w:rPr>
          <w:w w:val="100"/>
        </w:rPr>
        <w:t>一</w:t>
      </w:r>
      <w:r>
        <w:rPr>
          <w:spacing w:val="-3"/>
          <w:w w:val="100"/>
        </w:rPr>
        <w:t>致</w:t>
      </w:r>
      <w:r>
        <w:rPr>
          <w:w w:val="100"/>
        </w:rPr>
        <w:t>同意</w:t>
      </w:r>
      <w:r>
        <w:rPr>
          <w:spacing w:val="-3"/>
          <w:w w:val="100"/>
        </w:rPr>
        <w:t>公</w:t>
      </w:r>
      <w:r>
        <w:rPr>
          <w:w w:val="100"/>
        </w:rPr>
        <w:t>司</w:t>
      </w:r>
      <w:r>
        <w:rPr>
          <w:spacing w:val="-3"/>
          <w:w w:val="100"/>
        </w:rPr>
        <w:t>为</w:t>
      </w:r>
      <w:r>
        <w:rPr>
          <w:w w:val="100"/>
        </w:rPr>
        <w:t>符</w:t>
      </w:r>
      <w:r>
        <w:rPr>
          <w:spacing w:val="-3"/>
          <w:w w:val="100"/>
        </w:rPr>
        <w:t>合</w:t>
      </w:r>
      <w:r>
        <w:rPr>
          <w:w w:val="100"/>
        </w:rPr>
        <w:t>条</w:t>
      </w:r>
      <w:r>
        <w:rPr>
          <w:spacing w:val="-3"/>
          <w:w w:val="100"/>
        </w:rPr>
        <w:t>件</w:t>
      </w:r>
      <w:r>
        <w:rPr>
          <w:w w:val="100"/>
        </w:rPr>
        <w:t>的</w:t>
      </w:r>
      <w:r>
        <w:rPr/>
        <w:t> </w:t>
      </w:r>
      <w:r>
        <w:rPr>
          <w:rFonts w:ascii="宋体" w:hAnsi="宋体" w:cs="宋体" w:eastAsia="宋体" w:hint="default"/>
          <w:spacing w:val="-3"/>
          <w:w w:val="100"/>
        </w:rPr>
        <w:t>13</w:t>
      </w:r>
      <w:r>
        <w:rPr>
          <w:rFonts w:ascii="宋体" w:hAnsi="宋体" w:cs="宋体" w:eastAsia="宋体" w:hint="default"/>
          <w:w w:val="100"/>
        </w:rPr>
        <w:t>4</w:t>
      </w:r>
      <w:r>
        <w:rPr>
          <w:rFonts w:ascii="宋体" w:hAnsi="宋体" w:cs="宋体" w:eastAsia="宋体" w:hint="default"/>
        </w:rPr>
        <w:t> </w:t>
      </w:r>
      <w:r>
        <w:rPr>
          <w:w w:val="100"/>
        </w:rPr>
        <w:t>名</w:t>
      </w:r>
      <w:r>
        <w:rPr>
          <w:spacing w:val="-3"/>
          <w:w w:val="100"/>
        </w:rPr>
        <w:t>激</w:t>
      </w:r>
      <w:r>
        <w:rPr>
          <w:w w:val="100"/>
        </w:rPr>
        <w:t>励</w:t>
      </w:r>
      <w:r>
        <w:rPr>
          <w:spacing w:val="-3"/>
          <w:w w:val="100"/>
        </w:rPr>
        <w:t>对</w:t>
      </w:r>
      <w:r>
        <w:rPr>
          <w:w w:val="100"/>
        </w:rPr>
        <w:t>象</w:t>
      </w:r>
      <w:r>
        <w:rPr>
          <w:spacing w:val="-3"/>
          <w:w w:val="100"/>
        </w:rPr>
        <w:t>办</w:t>
      </w:r>
      <w:r>
        <w:rPr>
          <w:w w:val="100"/>
        </w:rPr>
        <w:t>理</w:t>
      </w:r>
      <w:r>
        <w:rPr>
          <w:spacing w:val="-3"/>
          <w:w w:val="100"/>
        </w:rPr>
        <w:t>限</w:t>
      </w:r>
      <w:r>
        <w:rPr>
          <w:w w:val="100"/>
        </w:rPr>
        <w:t>制</w:t>
      </w:r>
      <w:r>
        <w:rPr>
          <w:spacing w:val="-3"/>
          <w:w w:val="100"/>
        </w:rPr>
        <w:t>性</w:t>
      </w:r>
      <w:r>
        <w:rPr>
          <w:w w:val="100"/>
        </w:rPr>
        <w:t>股票</w:t>
      </w:r>
      <w:r>
        <w:rPr>
          <w:spacing w:val="-3"/>
          <w:w w:val="100"/>
        </w:rPr>
        <w:t>解</w:t>
      </w:r>
      <w:r>
        <w:rPr>
          <w:w w:val="100"/>
        </w:rPr>
        <w:t>锁</w:t>
      </w:r>
      <w:r>
        <w:rPr>
          <w:spacing w:val="-3"/>
          <w:w w:val="100"/>
        </w:rPr>
        <w:t>相</w:t>
      </w:r>
      <w:r>
        <w:rPr>
          <w:w w:val="100"/>
        </w:rPr>
        <w:t>关</w:t>
      </w:r>
      <w:r>
        <w:rPr>
          <w:spacing w:val="-3"/>
          <w:w w:val="100"/>
        </w:rPr>
        <w:t>事宜</w:t>
      </w:r>
      <w:r>
        <w:rPr>
          <w:w w:val="100"/>
        </w:rPr>
        <w:t>。</w:t>
      </w:r>
    </w:p>
    <w:p>
      <w:pPr>
        <w:pStyle w:val="BodyText"/>
        <w:spacing w:line="272" w:lineRule="exact"/>
        <w:ind w:right="0"/>
        <w:jc w:val="both"/>
      </w:pPr>
      <w:r>
        <w:rPr/>
        <w:t>本次解锁的限制性股票上市流通日：</w:t>
      </w:r>
      <w:r>
        <w:rPr>
          <w:rFonts w:ascii="宋体" w:hAnsi="宋体" w:cs="宋体" w:eastAsia="宋体" w:hint="default"/>
        </w:rPr>
        <w:t>2018 </w:t>
      </w:r>
      <w:r>
        <w:rPr/>
        <w:t>年 </w:t>
      </w:r>
      <w:r>
        <w:rPr>
          <w:rFonts w:ascii="宋体" w:hAnsi="宋体" w:cs="宋体" w:eastAsia="宋体" w:hint="default"/>
        </w:rPr>
        <w:t>9 </w:t>
      </w:r>
      <w:r>
        <w:rPr/>
        <w:t>月 </w:t>
      </w:r>
      <w:r>
        <w:rPr>
          <w:rFonts w:ascii="宋体" w:hAnsi="宋体" w:cs="宋体" w:eastAsia="宋体" w:hint="default"/>
        </w:rPr>
        <w:t>5</w:t>
      </w:r>
      <w:r>
        <w:rPr>
          <w:rFonts w:ascii="宋体" w:hAnsi="宋体" w:cs="宋体" w:eastAsia="宋体" w:hint="default"/>
          <w:spacing w:val="2"/>
        </w:rPr>
        <w:t> </w:t>
      </w:r>
      <w:r>
        <w:rPr/>
        <w:t>日，本次解锁的限制性股票上市流通数量：</w:t>
      </w:r>
    </w:p>
    <w:p>
      <w:pPr>
        <w:pStyle w:val="BodyText"/>
        <w:spacing w:line="274" w:lineRule="exact"/>
        <w:ind w:right="0"/>
        <w:jc w:val="both"/>
      </w:pPr>
      <w:r>
        <w:rPr>
          <w:rFonts w:ascii="宋体" w:hAnsi="宋体" w:cs="宋体" w:eastAsia="宋体" w:hint="default"/>
        </w:rPr>
        <w:t>939,120</w:t>
      </w:r>
      <w:r>
        <w:rPr>
          <w:rFonts w:ascii="宋体" w:hAnsi="宋体" w:cs="宋体" w:eastAsia="宋体" w:hint="default"/>
          <w:spacing w:val="3"/>
        </w:rPr>
        <w:t> </w:t>
      </w:r>
      <w:r>
        <w:rPr>
          <w:spacing w:val="-3"/>
        </w:rPr>
        <w:t>股。</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ind w:right="0"/>
        <w:jc w:val="both"/>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tabs>
          <w:tab w:pos="1057" w:val="left" w:leader="none"/>
        </w:tabs>
        <w:spacing w:line="290" w:lineRule="auto"/>
        <w:ind w:right="682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spacing w:line="290" w:lineRule="auto" w:before="12"/>
        <w:ind w:left="218" w:right="75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4"/>
        <w:spacing w:line="240" w:lineRule="auto" w:before="12"/>
        <w:ind w:right="0"/>
        <w:jc w:val="both"/>
        <w:rPr>
          <w:b w:val="0"/>
          <w:bCs w:val="0"/>
        </w:rPr>
      </w:pPr>
      <w:r>
        <w:rPr>
          <w:rFonts w:ascii="宋体" w:hAnsi="宋体" w:cs="宋体" w:eastAsia="宋体" w:hint="default"/>
        </w:rPr>
        <w:t>(1).</w:t>
      </w:r>
      <w:r>
        <w:rPr/>
        <w:t>资产负债表日存在的重要或有事项</w:t>
      </w:r>
      <w:r>
        <w:rPr>
          <w:b w:val="0"/>
          <w:bCs w:val="0"/>
        </w:rPr>
      </w:r>
    </w:p>
    <w:p>
      <w:pPr>
        <w:pStyle w:val="BodyText"/>
        <w:spacing w:line="240" w:lineRule="auto" w:before="58"/>
        <w:ind w:right="0"/>
        <w:jc w:val="both"/>
      </w:pPr>
      <w:r>
        <w:rPr/>
        <w:t>□适用</w:t>
      </w:r>
      <w:r>
        <w:rPr>
          <w:spacing w:val="104"/>
        </w:rPr>
        <w:t> </w:t>
      </w:r>
      <w:r>
        <w:rPr/>
        <w:t>√不适用</w:t>
      </w:r>
    </w:p>
    <w:p>
      <w:pPr>
        <w:spacing w:after="0" w:line="240" w:lineRule="auto"/>
        <w:jc w:val="both"/>
        <w:sectPr>
          <w:type w:val="continuous"/>
          <w:pgSz w:w="11910" w:h="16840"/>
          <w:pgMar w:top="1120" w:bottom="1380" w:left="1580" w:right="960"/>
        </w:sectPr>
      </w:pPr>
    </w:p>
    <w:p>
      <w:pPr>
        <w:spacing w:line="240" w:lineRule="auto" w:before="1"/>
        <w:rPr>
          <w:rFonts w:ascii="宋体" w:hAnsi="宋体" w:cs="宋体" w:eastAsia="宋体" w:hint="default"/>
          <w:sz w:val="25"/>
          <w:szCs w:val="25"/>
        </w:rPr>
      </w:pPr>
    </w:p>
    <w:p>
      <w:pPr>
        <w:pStyle w:val="Heading4"/>
        <w:spacing w:line="240" w:lineRule="auto" w:before="36"/>
        <w:ind w:right="227"/>
        <w:jc w:val="left"/>
        <w:rPr>
          <w:b w:val="0"/>
          <w:bCs w:val="0"/>
        </w:rPr>
      </w:pPr>
      <w:r>
        <w:rPr>
          <w:rFonts w:ascii="宋体" w:hAnsi="宋体" w:cs="宋体" w:eastAsia="宋体" w:hint="default"/>
        </w:rPr>
        <w:t>(2).</w:t>
      </w:r>
      <w:r>
        <w:rPr/>
        <w:t>公司没有需要披露的重要或有事项，也应予以说明：</w:t>
      </w:r>
      <w:r>
        <w:rPr>
          <w:b w:val="0"/>
          <w:bCs w:val="0"/>
        </w:rPr>
      </w:r>
    </w:p>
    <w:p>
      <w:pPr>
        <w:pStyle w:val="BodyText"/>
        <w:tabs>
          <w:tab w:pos="1060" w:val="left" w:leader="none"/>
        </w:tabs>
        <w:spacing w:line="240" w:lineRule="auto" w:before="58"/>
        <w:ind w:right="227"/>
        <w:jc w:val="left"/>
      </w:pPr>
      <w:r>
        <w:rPr>
          <w:spacing w:val="-1"/>
        </w:rPr>
        <w:t>□适用</w:t>
        <w:tab/>
      </w:r>
      <w:r>
        <w:rPr>
          <w:spacing w:val="-2"/>
        </w:rPr>
        <w:t>√不适用</w:t>
      </w:r>
    </w:p>
    <w:p>
      <w:pPr>
        <w:spacing w:line="240" w:lineRule="auto" w:before="12"/>
        <w:rPr>
          <w:rFonts w:ascii="宋体" w:hAnsi="宋体" w:cs="宋体" w:eastAsia="宋体" w:hint="default"/>
          <w:sz w:val="23"/>
          <w:szCs w:val="23"/>
        </w:rPr>
      </w:pPr>
    </w:p>
    <w:p>
      <w:pPr>
        <w:pStyle w:val="Heading4"/>
        <w:spacing w:line="240" w:lineRule="auto"/>
        <w:ind w:right="227"/>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60" w:val="left" w:leader="none"/>
        </w:tabs>
        <w:spacing w:line="240" w:lineRule="auto" w:before="58"/>
        <w:ind w:right="2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tabs>
          <w:tab w:pos="1057" w:val="left" w:leader="none"/>
        </w:tabs>
        <w:spacing w:line="240" w:lineRule="auto" w:before="36"/>
        <w:ind w:right="-16"/>
        <w:jc w:val="left"/>
        <w:rPr>
          <w:b w:val="0"/>
          <w:bCs w:val="0"/>
        </w:rPr>
      </w:pPr>
      <w:r>
        <w:rPr/>
        <w:t>十五、</w:t>
        <w:tab/>
        <w:t>资产负债表日后事项</w:t>
      </w:r>
      <w:r>
        <w:rPr>
          <w:b w:val="0"/>
          <w:bCs w:val="0"/>
        </w:rPr>
      </w:r>
    </w:p>
    <w:p>
      <w:pPr>
        <w:pStyle w:val="Heading4"/>
        <w:spacing w:line="240" w:lineRule="auto" w:before="56"/>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16"/>
        <w:jc w:val="left"/>
      </w:pPr>
      <w:r>
        <w:rPr/>
        <w:t>□适用</w:t>
      </w:r>
      <w:r>
        <w:rPr>
          <w:spacing w:val="-1"/>
        </w:rPr>
        <w:t> </w:t>
      </w:r>
      <w:r>
        <w:rPr/>
        <w:t>√不适用</w:t>
      </w:r>
    </w:p>
    <w:p>
      <w:pPr>
        <w:pStyle w:val="Heading4"/>
        <w:spacing w:line="240" w:lineRule="auto" w:before="56"/>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60,106,900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60106900</w:t>
            </w:r>
          </w:p>
        </w:tc>
      </w:tr>
    </w:tbl>
    <w:p>
      <w:pPr>
        <w:spacing w:line="240" w:lineRule="auto" w:before="12"/>
        <w:rPr>
          <w:rFonts w:ascii="宋体" w:hAnsi="宋体" w:cs="宋体" w:eastAsia="宋体" w:hint="default"/>
          <w:sz w:val="19"/>
          <w:szCs w:val="19"/>
        </w:rPr>
      </w:pPr>
    </w:p>
    <w:p>
      <w:pPr>
        <w:pStyle w:val="Heading4"/>
        <w:spacing w:line="240" w:lineRule="auto" w:before="36"/>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29"/>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90" w:lineRule="auto"/>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4"/>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right="6938"/>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pStyle w:val="BodyText"/>
        <w:spacing w:line="240" w:lineRule="auto" w:before="91"/>
        <w:ind w:right="0"/>
        <w:jc w:val="both"/>
      </w:pPr>
      <w:r>
        <w:rPr/>
        <w:t>□适用</w:t>
      </w:r>
      <w:r>
        <w:rPr>
          <w:spacing w:val="104"/>
        </w:rPr>
        <w:t> </w:t>
      </w:r>
      <w:r>
        <w:rPr/>
        <w:t>√不适用</w:t>
      </w: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(2).</w:t>
      </w:r>
      <w:r>
        <w:rPr/>
        <w:t>其他资产置换</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0"/>
        <w:jc w:val="both"/>
      </w:pPr>
      <w:r>
        <w:rPr/>
        <w:t>□适用</w:t>
      </w:r>
      <w:r>
        <w:rPr>
          <w:spacing w:val="-1"/>
        </w:rPr>
        <w:t> </w:t>
      </w:r>
      <w:r>
        <w:rPr/>
        <w:t>√不适用</w:t>
      </w:r>
    </w:p>
    <w:p>
      <w:pPr>
        <w:spacing w:after="0" w:line="240" w:lineRule="auto"/>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90" w:lineRule="auto" w:before="36"/>
        <w:ind w:right="5673"/>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tabs>
          <w:tab w:pos="1060" w:val="left" w:leader="none"/>
        </w:tabs>
        <w:spacing w:line="240" w:lineRule="auto" w:before="12"/>
        <w:ind w:right="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(2).</w:t>
      </w:r>
      <w:r>
        <w:rPr/>
        <w:t>报告分部的财务信息</w:t>
      </w:r>
      <w:r>
        <w:rPr>
          <w:b w:val="0"/>
          <w:bCs w:val="0"/>
        </w:rPr>
      </w:r>
    </w:p>
    <w:p>
      <w:pPr>
        <w:pStyle w:val="Heading4"/>
        <w:tabs>
          <w:tab w:pos="1060" w:val="left" w:leader="none"/>
        </w:tabs>
        <w:spacing w:line="290" w:lineRule="auto" w:before="58"/>
        <w:ind w:right="841"/>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rFonts w:ascii="宋体" w:hAnsi="宋体" w:cs="宋体" w:eastAsia="宋体" w:hint="default"/>
          <w:spacing w:val="-1"/>
        </w:rPr>
        <w:t>(3).</w:t>
      </w:r>
      <w:r>
        <w:rPr>
          <w:spacing w:val="-1"/>
        </w:rPr>
        <w:t>公司无报告分部的，或者不能披露各报告分部的资产总额和负债总额的，应说明原因</w:t>
      </w:r>
      <w:r>
        <w:rPr>
          <w:b w:val="0"/>
          <w:bCs w:val="0"/>
          <w:spacing w:val="-1"/>
        </w:rPr>
      </w:r>
    </w:p>
    <w:p>
      <w:pPr>
        <w:pStyle w:val="BodyText"/>
        <w:tabs>
          <w:tab w:pos="1060" w:val="left" w:leader="none"/>
        </w:tabs>
        <w:spacing w:line="240" w:lineRule="auto" w:before="14"/>
        <w:ind w:right="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(4).</w:t>
      </w:r>
      <w:r>
        <w:rPr/>
        <w:t>其他说明</w:t>
      </w:r>
      <w:r>
        <w:rPr>
          <w:b w:val="0"/>
          <w:bCs w:val="0"/>
        </w:rPr>
      </w:r>
    </w:p>
    <w:p>
      <w:pPr>
        <w:pStyle w:val="BodyText"/>
        <w:tabs>
          <w:tab w:pos="1060" w:val="left" w:leader="none"/>
        </w:tabs>
        <w:spacing w:line="240" w:lineRule="auto" w:before="57"/>
        <w:ind w:right="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1060" w:val="left" w:leader="none"/>
        </w:tabs>
        <w:spacing w:line="240" w:lineRule="auto" w:before="135"/>
        <w:ind w:right="227"/>
        <w:jc w:val="left"/>
      </w:pPr>
      <w:r>
        <w:rPr>
          <w:spacing w:val="-1"/>
        </w:rPr>
        <w:t>□适用</w:t>
        <w:tab/>
      </w:r>
      <w:r>
        <w:rPr>
          <w:spacing w:val="-2"/>
        </w:rPr>
        <w:t>√不适用</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before="36"/>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1060" w:val="left" w:leader="none"/>
        </w:tabs>
        <w:spacing w:line="240" w:lineRule="auto" w:before="58"/>
        <w:ind w:right="0"/>
        <w:jc w:val="left"/>
      </w:pPr>
      <w:r>
        <w:rPr>
          <w:spacing w:val="-1"/>
        </w:rPr>
        <w:t>□适用</w:t>
        <w:tab/>
      </w:r>
      <w:r>
        <w:rPr>
          <w:spacing w:val="-2"/>
        </w:rPr>
        <w:t>√不适用</w:t>
      </w:r>
    </w:p>
    <w:p>
      <w:pPr>
        <w:pStyle w:val="Heading4"/>
        <w:tabs>
          <w:tab w:pos="1057" w:val="left" w:leader="none"/>
        </w:tabs>
        <w:spacing w:line="290" w:lineRule="auto" w:before="56"/>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4"/>
        <w:spacing w:line="240" w:lineRule="auto" w:before="12"/>
        <w:ind w:right="0"/>
        <w:jc w:val="left"/>
        <w:rPr>
          <w:b w:val="0"/>
          <w:bCs w:val="0"/>
        </w:rPr>
      </w:pPr>
      <w:r>
        <w:rPr/>
        <w:t>总表情况</w:t>
      </w:r>
      <w:r>
        <w:rPr>
          <w:b w:val="0"/>
          <w:bCs w:val="0"/>
        </w:rPr>
      </w:r>
    </w:p>
    <w:p>
      <w:pPr>
        <w:pStyle w:val="Heading4"/>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99" w:space="2619"/>
            <w:col w:w="287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417,000.64</w:t>
            </w: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21,176,779.32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16,557,888.30</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21,593,779.96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16,557,888.30</w:t>
            </w:r>
          </w:p>
        </w:tc>
      </w:tr>
    </w:tbl>
    <w:p>
      <w:pPr>
        <w:spacing w:line="240" w:lineRule="auto" w:before="5"/>
        <w:rPr>
          <w:rFonts w:ascii="宋体" w:hAnsi="宋体" w:cs="宋体" w:eastAsia="宋体" w:hint="default"/>
          <w:sz w:val="15"/>
          <w:szCs w:val="15"/>
        </w:rPr>
      </w:pPr>
    </w:p>
    <w:p>
      <w:pPr>
        <w:pStyle w:val="BodyText"/>
        <w:spacing w:line="274" w:lineRule="exact" w:before="36"/>
        <w:ind w:right="227"/>
        <w:jc w:val="left"/>
      </w:pPr>
      <w:r>
        <w:rPr/>
        <w:t>其他说明：</w:t>
      </w:r>
    </w:p>
    <w:p>
      <w:pPr>
        <w:pStyle w:val="BodyText"/>
        <w:spacing w:line="274" w:lineRule="exact"/>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20"/>
        <w:jc w:val="left"/>
        <w:rPr>
          <w:b w:val="0"/>
          <w:bCs w:val="0"/>
        </w:rPr>
      </w:pPr>
      <w:r>
        <w:rPr/>
        <w:t>应收票据</w:t>
      </w:r>
      <w:r>
        <w:rPr>
          <w:b w:val="0"/>
          <w:bCs w:val="0"/>
        </w:rPr>
      </w:r>
    </w:p>
    <w:p>
      <w:pPr>
        <w:pStyle w:val="Heading4"/>
        <w:spacing w:line="240" w:lineRule="auto" w:before="56"/>
        <w:ind w:right="-20"/>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36" w:space="4086"/>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417,000.64</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417,000.64</w:t>
            </w:r>
          </w:p>
        </w:tc>
        <w:tc>
          <w:tcPr>
            <w:tcW w:w="29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before="36"/>
        <w:ind w:right="227"/>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right="227"/>
        <w:jc w:val="left"/>
      </w:pPr>
      <w:r>
        <w:rPr/>
        <w:t>□适用</w:t>
      </w:r>
      <w:r>
        <w:rPr>
          <w:spacing w:val="-1"/>
        </w:rPr>
        <w:t> </w:t>
      </w:r>
      <w:r>
        <w:rPr/>
        <w:t>√不适用</w:t>
      </w:r>
    </w:p>
    <w:p>
      <w:pPr>
        <w:pStyle w:val="Heading4"/>
        <w:spacing w:line="240" w:lineRule="auto" w:before="59"/>
        <w:ind w:right="227"/>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right="227"/>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138" w:right="7374"/>
        <w:jc w:val="left"/>
      </w:pPr>
      <w:r>
        <w:rPr/>
        <w:t>□适用</w:t>
      </w:r>
      <w:r>
        <w:rPr>
          <w:spacing w:val="-1"/>
        </w:rPr>
        <w:t> </w:t>
      </w:r>
      <w:r>
        <w:rPr/>
        <w:t>√不适用</w:t>
      </w:r>
      <w:r>
        <w:rPr>
          <w:w w:val="100"/>
        </w:rPr>
        <w:t> </w:t>
      </w:r>
      <w:r>
        <w:rPr/>
        <w:t>其他说明：</w:t>
      </w:r>
    </w:p>
    <w:p>
      <w:pPr>
        <w:pStyle w:val="BodyText"/>
        <w:spacing w:line="249" w:lineRule="exact"/>
        <w:ind w:left="138" w:right="0"/>
        <w:jc w:val="left"/>
      </w:pPr>
      <w:r>
        <w:rPr/>
        <w:t>□适用</w:t>
      </w:r>
      <w:r>
        <w:rPr>
          <w:spacing w:val="-1"/>
        </w:rPr>
        <w:t> </w:t>
      </w:r>
      <w:r>
        <w:rPr/>
        <w:t>√不适用</w:t>
      </w:r>
    </w:p>
    <w:p>
      <w:pPr>
        <w:spacing w:after="0" w:line="249" w:lineRule="exact"/>
        <w:jc w:val="left"/>
        <w:sectPr>
          <w:pgSz w:w="11910" w:h="16840"/>
          <w:pgMar w:header="882" w:footer="1195" w:top="1120" w:bottom="1380" w:left="1660" w:right="114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3"/>
          <w:footerReference w:type="default" r:id="rId64"/>
          <w:pgSz w:w="16840" w:h="11910" w:orient="landscape"/>
          <w:pgMar w:header="0" w:footer="0" w:top="800" w:bottom="280" w:left="1300" w:right="1380"/>
        </w:sectPr>
      </w:pPr>
    </w:p>
    <w:p>
      <w:pPr>
        <w:pStyle w:val="Heading4"/>
        <w:spacing w:line="290" w:lineRule="auto" w:before="36"/>
        <w:ind w:left="140" w:right="-16"/>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982" w:val="left" w:leader="none"/>
        </w:tabs>
        <w:spacing w:line="240" w:lineRule="auto" w:before="14"/>
        <w:ind w:left="140"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80"/>
          <w:cols w:num="2" w:equalWidth="0">
            <w:col w:w="2255" w:space="9307"/>
            <w:col w:w="259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01"/>
        <w:gridCol w:w="1426"/>
        <w:gridCol w:w="896"/>
        <w:gridCol w:w="1322"/>
        <w:gridCol w:w="922"/>
        <w:gridCol w:w="1426"/>
        <w:gridCol w:w="1428"/>
        <w:gridCol w:w="922"/>
        <w:gridCol w:w="1322"/>
        <w:gridCol w:w="946"/>
        <w:gridCol w:w="1426"/>
      </w:tblGrid>
      <w:tr>
        <w:trPr>
          <w:trHeight w:val="281" w:hRule="exact"/>
        </w:trPr>
        <w:tc>
          <w:tcPr>
            <w:tcW w:w="190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901" w:type="dxa"/>
            <w:vMerge/>
            <w:tcBorders>
              <w:left w:val="single" w:sz="4" w:space="0" w:color="000000"/>
              <w:right w:val="single" w:sz="4" w:space="0" w:color="000000"/>
            </w:tcBorders>
          </w:tcPr>
          <w:p>
            <w:pP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901"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5" w:lineRule="exact"/>
              <w:ind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5" w:lineRule="exact"/>
              <w:ind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r>
      <w:tr>
        <w:trPr>
          <w:trHeight w:val="82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单项金额重大并单</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26" w:right="0"/>
              <w:jc w:val="left"/>
              <w:rPr>
                <w:rFonts w:ascii="宋体" w:hAnsi="宋体" w:cs="宋体" w:eastAsia="宋体" w:hint="default"/>
                <w:sz w:val="21"/>
                <w:szCs w:val="21"/>
              </w:rPr>
            </w:pPr>
            <w:r>
              <w:rPr>
                <w:rFonts w:ascii="宋体" w:hAnsi="宋体" w:cs="宋体" w:eastAsia="宋体" w:hint="default"/>
                <w:spacing w:val="17"/>
                <w:sz w:val="21"/>
                <w:szCs w:val="21"/>
              </w:rPr>
              <w:t>独计提坏账准备的</w:t>
            </w:r>
            <w:r>
              <w:rPr>
                <w:rFonts w:ascii="宋体" w:hAnsi="宋体" w:cs="宋体" w:eastAsia="宋体" w:hint="default"/>
                <w:spacing w:val="-85"/>
                <w:sz w:val="21"/>
                <w:szCs w:val="21"/>
              </w:rPr>
              <w:t> </w:t>
            </w:r>
            <w:r>
              <w:rPr>
                <w:rFonts w:ascii="宋体" w:hAnsi="宋体" w:cs="宋体" w:eastAsia="宋体" w:hint="default"/>
                <w:sz w:val="21"/>
                <w:szCs w:val="21"/>
              </w:rPr>
              <w:t>应收账款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按信用风险特征组</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pacing w:val="17"/>
                <w:sz w:val="21"/>
                <w:szCs w:val="21"/>
              </w:rPr>
              <w:t>合计提坏账准备的</w:t>
            </w:r>
            <w:r>
              <w:rPr>
                <w:rFonts w:ascii="宋体" w:hAnsi="宋体" w:cs="宋体" w:eastAsia="宋体" w:hint="default"/>
                <w:spacing w:val="-85"/>
                <w:sz w:val="21"/>
                <w:szCs w:val="21"/>
              </w:rPr>
              <w:t> </w:t>
            </w:r>
            <w:r>
              <w:rPr>
                <w:rFonts w:ascii="宋体" w:hAnsi="宋体" w:cs="宋体" w:eastAsia="宋体" w:hint="default"/>
                <w:sz w:val="21"/>
                <w:szCs w:val="21"/>
              </w:rPr>
              <w:t>应收账款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23,733,334.70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96.74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2,556,555.38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10.77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21,176,779.32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19,306,128.14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2,748,239.84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sz w:val="21"/>
              </w:rPr>
              <w:t>14.24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16,557,888.30</w:t>
            </w:r>
          </w:p>
        </w:tc>
      </w:tr>
      <w:tr>
        <w:trPr>
          <w:trHeight w:val="82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单项金额不重大但</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26" w:right="0"/>
              <w:jc w:val="left"/>
              <w:rPr>
                <w:rFonts w:ascii="宋体" w:hAnsi="宋体" w:cs="宋体" w:eastAsia="宋体" w:hint="default"/>
                <w:sz w:val="21"/>
                <w:szCs w:val="21"/>
              </w:rPr>
            </w:pPr>
            <w:r>
              <w:rPr>
                <w:rFonts w:ascii="宋体" w:hAnsi="宋体" w:cs="宋体" w:eastAsia="宋体" w:hint="default"/>
                <w:spacing w:val="17"/>
                <w:sz w:val="21"/>
                <w:szCs w:val="21"/>
              </w:rPr>
              <w:t>单独计提坏账准备</w:t>
            </w:r>
            <w:r>
              <w:rPr>
                <w:rFonts w:ascii="宋体" w:hAnsi="宋体" w:cs="宋体" w:eastAsia="宋体" w:hint="default"/>
                <w:spacing w:val="-85"/>
                <w:sz w:val="21"/>
                <w:szCs w:val="21"/>
              </w:rPr>
              <w:t> </w:t>
            </w:r>
            <w:r>
              <w:rPr>
                <w:rFonts w:ascii="宋体" w:hAnsi="宋体" w:cs="宋体" w:eastAsia="宋体" w:hint="default"/>
                <w:sz w:val="21"/>
                <w:szCs w:val="21"/>
              </w:rPr>
              <w:t>的应收账款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24,533,334.70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3,356,555.38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21,176,779.32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19,306,128.14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2,748,239.84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16,557,888.30</w:t>
            </w:r>
          </w:p>
        </w:tc>
      </w:tr>
    </w:tbl>
    <w:p>
      <w:pPr>
        <w:spacing w:line="240" w:lineRule="auto" w:before="12"/>
        <w:rPr>
          <w:rFonts w:ascii="宋体" w:hAnsi="宋体" w:cs="宋体" w:eastAsia="宋体" w:hint="default"/>
          <w:sz w:val="19"/>
          <w:szCs w:val="19"/>
        </w:rPr>
      </w:pPr>
    </w:p>
    <w:p>
      <w:pPr>
        <w:pStyle w:val="BodyText"/>
        <w:spacing w:line="240" w:lineRule="auto" w:before="36"/>
        <w:ind w:left="140" w:right="0"/>
        <w:jc w:val="left"/>
      </w:pPr>
      <w:r>
        <w:rPr/>
        <w:t>期末单项金额重大并单项计提坏账准备的应收账款：</w:t>
      </w:r>
    </w:p>
    <w:p>
      <w:pPr>
        <w:pStyle w:val="BodyText"/>
        <w:spacing w:line="240" w:lineRule="auto" w:before="58"/>
        <w:ind w:left="140"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63"/>
        <w:ind w:left="6395" w:right="6399" w:firstLine="0"/>
        <w:jc w:val="center"/>
        <w:rPr>
          <w:rFonts w:ascii="Calibri" w:hAnsi="Calibri" w:cs="Calibri" w:eastAsia="Calibri" w:hint="default"/>
          <w:sz w:val="18"/>
          <w:szCs w:val="18"/>
        </w:rPr>
      </w:pPr>
      <w:r>
        <w:rPr>
          <w:rFonts w:ascii="Calibri"/>
          <w:b/>
          <w:sz w:val="18"/>
        </w:rPr>
        <w:t>146 </w:t>
      </w:r>
      <w:r>
        <w:rPr>
          <w:rFonts w:ascii="Calibri"/>
          <w:sz w:val="18"/>
        </w:rPr>
        <w:t>/</w:t>
      </w:r>
      <w:r>
        <w:rPr>
          <w:rFonts w:ascii="Calibri"/>
          <w:spacing w:val="-5"/>
          <w:sz w:val="18"/>
        </w:rPr>
        <w:t> </w:t>
      </w:r>
      <w:r>
        <w:rPr>
          <w:rFonts w:ascii="Calibri"/>
          <w:b/>
          <w:sz w:val="18"/>
        </w:rPr>
        <w:t>156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65"/>
          <w:pgSz w:w="11910" w:h="16840"/>
          <w:pgMar w:footer="1195" w:header="0" w:top="1120" w:bottom="1380" w:left="1580" w:right="1040"/>
          <w:pgNumType w:start="147"/>
        </w:sectPr>
      </w:pPr>
    </w:p>
    <w:p>
      <w:pPr>
        <w:pStyle w:val="BodyText"/>
        <w:spacing w:line="240" w:lineRule="auto" w:before="36"/>
        <w:ind w:right="0"/>
        <w:jc w:val="left"/>
      </w:pPr>
      <w:r>
        <w:rPr>
          <w:spacing w:val="-2"/>
        </w:rPr>
        <w:t>组合中，按账龄分析法计提坏账准备的应收账款：</w:t>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18,835,351.72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941,767.58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18,835,351.72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941,767.58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1,645,772.85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164,577.29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771,400.00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231,420.00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1,218,790.51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1,218,790.51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22,471,315.08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2,556,555.38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11.38</w:t>
            </w:r>
          </w:p>
        </w:tc>
      </w:tr>
    </w:tbl>
    <w:p>
      <w:pPr>
        <w:pStyle w:val="BodyText"/>
        <w:spacing w:line="290" w:lineRule="auto" w:before="26"/>
        <w:ind w:right="6728"/>
        <w:jc w:val="left"/>
      </w:pPr>
      <w:r>
        <w:rPr>
          <w:spacing w:val="-2"/>
        </w:rPr>
        <w:t>确定该组合依据的说明：</w:t>
      </w:r>
      <w:r>
        <w:rPr>
          <w:spacing w:val="-83"/>
        </w:rPr>
        <w:t> </w:t>
      </w:r>
      <w:r>
        <w:rPr>
          <w:spacing w:val="-83"/>
        </w:rPr>
      </w:r>
      <w:r>
        <w:rPr/>
        <w:t>无</w:t>
      </w:r>
    </w:p>
    <w:p>
      <w:pPr>
        <w:spacing w:line="240" w:lineRule="auto" w:before="11"/>
        <w:rPr>
          <w:rFonts w:ascii="宋体" w:hAnsi="宋体" w:cs="宋体" w:eastAsia="宋体" w:hint="default"/>
          <w:sz w:val="21"/>
          <w:szCs w:val="21"/>
        </w:rPr>
      </w:pPr>
    </w:p>
    <w:p>
      <w:pPr>
        <w:pStyle w:val="BodyText"/>
        <w:spacing w:line="240" w:lineRule="auto"/>
        <w:ind w:right="227"/>
        <w:jc w:val="left"/>
      </w:pPr>
      <w:r>
        <w:rPr/>
        <w:t>组合中，采用余额百分比法计提坏账准备的应收账款：</w:t>
      </w:r>
    </w:p>
    <w:p>
      <w:pPr>
        <w:pStyle w:val="BodyText"/>
        <w:spacing w:line="240" w:lineRule="auto" w:before="58"/>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227"/>
        <w:jc w:val="left"/>
      </w:pPr>
      <w:r>
        <w:rPr/>
        <w:t>组合中，采用其他方法计提坏账准备的应收账款：</w:t>
      </w:r>
    </w:p>
    <w:p>
      <w:pPr>
        <w:pStyle w:val="BodyText"/>
        <w:spacing w:line="290" w:lineRule="auto" w:before="58"/>
        <w:ind w:right="2096"/>
        <w:jc w:val="left"/>
      </w:pPr>
      <w:r>
        <w:rPr/>
        <w:t>√适用</w:t>
      </w:r>
      <w:r>
        <w:rPr>
          <w:spacing w:val="-2"/>
        </w:rPr>
        <w:t> </w:t>
      </w:r>
      <w:r>
        <w:rPr/>
        <w:t>□不适用</w:t>
      </w:r>
      <w:r>
        <w:rPr>
          <w:w w:val="100"/>
        </w:rPr>
        <w:t> </w:t>
      </w:r>
      <w:r>
        <w:rPr>
          <w:spacing w:val="-2"/>
        </w:rPr>
        <w:t>划分为对象组合—合并报表范围内公司款项，不计提坏账准备的应收账款：</w:t>
      </w:r>
    </w:p>
    <w:p>
      <w:pPr>
        <w:spacing w:line="240" w:lineRule="auto" w:before="11"/>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41" w:right="0"/>
              <w:jc w:val="left"/>
              <w:rPr>
                <w:rFonts w:ascii="宋体" w:hAnsi="宋体" w:cs="宋体" w:eastAsia="宋体" w:hint="default"/>
                <w:sz w:val="21"/>
                <w:szCs w:val="21"/>
              </w:rPr>
            </w:pPr>
            <w:r>
              <w:rPr>
                <w:rFonts w:ascii="宋体"/>
                <w:sz w:val="21"/>
              </w:rPr>
              <w:t>1,262,019.62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44" w:right="0"/>
              <w:jc w:val="left"/>
              <w:rPr>
                <w:rFonts w:ascii="宋体" w:hAnsi="宋体" w:cs="宋体" w:eastAsia="宋体" w:hint="default"/>
                <w:sz w:val="21"/>
                <w:szCs w:val="21"/>
              </w:rPr>
            </w:pPr>
            <w:r>
              <w:rPr>
                <w:rFonts w:ascii="宋体"/>
                <w:sz w:val="21"/>
              </w:rPr>
              <w:t>2,806,029.20</w:t>
            </w:r>
          </w:p>
        </w:tc>
      </w:tr>
    </w:tbl>
    <w:p>
      <w:pPr>
        <w:spacing w:line="240" w:lineRule="auto" w:before="12"/>
        <w:rPr>
          <w:rFonts w:ascii="宋体" w:hAnsi="宋体" w:cs="宋体" w:eastAsia="宋体" w:hint="default"/>
          <w:sz w:val="19"/>
          <w:szCs w:val="19"/>
        </w:rPr>
      </w:pPr>
    </w:p>
    <w:p>
      <w:pPr>
        <w:pStyle w:val="Heading4"/>
        <w:spacing w:line="240" w:lineRule="auto" w:before="36"/>
        <w:ind w:right="227"/>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right="227"/>
        <w:jc w:val="left"/>
      </w:pPr>
      <w:r>
        <w:rPr/>
        <w:t>本期计提坏账准备金额</w:t>
      </w:r>
      <w:r>
        <w:rPr>
          <w:spacing w:val="-54"/>
        </w:rPr>
        <w:t> </w:t>
      </w:r>
      <w:r>
        <w:rPr>
          <w:rFonts w:ascii="宋体" w:hAnsi="宋体" w:cs="宋体" w:eastAsia="宋体" w:hint="default"/>
        </w:rPr>
        <w:t>1,588,641.09</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4" w:lineRule="exact"/>
        <w:ind w:right="227"/>
        <w:jc w:val="left"/>
      </w:pPr>
      <w:r>
        <w:rPr/>
        <w:t>其中本期坏账准备收回或转回金额重要的：</w:t>
      </w:r>
    </w:p>
    <w:p>
      <w:pPr>
        <w:pStyle w:val="BodyText"/>
        <w:spacing w:line="274" w:lineRule="exact"/>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before="36"/>
        <w:ind w:right="-1"/>
        <w:jc w:val="left"/>
        <w:rPr>
          <w:b w:val="0"/>
          <w:bCs w:val="0"/>
        </w:rPr>
      </w:pPr>
      <w:r>
        <w:rPr>
          <w:rFonts w:ascii="宋体" w:hAnsi="宋体" w:cs="宋体" w:eastAsia="宋体" w:hint="default"/>
          <w:spacing w:val="-1"/>
        </w:rPr>
        <w:t>(3).</w:t>
      </w:r>
      <w:r>
        <w:rPr>
          <w:spacing w:val="-1"/>
        </w:rPr>
        <w:t>本期实际核销的应收账款情况</w:t>
      </w:r>
      <w:r>
        <w:rPr>
          <w:b w:val="0"/>
          <w:bCs w:val="0"/>
          <w:spacing w:val="-1"/>
        </w:rPr>
      </w:r>
    </w:p>
    <w:p>
      <w:pPr>
        <w:pStyle w:val="BodyText"/>
        <w:spacing w:line="240" w:lineRule="auto" w:before="59"/>
        <w:ind w:right="-1"/>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85" w:space="313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980,325.55</w:t>
            </w:r>
          </w:p>
        </w:tc>
      </w:tr>
    </w:tbl>
    <w:p>
      <w:pPr>
        <w:spacing w:line="240" w:lineRule="auto" w:before="7"/>
        <w:rPr>
          <w:rFonts w:ascii="宋体" w:hAnsi="宋体" w:cs="宋体" w:eastAsia="宋体" w:hint="default"/>
          <w:sz w:val="15"/>
          <w:szCs w:val="15"/>
        </w:rPr>
      </w:pPr>
    </w:p>
    <w:p>
      <w:pPr>
        <w:pStyle w:val="BodyText"/>
        <w:spacing w:line="273" w:lineRule="exact" w:before="36"/>
        <w:ind w:right="227"/>
        <w:jc w:val="left"/>
      </w:pPr>
      <w:r>
        <w:rPr/>
        <w:t>其中重要的应收账款核销情况</w:t>
      </w:r>
    </w:p>
    <w:p>
      <w:pPr>
        <w:pStyle w:val="BodyText"/>
        <w:spacing w:line="273" w:lineRule="exact"/>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27"/>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60" w:val="left" w:leader="none"/>
        </w:tabs>
        <w:spacing w:line="240" w:lineRule="auto" w:before="56"/>
        <w:ind w:right="227"/>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85"/>
        <w:gridCol w:w="1988"/>
        <w:gridCol w:w="1982"/>
        <w:gridCol w:w="1995"/>
      </w:tblGrid>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应收账款期末余额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占应收账款期末余</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额合计数的比例</w:t>
            </w:r>
            <w:r>
              <w:rPr>
                <w:rFonts w:ascii="宋体" w:hAnsi="宋体" w:cs="宋体" w:eastAsia="宋体" w:hint="default"/>
                <w:sz w:val="21"/>
                <w:szCs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85"/>
        <w:gridCol w:w="1988"/>
        <w:gridCol w:w="1982"/>
        <w:gridCol w:w="1995"/>
      </w:tblGrid>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东吴证券股份有限公司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1,299,156.66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5.30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489,957.83</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西安翔迅科技有限责任公司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1,214,530.00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60,726.50</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1,212,150.94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60,607.55</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中国银河证券股份有限公司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1,163,750.00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4.74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58,187.50</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华宝证券有限责任公司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1,077,000.00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53,850.00</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5,966,587.60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24.32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723,329.38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27"/>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60" w:val="left" w:leader="none"/>
        </w:tabs>
        <w:spacing w:line="240" w:lineRule="auto" w:before="58"/>
        <w:ind w:right="227"/>
        <w:jc w:val="left"/>
      </w:pPr>
      <w:r>
        <w:rPr>
          <w:spacing w:val="-1"/>
        </w:rPr>
        <w:t>□适用</w:t>
        <w:tab/>
      </w:r>
      <w:r>
        <w:rPr>
          <w:spacing w:val="-2"/>
        </w:rPr>
        <w:t>√不适用</w:t>
      </w:r>
    </w:p>
    <w:p>
      <w:pPr>
        <w:spacing w:line="240" w:lineRule="auto" w:before="12"/>
        <w:rPr>
          <w:rFonts w:ascii="宋体" w:hAnsi="宋体" w:cs="宋体" w:eastAsia="宋体" w:hint="default"/>
          <w:sz w:val="22"/>
          <w:szCs w:val="22"/>
        </w:rPr>
      </w:pPr>
    </w:p>
    <w:p>
      <w:pPr>
        <w:pStyle w:val="Heading4"/>
        <w:spacing w:line="240" w:lineRule="auto"/>
        <w:ind w:right="227"/>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60" w:val="left" w:leader="none"/>
        </w:tabs>
        <w:spacing w:line="240" w:lineRule="auto" w:before="56"/>
        <w:ind w:right="227"/>
        <w:jc w:val="left"/>
      </w:pPr>
      <w:r>
        <w:rPr>
          <w:spacing w:val="-1"/>
        </w:rPr>
        <w:t>□适用</w:t>
        <w:tab/>
      </w:r>
      <w:r>
        <w:rPr>
          <w:spacing w:val="-2"/>
        </w:rPr>
        <w:t>√不适用</w:t>
      </w:r>
    </w:p>
    <w:p>
      <w:pPr>
        <w:spacing w:line="240" w:lineRule="auto" w:before="6"/>
        <w:rPr>
          <w:rFonts w:ascii="宋体" w:hAnsi="宋体" w:cs="宋体" w:eastAsia="宋体" w:hint="default"/>
          <w:sz w:val="18"/>
          <w:szCs w:val="18"/>
        </w:rPr>
      </w:pPr>
    </w:p>
    <w:p>
      <w:pPr>
        <w:pStyle w:val="BodyText"/>
        <w:spacing w:line="273" w:lineRule="exact"/>
        <w:ind w:right="227"/>
        <w:jc w:val="left"/>
      </w:pPr>
      <w:r>
        <w:rPr/>
        <w:t>其他说明：</w:t>
      </w:r>
    </w:p>
    <w:p>
      <w:pPr>
        <w:pStyle w:val="BodyText"/>
        <w:spacing w:line="273" w:lineRule="exact"/>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4"/>
        <w:spacing w:line="290" w:lineRule="auto" w:before="36"/>
        <w:ind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4,268,712.47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6,676,191.78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5,957,257.68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1,113,479.51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10,225,970.15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7,789,671.29</w:t>
            </w:r>
          </w:p>
        </w:tc>
      </w:tr>
    </w:tbl>
    <w:p>
      <w:pPr>
        <w:spacing w:line="240" w:lineRule="auto" w:before="5"/>
        <w:rPr>
          <w:rFonts w:ascii="宋体" w:hAnsi="宋体" w:cs="宋体" w:eastAsia="宋体" w:hint="default"/>
          <w:sz w:val="15"/>
          <w:szCs w:val="15"/>
        </w:rPr>
      </w:pPr>
    </w:p>
    <w:p>
      <w:pPr>
        <w:pStyle w:val="BodyText"/>
        <w:spacing w:line="274" w:lineRule="exact" w:before="36"/>
        <w:ind w:right="227"/>
        <w:jc w:val="left"/>
      </w:pPr>
      <w:r>
        <w:rPr/>
        <w:t>其他说明：</w:t>
      </w:r>
    </w:p>
    <w:p>
      <w:pPr>
        <w:pStyle w:val="BodyText"/>
        <w:spacing w:line="274" w:lineRule="exact"/>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before="36"/>
        <w:ind w:right="-14"/>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pStyle w:val="BodyText"/>
        <w:spacing w:line="240" w:lineRule="auto" w:before="15"/>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32,041.24</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保本型理财产品</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4,236,671.23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6,676,191.78</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4,268,712.47</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6,676,191.78</w:t>
            </w:r>
          </w:p>
        </w:tc>
      </w:tr>
    </w:tbl>
    <w:p>
      <w:pPr>
        <w:spacing w:line="240" w:lineRule="auto" w:before="2"/>
        <w:rPr>
          <w:rFonts w:ascii="宋体" w:hAnsi="宋体" w:cs="宋体" w:eastAsia="宋体" w:hint="default"/>
          <w:sz w:val="20"/>
          <w:szCs w:val="20"/>
        </w:rPr>
      </w:pPr>
    </w:p>
    <w:p>
      <w:pPr>
        <w:pStyle w:val="Heading4"/>
        <w:spacing w:line="240" w:lineRule="auto" w:before="36"/>
        <w:ind w:right="227"/>
        <w:jc w:val="left"/>
        <w:rPr>
          <w:b w:val="0"/>
          <w:bCs w:val="0"/>
        </w:rPr>
      </w:pPr>
      <w:r>
        <w:rPr>
          <w:rFonts w:ascii="宋体" w:hAnsi="宋体" w:cs="宋体" w:eastAsia="宋体" w:hint="default"/>
        </w:rPr>
        <w:t>(3).</w:t>
      </w:r>
      <w:r>
        <w:rPr/>
        <w:t>重要逾期利息</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27"/>
        <w:jc w:val="left"/>
      </w:pPr>
      <w:r>
        <w:rPr/>
        <w:t>□适用</w:t>
      </w:r>
      <w:r>
        <w:rPr>
          <w:spacing w:val="-1"/>
        </w:rPr>
        <w:t> </w:t>
      </w:r>
      <w:r>
        <w:rPr/>
        <w:t>√不适用</w:t>
      </w:r>
    </w:p>
    <w:p>
      <w:pPr>
        <w:spacing w:after="0" w:line="271"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90" w:lineRule="auto" w:before="36"/>
        <w:ind w:left="138" w:right="7681"/>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spacing w:line="290" w:lineRule="auto" w:before="12"/>
        <w:ind w:left="138" w:right="55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2"/>
        <w:ind w:left="138" w:right="7374"/>
        <w:jc w:val="left"/>
      </w:pPr>
      <w:r>
        <w:rPr/>
        <w:t>□适用</w:t>
      </w:r>
      <w:r>
        <w:rPr>
          <w:spacing w:val="-1"/>
        </w:rPr>
        <w:t> </w:t>
      </w:r>
      <w:r>
        <w:rPr/>
        <w:t>√不适用</w:t>
      </w:r>
      <w:r>
        <w:rPr>
          <w:w w:val="100"/>
        </w:rPr>
        <w:t> </w:t>
      </w:r>
      <w:r>
        <w:rPr/>
        <w:t>其他说明：</w:t>
      </w:r>
    </w:p>
    <w:p>
      <w:pPr>
        <w:pStyle w:val="BodyText"/>
        <w:spacing w:line="271" w:lineRule="exact"/>
        <w:ind w:left="138" w:right="0"/>
        <w:jc w:val="left"/>
      </w:pPr>
      <w:r>
        <w:rPr/>
        <w:t>□适用</w:t>
      </w:r>
      <w:r>
        <w:rPr>
          <w:spacing w:val="-1"/>
        </w:rPr>
        <w:t> </w:t>
      </w:r>
      <w:r>
        <w:rPr/>
        <w:t>√不适用</w:t>
      </w:r>
    </w:p>
    <w:p>
      <w:pPr>
        <w:spacing w:after="0" w:line="271" w:lineRule="exact"/>
        <w:jc w:val="left"/>
        <w:sectPr>
          <w:pgSz w:w="11910" w:h="16840"/>
          <w:pgMar w:header="0" w:footer="1195" w:top="1120" w:bottom="1380" w:left="1660" w:right="114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6"/>
          <w:footerReference w:type="default" r:id="rId67"/>
          <w:pgSz w:w="16840" w:h="11910" w:orient="landscape"/>
          <w:pgMar w:header="0" w:footer="0" w:top="800" w:bottom="280" w:left="1300" w:right="1380"/>
        </w:sectPr>
      </w:pPr>
    </w:p>
    <w:p>
      <w:pPr>
        <w:pStyle w:val="Heading4"/>
        <w:spacing w:line="240" w:lineRule="auto" w:before="36"/>
        <w:ind w:left="140" w:right="-19"/>
        <w:jc w:val="left"/>
        <w:rPr>
          <w:b w:val="0"/>
          <w:bCs w:val="0"/>
        </w:rPr>
      </w:pPr>
      <w:r>
        <w:rPr/>
        <w:t>其他应收款</w:t>
      </w:r>
      <w:r>
        <w:rPr>
          <w:b w:val="0"/>
          <w:bCs w:val="0"/>
        </w:rPr>
      </w:r>
    </w:p>
    <w:p>
      <w:pPr>
        <w:pStyle w:val="Heading4"/>
        <w:spacing w:line="240" w:lineRule="auto" w:before="56"/>
        <w:ind w:left="140"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982" w:val="left" w:leader="none"/>
        </w:tabs>
        <w:spacing w:line="240" w:lineRule="auto" w:before="58"/>
        <w:ind w:left="14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80"/>
          <w:cols w:num="2" w:equalWidth="0">
            <w:col w:w="2570" w:space="8993"/>
            <w:col w:w="259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91"/>
        <w:gridCol w:w="1320"/>
        <w:gridCol w:w="1169"/>
        <w:gridCol w:w="1147"/>
        <w:gridCol w:w="1176"/>
        <w:gridCol w:w="1323"/>
        <w:gridCol w:w="1322"/>
        <w:gridCol w:w="1124"/>
        <w:gridCol w:w="1121"/>
        <w:gridCol w:w="1123"/>
        <w:gridCol w:w="1320"/>
      </w:tblGrid>
      <w:tr>
        <w:trPr>
          <w:trHeight w:val="293" w:hRule="exact"/>
        </w:trPr>
        <w:tc>
          <w:tcPr>
            <w:tcW w:w="17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791" w:type="dxa"/>
            <w:vMerge/>
            <w:tcBorders>
              <w:left w:val="single" w:sz="4" w:space="0" w:color="000000"/>
              <w:right w:val="single" w:sz="4" w:space="0" w:color="000000"/>
            </w:tcBorders>
          </w:tcPr>
          <w:p>
            <w:pP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23" w:type="dxa"/>
            <w:vMerge w:val="restart"/>
            <w:tcBorders>
              <w:top w:val="single" w:sz="4" w:space="0" w:color="000000"/>
              <w:left w:val="single" w:sz="4" w:space="0" w:color="000000"/>
              <w:right w:val="single" w:sz="4" w:space="0" w:color="000000"/>
            </w:tcBorders>
          </w:tcPr>
          <w:p>
            <w:pPr>
              <w:pStyle w:val="TableParagraph"/>
              <w:spacing w:line="272" w:lineRule="exact" w:before="135"/>
              <w:ind w:left="446" w:right="443"/>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20" w:type="dxa"/>
            <w:vMerge w:val="restart"/>
            <w:tcBorders>
              <w:top w:val="single" w:sz="4" w:space="0" w:color="000000"/>
              <w:left w:val="single" w:sz="4" w:space="0" w:color="000000"/>
              <w:right w:val="single" w:sz="4" w:space="0" w:color="000000"/>
            </w:tcBorders>
          </w:tcPr>
          <w:p>
            <w:pPr>
              <w:pStyle w:val="TableParagraph"/>
              <w:spacing w:line="272" w:lineRule="exact" w:before="135"/>
              <w:ind w:left="443" w:right="44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7" w:hRule="exact"/>
        </w:trPr>
        <w:tc>
          <w:tcPr>
            <w:tcW w:w="1791"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323"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320" w:type="dxa"/>
            <w:vMerge/>
            <w:tcBorders>
              <w:left w:val="single" w:sz="4" w:space="0" w:color="000000"/>
              <w:bottom w:val="single" w:sz="4" w:space="0" w:color="000000"/>
              <w:right w:val="single" w:sz="4" w:space="0" w:color="000000"/>
            </w:tcBorders>
          </w:tcPr>
          <w:p>
            <w:pPr/>
          </w:p>
        </w:tc>
      </w:tr>
      <w:tr>
        <w:trPr>
          <w:trHeight w:val="826"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40" w:lineRule="auto"/>
              <w:ind w:left="26" w:right="70"/>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72" w:lineRule="exact" w:before="27"/>
              <w:ind w:left="26" w:right="70"/>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6,838,584.22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sz w:val="21"/>
              </w:rPr>
              <w:t>100.00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881,326.54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sz w:val="21"/>
              </w:rPr>
              <w:t>12.89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5,957,257.68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1,639,060.67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sz w:val="21"/>
              </w:rPr>
              <w:t>100.00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525,581.16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sz w:val="21"/>
              </w:rPr>
              <w:t>32.07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1,113,479.51</w:t>
            </w:r>
          </w:p>
        </w:tc>
      </w:tr>
      <w:tr>
        <w:trPr>
          <w:trHeight w:val="826"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40" w:lineRule="auto"/>
              <w:ind w:left="26" w:right="70"/>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的其他应收款</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6,838,584.22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881,326.54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5,957,257.68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1,639,060.67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525,581.16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w w:val="100"/>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1,113,479.51</w:t>
            </w:r>
          </w:p>
        </w:tc>
      </w:tr>
    </w:tbl>
    <w:p>
      <w:pPr>
        <w:spacing w:line="240" w:lineRule="auto" w:before="2"/>
        <w:rPr>
          <w:rFonts w:ascii="宋体" w:hAnsi="宋体" w:cs="宋体" w:eastAsia="宋体" w:hint="default"/>
          <w:sz w:val="20"/>
          <w:szCs w:val="20"/>
        </w:rPr>
      </w:pPr>
    </w:p>
    <w:p>
      <w:pPr>
        <w:pStyle w:val="BodyText"/>
        <w:spacing w:line="240" w:lineRule="auto" w:before="36"/>
        <w:ind w:left="140" w:right="0"/>
        <w:jc w:val="left"/>
      </w:pPr>
      <w:r>
        <w:rPr/>
        <w:t>期末单项金额重大并单项计提坏账准备的其他应收款：</w:t>
      </w:r>
    </w:p>
    <w:p>
      <w:pPr>
        <w:pStyle w:val="BodyText"/>
        <w:spacing w:line="240" w:lineRule="auto" w:before="56"/>
        <w:ind w:left="140"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63"/>
        <w:ind w:left="6395" w:right="6399" w:firstLine="0"/>
        <w:jc w:val="center"/>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156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68"/>
          <w:pgSz w:w="11910" w:h="16840"/>
          <w:pgMar w:footer="1195" w:header="0" w:top="1120" w:bottom="1380" w:left="1580" w:right="1040"/>
          <w:pgNumType w:start="151"/>
        </w:sectPr>
      </w:pPr>
    </w:p>
    <w:p>
      <w:pPr>
        <w:pStyle w:val="BodyText"/>
        <w:spacing w:line="240" w:lineRule="auto" w:before="36"/>
        <w:ind w:right="0"/>
        <w:jc w:val="left"/>
      </w:pPr>
      <w:r>
        <w:rPr>
          <w:spacing w:val="-2"/>
        </w:rPr>
        <w:t>组合中，按账龄分析法计提坏账准备的其他应收款：</w:t>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3,619,613.35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180,980.67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3,619,613.35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180,980.67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493,100.00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49,310.00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214,050.00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64,215.00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586,820.87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586,820.87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4,913,584.22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881,326.54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17.94</w:t>
            </w:r>
          </w:p>
        </w:tc>
      </w:tr>
    </w:tbl>
    <w:p>
      <w:pPr>
        <w:pStyle w:val="BodyText"/>
        <w:spacing w:line="240" w:lineRule="exact"/>
        <w:ind w:right="227"/>
        <w:jc w:val="left"/>
      </w:pPr>
      <w:r>
        <w:rPr/>
        <w:t>确定该组合依据的说明：</w:t>
      </w:r>
    </w:p>
    <w:p>
      <w:pPr>
        <w:pStyle w:val="BodyText"/>
        <w:spacing w:line="275" w:lineRule="exact"/>
        <w:ind w:right="227"/>
        <w:jc w:val="left"/>
      </w:pPr>
      <w:r>
        <w:rPr>
          <w:w w:val="100"/>
        </w:rPr>
        <w:t>无</w:t>
      </w:r>
    </w:p>
    <w:p>
      <w:pPr>
        <w:spacing w:line="240" w:lineRule="auto" w:before="3"/>
        <w:rPr>
          <w:rFonts w:ascii="宋体" w:hAnsi="宋体" w:cs="宋体" w:eastAsia="宋体" w:hint="default"/>
          <w:sz w:val="25"/>
          <w:szCs w:val="25"/>
        </w:rPr>
      </w:pPr>
    </w:p>
    <w:p>
      <w:pPr>
        <w:pStyle w:val="BodyText"/>
        <w:spacing w:line="240" w:lineRule="auto"/>
        <w:ind w:right="227"/>
        <w:jc w:val="left"/>
      </w:pPr>
      <w:r>
        <w:rPr/>
        <w:t>组合中，采用余额百分比法计提坏账准备的其他应收款：</w:t>
      </w:r>
    </w:p>
    <w:p>
      <w:pPr>
        <w:pStyle w:val="BodyText"/>
        <w:spacing w:line="240" w:lineRule="auto" w:before="56"/>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right="227"/>
        <w:jc w:val="left"/>
      </w:pPr>
      <w:r>
        <w:rPr/>
        <w:t>组合中，采用其他方法计提坏账准备的其他应收款：</w:t>
      </w:r>
    </w:p>
    <w:p>
      <w:pPr>
        <w:pStyle w:val="BodyText"/>
        <w:tabs>
          <w:tab w:pos="1060" w:val="left" w:leader="none"/>
        </w:tabs>
        <w:spacing w:line="240" w:lineRule="auto" w:before="56"/>
        <w:ind w:right="1920"/>
        <w:jc w:val="left"/>
      </w:pPr>
      <w:r>
        <w:rPr>
          <w:spacing w:val="-1"/>
        </w:rPr>
        <w:t>√适用</w:t>
        <w:tab/>
      </w:r>
      <w:r>
        <w:rPr>
          <w:spacing w:val="-2"/>
        </w:rPr>
        <w:t>□不适用</w:t>
      </w:r>
      <w:r>
        <w:rPr>
          <w:spacing w:val="-99"/>
        </w:rPr>
        <w:t> </w:t>
      </w:r>
      <w:r>
        <w:rPr>
          <w:spacing w:val="-99"/>
        </w:rPr>
      </w:r>
      <w:r>
        <w:rPr>
          <w:spacing w:val="-2"/>
        </w:rPr>
        <w:t>划分为对象组合—合并报表范围内公司款项，不计提坏账准备的其他应收款：</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41" w:right="0"/>
              <w:jc w:val="left"/>
              <w:rPr>
                <w:rFonts w:ascii="宋体" w:hAnsi="宋体" w:cs="宋体" w:eastAsia="宋体" w:hint="default"/>
                <w:sz w:val="21"/>
                <w:szCs w:val="21"/>
              </w:rPr>
            </w:pPr>
            <w:r>
              <w:rPr>
                <w:rFonts w:ascii="宋体"/>
                <w:sz w:val="21"/>
              </w:rPr>
              <w:t>1,925,000.00</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47" w:space="387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4,274,849.87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1,537,170.87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备用金及其他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638,734.35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101,889.80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1,925,000.00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6,838,584.22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1,639,060.67</w:t>
            </w:r>
          </w:p>
        </w:tc>
      </w:tr>
    </w:tbl>
    <w:p>
      <w:pPr>
        <w:spacing w:line="240" w:lineRule="auto" w:before="2"/>
        <w:rPr>
          <w:rFonts w:ascii="宋体" w:hAnsi="宋体" w:cs="宋体" w:eastAsia="宋体" w:hint="default"/>
          <w:sz w:val="20"/>
          <w:szCs w:val="20"/>
        </w:rPr>
      </w:pPr>
    </w:p>
    <w:p>
      <w:pPr>
        <w:pStyle w:val="Heading4"/>
        <w:spacing w:line="240" w:lineRule="auto" w:before="36"/>
        <w:ind w:right="227"/>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6"/>
        <w:ind w:right="2022"/>
        <w:jc w:val="left"/>
      </w:pPr>
      <w:r>
        <w:rPr/>
        <w:t>本期计提坏账准备金额</w:t>
      </w:r>
      <w:r>
        <w:rPr>
          <w:spacing w:val="-53"/>
        </w:rPr>
        <w:t> </w:t>
      </w:r>
      <w:r>
        <w:rPr>
          <w:rFonts w:ascii="宋体" w:hAnsi="宋体" w:cs="宋体" w:eastAsia="宋体" w:hint="default"/>
        </w:rPr>
        <w:t>355,745.38</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71" w:lineRule="exact"/>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27"/>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before="36"/>
        <w:ind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86" w:space="1136"/>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505"/>
        <w:gridCol w:w="1323"/>
        <w:gridCol w:w="1394"/>
        <w:gridCol w:w="1296"/>
        <w:gridCol w:w="1733"/>
        <w:gridCol w:w="1644"/>
      </w:tblGrid>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5"/>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67"/>
              <w:jc w:val="right"/>
              <w:rPr>
                <w:rFonts w:ascii="宋体" w:hAnsi="宋体" w:cs="宋体" w:eastAsia="宋体" w:hint="default"/>
                <w:sz w:val="21"/>
                <w:szCs w:val="21"/>
              </w:rPr>
            </w:pPr>
            <w:r>
              <w:rPr>
                <w:rFonts w:ascii="宋体" w:hAnsi="宋体" w:cs="宋体" w:eastAsia="宋体" w:hint="default"/>
                <w:sz w:val="21"/>
                <w:szCs w:val="21"/>
              </w:rPr>
              <w:t>账龄</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92" w:right="123"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96" w:right="39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上海亿维航软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合并范围内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关联方往来</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1,925,000.00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28.15</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山东药品食品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职业学院</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27.62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94,425.00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厦门国际信托</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4.38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14,975.00</w:t>
            </w:r>
          </w:p>
        </w:tc>
      </w:tr>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重庆文化产权</w:t>
            </w:r>
          </w:p>
          <w:p>
            <w:pPr>
              <w:pStyle w:val="TableParagraph"/>
              <w:spacing w:line="272" w:lineRule="exact" w:before="26"/>
              <w:ind w:left="26" w:right="204"/>
              <w:jc w:val="left"/>
              <w:rPr>
                <w:rFonts w:ascii="宋体" w:hAnsi="宋体" w:cs="宋体" w:eastAsia="宋体" w:hint="default"/>
                <w:sz w:val="21"/>
                <w:szCs w:val="21"/>
              </w:rPr>
            </w:pPr>
            <w:r>
              <w:rPr>
                <w:rFonts w:ascii="宋体" w:hAnsi="宋体" w:cs="宋体" w:eastAsia="宋体" w:hint="default"/>
                <w:sz w:val="21"/>
                <w:szCs w:val="21"/>
              </w:rPr>
              <w:t>交易中心有限</w:t>
            </w:r>
            <w:r>
              <w:rPr>
                <w:rFonts w:ascii="宋体" w:hAnsi="宋体" w:cs="宋体" w:eastAsia="宋体" w:hint="default"/>
                <w:w w:val="100"/>
                <w:sz w:val="21"/>
                <w:szCs w:val="21"/>
              </w:rPr>
              <w:t> </w:t>
            </w:r>
            <w:r>
              <w:rPr>
                <w:rFonts w:ascii="宋体" w:hAnsi="宋体" w:cs="宋体" w:eastAsia="宋体" w:hint="default"/>
                <w:sz w:val="21"/>
                <w:szCs w:val="21"/>
              </w:rPr>
              <w:t>责任公司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199,900.00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8"/>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2.92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199,900.00</w:t>
            </w:r>
          </w:p>
        </w:tc>
      </w:tr>
      <w:tr>
        <w:trPr>
          <w:trHeight w:val="555"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福建省高速公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路监控中心</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196,056.00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8"/>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2.87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196,056.00</w:t>
            </w: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4,508,956.00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w w:val="100"/>
                <w:sz w:val="21"/>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65.94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505,356.00</w:t>
            </w:r>
          </w:p>
        </w:tc>
      </w:tr>
    </w:tbl>
    <w:p>
      <w:pPr>
        <w:spacing w:line="240" w:lineRule="auto" w:before="12"/>
        <w:rPr>
          <w:rFonts w:ascii="宋体" w:hAnsi="宋体" w:cs="宋体" w:eastAsia="宋体" w:hint="default"/>
          <w:sz w:val="19"/>
          <w:szCs w:val="19"/>
        </w:rPr>
      </w:pPr>
    </w:p>
    <w:p>
      <w:pPr>
        <w:pStyle w:val="Heading4"/>
        <w:spacing w:line="240" w:lineRule="auto" w:before="36"/>
        <w:ind w:right="227"/>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060" w:val="left" w:leader="none"/>
        </w:tabs>
        <w:spacing w:line="240" w:lineRule="auto" w:before="58"/>
        <w:ind w:right="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060" w:val="left" w:leader="none"/>
        </w:tabs>
        <w:spacing w:line="240" w:lineRule="auto" w:before="56"/>
        <w:ind w:right="22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right="227"/>
        <w:jc w:val="left"/>
      </w:pPr>
      <w:r>
        <w:rPr/>
        <w:t>其他说明：</w:t>
      </w:r>
    </w:p>
    <w:p>
      <w:pPr>
        <w:pStyle w:val="BodyText"/>
        <w:tabs>
          <w:tab w:pos="1060" w:val="left" w:leader="none"/>
        </w:tabs>
        <w:spacing w:line="274" w:lineRule="exact"/>
        <w:ind w:right="2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4"/>
        <w:spacing w:line="240" w:lineRule="auto" w:before="36"/>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06"/>
        <w:gridCol w:w="1532"/>
        <w:gridCol w:w="526"/>
        <w:gridCol w:w="1532"/>
        <w:gridCol w:w="1531"/>
        <w:gridCol w:w="538"/>
        <w:gridCol w:w="1531"/>
      </w:tblGrid>
      <w:tr>
        <w:trPr>
          <w:trHeight w:val="283" w:hRule="exact"/>
        </w:trPr>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1706"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103,842,800.00</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103,842,800.00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101,802,800.00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101,802,800.00</w:t>
            </w:r>
          </w:p>
        </w:tc>
      </w:tr>
      <w:tr>
        <w:trPr>
          <w:trHeight w:val="557"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2,434,950.53</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2,434,950.53</w:t>
            </w:r>
          </w:p>
        </w:tc>
        <w:tc>
          <w:tcPr>
            <w:tcW w:w="1531"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106,277,750.53</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106,277,750.53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101,802,800.00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101,802,800.00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14" w:space="450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05"/>
        <w:gridCol w:w="1685"/>
        <w:gridCol w:w="1476"/>
        <w:gridCol w:w="900"/>
        <w:gridCol w:w="1685"/>
        <w:gridCol w:w="900"/>
        <w:gridCol w:w="898"/>
      </w:tblGrid>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38" w:right="125" w:hanging="209"/>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40" w:lineRule="auto"/>
              <w:ind w:left="235" w:right="125"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40" w:lineRule="auto"/>
              <w:ind w:left="235" w:right="122"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顶点数码公司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sz w:val="21"/>
              </w:rPr>
              <w:t>5,075,000.00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5,075,000.00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05"/>
        <w:gridCol w:w="1685"/>
        <w:gridCol w:w="1476"/>
        <w:gridCol w:w="900"/>
        <w:gridCol w:w="1685"/>
        <w:gridCol w:w="900"/>
        <w:gridCol w:w="898"/>
      </w:tblGrid>
      <w:tr>
        <w:trPr>
          <w:trHeight w:val="28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1,900,000.00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1,900,000.00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上海顶点公司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顶点信息公司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88,347,800.00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88,347,800.00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亿维航公司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4,080,000.00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2,040,000.00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6,120,000.00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101,802,800.00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2,040,000.00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103,842,800.00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56" w:space="366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3"/>
        <w:gridCol w:w="420"/>
        <w:gridCol w:w="1417"/>
        <w:gridCol w:w="350"/>
        <w:gridCol w:w="1207"/>
        <w:gridCol w:w="569"/>
        <w:gridCol w:w="427"/>
        <w:gridCol w:w="706"/>
        <w:gridCol w:w="569"/>
        <w:gridCol w:w="425"/>
        <w:gridCol w:w="1419"/>
        <w:gridCol w:w="708"/>
      </w:tblGrid>
      <w:tr>
        <w:trPr>
          <w:trHeight w:val="243"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225" w:right="225"/>
              <w:jc w:val="left"/>
              <w:rPr>
                <w:rFonts w:ascii="宋体" w:hAnsi="宋体" w:cs="宋体" w:eastAsia="宋体" w:hint="default"/>
                <w:sz w:val="18"/>
                <w:szCs w:val="18"/>
              </w:rPr>
            </w:pPr>
            <w:r>
              <w:rPr>
                <w:rFonts w:ascii="宋体" w:hAnsi="宋体" w:cs="宋体" w:eastAsia="宋体" w:hint="default"/>
                <w:sz w:val="18"/>
                <w:szCs w:val="18"/>
              </w:rPr>
              <w:t>投资 单位</w:t>
            </w:r>
          </w:p>
        </w:tc>
        <w:tc>
          <w:tcPr>
            <w:tcW w:w="4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15" w:right="113"/>
              <w:jc w:val="both"/>
              <w:rPr>
                <w:rFonts w:ascii="宋体" w:hAnsi="宋体" w:cs="宋体" w:eastAsia="宋体" w:hint="default"/>
                <w:sz w:val="18"/>
                <w:szCs w:val="18"/>
              </w:rPr>
            </w:pPr>
            <w:r>
              <w:rPr>
                <w:rFonts w:ascii="宋体" w:hAnsi="宋体" w:cs="宋体" w:eastAsia="宋体" w:hint="default"/>
                <w:sz w:val="18"/>
                <w:szCs w:val="18"/>
              </w:rPr>
              <w:t>期 初 余 额</w:t>
            </w:r>
          </w:p>
        </w:tc>
        <w:tc>
          <w:tcPr>
            <w:tcW w:w="56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523" w:right="52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68" w:right="168"/>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879" w:hRule="exact"/>
        </w:trPr>
        <w:tc>
          <w:tcPr>
            <w:tcW w:w="823" w:type="dxa"/>
            <w:vMerge/>
            <w:tcBorders>
              <w:left w:val="single" w:sz="4" w:space="0" w:color="000000"/>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0" w:right="59"/>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148" w:right="146"/>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before="2"/>
              <w:ind w:left="187" w:right="190"/>
              <w:jc w:val="both"/>
              <w:rPr>
                <w:rFonts w:ascii="宋体" w:hAnsi="宋体" w:cs="宋体" w:eastAsia="宋体" w:hint="default"/>
                <w:sz w:val="18"/>
                <w:szCs w:val="18"/>
              </w:rPr>
            </w:pPr>
            <w:r>
              <w:rPr>
                <w:rFonts w:ascii="宋体" w:hAnsi="宋体" w:cs="宋体" w:eastAsia="宋体" w:hint="default"/>
                <w:sz w:val="18"/>
                <w:szCs w:val="18"/>
              </w:rPr>
              <w:t>他 综 合 收 益 调 整</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17" w:right="119"/>
              <w:jc w:val="both"/>
              <w:rPr>
                <w:rFonts w:ascii="宋体" w:hAnsi="宋体" w:cs="宋体" w:eastAsia="宋体" w:hint="default"/>
                <w:sz w:val="18"/>
                <w:szCs w:val="18"/>
              </w:rPr>
            </w:pPr>
            <w:r>
              <w:rPr>
                <w:rFonts w:ascii="宋体" w:hAnsi="宋体" w:cs="宋体" w:eastAsia="宋体" w:hint="default"/>
                <w:sz w:val="18"/>
                <w:szCs w:val="18"/>
              </w:rPr>
              <w:t>其 他 权 益 变 动</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65" w:right="168"/>
              <w:jc w:val="both"/>
              <w:rPr>
                <w:rFonts w:ascii="宋体" w:hAnsi="宋体" w:cs="宋体" w:eastAsia="宋体" w:hint="default"/>
                <w:sz w:val="18"/>
                <w:szCs w:val="18"/>
              </w:rPr>
            </w:pPr>
            <w:r>
              <w:rPr>
                <w:rFonts w:ascii="宋体" w:hAnsi="宋体" w:cs="宋体" w:eastAsia="宋体" w:hint="default"/>
                <w:sz w:val="18"/>
                <w:szCs w:val="18"/>
              </w:rPr>
              <w:t>宣告 发放 现金 股利 或利 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89" w:right="187"/>
              <w:jc w:val="both"/>
              <w:rPr>
                <w:rFonts w:ascii="宋体" w:hAnsi="宋体" w:cs="宋体" w:eastAsia="宋体" w:hint="default"/>
                <w:sz w:val="18"/>
                <w:szCs w:val="18"/>
              </w:rPr>
            </w:pPr>
            <w:r>
              <w:rPr>
                <w:rFonts w:ascii="宋体" w:hAnsi="宋体" w:cs="宋体" w:eastAsia="宋体" w:hint="default"/>
                <w:sz w:val="18"/>
                <w:szCs w:val="18"/>
              </w:rPr>
              <w:t>计 提 减 值 准 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41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r>
        <w:trPr>
          <w:trHeight w:val="242"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2"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2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17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东吴软</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件技术</w:t>
            </w:r>
          </w:p>
          <w:p>
            <w:pPr>
              <w:pStyle w:val="TableParagraph"/>
              <w:spacing w:line="237" w:lineRule="auto"/>
              <w:ind w:left="103" w:right="168"/>
              <w:jc w:val="left"/>
              <w:rPr>
                <w:rFonts w:ascii="宋体" w:hAnsi="宋体" w:cs="宋体" w:eastAsia="宋体" w:hint="default"/>
                <w:sz w:val="18"/>
                <w:szCs w:val="18"/>
              </w:rPr>
            </w:pPr>
            <w:r>
              <w:rPr>
                <w:rFonts w:ascii="宋体" w:hAnsi="宋体" w:cs="宋体" w:eastAsia="宋体" w:hint="default"/>
                <w:sz w:val="18"/>
                <w:szCs w:val="18"/>
              </w:rPr>
              <w:t>（北 京）有 限公司</w:t>
            </w:r>
          </w:p>
        </w:tc>
        <w:tc>
          <w:tcPr>
            <w:tcW w:w="42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9" w:right="0"/>
              <w:jc w:val="center"/>
              <w:rPr>
                <w:rFonts w:ascii="宋体" w:hAnsi="宋体" w:cs="宋体" w:eastAsia="宋体" w:hint="default"/>
                <w:sz w:val="18"/>
                <w:szCs w:val="18"/>
              </w:rPr>
            </w:pPr>
            <w:r>
              <w:rPr>
                <w:rFonts w:ascii="宋体"/>
                <w:sz w:val="18"/>
              </w:rPr>
              <w:t>2,000,000.00</w:t>
            </w:r>
          </w:p>
        </w:tc>
        <w:tc>
          <w:tcPr>
            <w:tcW w:w="35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1" w:right="0"/>
              <w:jc w:val="center"/>
              <w:rPr>
                <w:rFonts w:ascii="宋体" w:hAnsi="宋体" w:cs="宋体" w:eastAsia="宋体" w:hint="default"/>
                <w:sz w:val="18"/>
                <w:szCs w:val="18"/>
              </w:rPr>
            </w:pPr>
            <w:r>
              <w:rPr>
                <w:rFonts w:ascii="宋体"/>
                <w:sz w:val="18"/>
              </w:rPr>
              <w:t>434,950.53</w:t>
            </w:r>
          </w:p>
        </w:tc>
        <w:tc>
          <w:tcPr>
            <w:tcW w:w="56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2,434,950.53</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2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center"/>
              <w:rPr>
                <w:rFonts w:ascii="宋体" w:hAnsi="宋体" w:cs="宋体" w:eastAsia="宋体" w:hint="default"/>
                <w:sz w:val="18"/>
                <w:szCs w:val="18"/>
              </w:rPr>
            </w:pPr>
            <w:r>
              <w:rPr>
                <w:rFonts w:ascii="宋体"/>
                <w:sz w:val="18"/>
              </w:rPr>
              <w:t>2,000,000.00</w:t>
            </w:r>
          </w:p>
        </w:tc>
        <w:tc>
          <w:tcPr>
            <w:tcW w:w="35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434,950.53</w:t>
            </w:r>
          </w:p>
        </w:tc>
        <w:tc>
          <w:tcPr>
            <w:tcW w:w="56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2,434,950.53</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center"/>
              <w:rPr>
                <w:rFonts w:ascii="宋体" w:hAnsi="宋体" w:cs="宋体" w:eastAsia="宋体" w:hint="default"/>
                <w:sz w:val="18"/>
                <w:szCs w:val="18"/>
              </w:rPr>
            </w:pPr>
            <w:r>
              <w:rPr>
                <w:rFonts w:ascii="宋体"/>
                <w:sz w:val="18"/>
              </w:rPr>
              <w:t>2,000,000.00</w:t>
            </w:r>
          </w:p>
        </w:tc>
        <w:tc>
          <w:tcPr>
            <w:tcW w:w="35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434,950.53</w:t>
            </w:r>
          </w:p>
        </w:tc>
        <w:tc>
          <w:tcPr>
            <w:tcW w:w="56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2,434,950.53</w:t>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2" w:lineRule="exact" w:before="64"/>
        <w:ind w:right="7998"/>
        <w:jc w:val="left"/>
      </w:pPr>
      <w:r>
        <w:rPr/>
        <w:t>其他说明：</w:t>
      </w:r>
      <w:r>
        <w:rPr>
          <w:spacing w:val="-102"/>
        </w:rPr>
        <w:t> </w:t>
      </w:r>
      <w:r>
        <w:rPr>
          <w:spacing w:val="-102"/>
        </w:rPr>
      </w:r>
      <w:r>
        <w:rPr/>
        <w:t>无</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60" w:val="left" w:leader="none"/>
        </w:tabs>
        <w:spacing w:line="240" w:lineRule="auto" w:before="56"/>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7" w:space="34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1685"/>
        <w:gridCol w:w="1582"/>
        <w:gridCol w:w="1688"/>
        <w:gridCol w:w="1579"/>
      </w:tblGrid>
      <w:tr>
        <w:trPr>
          <w:trHeight w:val="283" w:hRule="exact"/>
        </w:trPr>
        <w:tc>
          <w:tcPr>
            <w:tcW w:w="251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516"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236,013,198.64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67,008,503.21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176,062,724.27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45,084,758.63</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236,013,198.64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67,008,503.21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176,062,724.27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45,084,758.63</w:t>
            </w:r>
          </w:p>
        </w:tc>
      </w:tr>
    </w:tbl>
    <w:p>
      <w:pPr>
        <w:spacing w:line="240" w:lineRule="auto" w:before="2"/>
        <w:rPr>
          <w:rFonts w:ascii="宋体" w:hAnsi="宋体" w:cs="宋体" w:eastAsia="宋体" w:hint="default"/>
          <w:sz w:val="20"/>
          <w:szCs w:val="20"/>
        </w:rPr>
      </w:pPr>
    </w:p>
    <w:p>
      <w:pPr>
        <w:pStyle w:val="BodyText"/>
        <w:spacing w:line="290" w:lineRule="auto" w:before="36"/>
        <w:ind w:right="7998"/>
        <w:jc w:val="left"/>
      </w:pPr>
      <w:r>
        <w:rPr/>
        <w:t>其他说明：</w:t>
      </w:r>
      <w:r>
        <w:rPr>
          <w:spacing w:val="-102"/>
        </w:rPr>
        <w:t> </w:t>
      </w:r>
      <w:r>
        <w:rPr>
          <w:spacing w:val="-102"/>
        </w:rPr>
      </w:r>
      <w:r>
        <w:rPr/>
        <w:t>无</w:t>
      </w:r>
    </w:p>
    <w:p>
      <w:pPr>
        <w:spacing w:after="0" w:line="29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spacing w:line="240" w:lineRule="auto" w:before="36"/>
        <w:ind w:right="76"/>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19,400,000.00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79,000,000.00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434,950.53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购买保本型理财产品的投资收益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22,981,765.32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12,499,137.22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42,816,715.85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91,499,137.22</w:t>
            </w:r>
          </w:p>
        </w:tc>
      </w:tr>
    </w:tbl>
    <w:p>
      <w:pPr>
        <w:spacing w:line="240" w:lineRule="auto" w:before="12"/>
        <w:rPr>
          <w:rFonts w:ascii="宋体" w:hAnsi="宋体" w:cs="宋体" w:eastAsia="宋体" w:hint="default"/>
          <w:sz w:val="19"/>
          <w:szCs w:val="19"/>
        </w:rPr>
      </w:pPr>
    </w:p>
    <w:p>
      <w:pPr>
        <w:pStyle w:val="Heading4"/>
        <w:spacing w:line="240" w:lineRule="auto" w:before="36"/>
        <w:ind w:right="227"/>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8"/>
        <w:ind w:right="2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tabs>
          <w:tab w:pos="1057" w:val="left" w:leader="none"/>
        </w:tabs>
        <w:spacing w:line="240" w:lineRule="auto" w:before="36"/>
        <w:ind w:right="-19"/>
        <w:jc w:val="left"/>
        <w:rPr>
          <w:b w:val="0"/>
          <w:bCs w:val="0"/>
        </w:rPr>
      </w:pPr>
      <w:r>
        <w:rPr/>
        <w:t>十八、</w:t>
        <w:tab/>
        <w:t>补充资料</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18,482.77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3,659,082.00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-405,000.00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24,144,042.40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-2,883,288.82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-105,368.75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24,427,949.60</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99"/>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right="227"/>
        <w:jc w:val="left"/>
      </w:pPr>
      <w:r>
        <w:rPr/>
        <w:t>□适用</w:t>
      </w:r>
      <w:r>
        <w:rPr>
          <w:spacing w:val="-1"/>
        </w:rPr>
        <w:t> </w:t>
      </w:r>
      <w:r>
        <w:rPr/>
        <w:t>√不适用</w:t>
      </w:r>
    </w:p>
    <w:p>
      <w:pPr>
        <w:pStyle w:val="Heading4"/>
        <w:spacing w:line="240" w:lineRule="auto" w:before="58"/>
        <w:ind w:right="227"/>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12.18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1.01</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0.79</w:t>
            </w:r>
          </w:p>
        </w:tc>
      </w:tr>
    </w:tbl>
    <w:p>
      <w:pPr>
        <w:spacing w:line="240" w:lineRule="auto" w:before="12"/>
        <w:rPr>
          <w:rFonts w:ascii="宋体" w:hAnsi="宋体" w:cs="宋体" w:eastAsia="宋体" w:hint="default"/>
          <w:sz w:val="19"/>
          <w:szCs w:val="19"/>
        </w:rPr>
      </w:pPr>
    </w:p>
    <w:p>
      <w:pPr>
        <w:pStyle w:val="Heading4"/>
        <w:spacing w:line="240" w:lineRule="auto" w:before="36"/>
        <w:ind w:right="227"/>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6"/>
        <w:ind w:right="22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1"/>
        <w:spacing w:line="240" w:lineRule="auto"/>
        <w:ind w:right="1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载有公司负责人亲笔签署的年度报告正本。</w:t>
            </w:r>
          </w:p>
        </w:tc>
      </w:tr>
    </w:tbl>
    <w:p>
      <w:pPr>
        <w:spacing w:after="0" w:line="241" w:lineRule="exact"/>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240" w:lineRule="auto" w:before="5"/>
        <w:rPr>
          <w:rFonts w:ascii="宋体" w:hAnsi="宋体" w:cs="宋体" w:eastAsia="宋体" w:hint="default"/>
          <w:b/>
          <w:bCs/>
          <w:sz w:val="21"/>
          <w:szCs w:val="21"/>
        </w:rPr>
      </w:pPr>
    </w:p>
    <w:p>
      <w:pPr>
        <w:pStyle w:val="BodyText"/>
        <w:spacing w:line="314" w:lineRule="auto" w:before="36"/>
        <w:ind w:left="5342" w:right="148" w:firstLine="2050"/>
        <w:jc w:val="left"/>
      </w:pPr>
      <w:r>
        <w:rPr/>
        <w:t>董事长：严孟宇</w:t>
      </w:r>
      <w:r>
        <w:rPr>
          <w:w w:val="100"/>
        </w:rPr>
        <w:t> </w:t>
      </w:r>
      <w:r>
        <w:rPr/>
        <w:t>董事会批准报送日期：</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2"/>
        <w:ind w:right="148" w:firstLine="0"/>
        <w:jc w:val="left"/>
        <w:rPr>
          <w:rFonts w:ascii="宋体" w:hAnsi="宋体" w:cs="宋体" w:eastAsia="宋体" w:hint="default"/>
          <w:b w:val="0"/>
          <w:bCs w:val="0"/>
        </w:rPr>
      </w:pPr>
      <w:r>
        <w:rPr>
          <w:rFonts w:ascii="宋体" w:hAnsi="宋体" w:cs="宋体" w:eastAsia="宋体" w:hint="default"/>
        </w:rPr>
        <w:t>修订信息</w:t>
      </w:r>
      <w:r>
        <w:rPr>
          <w:rFonts w:ascii="宋体" w:hAnsi="宋体" w:cs="宋体" w:eastAsia="宋体" w:hint="default"/>
          <w:b w:val="0"/>
          <w:bCs w:val="0"/>
        </w:rPr>
      </w:r>
    </w:p>
    <w:p>
      <w:pPr>
        <w:pStyle w:val="BodyText"/>
        <w:spacing w:line="240" w:lineRule="auto" w:before="4"/>
        <w:ind w:left="138" w:right="148"/>
        <w:jc w:val="left"/>
      </w:pPr>
      <w:r>
        <w:rPr/>
        <w:t>□适用</w:t>
      </w:r>
      <w:r>
        <w:rPr>
          <w:spacing w:val="-1"/>
        </w:rPr>
        <w:t> </w:t>
      </w:r>
      <w:r>
        <w:rPr/>
        <w:t>√不适用</w:t>
      </w:r>
    </w:p>
    <w:sectPr>
      <w:pgSz w:w="11910" w:h="16840"/>
      <w:pgMar w:header="0"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729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29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29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9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9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60</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29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9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28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728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728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63998pt;margin-top:723.964966pt;width:86.6pt;height:29.15pt;mso-position-horizontal-relative:page;mso-position-vertical-relative:page;z-index:-72882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tabs>
                    <w:tab w:pos="862" w:val="left" w:leader="none"/>
                  </w:tabs>
                  <w:spacing w:line="240" w:lineRule="auto" w:before="56"/>
                  <w:ind w:left="20" w:right="0"/>
                  <w:jc w:val="left"/>
                </w:pPr>
                <w:r>
                  <w:rPr/>
                  <w:t>√适用</w:t>
                  <w:tab/>
                  <w:t>□不适用</w:t>
                </w:r>
              </w:p>
            </w:txbxContent>
          </v:textbox>
          <w10:wrap type="none"/>
        </v:shape>
      </w:pict>
    </w:r>
    <w:r>
      <w:rPr/>
      <w:pict>
        <v:shape style="position:absolute;margin-left:267.450012pt;margin-top:771.169983pt;width:33.4pt;height:11pt;mso-position-horizontal-relative:page;mso-position-vertical-relative:page;z-index:-728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29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63998pt;margin-top:743.524963pt;width:180.75pt;height:12.6pt;mso-position-horizontal-relative:page;mso-position-vertical-relative:page;z-index:-728776" type="#_x0000_t202" filled="false" stroked="false">
          <v:textbox inset="0,0,0,0">
            <w:txbxContent>
              <w:p>
                <w:pPr>
                  <w:pStyle w:val="BodyText"/>
                  <w:spacing w:line="231" w:lineRule="exact"/>
                  <w:ind w:left="20" w:right="0"/>
                  <w:jc w:val="left"/>
                </w:pPr>
                <w:r>
                  <w:rPr>
                    <w:spacing w:val="-2"/>
                  </w:rPr>
                  <w:t>靠地计量时，固定资产才能予以确认。</w:t>
                </w:r>
              </w:p>
            </w:txbxContent>
          </v:textbox>
          <w10:wrap type="none"/>
        </v:shape>
      </w:pict>
    </w:r>
    <w:r>
      <w:rPr/>
      <w:pict>
        <v:shape style="position:absolute;margin-left:267.450012pt;margin-top:771.169983pt;width:33.4pt;height:11pt;mso-position-horizontal-relative:page;mso-position-vertical-relative:page;z-index:-728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87</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728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728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728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728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728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156</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728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101 </w:t>
                </w:r>
                <w:r>
                  <w:rPr>
                    <w:rFonts w:ascii="Calibri"/>
                    <w:sz w:val="18"/>
                  </w:rPr>
                  <w:t>/</w:t>
                </w:r>
                <w:r>
                  <w:rPr>
                    <w:rFonts w:ascii="Calibri"/>
                    <w:spacing w:val="-5"/>
                    <w:sz w:val="18"/>
                  </w:rPr>
                  <w:t> </w:t>
                </w:r>
                <w:r>
                  <w:rPr>
                    <w:rFonts w:ascii="Calibri"/>
                    <w:b/>
                    <w:sz w:val="18"/>
                  </w:rPr>
                  <w:t>156</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28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9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28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108</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728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156</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28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112</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728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156</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28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28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122</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728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156</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728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29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8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133</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28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156</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8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8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28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9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29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729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729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29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2959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7295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2836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283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72940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729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2930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7292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72920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729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72913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729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2899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28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728896"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7288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138" w:hanging="497"/>
      <w:outlineLvl w:val="2"/>
    </w:pPr>
    <w:rPr>
      <w:rFonts w:ascii="Microsoft JhengHei" w:hAnsi="Microsoft JhengHei" w:eastAsia="Microsoft JhengHei"/>
      <w:b/>
      <w:bCs/>
      <w:sz w:val="24"/>
      <w:szCs w:val="24"/>
    </w:rPr>
  </w:style>
  <w:style w:styleId="Heading3" w:type="paragraph">
    <w:name w:val="Heading 3"/>
    <w:basedOn w:val="Normal"/>
    <w:uiPriority w:val="1"/>
    <w:qFormat/>
    <w:pPr>
      <w:spacing w:before="151"/>
      <w:ind w:left="138"/>
      <w:outlineLvl w:val="3"/>
    </w:pPr>
    <w:rPr>
      <w:rFonts w:ascii="宋体" w:hAnsi="宋体" w:eastAsia="宋体"/>
      <w:sz w:val="24"/>
      <w:szCs w:val="24"/>
    </w:rPr>
  </w:style>
  <w:style w:styleId="Heading4" w:type="paragraph">
    <w:name w:val="Heading 4"/>
    <w:basedOn w:val="Normal"/>
    <w:uiPriority w:val="1"/>
    <w:qFormat/>
    <w:pPr>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apex@apexsoft.com.cn" TargetMode="External"/><Relationship Id="rId8" Type="http://schemas.openxmlformats.org/officeDocument/2006/relationships/hyperlink" Target="http://www.apexsoft.com.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2.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3.xml"/><Relationship Id="rId19" Type="http://schemas.openxmlformats.org/officeDocument/2006/relationships/footer" Target="footer9.xml"/><Relationship Id="rId20" Type="http://schemas.openxmlformats.org/officeDocument/2006/relationships/image" Target="media/image1.png"/><Relationship Id="rId21" Type="http://schemas.openxmlformats.org/officeDocument/2006/relationships/footer" Target="footer10.xml"/><Relationship Id="rId22" Type="http://schemas.openxmlformats.org/officeDocument/2006/relationships/header" Target="header4.xml"/><Relationship Id="rId23" Type="http://schemas.openxmlformats.org/officeDocument/2006/relationships/footer" Target="footer11.xml"/><Relationship Id="rId24" Type="http://schemas.openxmlformats.org/officeDocument/2006/relationships/header" Target="header5.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header" Target="header6.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header" Target="header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header" Target="header8.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header" Target="header9.xml"/><Relationship Id="rId45" Type="http://schemas.openxmlformats.org/officeDocument/2006/relationships/footer" Target="footer28.xml"/><Relationship Id="rId46" Type="http://schemas.openxmlformats.org/officeDocument/2006/relationships/footer" Target="footer29.xml"/><Relationship Id="rId47" Type="http://schemas.openxmlformats.org/officeDocument/2006/relationships/header" Target="header10.xml"/><Relationship Id="rId48" Type="http://schemas.openxmlformats.org/officeDocument/2006/relationships/footer" Target="footer30.xml"/><Relationship Id="rId49" Type="http://schemas.openxmlformats.org/officeDocument/2006/relationships/footer" Target="footer31.xml"/><Relationship Id="rId50" Type="http://schemas.openxmlformats.org/officeDocument/2006/relationships/footer" Target="footer32.xml"/><Relationship Id="rId51" Type="http://schemas.openxmlformats.org/officeDocument/2006/relationships/header" Target="header11.xml"/><Relationship Id="rId52" Type="http://schemas.openxmlformats.org/officeDocument/2006/relationships/footer" Target="footer33.xml"/><Relationship Id="rId53" Type="http://schemas.openxmlformats.org/officeDocument/2006/relationships/footer" Target="footer34.xml"/><Relationship Id="rId54" Type="http://schemas.openxmlformats.org/officeDocument/2006/relationships/footer" Target="footer35.xml"/><Relationship Id="rId55" Type="http://schemas.openxmlformats.org/officeDocument/2006/relationships/footer" Target="footer36.xm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header" Target="header12.xml"/><Relationship Id="rId60" Type="http://schemas.openxmlformats.org/officeDocument/2006/relationships/footer" Target="footer40.xml"/><Relationship Id="rId61" Type="http://schemas.openxmlformats.org/officeDocument/2006/relationships/footer" Target="footer41.xml"/><Relationship Id="rId62" Type="http://schemas.openxmlformats.org/officeDocument/2006/relationships/footer" Target="footer42.xml"/><Relationship Id="rId63" Type="http://schemas.openxmlformats.org/officeDocument/2006/relationships/header" Target="header13.xml"/><Relationship Id="rId64" Type="http://schemas.openxmlformats.org/officeDocument/2006/relationships/footer" Target="footer43.xml"/><Relationship Id="rId65" Type="http://schemas.openxmlformats.org/officeDocument/2006/relationships/footer" Target="footer44.xml"/><Relationship Id="rId66" Type="http://schemas.openxmlformats.org/officeDocument/2006/relationships/header" Target="header14.xml"/><Relationship Id="rId67" Type="http://schemas.openxmlformats.org/officeDocument/2006/relationships/footer" Target="footer45.xml"/><Relationship Id="rId68" Type="http://schemas.openxmlformats.org/officeDocument/2006/relationships/footer" Target="foot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2020-05-04T21:58:37Z</dcterms:created>
  <dcterms:modified xsi:type="dcterms:W3CDTF">2020-05-04T21:58:37Z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2019-04-01T00:00:00Z</vt:filetime>
  </property>
  <property fmtid="{D5CDD505-2E9C-101B-9397-08002B2CF9AE}" pid="3" name="Creator">
    <vt:lpwstr>Microsoft® Office Word 2007</vt:lpwstr>
  </property>
  <property fmtid="{D5CDD505-2E9C-101B-9397-08002B2CF9AE}" pid="4" name="LastSaved">
    <vt:filetime>2020-05-04T00:00:00Z</vt:filetime>
  </property>
</Properties>
</file>