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Default Extension="jpeg" ContentType="image/jpeg"/>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0.xml" ContentType="application/vnd.openxmlformats-officedocument.wordprocessingml.header+xml"/>
  <Override PartName="/word/footer35.xml" ContentType="application/vnd.openxmlformats-officedocument.wordprocessingml.footer+xml"/>
  <Override PartName="/word/header11.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2.xml" ContentType="application/vnd.openxmlformats-officedocument.wordprocessingml.header+xml"/>
  <Override PartName="/word/footer38.xml" ContentType="application/vnd.openxmlformats-officedocument.wordprocessingml.footer+xml"/>
  <Override PartName="/word/header13.xml" ContentType="application/vnd.openxmlformats-officedocument.wordprocessingml.header+xml"/>
  <Override PartName="/word/footer39.xml" ContentType="application/vnd.openxmlformats-officedocument.wordprocessingml.footer+xml"/>
  <Override PartName="/word/header14.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6822" w:val="left" w:leader="none"/>
        </w:tabs>
        <w:spacing w:line="240" w:lineRule="auto" w:before="35"/>
        <w:ind w:left="0" w:right="115"/>
        <w:jc w:val="center"/>
      </w:pPr>
      <w:r>
        <w:rPr>
          <w:spacing w:val="-1"/>
        </w:rPr>
        <w:t>公司代码：603636</w:t>
        <w:tab/>
      </w:r>
      <w:r>
        <w:rPr/>
        <w:t>公司简称：南威软件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4" w:right="2" w:firstLine="0"/>
        <w:jc w:val="center"/>
        <w:rPr>
          <w:rFonts w:ascii="黑体" w:hAnsi="黑体" w:cs="黑体" w:eastAsia="黑体" w:hint="default"/>
          <w:sz w:val="48"/>
          <w:szCs w:val="48"/>
        </w:rPr>
      </w:pPr>
      <w:r>
        <w:rPr>
          <w:rFonts w:ascii="黑体" w:hAnsi="黑体" w:cs="黑体" w:eastAsia="黑体" w:hint="default"/>
          <w:sz w:val="48"/>
          <w:szCs w:val="48"/>
        </w:rPr>
        <w:t>南威软件股份有限公司</w:t>
      </w:r>
    </w:p>
    <w:p>
      <w:pPr>
        <w:spacing w:before="310"/>
        <w:ind w:left="4" w:right="2" w:firstLine="0"/>
        <w:jc w:val="center"/>
        <w:rPr>
          <w:rFonts w:ascii="黑体" w:hAnsi="黑体" w:cs="黑体" w:eastAsia="黑体" w:hint="default"/>
          <w:sz w:val="44"/>
          <w:szCs w:val="44"/>
        </w:rPr>
      </w:pPr>
      <w:r>
        <w:rPr>
          <w:rFonts w:ascii="黑体" w:hAnsi="黑体" w:cs="黑体" w:eastAsia="黑体" w:hint="default"/>
          <w:sz w:val="44"/>
          <w:szCs w:val="44"/>
        </w:rPr>
        <w:t>2014</w:t>
      </w:r>
      <w:r>
        <w:rPr>
          <w:rFonts w:ascii="黑体" w:hAnsi="黑体" w:cs="黑体" w:eastAsia="黑体" w:hint="default"/>
          <w:spacing w:val="-118"/>
          <w:sz w:val="44"/>
          <w:szCs w:val="44"/>
        </w:rPr>
        <w:t> </w:t>
      </w:r>
      <w:r>
        <w:rPr>
          <w:rFonts w:ascii="黑体" w:hAnsi="黑体" w:cs="黑体" w:eastAsia="黑体" w:hint="default"/>
          <w:sz w:val="44"/>
          <w:szCs w:val="44"/>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3"/>
          <w:szCs w:val="13"/>
        </w:rPr>
      </w:pPr>
    </w:p>
    <w:p>
      <w:pPr>
        <w:spacing w:line="811" w:lineRule="exact"/>
        <w:ind w:left="1983" w:right="0" w:firstLine="0"/>
        <w:rPr>
          <w:rFonts w:ascii="黑体" w:hAnsi="黑体" w:cs="黑体" w:eastAsia="黑体" w:hint="default"/>
          <w:sz w:val="20"/>
          <w:szCs w:val="20"/>
        </w:rPr>
      </w:pPr>
      <w:r>
        <w:rPr>
          <w:rFonts w:ascii="黑体" w:hAnsi="黑体" w:cs="黑体" w:eastAsia="黑体" w:hint="default"/>
          <w:position w:val="-15"/>
          <w:sz w:val="20"/>
          <w:szCs w:val="20"/>
        </w:rPr>
        <w:pict>
          <v:group style="width:261.6pt;height:40.6pt;mso-position-horizontal-relative:char;mso-position-vertical-relative:line" coordorigin="0,0" coordsize="5232,812">
            <v:shape style="position:absolute;left:154;top:10;width:274;height:19" type="#_x0000_t75" stroked="false">
              <v:imagedata r:id="rId7" o:title=""/>
            </v:shape>
            <v:shape style="position:absolute;left:893;top:10;width:264;height:19" type="#_x0000_t75" stroked="false">
              <v:imagedata r:id="rId8" o:title=""/>
            </v:shape>
            <v:shape style="position:absolute;left:4618;top:10;width:587;height:19" type="#_x0000_t75" stroked="false">
              <v:imagedata r:id="rId9" o:title=""/>
            </v:shape>
            <v:shape style="position:absolute;left:0;top:0;width:5232;height:811" type="#_x0000_t75" stroked="false">
              <v:imagedata r:id="rId10" o:title=""/>
            </v:shape>
            <v:shape style="position:absolute;left:26;top:782;width:1318;height:5" type="#_x0000_t75" stroked="false">
              <v:imagedata r:id="rId11" o:title=""/>
            </v:shape>
            <v:shape style="position:absolute;left:1534;top:782;width:264;height:5" type="#_x0000_t75" stroked="false">
              <v:imagedata r:id="rId12" o:title=""/>
            </v:shape>
            <v:shape style="position:absolute;left:2126;top:782;width:240;height:2" type="#_x0000_t75" stroked="false">
              <v:imagedata r:id="rId13" o:title=""/>
            </v:shape>
            <v:shape style="position:absolute;left:2813;top:782;width:659;height:2" type="#_x0000_t75" stroked="false">
              <v:imagedata r:id="rId14" o:title=""/>
            </v:shape>
            <v:shape style="position:absolute;left:3941;top:782;width:240;height:2" type="#_x0000_t75" stroked="false">
              <v:imagedata r:id="rId13" o:title=""/>
            </v:shape>
            <v:shape style="position:absolute;left:4488;top:782;width:259;height:2" type="#_x0000_t75" stroked="false">
              <v:imagedata r:id="rId15" o:title=""/>
            </v:shape>
            <v:shape style="position:absolute;left:4807;top:782;width:264;height:5" type="#_x0000_t75" stroked="false">
              <v:imagedata r:id="rId12" o:title=""/>
            </v:shape>
          </v:group>
        </w:pict>
      </w:r>
      <w:r>
        <w:rPr>
          <w:rFonts w:ascii="黑体" w:hAnsi="黑体" w:cs="黑体" w:eastAsia="黑体" w:hint="default"/>
          <w:position w:val="-15"/>
          <w:sz w:val="20"/>
          <w:szCs w:val="20"/>
        </w:rPr>
      </w: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7"/>
        <w:rPr>
          <w:rFonts w:ascii="黑体" w:hAnsi="黑体" w:cs="黑体" w:eastAsia="黑体" w:hint="default"/>
          <w:sz w:val="33"/>
          <w:szCs w:val="33"/>
        </w:rPr>
      </w:pPr>
    </w:p>
    <w:p>
      <w:pPr>
        <w:spacing w:before="0"/>
        <w:ind w:left="4" w:right="1" w:firstLine="0"/>
        <w:jc w:val="center"/>
        <w:rPr>
          <w:rFonts w:ascii="黑体" w:hAnsi="黑体" w:cs="黑体" w:eastAsia="黑体" w:hint="default"/>
          <w:sz w:val="40"/>
          <w:szCs w:val="40"/>
        </w:rPr>
      </w:pPr>
      <w:r>
        <w:rPr>
          <w:rFonts w:ascii="黑体" w:hAnsi="黑体" w:cs="黑体" w:eastAsia="黑体" w:hint="default"/>
          <w:sz w:val="40"/>
          <w:szCs w:val="40"/>
        </w:rPr>
        <w:t>二○一五年四月十三日</w:t>
      </w:r>
    </w:p>
    <w:p>
      <w:pPr>
        <w:spacing w:after="0"/>
        <w:jc w:val="center"/>
        <w:rPr>
          <w:rFonts w:ascii="黑体" w:hAnsi="黑体" w:cs="黑体" w:eastAsia="黑体" w:hint="default"/>
          <w:sz w:val="40"/>
          <w:szCs w:val="40"/>
        </w:rPr>
        <w:sectPr>
          <w:headerReference w:type="default" r:id="rId5"/>
          <w:footerReference w:type="default" r:id="rId6"/>
          <w:type w:val="continuous"/>
          <w:pgSz w:w="11910" w:h="16840"/>
          <w:pgMar w:header="882" w:footer="977" w:top="1120" w:bottom="1160" w:left="1660" w:right="1140"/>
          <w:pgNumType w:start="1"/>
        </w:sectPr>
      </w:pPr>
    </w:p>
    <w:p>
      <w:pPr>
        <w:spacing w:line="240" w:lineRule="auto" w:before="3"/>
        <w:rPr>
          <w:rFonts w:ascii="黑体" w:hAnsi="黑体" w:cs="黑体" w:eastAsia="黑体" w:hint="default"/>
          <w:sz w:val="26"/>
          <w:szCs w:val="26"/>
        </w:rPr>
      </w:pPr>
    </w:p>
    <w:p>
      <w:pPr>
        <w:spacing w:before="13"/>
        <w:ind w:left="4"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2"/>
        <w:spacing w:line="355" w:lineRule="auto" w:before="0"/>
        <w:ind w:left="506" w:right="127" w:hanging="369"/>
        <w:jc w:val="left"/>
        <w:rPr>
          <w:b w:val="0"/>
          <w:bCs w:val="0"/>
        </w:rPr>
      </w:pPr>
      <w:r>
        <w:rPr>
          <w:spacing w:val="-5"/>
          <w:w w:val="95"/>
        </w:rPr>
        <w:t>一、本公司董事会、监事会及董事、监事、高级管理人员保证年度报告内容的真实、准确、完整，</w:t>
      </w:r>
      <w:r>
        <w:rPr>
          <w:spacing w:val="41"/>
          <w:w w:val="95"/>
        </w:rPr>
        <w:t> </w:t>
      </w:r>
      <w:r>
        <w:rPr>
          <w:spacing w:val="41"/>
          <w:w w:val="95"/>
        </w:rPr>
      </w:r>
      <w:r>
        <w:rPr/>
        <w:t>不存在虚假记载、误导性陈述或重大遗漏，并承担个别和连带的法律责任。</w:t>
      </w:r>
      <w:r>
        <w:rPr>
          <w:b w:val="0"/>
          <w:bCs w:val="0"/>
        </w:rPr>
      </w:r>
    </w:p>
    <w:p>
      <w:pPr>
        <w:pStyle w:val="Heading2"/>
        <w:spacing w:line="680" w:lineRule="exact" w:before="7"/>
        <w:ind w:left="137" w:right="127"/>
        <w:jc w:val="left"/>
        <w:rPr>
          <w:b w:val="0"/>
          <w:bCs w:val="0"/>
        </w:rPr>
      </w:pPr>
      <w:r>
        <w:rPr/>
        <w:t>二、</w:t>
      </w:r>
      <w:r>
        <w:rPr>
          <w:spacing w:val="-81"/>
        </w:rPr>
        <w:t> </w:t>
      </w:r>
      <w:r>
        <w:rPr/>
        <w:t>公司除董事长吴志雄先生应相关部门要求协助调查外，其余</w:t>
      </w:r>
      <w:r>
        <w:rPr>
          <w:spacing w:val="-54"/>
        </w:rPr>
        <w:t> </w:t>
      </w:r>
      <w:r>
        <w:rPr>
          <w:rFonts w:ascii="Arial" w:hAnsi="Arial" w:cs="Arial" w:eastAsia="Arial" w:hint="default"/>
        </w:rPr>
        <w:t>6</w:t>
      </w:r>
      <w:r>
        <w:rPr>
          <w:rFonts w:ascii="Arial" w:hAnsi="Arial" w:cs="Arial" w:eastAsia="Arial" w:hint="default"/>
          <w:spacing w:val="-8"/>
        </w:rPr>
        <w:t> </w:t>
      </w:r>
      <w:r>
        <w:rPr/>
        <w:t>位董事均出席董事会会议。</w:t>
      </w:r>
      <w:r>
        <w:rPr>
          <w:spacing w:val="1"/>
          <w:w w:val="99"/>
        </w:rPr>
        <w:t> </w:t>
      </w:r>
      <w:r>
        <w:rPr/>
        <w:t>三、</w:t>
      </w:r>
      <w:r>
        <w:rPr>
          <w:spacing w:val="-11"/>
        </w:rPr>
        <w:t> </w:t>
      </w:r>
      <w:r>
        <w:rPr/>
        <w:t>福建华兴会计师事务所（特殊普通合伙）为本公司出具了标准无保留意见的审计报告。</w:t>
      </w:r>
      <w:r>
        <w:rPr>
          <w:spacing w:val="1"/>
          <w:w w:val="99"/>
        </w:rPr>
        <w:t> </w:t>
      </w:r>
      <w:r>
        <w:rPr>
          <w:w w:val="95"/>
        </w:rPr>
        <w:t>四、公司负责人侯济恭、主管会计工作负责人郑金聪及会计机构负责人（会计主管人员）郑金聪</w:t>
      </w:r>
      <w:r>
        <w:rPr>
          <w:b w:val="0"/>
          <w:bCs w:val="0"/>
        </w:rPr>
      </w:r>
    </w:p>
    <w:p>
      <w:pPr>
        <w:pStyle w:val="Heading2"/>
        <w:spacing w:line="240" w:lineRule="auto" w:before="28"/>
        <w:ind w:left="506" w:right="127"/>
        <w:jc w:val="left"/>
        <w:rPr>
          <w:b w:val="0"/>
          <w:bCs w:val="0"/>
        </w:rPr>
      </w:pPr>
      <w:r>
        <w:rPr/>
        <w:t>声明：保证年度报告中财务报告的真实、准确、完整。</w:t>
      </w:r>
      <w:r>
        <w:rPr>
          <w:b w:val="0"/>
          <w:bCs w:val="0"/>
        </w:rPr>
      </w:r>
    </w:p>
    <w:p>
      <w:pPr>
        <w:spacing w:line="240" w:lineRule="auto" w:before="4"/>
        <w:rPr>
          <w:rFonts w:ascii="宋体" w:hAnsi="宋体" w:cs="宋体" w:eastAsia="宋体" w:hint="default"/>
          <w:b/>
          <w:bCs/>
          <w:sz w:val="15"/>
          <w:szCs w:val="15"/>
        </w:rPr>
      </w:pPr>
    </w:p>
    <w:p>
      <w:pPr>
        <w:spacing w:line="480" w:lineRule="atLeast" w:before="0"/>
        <w:ind w:left="557" w:right="127"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经福建华兴会计师事务所（特殊普通合伙）审计报告，公司2014年度合并报表中归属于母公</w:t>
      </w:r>
    </w:p>
    <w:p>
      <w:pPr>
        <w:pStyle w:val="BodyText"/>
        <w:spacing w:line="314" w:lineRule="auto" w:before="85"/>
        <w:ind w:left="137" w:right="130"/>
        <w:jc w:val="both"/>
      </w:pPr>
      <w:r>
        <w:rPr/>
        <w:t>司所有者的净利润为86,886,642.29元，2014年度母公司净利润为95,123,544.46元。按照相关规 </w:t>
      </w:r>
      <w:r>
        <w:rPr>
          <w:spacing w:val="-3"/>
        </w:rPr>
        <w:t>定，公司提取10%法定盈余公积金后，截止2014年12月31日，合并报表口径和母公司可供股东分配</w:t>
      </w:r>
      <w:r>
        <w:rPr>
          <w:spacing w:val="-62"/>
        </w:rPr>
        <w:t> </w:t>
      </w:r>
      <w:r>
        <w:rPr>
          <w:spacing w:val="-62"/>
        </w:rPr>
      </w:r>
      <w:r>
        <w:rPr/>
        <w:t>的利润分别为265,548,006.81元和284,429,784.23元。</w:t>
      </w:r>
    </w:p>
    <w:p>
      <w:pPr>
        <w:pStyle w:val="BodyText"/>
        <w:spacing w:line="314" w:lineRule="auto"/>
        <w:ind w:left="137" w:right="130" w:firstLine="420"/>
        <w:jc w:val="both"/>
      </w:pPr>
      <w:r>
        <w:rPr/>
        <w:t>鉴于上述公司2014年实际经营和盈利情况，为了保证公司长远发展的需要，为广大股东创造 </w:t>
      </w:r>
      <w:r>
        <w:rPr>
          <w:spacing w:val="-5"/>
        </w:rPr>
        <w:t>持续稳定的收益，与所有股东共享公司经营成果，根据《公司法》、《公司章程》，提议公司2014</w:t>
      </w:r>
      <w:r>
        <w:rPr>
          <w:spacing w:val="-84"/>
        </w:rPr>
        <w:t> </w:t>
      </w:r>
      <w:r>
        <w:rPr>
          <w:spacing w:val="-84"/>
        </w:rPr>
      </w:r>
      <w:r>
        <w:rPr/>
        <w:t>年度利润分配预案为：以公司2014年12月31日公司总股本10,000万股为基数，向全体股东每10股</w:t>
      </w:r>
      <w:r>
        <w:rPr/>
        <w:t> 派发现金股利人民币1.8元（含税），共计分配现金股利18,000,000.00元。本次分配方案须经股 东大会审议通过后实施。</w:t>
      </w:r>
    </w:p>
    <w:p>
      <w:pPr>
        <w:spacing w:line="480" w:lineRule="atLeast" w:before="98"/>
        <w:ind w:left="557" w:right="127"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4"/>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本报告中如有涉及未来计划、发展战略等前瞻性描述不构成公司对投资者的承诺，敬请投资</w:t>
      </w:r>
    </w:p>
    <w:p>
      <w:pPr>
        <w:pStyle w:val="BodyText"/>
        <w:spacing w:line="240" w:lineRule="auto" w:before="85"/>
        <w:ind w:left="137" w:right="127"/>
        <w:jc w:val="left"/>
      </w:pPr>
      <w:r>
        <w:rPr/>
        <w:t>者注意投资风险。</w:t>
      </w:r>
    </w:p>
    <w:p>
      <w:pPr>
        <w:spacing w:line="240" w:lineRule="auto" w:before="2"/>
        <w:rPr>
          <w:rFonts w:ascii="宋体" w:hAnsi="宋体" w:cs="宋体" w:eastAsia="宋体" w:hint="default"/>
          <w:sz w:val="28"/>
          <w:szCs w:val="28"/>
        </w:rPr>
      </w:pPr>
    </w:p>
    <w:p>
      <w:pPr>
        <w:pStyle w:val="Heading2"/>
        <w:spacing w:line="422" w:lineRule="auto" w:before="0"/>
        <w:ind w:left="137" w:right="3466"/>
        <w:jc w:val="left"/>
        <w:rPr>
          <w:rFonts w:ascii="宋体" w:hAnsi="宋体" w:cs="宋体" w:eastAsia="宋体" w:hint="default"/>
          <w:b w:val="0"/>
          <w:bCs w:val="0"/>
        </w:rPr>
      </w:pPr>
      <w:r>
        <w:rPr/>
        <w:t>七、是否存在被控股股东及其关联方非经营性占用资金情况</w:t>
      </w:r>
      <w:r>
        <w:rPr>
          <w:spacing w:val="-98"/>
        </w:rPr>
        <w:t> </w:t>
      </w:r>
      <w:r>
        <w:rPr>
          <w:spacing w:val="-98"/>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81" w:val="left" w:leader="none"/>
        </w:tabs>
        <w:spacing w:line="355" w:lineRule="auto" w:before="0"/>
        <w:ind w:left="137" w:right="3684"/>
        <w:jc w:val="left"/>
        <w:rPr>
          <w:rFonts w:ascii="宋体" w:hAnsi="宋体" w:cs="宋体" w:eastAsia="宋体" w:hint="default"/>
          <w:b w:val="0"/>
          <w:bCs w:val="0"/>
        </w:rPr>
      </w:pPr>
      <w:r>
        <w:rPr>
          <w:w w:val="95"/>
        </w:rPr>
        <w:t>八、</w:t>
        <w:tab/>
      </w:r>
      <w:r>
        <w:rPr/>
        <w:t>是否存在违反规定决策程序对外提供担保的情况？</w:t>
      </w:r>
      <w:r>
        <w:rPr>
          <w:w w:val="99"/>
        </w:rPr>
        <w:t> </w:t>
      </w:r>
      <w:r>
        <w:rPr>
          <w:rFonts w:ascii="宋体" w:hAnsi="宋体" w:cs="宋体" w:eastAsia="宋体" w:hint="default"/>
          <w:b w:val="0"/>
          <w:bCs w:val="0"/>
        </w:rPr>
        <w:t>否</w:t>
      </w:r>
    </w:p>
    <w:p>
      <w:pPr>
        <w:spacing w:after="0" w:line="355" w:lineRule="auto"/>
        <w:jc w:val="left"/>
        <w:rPr>
          <w:rFonts w:ascii="宋体" w:hAnsi="宋体" w:cs="宋体" w:eastAsia="宋体" w:hint="default"/>
        </w:rPr>
        <w:sectPr>
          <w:pgSz w:w="11910" w:h="16840"/>
          <w:pgMar w:header="882" w:footer="977"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tabs>
          <w:tab w:pos="722" w:val="left" w:leader="none"/>
        </w:tabs>
        <w:spacing w:line="460" w:lineRule="exact" w:before="0"/>
        <w:ind w:left="1"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397" w:val="left" w:leader="none"/>
              <w:tab w:pos="8959" w:val="right" w:leader="dot"/>
            </w:tabs>
            <w:spacing w:line="240" w:lineRule="auto" w:before="86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释义及重大风险提示</w:t>
            </w:r>
            <w:r>
              <w:rPr>
                <w:rFonts w:ascii="Times New Roman" w:hAnsi="Times New Roman" w:cs="Times New Roman" w:eastAsia="Times New Roman" w:hint="default"/>
              </w:rPr>
              <w:tab/>
              <w:t>4</w:t>
            </w:r>
          </w:hyperlink>
        </w:p>
        <w:p>
          <w:pPr>
            <w:pStyle w:val="TOC1"/>
            <w:tabs>
              <w:tab w:pos="1397" w:val="left" w:leader="none"/>
              <w:tab w:pos="8960" w:val="right" w:leader="dot"/>
            </w:tabs>
            <w:spacing w:line="240" w:lineRule="auto" w:before="118"/>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t>5</w:t>
            </w:r>
          </w:hyperlink>
        </w:p>
        <w:p>
          <w:pPr>
            <w:pStyle w:val="TOC1"/>
            <w:tabs>
              <w:tab w:pos="1397" w:val="left" w:leader="none"/>
              <w:tab w:pos="8959" w:val="right" w:leader="dot"/>
            </w:tabs>
            <w:spacing w:line="240" w:lineRule="auto"/>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7</w:t>
            </w:r>
          </w:hyperlink>
        </w:p>
        <w:p>
          <w:pPr>
            <w:pStyle w:val="TOC1"/>
            <w:tabs>
              <w:tab w:pos="1397" w:val="left" w:leader="none"/>
              <w:tab w:pos="8959" w:val="right" w:leader="dot"/>
            </w:tabs>
            <w:spacing w:line="240" w:lineRule="auto" w:before="118"/>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t>10</w:t>
            </w:r>
          </w:hyperlink>
        </w:p>
        <w:p>
          <w:pPr>
            <w:pStyle w:val="TOC1"/>
            <w:tabs>
              <w:tab w:pos="1397" w:val="left" w:leader="none"/>
              <w:tab w:pos="8959" w:val="right" w:leader="dot"/>
            </w:tabs>
            <w:spacing w:line="240" w:lineRule="auto"/>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28</w:t>
            </w:r>
          </w:hyperlink>
        </w:p>
        <w:p>
          <w:pPr>
            <w:pStyle w:val="TOC1"/>
            <w:tabs>
              <w:tab w:pos="1397" w:val="left" w:leader="none"/>
              <w:tab w:pos="8959" w:val="right" w:leader="dot"/>
            </w:tabs>
            <w:spacing w:line="240" w:lineRule="auto"/>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32</w:t>
            </w:r>
          </w:hyperlink>
        </w:p>
        <w:p>
          <w:pPr>
            <w:pStyle w:val="TOC1"/>
            <w:tabs>
              <w:tab w:pos="1397" w:val="left" w:leader="none"/>
              <w:tab w:pos="8960" w:val="right" w:leader="dot"/>
            </w:tabs>
            <w:spacing w:line="240" w:lineRule="auto" w:before="118"/>
            <w:ind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t>38</w:t>
            </w:r>
          </w:hyperlink>
        </w:p>
        <w:p>
          <w:pPr>
            <w:pStyle w:val="TOC1"/>
            <w:tabs>
              <w:tab w:pos="1397" w:val="left" w:leader="none"/>
              <w:tab w:pos="8959" w:val="right" w:leader="dot"/>
            </w:tabs>
            <w:spacing w:line="240" w:lineRule="auto"/>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t>44</w:t>
            </w:r>
          </w:hyperlink>
        </w:p>
        <w:p>
          <w:pPr>
            <w:pStyle w:val="TOC1"/>
            <w:tabs>
              <w:tab w:pos="1397" w:val="left" w:leader="none"/>
              <w:tab w:pos="8959" w:val="right" w:leader="dot"/>
            </w:tabs>
            <w:spacing w:line="240" w:lineRule="auto" w:before="118"/>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t>48</w:t>
            </w:r>
          </w:hyperlink>
        </w:p>
        <w:p>
          <w:pPr>
            <w:pStyle w:val="TOC1"/>
            <w:tabs>
              <w:tab w:pos="1397" w:val="left" w:leader="none"/>
              <w:tab w:pos="8959"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54</w:t>
            </w:r>
          </w:hyperlink>
        </w:p>
        <w:p>
          <w:pPr>
            <w:pStyle w:val="TOC1"/>
            <w:tabs>
              <w:tab w:pos="1397" w:val="left" w:leader="none"/>
              <w:tab w:pos="8960" w:val="right" w:leader="dot"/>
            </w:tabs>
            <w:spacing w:line="240" w:lineRule="auto" w:before="118"/>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143</w:t>
            </w:r>
          </w:hyperlink>
        </w:p>
        <w:p>
          <w:pPr/>
          <w:r>
            <w:fldChar w:fldCharType="end"/>
          </w:r>
        </w:p>
      </w:sdtContent>
    </w:sdt>
    <w:p>
      <w:pPr>
        <w:spacing w:after="0"/>
        <w:sectPr>
          <w:pgSz w:w="11910" w:h="16840"/>
          <w:pgMar w:header="882" w:footer="977" w:top="1120" w:bottom="1160" w:left="1660" w:right="1140"/>
        </w:sectPr>
      </w:pPr>
    </w:p>
    <w:p>
      <w:pPr>
        <w:pStyle w:val="Heading1"/>
        <w:tabs>
          <w:tab w:pos="3998" w:val="left" w:leader="none"/>
        </w:tabs>
        <w:spacing w:line="240" w:lineRule="auto" w:before="688"/>
        <w:ind w:left="2738" w:right="2437"/>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left="217" w:right="3277"/>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w w:val="99"/>
        </w:rPr>
        <w:t> </w:t>
      </w:r>
      <w:r>
        <w:rPr/>
        <w:t>在本报告书中，除非文义另有所指，下列词语具有如下含义：</w:t>
      </w:r>
    </w:p>
    <w:p>
      <w:pPr>
        <w:spacing w:line="240" w:lineRule="auto" w:before="6"/>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016"/>
        <w:gridCol w:w="920"/>
        <w:gridCol w:w="4961"/>
      </w:tblGrid>
      <w:tr>
        <w:trPr>
          <w:trHeight w:val="349" w:hRule="exact"/>
        </w:trPr>
        <w:tc>
          <w:tcPr>
            <w:tcW w:w="8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5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公司、本公司或南威软件</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r>
      <w:tr>
        <w:trPr>
          <w:trHeight w:val="35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凯信金鹏</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天津市凯信金鹏股权投资基金合伙企业（有限合伙）</w:t>
            </w:r>
          </w:p>
        </w:tc>
      </w:tr>
      <w:tr>
        <w:trPr>
          <w:trHeight w:val="34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东方汇富</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厦门东方汇富股权投资合伙企业（有限合伙）</w:t>
            </w:r>
          </w:p>
        </w:tc>
      </w:tr>
      <w:tr>
        <w:trPr>
          <w:trHeight w:val="35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德弘嘉业</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福州市晋安区德弘嘉业投资中心（有限合伙）</w:t>
            </w:r>
          </w:p>
        </w:tc>
      </w:tr>
      <w:tr>
        <w:trPr>
          <w:trHeight w:val="35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盈科成长</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福建盈科成长创业投资有限公司</w:t>
            </w:r>
          </w:p>
        </w:tc>
      </w:tr>
      <w:tr>
        <w:trPr>
          <w:trHeight w:val="34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451"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解决方案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101" w:right="101"/>
              <w:jc w:val="both"/>
              <w:rPr>
                <w:rFonts w:ascii="宋体" w:hAnsi="宋体" w:cs="宋体" w:eastAsia="宋体" w:hint="default"/>
                <w:sz w:val="21"/>
                <w:szCs w:val="21"/>
              </w:rPr>
            </w:pPr>
            <w:r>
              <w:rPr>
                <w:rFonts w:ascii="宋体" w:hAnsi="宋体" w:cs="宋体" w:eastAsia="宋体" w:hint="default"/>
                <w:spacing w:val="-4"/>
                <w:sz w:val="21"/>
                <w:szCs w:val="21"/>
              </w:rPr>
              <w:t>以应用软件开发为核心，选择适合的外部软件和计算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机硬件产品，经过设计、开发、集成、安装、调试和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售后服务，使整套系统能够实现特定的业务功能，满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足客户业务需求的服务。</w:t>
            </w:r>
          </w:p>
        </w:tc>
      </w:tr>
      <w:tr>
        <w:trPr>
          <w:trHeight w:val="73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权力阳光</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1" w:right="101"/>
              <w:jc w:val="left"/>
              <w:rPr>
                <w:rFonts w:ascii="宋体" w:hAnsi="宋体" w:cs="宋体" w:eastAsia="宋体" w:hint="default"/>
                <w:sz w:val="21"/>
                <w:szCs w:val="21"/>
              </w:rPr>
            </w:pPr>
            <w:r>
              <w:rPr>
                <w:rFonts w:ascii="宋体" w:hAnsi="宋体" w:cs="宋体" w:eastAsia="宋体" w:hint="default"/>
                <w:spacing w:val="-4"/>
                <w:sz w:val="21"/>
                <w:szCs w:val="21"/>
              </w:rPr>
              <w:t>通过深化政务公开，制约公权行使的程序和边界，实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现政府行政权力透明、规范、廉洁、高效运行。</w:t>
            </w:r>
          </w:p>
        </w:tc>
      </w:tr>
      <w:tr>
        <w:trPr>
          <w:trHeight w:val="181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智慧公安</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1" w:right="95"/>
              <w:jc w:val="both"/>
              <w:rPr>
                <w:rFonts w:ascii="宋体" w:hAnsi="宋体" w:cs="宋体" w:eastAsia="宋体" w:hint="default"/>
                <w:sz w:val="21"/>
                <w:szCs w:val="21"/>
              </w:rPr>
            </w:pPr>
            <w:r>
              <w:rPr>
                <w:rFonts w:ascii="宋体" w:hAnsi="宋体" w:cs="宋体" w:eastAsia="宋体" w:hint="default"/>
                <w:spacing w:val="-4"/>
                <w:sz w:val="21"/>
                <w:szCs w:val="21"/>
              </w:rPr>
              <w:t>以可视化指挥为理念，运用高清视频、大数据、云计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算、智能分析等技术对公安领域的海量信息进行采</w:t>
            </w:r>
            <w:r>
              <w:rPr>
                <w:rFonts w:ascii="宋体" w:hAnsi="宋体" w:cs="宋体" w:eastAsia="宋体" w:hint="default"/>
                <w:spacing w:val="6"/>
                <w:sz w:val="21"/>
                <w:szCs w:val="21"/>
              </w:rPr>
              <w:t> </w:t>
            </w:r>
            <w:r>
              <w:rPr>
                <w:rFonts w:ascii="宋体" w:hAnsi="宋体" w:cs="宋体" w:eastAsia="宋体" w:hint="default"/>
                <w:spacing w:val="-4"/>
                <w:sz w:val="21"/>
                <w:szCs w:val="21"/>
              </w:rPr>
              <w:t>集、存储、加工和智能化处理，搭建智能、高效的指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挥显控平台，实现“多级别、跨警种、跨区域”的公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安系统应急联动与决策指挥。</w:t>
            </w:r>
          </w:p>
        </w:tc>
      </w:tr>
      <w:tr>
        <w:trPr>
          <w:trHeight w:val="1091"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智慧军营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101" w:right="102"/>
              <w:jc w:val="both"/>
              <w:rPr>
                <w:rFonts w:ascii="宋体" w:hAnsi="宋体" w:cs="宋体" w:eastAsia="宋体" w:hint="default"/>
                <w:sz w:val="21"/>
                <w:szCs w:val="21"/>
              </w:rPr>
            </w:pPr>
            <w:r>
              <w:rPr>
                <w:rFonts w:ascii="宋体" w:hAnsi="宋体" w:cs="宋体" w:eastAsia="宋体" w:hint="default"/>
                <w:sz w:val="21"/>
                <w:szCs w:val="21"/>
              </w:rPr>
              <w:t>以物联网、数据整合、GIS、3D</w:t>
            </w:r>
            <w:r>
              <w:rPr>
                <w:rFonts w:ascii="宋体" w:hAnsi="宋体" w:cs="宋体" w:eastAsia="宋体" w:hint="default"/>
                <w:spacing w:val="-81"/>
                <w:sz w:val="21"/>
                <w:szCs w:val="21"/>
              </w:rPr>
              <w:t> </w:t>
            </w:r>
            <w:r>
              <w:rPr>
                <w:rFonts w:ascii="宋体" w:hAnsi="宋体" w:cs="宋体" w:eastAsia="宋体" w:hint="default"/>
                <w:sz w:val="21"/>
                <w:szCs w:val="21"/>
              </w:rPr>
              <w:t>等技术为依托，构建</w:t>
            </w:r>
            <w:r>
              <w:rPr>
                <w:rFonts w:ascii="宋体" w:hAnsi="宋体" w:cs="宋体" w:eastAsia="宋体" w:hint="default"/>
                <w:sz w:val="21"/>
                <w:szCs w:val="21"/>
              </w:rPr>
              <w:t> </w:t>
            </w:r>
            <w:r>
              <w:rPr>
                <w:rFonts w:ascii="宋体" w:hAnsi="宋体" w:cs="宋体" w:eastAsia="宋体" w:hint="default"/>
                <w:spacing w:val="-4"/>
                <w:sz w:val="21"/>
                <w:szCs w:val="21"/>
              </w:rPr>
              <w:t>集部队日常工作、营区管理等信息化应用于一体的基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层部队综合信息管理平台。</w:t>
            </w:r>
          </w:p>
        </w:tc>
      </w:tr>
      <w:tr>
        <w:trPr>
          <w:trHeight w:val="37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政务部门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指党委、政府、军队的组成部门或直属机构。</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290" w:lineRule="auto" w:before="0"/>
        <w:ind w:left="637" w:right="2437" w:hanging="42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60"/>
          <w:sz w:val="21"/>
          <w:szCs w:val="21"/>
        </w:rPr>
        <w:t> </w:t>
      </w:r>
      <w:r>
        <w:rPr>
          <w:rFonts w:ascii="宋体" w:hAnsi="宋体" w:cs="宋体" w:eastAsia="宋体" w:hint="default"/>
          <w:b/>
          <w:bCs/>
          <w:sz w:val="21"/>
          <w:szCs w:val="21"/>
        </w:rPr>
        <w:t>重大风险提示</w:t>
      </w:r>
      <w:r>
        <w:rPr>
          <w:rFonts w:ascii="宋体" w:hAnsi="宋体" w:cs="宋体" w:eastAsia="宋体" w:hint="default"/>
          <w:b/>
          <w:bCs/>
          <w:w w:val="99"/>
          <w:sz w:val="21"/>
          <w:szCs w:val="21"/>
        </w:rPr>
        <w:t> </w:t>
      </w:r>
      <w:r>
        <w:rPr>
          <w:rFonts w:ascii="宋体" w:hAnsi="宋体" w:cs="宋体" w:eastAsia="宋体" w:hint="default"/>
          <w:sz w:val="21"/>
          <w:szCs w:val="21"/>
        </w:rPr>
        <w:t>公司已在本年度报告中描述存在的主要风险，敬请查阅年报正文。</w:t>
      </w:r>
    </w:p>
    <w:p>
      <w:pPr>
        <w:spacing w:after="0" w:line="290" w:lineRule="auto"/>
        <w:jc w:val="left"/>
        <w:rPr>
          <w:rFonts w:ascii="宋体" w:hAnsi="宋体" w:cs="宋体" w:eastAsia="宋体" w:hint="default"/>
          <w:sz w:val="21"/>
          <w:szCs w:val="21"/>
        </w:rPr>
        <w:sectPr>
          <w:pgSz w:w="11910" w:h="16840"/>
          <w:pgMar w:header="882" w:footer="977" w:top="1120" w:bottom="1160" w:left="1580" w:right="11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9"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2"/>
        <w:spacing w:line="240" w:lineRule="auto"/>
        <w:ind w:left="137" w:right="0"/>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3858"/>
        <w:gridCol w:w="5035"/>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南威软件</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Linewell Software</w:t>
            </w:r>
            <w:r>
              <w:rPr>
                <w:rFonts w:ascii="宋体" w:hAnsi="宋体" w:cs="宋体" w:eastAsia="宋体" w:hint="default"/>
                <w:spacing w:val="-24"/>
                <w:sz w:val="21"/>
                <w:szCs w:val="21"/>
              </w:rPr>
              <w:t> </w:t>
            </w:r>
            <w:r>
              <w:rPr>
                <w:rFonts w:ascii="宋体" w:hAnsi="宋体" w:cs="宋体" w:eastAsia="宋体" w:hint="default"/>
                <w:sz w:val="21"/>
                <w:szCs w:val="21"/>
              </w:rPr>
              <w:t>Co.，Ltd.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sz w:val="21"/>
              </w:rPr>
              <w:t>Linewell</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吴志雄</w:t>
            </w:r>
          </w:p>
        </w:tc>
      </w:tr>
    </w:tbl>
    <w:p>
      <w:pPr>
        <w:spacing w:line="240" w:lineRule="auto" w:before="12"/>
        <w:rPr>
          <w:rFonts w:ascii="宋体" w:hAnsi="宋体" w:cs="宋体" w:eastAsia="宋体" w:hint="default"/>
          <w:b/>
          <w:bCs/>
          <w:sz w:val="19"/>
          <w:szCs w:val="19"/>
        </w:rPr>
      </w:pPr>
    </w:p>
    <w:p>
      <w:pPr>
        <w:pStyle w:val="Heading2"/>
        <w:spacing w:line="240" w:lineRule="auto"/>
        <w:ind w:left="137" w:right="0"/>
        <w:jc w:val="left"/>
        <w:rPr>
          <w:b w:val="0"/>
          <w:bCs w:val="0"/>
        </w:rPr>
      </w:pPr>
      <w:r>
        <w:rPr/>
        <w:t>二、</w:t>
      </w:r>
      <w:r>
        <w:rPr>
          <w:spacing w:val="37"/>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3859"/>
        <w:gridCol w:w="4958"/>
      </w:tblGrid>
      <w:tr>
        <w:trPr>
          <w:trHeight w:val="408" w:hRule="exact"/>
        </w:trPr>
        <w:tc>
          <w:tcPr>
            <w:tcW w:w="3859" w:type="dxa"/>
            <w:tcBorders>
              <w:top w:val="single" w:sz="4" w:space="0" w:color="000000"/>
              <w:left w:val="single" w:sz="4" w:space="0" w:color="000000"/>
              <w:bottom w:val="single" w:sz="4" w:space="0" w:color="000000"/>
              <w:right w:val="single" w:sz="4" w:space="0" w:color="000000"/>
            </w:tcBorders>
          </w:tcPr>
          <w:p>
            <w:pP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407"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吴丽卿</w:t>
            </w:r>
          </w:p>
        </w:tc>
      </w:tr>
      <w:tr>
        <w:trPr>
          <w:trHeight w:val="407"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福建省泉州市丰泽区丰海路南威大厦2号楼21层</w:t>
            </w:r>
          </w:p>
        </w:tc>
      </w:tr>
      <w:tr>
        <w:trPr>
          <w:trHeight w:val="407"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sz w:val="21"/>
              </w:rPr>
              <w:t>0595-68288886</w:t>
            </w:r>
          </w:p>
        </w:tc>
      </w:tr>
      <w:tr>
        <w:trPr>
          <w:trHeight w:val="407"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sz w:val="21"/>
              </w:rPr>
              <w:t>0595-68288887</w:t>
            </w:r>
          </w:p>
        </w:tc>
      </w:tr>
      <w:tr>
        <w:trPr>
          <w:trHeight w:val="408"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hyperlink r:id="rId16">
              <w:r>
                <w:rPr>
                  <w:rFonts w:ascii="宋体"/>
                  <w:sz w:val="21"/>
                </w:rPr>
                <w:t>bona@linewell.com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left="137" w:right="0"/>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3858"/>
        <w:gridCol w:w="5035"/>
      </w:tblGrid>
      <w:tr>
        <w:trPr>
          <w:trHeight w:val="407"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福建省泉州市丰泽区丰海路南威大厦2号楼16-22层</w:t>
            </w:r>
          </w:p>
        </w:tc>
      </w:tr>
      <w:tr>
        <w:trPr>
          <w:trHeight w:val="407"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sz w:val="21"/>
              </w:rPr>
              <w:t>362000</w:t>
            </w:r>
          </w:p>
        </w:tc>
      </w:tr>
      <w:tr>
        <w:trPr>
          <w:trHeight w:val="407"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福建省泉州市丰海路南威大厦2号楼</w:t>
            </w:r>
          </w:p>
        </w:tc>
      </w:tr>
      <w:tr>
        <w:trPr>
          <w:trHeight w:val="407"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sz w:val="21"/>
              </w:rPr>
              <w:t>362000</w:t>
            </w:r>
          </w:p>
        </w:tc>
      </w:tr>
      <w:tr>
        <w:trPr>
          <w:trHeight w:val="407"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hyperlink r:id="rId17">
              <w:r>
                <w:rPr>
                  <w:rFonts w:ascii="宋体"/>
                  <w:sz w:val="21"/>
                </w:rPr>
                <w:t>http://www.linewell.com</w:t>
              </w:r>
            </w:hyperlink>
          </w:p>
        </w:tc>
      </w:tr>
      <w:tr>
        <w:trPr>
          <w:trHeight w:val="408"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hyperlink r:id="rId18">
              <w:r>
                <w:rPr>
                  <w:rFonts w:ascii="宋体"/>
                  <w:sz w:val="21"/>
                </w:rPr>
                <w:t>ir@linewell.com</w:t>
              </w:r>
            </w:hyperlink>
          </w:p>
        </w:tc>
      </w:tr>
    </w:tbl>
    <w:p>
      <w:pPr>
        <w:spacing w:line="240" w:lineRule="auto" w:before="0"/>
        <w:rPr>
          <w:rFonts w:ascii="宋体" w:hAnsi="宋体" w:cs="宋体" w:eastAsia="宋体" w:hint="default"/>
          <w:b/>
          <w:bCs/>
          <w:sz w:val="20"/>
          <w:szCs w:val="20"/>
        </w:rPr>
      </w:pPr>
    </w:p>
    <w:p>
      <w:pPr>
        <w:pStyle w:val="Heading2"/>
        <w:spacing w:line="240" w:lineRule="auto"/>
        <w:ind w:left="137" w:right="0"/>
        <w:jc w:val="left"/>
        <w:rPr>
          <w:b w:val="0"/>
          <w:bCs w:val="0"/>
        </w:rPr>
      </w:pPr>
      <w:r>
        <w:rPr/>
        <w:t>四、</w:t>
      </w:r>
      <w:r>
        <w:rPr>
          <w:spacing w:val="-34"/>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3858"/>
        <w:gridCol w:w="5035"/>
      </w:tblGrid>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《中国证券报》、《上海证券报》、《证券日报》、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hyperlink r:id="rId19">
              <w:r>
                <w:rPr>
                  <w:rFonts w:ascii="宋体"/>
                  <w:sz w:val="21"/>
                </w:rPr>
                <w:t>http://www.sse.com.cn</w:t>
              </w:r>
            </w:hyperlink>
          </w:p>
        </w:tc>
      </w:tr>
      <w:tr>
        <w:trPr>
          <w:trHeight w:val="408"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0"/>
        <w:rPr>
          <w:rFonts w:ascii="宋体" w:hAnsi="宋体" w:cs="宋体" w:eastAsia="宋体" w:hint="default"/>
          <w:b/>
          <w:bCs/>
          <w:sz w:val="20"/>
          <w:szCs w:val="20"/>
        </w:rPr>
      </w:pPr>
    </w:p>
    <w:p>
      <w:pPr>
        <w:pStyle w:val="Heading2"/>
        <w:spacing w:line="240" w:lineRule="auto"/>
        <w:ind w:left="137" w:right="0"/>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1778"/>
        <w:gridCol w:w="1777"/>
        <w:gridCol w:w="1780"/>
        <w:gridCol w:w="1778"/>
        <w:gridCol w:w="1780"/>
      </w:tblGrid>
      <w:tr>
        <w:trPr>
          <w:trHeight w:val="407" w:hRule="exact"/>
        </w:trPr>
        <w:tc>
          <w:tcPr>
            <w:tcW w:w="88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407"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408"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A股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4" w:right="0"/>
              <w:jc w:val="left"/>
              <w:rPr>
                <w:rFonts w:ascii="宋体" w:hAnsi="宋体" w:cs="宋体" w:eastAsia="宋体" w:hint="default"/>
                <w:sz w:val="21"/>
                <w:szCs w:val="21"/>
              </w:rPr>
            </w:pPr>
            <w:r>
              <w:rPr>
                <w:rFonts w:ascii="宋体" w:hAnsi="宋体" w:cs="宋体" w:eastAsia="宋体" w:hint="default"/>
                <w:sz w:val="21"/>
                <w:szCs w:val="21"/>
              </w:rPr>
              <w:t>南威软件</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603636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center"/>
        <w:rPr>
          <w:rFonts w:ascii="宋体" w:hAnsi="宋体" w:cs="宋体" w:eastAsia="宋体" w:hint="default"/>
          <w:sz w:val="21"/>
          <w:szCs w:val="21"/>
        </w:rPr>
        <w:sectPr>
          <w:pgSz w:w="11910" w:h="16840"/>
          <w:pgMar w:header="882" w:footer="977" w:top="1120" w:bottom="1160" w:left="1660" w:right="1120"/>
        </w:sectPr>
      </w:pPr>
    </w:p>
    <w:p>
      <w:pPr>
        <w:spacing w:line="240" w:lineRule="auto" w:before="4"/>
        <w:rPr>
          <w:rFonts w:ascii="宋体" w:hAnsi="宋体" w:cs="宋体" w:eastAsia="宋体" w:hint="default"/>
          <w:b/>
          <w:bCs/>
          <w:sz w:val="25"/>
          <w:szCs w:val="25"/>
        </w:rPr>
      </w:pPr>
    </w:p>
    <w:p>
      <w:pPr>
        <w:pStyle w:val="Heading2"/>
        <w:spacing w:line="240" w:lineRule="auto"/>
        <w:ind w:left="217" w:right="5667"/>
        <w:jc w:val="left"/>
        <w:rPr>
          <w:b w:val="0"/>
          <w:bCs w:val="0"/>
        </w:rPr>
      </w:pPr>
      <w:r>
        <w:rPr/>
        <w:t>六、</w:t>
      </w:r>
      <w:r>
        <w:rPr>
          <w:spacing w:val="-34"/>
        </w:rPr>
        <w:t> </w:t>
      </w:r>
      <w:r>
        <w:rPr/>
        <w:t>公司报告期内注册变更情况</w:t>
      </w:r>
      <w:r>
        <w:rPr>
          <w:b w:val="0"/>
          <w:bCs w:val="0"/>
        </w:rPr>
      </w:r>
    </w:p>
    <w:p>
      <w:pPr>
        <w:spacing w:line="357" w:lineRule="auto" w:before="57"/>
        <w:ind w:left="637" w:right="5667" w:hanging="420"/>
        <w:jc w:val="left"/>
        <w:rPr>
          <w:rFonts w:ascii="宋体" w:hAnsi="宋体" w:cs="宋体" w:eastAsia="宋体" w:hint="default"/>
          <w:sz w:val="21"/>
          <w:szCs w:val="21"/>
        </w:rPr>
      </w:pPr>
      <w:r>
        <w:rPr>
          <w:rFonts w:ascii="宋体" w:hAnsi="宋体" w:cs="宋体" w:eastAsia="宋体" w:hint="default"/>
          <w:b/>
          <w:bCs/>
          <w:spacing w:val="2"/>
          <w:sz w:val="21"/>
          <w:szCs w:val="21"/>
        </w:rPr>
        <w:t>（一）基本情况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1"/>
        <w:rPr>
          <w:rFonts w:ascii="宋体" w:hAnsi="宋体" w:cs="宋体" w:eastAsia="宋体" w:hint="default"/>
          <w:sz w:val="18"/>
          <w:szCs w:val="18"/>
        </w:rPr>
      </w:pPr>
    </w:p>
    <w:p>
      <w:pPr>
        <w:spacing w:line="357" w:lineRule="auto" w:before="0"/>
        <w:ind w:left="637" w:right="0" w:hanging="42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pacing w:val="-3"/>
          <w:sz w:val="21"/>
          <w:szCs w:val="21"/>
        </w:rPr>
        <w:t>公司的首次注册及历次变更详情请见《南威软件股份有限公司首次公开发行股票招股说明书》</w:t>
      </w:r>
    </w:p>
    <w:p>
      <w:pPr>
        <w:pStyle w:val="BodyText"/>
        <w:spacing w:line="257" w:lineRule="exact" w:before="0"/>
        <w:ind w:left="217" w:right="5667"/>
        <w:jc w:val="left"/>
      </w:pPr>
      <w:r>
        <w:rPr/>
        <w:t>第五章之“公司基本情况”。</w:t>
      </w:r>
    </w:p>
    <w:p>
      <w:pPr>
        <w:spacing w:line="240" w:lineRule="auto" w:before="12"/>
        <w:rPr>
          <w:rFonts w:ascii="宋体" w:hAnsi="宋体" w:cs="宋体" w:eastAsia="宋体" w:hint="default"/>
          <w:sz w:val="25"/>
          <w:szCs w:val="25"/>
        </w:rPr>
      </w:pPr>
    </w:p>
    <w:p>
      <w:pPr>
        <w:pStyle w:val="Heading2"/>
        <w:spacing w:line="240" w:lineRule="auto" w:before="0"/>
        <w:ind w:left="217" w:right="0"/>
        <w:jc w:val="left"/>
        <w:rPr>
          <w:b w:val="0"/>
          <w:bCs w:val="0"/>
        </w:rPr>
      </w:pPr>
      <w:r>
        <w:rPr/>
        <w:t>（三）公司上市以来，主营业务的变化情况</w:t>
      </w:r>
      <w:r>
        <w:rPr>
          <w:b w:val="0"/>
          <w:bCs w:val="0"/>
        </w:rPr>
      </w:r>
    </w:p>
    <w:p>
      <w:pPr>
        <w:pStyle w:val="BodyText"/>
        <w:spacing w:line="240" w:lineRule="auto" w:before="135"/>
        <w:ind w:left="637" w:right="0"/>
        <w:jc w:val="left"/>
      </w:pPr>
      <w:r>
        <w:rPr/>
        <w:t>公司自</w:t>
      </w:r>
      <w:r>
        <w:rPr>
          <w:spacing w:val="-59"/>
        </w:rPr>
        <w:t> </w:t>
      </w:r>
      <w:r>
        <w:rPr/>
        <w:t>2014</w:t>
      </w:r>
      <w:r>
        <w:rPr>
          <w:spacing w:val="-59"/>
        </w:rPr>
        <w:t> </w:t>
      </w:r>
      <w:r>
        <w:rPr/>
        <w:t>年</w:t>
      </w:r>
      <w:r>
        <w:rPr>
          <w:spacing w:val="-59"/>
        </w:rPr>
        <w:t> </w:t>
      </w:r>
      <w:r>
        <w:rPr/>
        <w:t>12</w:t>
      </w:r>
      <w:r>
        <w:rPr>
          <w:spacing w:val="-58"/>
        </w:rPr>
        <w:t> </w:t>
      </w:r>
      <w:r>
        <w:rPr/>
        <w:t>月</w:t>
      </w:r>
      <w:r>
        <w:rPr>
          <w:spacing w:val="-59"/>
        </w:rPr>
        <w:t> </w:t>
      </w:r>
      <w:r>
        <w:rPr/>
        <w:t>30</w:t>
      </w:r>
      <w:r>
        <w:rPr>
          <w:spacing w:val="-59"/>
        </w:rPr>
        <w:t> </w:t>
      </w:r>
      <w:r>
        <w:rPr/>
        <w:t>日在上海证券交易所上市以来，主营业务未发生变化。</w:t>
      </w:r>
    </w:p>
    <w:p>
      <w:pPr>
        <w:spacing w:line="240" w:lineRule="auto" w:before="12"/>
        <w:rPr>
          <w:rFonts w:ascii="宋体" w:hAnsi="宋体" w:cs="宋体" w:eastAsia="宋体" w:hint="default"/>
          <w:sz w:val="25"/>
          <w:szCs w:val="25"/>
        </w:rPr>
      </w:pPr>
    </w:p>
    <w:p>
      <w:pPr>
        <w:pStyle w:val="Heading2"/>
        <w:spacing w:line="240" w:lineRule="auto" w:before="0"/>
        <w:ind w:left="217" w:right="0"/>
        <w:jc w:val="left"/>
        <w:rPr>
          <w:b w:val="0"/>
          <w:bCs w:val="0"/>
        </w:rPr>
      </w:pPr>
      <w:r>
        <w:rPr/>
        <w:t>（四）公司上市以来，历次控股股东的变更情况</w:t>
      </w:r>
      <w:r>
        <w:rPr>
          <w:b w:val="0"/>
          <w:bCs w:val="0"/>
        </w:rPr>
      </w:r>
    </w:p>
    <w:p>
      <w:pPr>
        <w:pStyle w:val="BodyText"/>
        <w:spacing w:line="537" w:lineRule="auto" w:before="134"/>
        <w:ind w:left="217" w:right="1012" w:firstLine="420"/>
        <w:jc w:val="left"/>
        <w:rPr>
          <w:rFonts w:ascii="宋体" w:hAnsi="宋体" w:cs="宋体" w:eastAsia="宋体" w:hint="default"/>
        </w:rPr>
      </w:pPr>
      <w:r>
        <w:rPr/>
        <w:pict>
          <v:shape style="position:absolute;margin-left:84.239998pt;margin-top:55.799942pt;width:452.65pt;height:167.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9"/>
                    <w:gridCol w:w="1699"/>
                    <w:gridCol w:w="4110"/>
                  </w:tblGrid>
                  <w:tr>
                    <w:trPr>
                      <w:trHeight w:val="464"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2"/>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公司聘请的会计师事务所（境内）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福建华兴会计师事务所（特殊普通合伙）</w:t>
                        </w:r>
                      </w:p>
                    </w:tc>
                  </w:tr>
                  <w:tr>
                    <w:trPr>
                      <w:trHeight w:val="464" w:hRule="exact"/>
                    </w:trPr>
                    <w:tc>
                      <w:tcPr>
                        <w:tcW w:w="3229" w:type="dxa"/>
                        <w:vMerge/>
                        <w:tcBorders>
                          <w:left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福建省福州市湖东路中山大厦</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楼</w:t>
                        </w:r>
                      </w:p>
                    </w:tc>
                  </w:tr>
                  <w:tr>
                    <w:trPr>
                      <w:trHeight w:val="463" w:hRule="exact"/>
                    </w:trPr>
                    <w:tc>
                      <w:tcPr>
                        <w:tcW w:w="3229"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蒋新红、林力</w:t>
                        </w:r>
                      </w:p>
                    </w:tc>
                  </w:tr>
                  <w:tr>
                    <w:trPr>
                      <w:trHeight w:val="464"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6"/>
                          <w:ind w:left="103" w:right="95"/>
                          <w:jc w:val="left"/>
                          <w:rPr>
                            <w:rFonts w:ascii="宋体" w:hAnsi="宋体" w:cs="宋体" w:eastAsia="宋体" w:hint="default"/>
                            <w:sz w:val="21"/>
                            <w:szCs w:val="21"/>
                          </w:rPr>
                        </w:pPr>
                        <w:r>
                          <w:rPr>
                            <w:rFonts w:ascii="宋体" w:hAnsi="宋体" w:cs="宋体" w:eastAsia="宋体" w:hint="default"/>
                            <w:spacing w:val="5"/>
                            <w:sz w:val="21"/>
                            <w:szCs w:val="21"/>
                          </w:rPr>
                          <w:t>报告期内履行持续督导职责的保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荐机构</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太平洋证券股份有限公司</w:t>
                        </w:r>
                      </w:p>
                    </w:tc>
                  </w:tr>
                  <w:tr>
                    <w:trPr>
                      <w:trHeight w:val="464" w:hRule="exact"/>
                    </w:trPr>
                    <w:tc>
                      <w:tcPr>
                        <w:tcW w:w="3229" w:type="dxa"/>
                        <w:vMerge/>
                        <w:tcBorders>
                          <w:left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云南省昆明市青年路</w:t>
                        </w:r>
                        <w:r>
                          <w:rPr>
                            <w:rFonts w:ascii="宋体" w:hAnsi="宋体" w:cs="宋体" w:eastAsia="宋体" w:hint="default"/>
                            <w:spacing w:val="-54"/>
                            <w:sz w:val="21"/>
                            <w:szCs w:val="21"/>
                          </w:rPr>
                          <w:t> </w:t>
                        </w:r>
                        <w:r>
                          <w:rPr>
                            <w:rFonts w:ascii="宋体" w:hAnsi="宋体" w:cs="宋体" w:eastAsia="宋体" w:hint="default"/>
                            <w:sz w:val="21"/>
                            <w:szCs w:val="21"/>
                          </w:rPr>
                          <w:t>389</w:t>
                        </w:r>
                        <w:r>
                          <w:rPr>
                            <w:rFonts w:ascii="宋体" w:hAnsi="宋体" w:cs="宋体" w:eastAsia="宋体" w:hint="default"/>
                            <w:spacing w:val="-53"/>
                            <w:sz w:val="21"/>
                            <w:szCs w:val="21"/>
                          </w:rPr>
                          <w:t> </w:t>
                        </w:r>
                        <w:r>
                          <w:rPr>
                            <w:rFonts w:ascii="宋体" w:hAnsi="宋体" w:cs="宋体" w:eastAsia="宋体" w:hint="default"/>
                            <w:sz w:val="21"/>
                            <w:szCs w:val="21"/>
                          </w:rPr>
                          <w:t>号志远大厦</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554" w:hRule="exact"/>
                    </w:trPr>
                    <w:tc>
                      <w:tcPr>
                        <w:tcW w:w="3229" w:type="dxa"/>
                        <w:vMerge/>
                        <w:tcBorders>
                          <w:left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签字的保荐代表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鞠卉、马晓敏</w:t>
                        </w:r>
                      </w:p>
                    </w:tc>
                  </w:tr>
                  <w:tr>
                    <w:trPr>
                      <w:trHeight w:val="464" w:hRule="exact"/>
                    </w:trPr>
                    <w:tc>
                      <w:tcPr>
                        <w:tcW w:w="3229"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
              </w:txbxContent>
            </v:textbox>
            <w10:wrap type="none"/>
          </v:shape>
        </w:pict>
      </w:r>
      <w:r>
        <w:rPr/>
        <w:t>公司自</w:t>
      </w:r>
      <w:r>
        <w:rPr>
          <w:spacing w:val="-58"/>
        </w:rPr>
        <w:t> </w:t>
      </w:r>
      <w:r>
        <w:rPr/>
        <w:t>2014</w:t>
      </w:r>
      <w:r>
        <w:rPr>
          <w:spacing w:val="-58"/>
        </w:rPr>
        <w:t> </w:t>
      </w:r>
      <w:r>
        <w:rPr/>
        <w:t>年</w:t>
      </w:r>
      <w:r>
        <w:rPr>
          <w:spacing w:val="-58"/>
        </w:rPr>
        <w:t> </w:t>
      </w:r>
      <w:r>
        <w:rPr/>
        <w:t>12</w:t>
      </w:r>
      <w:r>
        <w:rPr>
          <w:spacing w:val="-57"/>
        </w:rPr>
        <w:t> </w:t>
      </w:r>
      <w:r>
        <w:rPr/>
        <w:t>月</w:t>
      </w:r>
      <w:r>
        <w:rPr>
          <w:spacing w:val="-58"/>
        </w:rPr>
        <w:t> </w:t>
      </w:r>
      <w:r>
        <w:rPr/>
        <w:t>30</w:t>
      </w:r>
      <w:r>
        <w:rPr>
          <w:spacing w:val="-58"/>
        </w:rPr>
        <w:t> </w:t>
      </w:r>
      <w:r>
        <w:rPr/>
        <w:t>日在上海证券交易所上市以来，控股股东未发生变化。</w:t>
      </w:r>
      <w:r>
        <w:rPr>
          <w:spacing w:val="-1"/>
        </w:rPr>
        <w:t> </w:t>
      </w:r>
      <w:r>
        <w:rPr>
          <w:rFonts w:ascii="宋体" w:hAnsi="宋体" w:cs="宋体" w:eastAsia="宋体" w:hint="default"/>
          <w:b/>
          <w:bCs/>
        </w:rPr>
        <w:t>七、</w:t>
      </w:r>
      <w:r>
        <w:rPr>
          <w:rFonts w:ascii="宋体" w:hAnsi="宋体" w:cs="宋体" w:eastAsia="宋体" w:hint="default"/>
          <w:b/>
          <w:bCs/>
          <w:spacing w:val="36"/>
        </w:rPr>
        <w:t> </w:t>
      </w:r>
      <w:r>
        <w:rPr>
          <w:rFonts w:ascii="宋体" w:hAnsi="宋体" w:cs="宋体" w:eastAsia="宋体" w:hint="default"/>
          <w:b/>
          <w:bCs/>
        </w:rPr>
        <w:t>其他有关资料</w:t>
      </w:r>
      <w:r>
        <w:rPr>
          <w:rFonts w:ascii="宋体" w:hAnsi="宋体" w:cs="宋体" w:eastAsia="宋体" w:hint="default"/>
        </w:rPr>
      </w:r>
    </w:p>
    <w:p>
      <w:pPr>
        <w:spacing w:after="0" w:line="537" w:lineRule="auto"/>
        <w:jc w:val="left"/>
        <w:rPr>
          <w:rFonts w:ascii="宋体" w:hAnsi="宋体" w:cs="宋体" w:eastAsia="宋体" w:hint="default"/>
        </w:rPr>
        <w:sectPr>
          <w:pgSz w:w="11910" w:h="16840"/>
          <w:pgMar w:header="882" w:footer="977" w:top="1120" w:bottom="1160" w:left="158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tabs>
          <w:tab w:pos="3717" w:val="left" w:leader="none"/>
        </w:tabs>
        <w:spacing w:line="240" w:lineRule="auto" w:before="164"/>
        <w:ind w:left="2458" w:right="341"/>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977" w:top="1120" w:bottom="1160" w:left="1580" w:right="920"/>
        </w:sectPr>
      </w:pPr>
    </w:p>
    <w:p>
      <w:pPr>
        <w:pStyle w:val="Heading2"/>
        <w:spacing w:line="240" w:lineRule="auto"/>
        <w:ind w:left="217" w:right="-15"/>
        <w:jc w:val="left"/>
        <w:rPr>
          <w:b w:val="0"/>
          <w:bCs w:val="0"/>
        </w:rPr>
      </w:pPr>
      <w:r>
        <w:rPr/>
        <w:t>一、</w:t>
      </w:r>
      <w:r>
        <w:rPr>
          <w:spacing w:val="-36"/>
        </w:rPr>
        <w:t> </w:t>
      </w:r>
      <w:r>
        <w:rPr/>
        <w:t>报告期末公司近三年主要会计数据和财务指标</w:t>
      </w:r>
      <w:r>
        <w:rPr>
          <w:b w:val="0"/>
          <w:bCs w:val="0"/>
        </w:rPr>
      </w:r>
    </w:p>
    <w:p>
      <w:pPr>
        <w:pStyle w:val="Heading2"/>
        <w:spacing w:line="240" w:lineRule="auto" w:before="57"/>
        <w:ind w:left="217"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160" w:left="1580" w:right="920"/>
          <w:cols w:num="2" w:equalWidth="0">
            <w:col w:w="4930" w:space="1593"/>
            <w:col w:w="288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94"/>
        <w:gridCol w:w="1896"/>
        <w:gridCol w:w="1686"/>
        <w:gridCol w:w="1808"/>
        <w:gridCol w:w="1686"/>
      </w:tblGrid>
      <w:tr>
        <w:trPr>
          <w:trHeight w:val="55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8" w:right="0"/>
              <w:jc w:val="left"/>
              <w:rPr>
                <w:rFonts w:ascii="宋体" w:hAnsi="宋体" w:cs="宋体" w:eastAsia="宋体" w:hint="default"/>
                <w:sz w:val="21"/>
                <w:szCs w:val="21"/>
              </w:rPr>
            </w:pPr>
            <w:r>
              <w:rPr>
                <w:rFonts w:ascii="宋体" w:hAnsi="宋体" w:cs="宋体" w:eastAsia="宋体" w:hint="default"/>
                <w:sz w:val="21"/>
                <w:szCs w:val="21"/>
              </w:rPr>
              <w:t>2014年</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2013年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增减(%)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2" w:right="0"/>
              <w:jc w:val="left"/>
              <w:rPr>
                <w:rFonts w:ascii="宋体" w:hAnsi="宋体" w:cs="宋体" w:eastAsia="宋体" w:hint="default"/>
                <w:sz w:val="21"/>
                <w:szCs w:val="21"/>
              </w:rPr>
            </w:pPr>
            <w:r>
              <w:rPr>
                <w:rFonts w:ascii="宋体" w:hAnsi="宋体" w:cs="宋体" w:eastAsia="宋体" w:hint="default"/>
                <w:sz w:val="21"/>
                <w:szCs w:val="21"/>
              </w:rPr>
              <w:t>2012年</w:t>
            </w:r>
          </w:p>
        </w:tc>
      </w:tr>
      <w:tr>
        <w:trPr>
          <w:trHeight w:val="463"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323,315,557.02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sz w:val="21"/>
              </w:rPr>
              <w:t>280,587,600.83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w w:val="95"/>
                <w:sz w:val="21"/>
              </w:rPr>
              <w:t>15.23</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241,833,325.36</w:t>
            </w:r>
          </w:p>
        </w:tc>
      </w:tr>
      <w:tr>
        <w:trPr>
          <w:trHeight w:val="792"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1"/>
              <w:ind w:left="103" w:right="71"/>
              <w:jc w:val="left"/>
              <w:rPr>
                <w:rFonts w:ascii="宋体" w:hAnsi="宋体" w:cs="宋体" w:eastAsia="宋体" w:hint="default"/>
                <w:sz w:val="21"/>
                <w:szCs w:val="21"/>
              </w:rPr>
            </w:pPr>
            <w:r>
              <w:rPr>
                <w:rFonts w:ascii="宋体" w:hAnsi="宋体" w:cs="宋体" w:eastAsia="宋体" w:hint="default"/>
                <w:spacing w:val="18"/>
                <w:sz w:val="21"/>
                <w:szCs w:val="21"/>
              </w:rPr>
              <w:t>归属于</w:t>
            </w:r>
            <w:r>
              <w:rPr>
                <w:rFonts w:ascii="宋体" w:hAnsi="宋体" w:cs="宋体" w:eastAsia="宋体" w:hint="default"/>
                <w:spacing w:val="-77"/>
                <w:sz w:val="21"/>
                <w:szCs w:val="21"/>
              </w:rPr>
              <w:t> </w:t>
            </w:r>
            <w:r>
              <w:rPr>
                <w:rFonts w:ascii="宋体" w:hAnsi="宋体" w:cs="宋体" w:eastAsia="宋体" w:hint="default"/>
                <w:spacing w:val="14"/>
                <w:sz w:val="21"/>
                <w:szCs w:val="21"/>
              </w:rPr>
              <w:t>上市</w:t>
            </w:r>
            <w:r>
              <w:rPr>
                <w:rFonts w:ascii="宋体" w:hAnsi="宋体" w:cs="宋体" w:eastAsia="宋体" w:hint="default"/>
                <w:spacing w:val="-77"/>
                <w:sz w:val="21"/>
                <w:szCs w:val="21"/>
              </w:rPr>
              <w:t> </w:t>
            </w:r>
            <w:r>
              <w:rPr>
                <w:rFonts w:ascii="宋体" w:hAnsi="宋体" w:cs="宋体" w:eastAsia="宋体" w:hint="default"/>
                <w:spacing w:val="18"/>
                <w:sz w:val="21"/>
                <w:szCs w:val="21"/>
              </w:rPr>
              <w:t>公司股</w:t>
            </w:r>
            <w:r>
              <w:rPr>
                <w:rFonts w:ascii="宋体" w:hAnsi="宋体" w:cs="宋体" w:eastAsia="宋体" w:hint="default"/>
                <w:spacing w:val="-77"/>
                <w:sz w:val="21"/>
                <w:szCs w:val="21"/>
              </w:rPr>
              <w:t> </w:t>
            </w:r>
            <w:r>
              <w:rPr>
                <w:rFonts w:ascii="宋体" w:hAnsi="宋体" w:cs="宋体" w:eastAsia="宋体" w:hint="default"/>
                <w:sz w:val="21"/>
                <w:szCs w:val="21"/>
              </w:rPr>
              <w:t>东的净利润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86,886,642.29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6" w:right="0"/>
              <w:jc w:val="center"/>
              <w:rPr>
                <w:rFonts w:ascii="宋体" w:hAnsi="宋体" w:cs="宋体" w:eastAsia="宋体" w:hint="default"/>
                <w:sz w:val="21"/>
                <w:szCs w:val="21"/>
              </w:rPr>
            </w:pPr>
            <w:r>
              <w:rPr>
                <w:rFonts w:ascii="宋体"/>
                <w:sz w:val="21"/>
              </w:rPr>
              <w:t>79,494,630.51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71,072,436.28</w:t>
            </w:r>
          </w:p>
        </w:tc>
      </w:tr>
      <w:tr>
        <w:trPr>
          <w:trHeight w:val="941"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8"/>
              <w:ind w:left="103" w:right="71"/>
              <w:jc w:val="both"/>
              <w:rPr>
                <w:rFonts w:ascii="宋体" w:hAnsi="宋体" w:cs="宋体" w:eastAsia="宋体" w:hint="default"/>
                <w:sz w:val="21"/>
                <w:szCs w:val="21"/>
              </w:rPr>
            </w:pPr>
            <w:r>
              <w:rPr>
                <w:rFonts w:ascii="宋体" w:hAnsi="宋体" w:cs="宋体" w:eastAsia="宋体" w:hint="default"/>
                <w:spacing w:val="18"/>
                <w:sz w:val="21"/>
                <w:szCs w:val="21"/>
              </w:rPr>
              <w:t>归属于</w:t>
            </w:r>
            <w:r>
              <w:rPr>
                <w:rFonts w:ascii="宋体" w:hAnsi="宋体" w:cs="宋体" w:eastAsia="宋体" w:hint="default"/>
                <w:spacing w:val="-77"/>
                <w:sz w:val="21"/>
                <w:szCs w:val="21"/>
              </w:rPr>
              <w:t> </w:t>
            </w:r>
            <w:r>
              <w:rPr>
                <w:rFonts w:ascii="宋体" w:hAnsi="宋体" w:cs="宋体" w:eastAsia="宋体" w:hint="default"/>
                <w:spacing w:val="14"/>
                <w:sz w:val="21"/>
                <w:szCs w:val="21"/>
              </w:rPr>
              <w:t>上市</w:t>
            </w:r>
            <w:r>
              <w:rPr>
                <w:rFonts w:ascii="宋体" w:hAnsi="宋体" w:cs="宋体" w:eastAsia="宋体" w:hint="default"/>
                <w:spacing w:val="-77"/>
                <w:sz w:val="21"/>
                <w:szCs w:val="21"/>
              </w:rPr>
              <w:t> </w:t>
            </w:r>
            <w:r>
              <w:rPr>
                <w:rFonts w:ascii="宋体" w:hAnsi="宋体" w:cs="宋体" w:eastAsia="宋体" w:hint="default"/>
                <w:spacing w:val="18"/>
                <w:sz w:val="21"/>
                <w:szCs w:val="21"/>
              </w:rPr>
              <w:t>公司股</w:t>
            </w:r>
            <w:r>
              <w:rPr>
                <w:rFonts w:ascii="宋体" w:hAnsi="宋体" w:cs="宋体" w:eastAsia="宋体" w:hint="default"/>
                <w:spacing w:val="-77"/>
                <w:sz w:val="21"/>
                <w:szCs w:val="21"/>
              </w:rPr>
              <w:t> </w:t>
            </w:r>
            <w:r>
              <w:rPr>
                <w:rFonts w:ascii="宋体" w:hAnsi="宋体" w:cs="宋体" w:eastAsia="宋体" w:hint="default"/>
                <w:spacing w:val="18"/>
                <w:sz w:val="21"/>
                <w:szCs w:val="21"/>
              </w:rPr>
              <w:t>东的扣</w:t>
            </w:r>
            <w:r>
              <w:rPr>
                <w:rFonts w:ascii="宋体" w:hAnsi="宋体" w:cs="宋体" w:eastAsia="宋体" w:hint="default"/>
                <w:spacing w:val="-77"/>
                <w:sz w:val="21"/>
                <w:szCs w:val="21"/>
              </w:rPr>
              <w:t> </w:t>
            </w:r>
            <w:r>
              <w:rPr>
                <w:rFonts w:ascii="宋体" w:hAnsi="宋体" w:cs="宋体" w:eastAsia="宋体" w:hint="default"/>
                <w:spacing w:val="14"/>
                <w:sz w:val="21"/>
                <w:szCs w:val="21"/>
              </w:rPr>
              <w:t>除非</w:t>
            </w:r>
            <w:r>
              <w:rPr>
                <w:rFonts w:ascii="宋体" w:hAnsi="宋体" w:cs="宋体" w:eastAsia="宋体" w:hint="default"/>
                <w:spacing w:val="-77"/>
                <w:sz w:val="21"/>
                <w:szCs w:val="21"/>
              </w:rPr>
              <w:t> </w:t>
            </w:r>
            <w:r>
              <w:rPr>
                <w:rFonts w:ascii="宋体" w:hAnsi="宋体" w:cs="宋体" w:eastAsia="宋体" w:hint="default"/>
                <w:spacing w:val="18"/>
                <w:sz w:val="21"/>
                <w:szCs w:val="21"/>
              </w:rPr>
              <w:t>经常性</w:t>
            </w:r>
            <w:r>
              <w:rPr>
                <w:rFonts w:ascii="宋体" w:hAnsi="宋体" w:cs="宋体" w:eastAsia="宋体" w:hint="default"/>
                <w:spacing w:val="-77"/>
                <w:sz w:val="21"/>
                <w:szCs w:val="21"/>
              </w:rPr>
              <w:t> </w:t>
            </w:r>
            <w:r>
              <w:rPr>
                <w:rFonts w:ascii="宋体" w:hAnsi="宋体" w:cs="宋体" w:eastAsia="宋体" w:hint="default"/>
                <w:sz w:val="21"/>
                <w:szCs w:val="21"/>
              </w:rPr>
              <w:t>损益的净利润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76,099,773.67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6" w:right="0"/>
              <w:jc w:val="center"/>
              <w:rPr>
                <w:rFonts w:ascii="宋体" w:hAnsi="宋体" w:cs="宋体" w:eastAsia="宋体" w:hint="default"/>
                <w:sz w:val="21"/>
                <w:szCs w:val="21"/>
              </w:rPr>
            </w:pPr>
            <w:r>
              <w:rPr>
                <w:rFonts w:ascii="宋体"/>
                <w:sz w:val="21"/>
              </w:rPr>
              <w:t>65,108,179.71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16.88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59,286,873.18</w:t>
            </w:r>
          </w:p>
        </w:tc>
      </w:tr>
      <w:tr>
        <w:trPr>
          <w:trHeight w:val="713"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1"/>
              <w:ind w:left="103" w:right="71"/>
              <w:jc w:val="left"/>
              <w:rPr>
                <w:rFonts w:ascii="宋体" w:hAnsi="宋体" w:cs="宋体" w:eastAsia="宋体" w:hint="default"/>
                <w:sz w:val="21"/>
                <w:szCs w:val="21"/>
              </w:rPr>
            </w:pPr>
            <w:r>
              <w:rPr>
                <w:rFonts w:ascii="宋体" w:hAnsi="宋体" w:cs="宋体" w:eastAsia="宋体" w:hint="default"/>
                <w:spacing w:val="18"/>
                <w:sz w:val="21"/>
                <w:szCs w:val="21"/>
              </w:rPr>
              <w:t>经营活</w:t>
            </w:r>
            <w:r>
              <w:rPr>
                <w:rFonts w:ascii="宋体" w:hAnsi="宋体" w:cs="宋体" w:eastAsia="宋体" w:hint="default"/>
                <w:spacing w:val="-77"/>
                <w:sz w:val="21"/>
                <w:szCs w:val="21"/>
              </w:rPr>
              <w:t> </w:t>
            </w:r>
            <w:r>
              <w:rPr>
                <w:rFonts w:ascii="宋体" w:hAnsi="宋体" w:cs="宋体" w:eastAsia="宋体" w:hint="default"/>
                <w:spacing w:val="14"/>
                <w:sz w:val="21"/>
                <w:szCs w:val="21"/>
              </w:rPr>
              <w:t>动产</w:t>
            </w:r>
            <w:r>
              <w:rPr>
                <w:rFonts w:ascii="宋体" w:hAnsi="宋体" w:cs="宋体" w:eastAsia="宋体" w:hint="default"/>
                <w:spacing w:val="-77"/>
                <w:sz w:val="21"/>
                <w:szCs w:val="21"/>
              </w:rPr>
              <w:t> </w:t>
            </w:r>
            <w:r>
              <w:rPr>
                <w:rFonts w:ascii="宋体" w:hAnsi="宋体" w:cs="宋体" w:eastAsia="宋体" w:hint="default"/>
                <w:spacing w:val="18"/>
                <w:sz w:val="21"/>
                <w:szCs w:val="21"/>
              </w:rPr>
              <w:t>生的现</w:t>
            </w:r>
            <w:r>
              <w:rPr>
                <w:rFonts w:ascii="宋体" w:hAnsi="宋体" w:cs="宋体" w:eastAsia="宋体" w:hint="default"/>
                <w:spacing w:val="-77"/>
                <w:sz w:val="21"/>
                <w:szCs w:val="21"/>
              </w:rPr>
              <w:t> </w:t>
            </w:r>
            <w:r>
              <w:rPr>
                <w:rFonts w:ascii="宋体" w:hAnsi="宋体" w:cs="宋体" w:eastAsia="宋体" w:hint="default"/>
                <w:sz w:val="21"/>
                <w:szCs w:val="21"/>
              </w:rPr>
              <w:t>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104,650,567.90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100,561,099.68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50,083,069.33</w:t>
            </w:r>
          </w:p>
        </w:tc>
      </w:tr>
      <w:tr>
        <w:trPr>
          <w:trHeight w:val="709" w:hRule="exact"/>
        </w:trPr>
        <w:tc>
          <w:tcPr>
            <w:tcW w:w="20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523" w:right="0"/>
              <w:jc w:val="left"/>
              <w:rPr>
                <w:rFonts w:ascii="宋体" w:hAnsi="宋体" w:cs="宋体" w:eastAsia="宋体" w:hint="default"/>
                <w:sz w:val="21"/>
                <w:szCs w:val="21"/>
              </w:rPr>
            </w:pPr>
            <w:r>
              <w:rPr>
                <w:rFonts w:ascii="宋体" w:hAnsi="宋体" w:cs="宋体" w:eastAsia="宋体" w:hint="default"/>
                <w:sz w:val="21"/>
                <w:szCs w:val="21"/>
              </w:rPr>
              <w:t>2014年末</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宋体" w:hAnsi="宋体" w:cs="宋体" w:eastAsia="宋体" w:hint="default"/>
                <w:sz w:val="21"/>
                <w:szCs w:val="21"/>
              </w:rPr>
            </w:pPr>
            <w:r>
              <w:rPr>
                <w:rFonts w:ascii="宋体" w:hAnsi="宋体" w:cs="宋体" w:eastAsia="宋体" w:hint="default"/>
                <w:sz w:val="21"/>
                <w:szCs w:val="21"/>
              </w:rPr>
              <w:t>2013年末</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0"/>
              <w:ind w:left="215" w:right="163" w:hanging="53"/>
              <w:jc w:val="left"/>
              <w:rPr>
                <w:rFonts w:ascii="宋体" w:hAnsi="宋体" w:cs="宋体" w:eastAsia="宋体" w:hint="default"/>
                <w:sz w:val="21"/>
                <w:szCs w:val="21"/>
              </w:rPr>
            </w:pPr>
            <w:r>
              <w:rPr>
                <w:rFonts w:ascii="宋体" w:hAnsi="宋体" w:cs="宋体" w:eastAsia="宋体" w:hint="default"/>
                <w:sz w:val="21"/>
                <w:szCs w:val="21"/>
              </w:rPr>
              <w:t>本期末比上年同 期末增减（%）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416" w:right="0"/>
              <w:jc w:val="left"/>
              <w:rPr>
                <w:rFonts w:ascii="宋体" w:hAnsi="宋体" w:cs="宋体" w:eastAsia="宋体" w:hint="default"/>
                <w:sz w:val="21"/>
                <w:szCs w:val="21"/>
              </w:rPr>
            </w:pPr>
            <w:r>
              <w:rPr>
                <w:rFonts w:ascii="宋体" w:hAnsi="宋体" w:cs="宋体" w:eastAsia="宋体" w:hint="default"/>
                <w:sz w:val="21"/>
                <w:szCs w:val="21"/>
              </w:rPr>
              <w:t>2012年末</w:t>
            </w:r>
          </w:p>
        </w:tc>
      </w:tr>
      <w:tr>
        <w:trPr>
          <w:trHeight w:val="70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03" w:right="71"/>
              <w:jc w:val="left"/>
              <w:rPr>
                <w:rFonts w:ascii="宋体" w:hAnsi="宋体" w:cs="宋体" w:eastAsia="宋体" w:hint="default"/>
                <w:sz w:val="21"/>
                <w:szCs w:val="21"/>
              </w:rPr>
            </w:pPr>
            <w:r>
              <w:rPr>
                <w:rFonts w:ascii="宋体" w:hAnsi="宋体" w:cs="宋体" w:eastAsia="宋体" w:hint="default"/>
                <w:spacing w:val="18"/>
                <w:sz w:val="21"/>
                <w:szCs w:val="21"/>
              </w:rPr>
              <w:t>归属于</w:t>
            </w:r>
            <w:r>
              <w:rPr>
                <w:rFonts w:ascii="宋体" w:hAnsi="宋体" w:cs="宋体" w:eastAsia="宋体" w:hint="default"/>
                <w:spacing w:val="-77"/>
                <w:sz w:val="21"/>
                <w:szCs w:val="21"/>
              </w:rPr>
              <w:t> </w:t>
            </w:r>
            <w:r>
              <w:rPr>
                <w:rFonts w:ascii="宋体" w:hAnsi="宋体" w:cs="宋体" w:eastAsia="宋体" w:hint="default"/>
                <w:spacing w:val="14"/>
                <w:sz w:val="21"/>
                <w:szCs w:val="21"/>
              </w:rPr>
              <w:t>上市</w:t>
            </w:r>
            <w:r>
              <w:rPr>
                <w:rFonts w:ascii="宋体" w:hAnsi="宋体" w:cs="宋体" w:eastAsia="宋体" w:hint="default"/>
                <w:spacing w:val="-77"/>
                <w:sz w:val="21"/>
                <w:szCs w:val="21"/>
              </w:rPr>
              <w:t> </w:t>
            </w:r>
            <w:r>
              <w:rPr>
                <w:rFonts w:ascii="宋体" w:hAnsi="宋体" w:cs="宋体" w:eastAsia="宋体" w:hint="default"/>
                <w:spacing w:val="18"/>
                <w:sz w:val="21"/>
                <w:szCs w:val="21"/>
              </w:rPr>
              <w:t>公司股</w:t>
            </w:r>
            <w:r>
              <w:rPr>
                <w:rFonts w:ascii="宋体" w:hAnsi="宋体" w:cs="宋体" w:eastAsia="宋体" w:hint="default"/>
                <w:spacing w:val="-77"/>
                <w:sz w:val="21"/>
                <w:szCs w:val="21"/>
              </w:rPr>
              <w:t> </w:t>
            </w:r>
            <w:r>
              <w:rPr>
                <w:rFonts w:ascii="宋体" w:hAnsi="宋体" w:cs="宋体" w:eastAsia="宋体" w:hint="default"/>
                <w:sz w:val="21"/>
                <w:szCs w:val="21"/>
              </w:rPr>
              <w:t>东的净资产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宋体" w:hAnsi="宋体" w:cs="宋体" w:eastAsia="宋体" w:hint="default"/>
                <w:sz w:val="21"/>
                <w:szCs w:val="21"/>
              </w:rPr>
            </w:pPr>
            <w:r>
              <w:rPr>
                <w:rFonts w:ascii="宋体"/>
                <w:spacing w:val="-1"/>
                <w:sz w:val="21"/>
              </w:rPr>
              <w:t>803,974,718.58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 w:right="0"/>
              <w:jc w:val="center"/>
              <w:rPr>
                <w:rFonts w:ascii="宋体" w:hAnsi="宋体" w:cs="宋体" w:eastAsia="宋体" w:hint="default"/>
                <w:sz w:val="21"/>
                <w:szCs w:val="21"/>
              </w:rPr>
            </w:pPr>
            <w:r>
              <w:rPr>
                <w:rFonts w:ascii="宋体"/>
                <w:sz w:val="21"/>
              </w:rPr>
              <w:t>368,008,076.29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宋体" w:hAnsi="宋体" w:cs="宋体" w:eastAsia="宋体" w:hint="default"/>
                <w:sz w:val="21"/>
                <w:szCs w:val="21"/>
              </w:rPr>
            </w:pPr>
            <w:r>
              <w:rPr>
                <w:rFonts w:ascii="宋体"/>
                <w:spacing w:val="-1"/>
                <w:sz w:val="21"/>
              </w:rPr>
              <w:t>118.47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宋体" w:hAnsi="宋体" w:cs="宋体" w:eastAsia="宋体" w:hint="default"/>
                <w:sz w:val="21"/>
                <w:szCs w:val="21"/>
              </w:rPr>
            </w:pPr>
            <w:r>
              <w:rPr>
                <w:rFonts w:ascii="宋体"/>
                <w:spacing w:val="-1"/>
                <w:sz w:val="21"/>
              </w:rPr>
              <w:t>288,513,445.78</w:t>
            </w:r>
          </w:p>
        </w:tc>
      </w:tr>
      <w:tr>
        <w:trPr>
          <w:trHeight w:val="46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1,095,318,471.13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sz w:val="21"/>
              </w:rPr>
              <w:t>589,906,685.93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w w:val="95"/>
                <w:sz w:val="21"/>
              </w:rPr>
              <w:t>85.68</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450,354,057.24</w:t>
            </w:r>
          </w:p>
        </w:tc>
      </w:tr>
    </w:tbl>
    <w:p>
      <w:pPr>
        <w:spacing w:line="240" w:lineRule="auto" w:before="0"/>
        <w:rPr>
          <w:rFonts w:ascii="宋体" w:hAnsi="宋体" w:cs="宋体" w:eastAsia="宋体" w:hint="default"/>
          <w:sz w:val="20"/>
          <w:szCs w:val="20"/>
        </w:rPr>
      </w:pPr>
    </w:p>
    <w:p>
      <w:pPr>
        <w:pStyle w:val="Heading2"/>
        <w:tabs>
          <w:tab w:pos="1057" w:val="left" w:leader="none"/>
        </w:tabs>
        <w:spacing w:line="240" w:lineRule="auto"/>
        <w:ind w:left="217" w:right="341"/>
        <w:jc w:val="left"/>
        <w:rPr>
          <w:b w:val="0"/>
          <w:bCs w:val="0"/>
        </w:rPr>
      </w:pPr>
      <w:r>
        <w:rPr>
          <w:w w:val="95"/>
        </w:rPr>
        <w:t>(二)</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2888"/>
        <w:gridCol w:w="1048"/>
        <w:gridCol w:w="1134"/>
        <w:gridCol w:w="2550"/>
        <w:gridCol w:w="1396"/>
      </w:tblGrid>
      <w:tr>
        <w:trPr>
          <w:trHeight w:val="464"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08"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3" w:right="0"/>
              <w:jc w:val="left"/>
              <w:rPr>
                <w:rFonts w:ascii="宋体" w:hAnsi="宋体" w:cs="宋体" w:eastAsia="宋体" w:hint="default"/>
                <w:sz w:val="21"/>
                <w:szCs w:val="21"/>
              </w:rPr>
            </w:pPr>
            <w:r>
              <w:rPr>
                <w:rFonts w:ascii="宋体" w:hAnsi="宋体" w:cs="宋体" w:eastAsia="宋体" w:hint="default"/>
                <w:sz w:val="21"/>
                <w:szCs w:val="21"/>
              </w:rPr>
              <w:t>2014年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5" w:right="0"/>
              <w:jc w:val="left"/>
              <w:rPr>
                <w:rFonts w:ascii="宋体" w:hAnsi="宋体" w:cs="宋体" w:eastAsia="宋体" w:hint="default"/>
                <w:sz w:val="21"/>
                <w:szCs w:val="21"/>
              </w:rPr>
            </w:pPr>
            <w:r>
              <w:rPr>
                <w:rFonts w:ascii="宋体" w:hAnsi="宋体" w:cs="宋体" w:eastAsia="宋体" w:hint="default"/>
                <w:sz w:val="21"/>
                <w:szCs w:val="21"/>
              </w:rPr>
              <w:t>2013年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宋体" w:hAnsi="宋体" w:cs="宋体" w:eastAsia="宋体" w:hint="default"/>
                <w:sz w:val="21"/>
                <w:szCs w:val="21"/>
              </w:rPr>
            </w:pPr>
            <w:r>
              <w:rPr>
                <w:rFonts w:ascii="宋体" w:hAnsi="宋体" w:cs="宋体" w:eastAsia="宋体" w:hint="default"/>
                <w:sz w:val="21"/>
                <w:szCs w:val="21"/>
              </w:rPr>
              <w:t>本期比上年同期增减(%)</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9" w:right="0"/>
              <w:jc w:val="left"/>
              <w:rPr>
                <w:rFonts w:ascii="宋体" w:hAnsi="宋体" w:cs="宋体" w:eastAsia="宋体" w:hint="default"/>
                <w:sz w:val="21"/>
                <w:szCs w:val="21"/>
              </w:rPr>
            </w:pPr>
            <w:r>
              <w:rPr>
                <w:rFonts w:ascii="宋体" w:hAnsi="宋体" w:cs="宋体" w:eastAsia="宋体" w:hint="default"/>
                <w:sz w:val="21"/>
                <w:szCs w:val="21"/>
              </w:rPr>
              <w:t>2012年</w:t>
            </w:r>
          </w:p>
        </w:tc>
      </w:tr>
      <w:tr>
        <w:trPr>
          <w:trHeight w:val="464"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1.06</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9.43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z w:val="21"/>
              </w:rPr>
              <w:t>0.95</w:t>
            </w:r>
          </w:p>
        </w:tc>
      </w:tr>
      <w:tr>
        <w:trPr>
          <w:trHeight w:val="463"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1.06</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9.43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z w:val="21"/>
              </w:rPr>
              <w:t>0.95</w:t>
            </w:r>
          </w:p>
        </w:tc>
      </w:tr>
      <w:tr>
        <w:trPr>
          <w:trHeight w:val="554"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扣除非经常性损益后的基本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0.87</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16.09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0.79</w:t>
            </w:r>
          </w:p>
        </w:tc>
      </w:tr>
      <w:tr>
        <w:trPr>
          <w:trHeight w:val="464"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21.12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24.22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hAnsi="宋体" w:cs="宋体" w:eastAsia="宋体" w:hint="default"/>
                <w:sz w:val="21"/>
                <w:szCs w:val="21"/>
              </w:rPr>
              <w:t>减少3.10</w:t>
            </w:r>
            <w:r>
              <w:rPr>
                <w:rFonts w:ascii="宋体" w:hAnsi="宋体" w:cs="宋体" w:eastAsia="宋体" w:hint="default"/>
                <w:spacing w:val="-2"/>
                <w:sz w:val="21"/>
                <w:szCs w:val="21"/>
              </w:rPr>
              <w:t> </w:t>
            </w:r>
            <w:r>
              <w:rPr>
                <w:rFonts w:ascii="宋体" w:hAnsi="宋体" w:cs="宋体" w:eastAsia="宋体" w:hint="default"/>
                <w:sz w:val="21"/>
                <w:szCs w:val="21"/>
              </w:rPr>
              <w:t>个百分点</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28.09</w:t>
            </w:r>
          </w:p>
        </w:tc>
      </w:tr>
      <w:tr>
        <w:trPr>
          <w:trHeight w:val="556"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扣除非经常性损益后的加权</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平均净资产收益率（%）</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19.83</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减少1.33</w:t>
            </w:r>
            <w:r>
              <w:rPr>
                <w:rFonts w:ascii="宋体" w:hAnsi="宋体" w:cs="宋体" w:eastAsia="宋体" w:hint="default"/>
                <w:spacing w:val="-2"/>
                <w:sz w:val="21"/>
                <w:szCs w:val="21"/>
              </w:rPr>
              <w:t> </w:t>
            </w:r>
            <w:r>
              <w:rPr>
                <w:rFonts w:ascii="宋体" w:hAnsi="宋体" w:cs="宋体" w:eastAsia="宋体" w:hint="default"/>
                <w:sz w:val="21"/>
                <w:szCs w:val="21"/>
              </w:rPr>
              <w:t>个百分点</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23.44</w:t>
            </w:r>
          </w:p>
        </w:tc>
      </w:tr>
    </w:tbl>
    <w:p>
      <w:pPr>
        <w:spacing w:line="240" w:lineRule="auto" w:before="6"/>
        <w:rPr>
          <w:rFonts w:ascii="宋体" w:hAnsi="宋体" w:cs="宋体" w:eastAsia="宋体" w:hint="default"/>
          <w:b/>
          <w:bCs/>
          <w:sz w:val="15"/>
          <w:szCs w:val="15"/>
        </w:rPr>
      </w:pPr>
    </w:p>
    <w:p>
      <w:pPr>
        <w:pStyle w:val="BodyText"/>
        <w:spacing w:line="307" w:lineRule="auto" w:before="35"/>
        <w:ind w:left="637" w:right="4337" w:hanging="420"/>
        <w:jc w:val="left"/>
      </w:pPr>
      <w:r>
        <w:rPr/>
        <w:t>报告期末公司前三年主要会计数据和财务指标的说明 无。</w:t>
      </w:r>
    </w:p>
    <w:p>
      <w:pPr>
        <w:spacing w:line="240" w:lineRule="auto" w:before="6"/>
        <w:rPr>
          <w:rFonts w:ascii="宋体" w:hAnsi="宋体" w:cs="宋体" w:eastAsia="宋体" w:hint="default"/>
          <w:sz w:val="21"/>
          <w:szCs w:val="21"/>
        </w:rPr>
      </w:pPr>
    </w:p>
    <w:p>
      <w:pPr>
        <w:pStyle w:val="Heading2"/>
        <w:spacing w:line="240" w:lineRule="auto" w:before="0"/>
        <w:ind w:left="217" w:right="341"/>
        <w:jc w:val="left"/>
        <w:rPr>
          <w:b w:val="0"/>
          <w:bCs w:val="0"/>
        </w:rPr>
      </w:pPr>
      <w:r>
        <w:rPr/>
        <w:t>二、</w:t>
      </w:r>
      <w:r>
        <w:rPr>
          <w:spacing w:val="-33"/>
        </w:rPr>
        <w:t> </w:t>
      </w:r>
      <w:r>
        <w:rPr/>
        <w:t>境内外会计准则下会计数据差异</w:t>
      </w:r>
      <w:r>
        <w:rPr>
          <w:b w:val="0"/>
          <w:bCs w:val="0"/>
        </w:rPr>
      </w:r>
    </w:p>
    <w:p>
      <w:pPr>
        <w:pStyle w:val="Heading2"/>
        <w:spacing w:line="272" w:lineRule="exact" w:before="84"/>
        <w:ind w:left="637" w:right="341"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0"/>
        </w:rPr>
        <w:t> </w:t>
      </w:r>
      <w:r>
        <w:rPr>
          <w:spacing w:val="5"/>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left="217" w:right="341"/>
        <w:jc w:val="left"/>
      </w:pPr>
      <w:r>
        <w:rPr/>
        <w:t>□适用</w:t>
      </w:r>
      <w:r>
        <w:rPr>
          <w:spacing w:val="-2"/>
        </w:rPr>
        <w:t> </w:t>
      </w:r>
      <w:r>
        <w:rPr/>
        <w:t>√不适用</w:t>
      </w:r>
    </w:p>
    <w:p>
      <w:pPr>
        <w:spacing w:after="0" w:line="240" w:lineRule="auto"/>
        <w:jc w:val="left"/>
        <w:sectPr>
          <w:type w:val="continuous"/>
          <w:pgSz w:w="11910" w:h="16840"/>
          <w:pgMar w:top="1120" w:bottom="1160" w:left="1580" w:right="920"/>
        </w:sectPr>
      </w:pPr>
    </w:p>
    <w:p>
      <w:pPr>
        <w:spacing w:line="240" w:lineRule="auto" w:before="4"/>
        <w:rPr>
          <w:rFonts w:ascii="宋体" w:hAnsi="宋体" w:cs="宋体" w:eastAsia="宋体" w:hint="default"/>
          <w:sz w:val="25"/>
          <w:szCs w:val="25"/>
        </w:rPr>
      </w:pPr>
    </w:p>
    <w:p>
      <w:pPr>
        <w:pStyle w:val="Heading2"/>
        <w:spacing w:line="272" w:lineRule="exact" w:before="63"/>
        <w:ind w:left="586" w:right="0"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10"/>
        </w:rPr>
        <w:t> </w:t>
      </w:r>
      <w:r>
        <w:rPr/>
        <w:t>同时按照境外会计准则与按中国会计准则披露的财务报告中净利润和属于上市公司股东的净</w:t>
      </w:r>
      <w:r>
        <w:rPr>
          <w:spacing w:val="-96"/>
        </w:rPr>
        <w:t> </w:t>
      </w:r>
      <w:r>
        <w:rPr>
          <w:spacing w:val="-96"/>
        </w:rPr>
      </w:r>
      <w:r>
        <w:rPr/>
        <w:t>资产差异情况</w:t>
      </w:r>
      <w:r>
        <w:rPr>
          <w:b w:val="0"/>
          <w:bCs w:val="0"/>
        </w:rPr>
      </w:r>
    </w:p>
    <w:p>
      <w:pPr>
        <w:pStyle w:val="BodyText"/>
        <w:spacing w:line="240" w:lineRule="auto" w:before="32"/>
        <w:ind w:left="217" w:right="5667"/>
        <w:jc w:val="left"/>
      </w:pPr>
      <w:r>
        <w:rPr/>
        <w:t>□适用</w:t>
      </w:r>
      <w:r>
        <w:rPr>
          <w:spacing w:val="-2"/>
        </w:rPr>
        <w:t> </w:t>
      </w:r>
      <w:r>
        <w:rPr/>
        <w:t>√不适用</w:t>
      </w:r>
    </w:p>
    <w:p>
      <w:pPr>
        <w:pStyle w:val="Heading2"/>
        <w:spacing w:line="264" w:lineRule="auto" w:before="57"/>
        <w:ind w:left="217" w:right="5869"/>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spacing w:val="1"/>
          <w:w w:val="99"/>
        </w:rPr>
        <w:t> </w:t>
      </w:r>
      <w:r>
        <w:rPr>
          <w:rFonts w:ascii="宋体" w:hAnsi="宋体" w:cs="宋体" w:eastAsia="宋体" w:hint="default"/>
          <w:b w:val="0"/>
          <w:bCs w:val="0"/>
        </w:rPr>
        <w:t>不适用。</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7" w:top="1120" w:bottom="1160" w:left="1580" w:right="1060"/>
        </w:sectPr>
      </w:pPr>
    </w:p>
    <w:p>
      <w:pPr>
        <w:pStyle w:val="Heading2"/>
        <w:spacing w:line="240" w:lineRule="auto"/>
        <w:ind w:left="217" w:right="-18"/>
        <w:jc w:val="left"/>
        <w:rPr>
          <w:b w:val="0"/>
          <w:bCs w:val="0"/>
        </w:rPr>
      </w:pPr>
      <w:r>
        <w:rPr/>
        <w:t>三、</w:t>
      </w:r>
      <w:r>
        <w:rPr>
          <w:spacing w:val="35"/>
        </w:rPr>
        <w:t> </w:t>
      </w:r>
      <w:r>
        <w:rPr/>
        <w:t>非经常性损益项目和金额</w:t>
      </w:r>
      <w:r>
        <w:rPr>
          <w:b w:val="0"/>
          <w:bCs w:val="0"/>
        </w:rPr>
      </w:r>
    </w:p>
    <w:p>
      <w:pPr>
        <w:pStyle w:val="BodyText"/>
        <w:spacing w:line="240" w:lineRule="auto" w:before="57"/>
        <w:ind w:left="217"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163"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120" w:bottom="1160" w:left="1580" w:right="1060"/>
          <w:cols w:num="2" w:equalWidth="0">
            <w:col w:w="3102" w:space="3633"/>
            <w:col w:w="2535"/>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803"/>
        <w:gridCol w:w="1844"/>
        <w:gridCol w:w="850"/>
        <w:gridCol w:w="1699"/>
        <w:gridCol w:w="1842"/>
      </w:tblGrid>
      <w:tr>
        <w:trPr>
          <w:trHeight w:val="828"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6"/>
              <w:ind w:left="103" w:right="104"/>
              <w:jc w:val="center"/>
              <w:rPr>
                <w:rFonts w:ascii="宋体" w:hAnsi="宋体" w:cs="宋体" w:eastAsia="宋体" w:hint="default"/>
                <w:sz w:val="21"/>
                <w:szCs w:val="21"/>
              </w:rPr>
            </w:pPr>
            <w:r>
              <w:rPr>
                <w:rFonts w:ascii="宋体" w:hAnsi="宋体" w:cs="宋体" w:eastAsia="宋体" w:hint="default"/>
                <w:sz w:val="21"/>
                <w:szCs w:val="21"/>
              </w:rPr>
              <w:t>（如适 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9"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1"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463"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-72,267.30</w:t>
            </w: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-10,762.27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16,353.64</w:t>
            </w:r>
          </w:p>
        </w:tc>
      </w:tr>
      <w:tr>
        <w:trPr>
          <w:trHeight w:val="82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w:t>
            </w:r>
            <w:r>
              <w:rPr>
                <w:rFonts w:ascii="宋体" w:hAnsi="宋体" w:cs="宋体" w:eastAsia="宋体" w:hint="default"/>
                <w:sz w:val="21"/>
                <w:szCs w:val="21"/>
              </w:rPr>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6"/>
                <w:sz w:val="21"/>
                <w:szCs w:val="21"/>
              </w:rPr>
              <w:t>件，或偶发性的税收返还、 </w:t>
            </w:r>
            <w:r>
              <w:rPr>
                <w:rFonts w:ascii="宋体" w:hAnsi="宋体" w:cs="宋体" w:eastAsia="宋体" w:hint="default"/>
                <w:sz w:val="21"/>
                <w:szCs w:val="21"/>
              </w:rPr>
              <w:t>减免</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w:t>
            </w:r>
            <w:r>
              <w:rPr>
                <w:rFonts w:ascii="宋体" w:hAnsi="宋体" w:cs="宋体" w:eastAsia="宋体" w:hint="default"/>
                <w:sz w:val="21"/>
                <w:szCs w:val="21"/>
              </w:rPr>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pacing w:val="6"/>
                <w:sz w:val="21"/>
                <w:szCs w:val="21"/>
              </w:rPr>
              <w:t>但与公司正常经营业务密切 相关，符合国家政策规定、 按照一定标准定额或定量持 </w:t>
            </w:r>
            <w:r>
              <w:rPr>
                <w:rFonts w:ascii="宋体" w:hAnsi="宋体" w:cs="宋体" w:eastAsia="宋体" w:hint="default"/>
                <w:sz w:val="21"/>
                <w:szCs w:val="21"/>
              </w:rPr>
              <w:t>续享受的政府补助除外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11,807,837.24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16,409,034.15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14,189,771.94</w:t>
            </w:r>
          </w:p>
        </w:tc>
      </w:tr>
      <w:tr>
        <w:trPr>
          <w:trHeight w:val="55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计入当期损益的对非金融企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业收取的资金占用费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企业取得子公司、联营企业</w:t>
            </w:r>
            <w:r>
              <w:rPr>
                <w:rFonts w:ascii="宋体" w:hAnsi="宋体" w:cs="宋体" w:eastAsia="宋体" w:hint="default"/>
                <w:sz w:val="21"/>
                <w:szCs w:val="21"/>
              </w:rPr>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pacing w:val="6"/>
                <w:sz w:val="21"/>
                <w:szCs w:val="21"/>
              </w:rPr>
              <w:t>及合营企业的投资成本小于 取得投资时应享有被投资单 位可辨认净资产公允价值产 </w:t>
            </w:r>
            <w:r>
              <w:rPr>
                <w:rFonts w:ascii="宋体" w:hAnsi="宋体" w:cs="宋体" w:eastAsia="宋体" w:hint="default"/>
                <w:sz w:val="21"/>
                <w:szCs w:val="21"/>
              </w:rPr>
              <w:t>生的收益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委托他人投资或管理资产的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w:t>
            </w:r>
            <w:r>
              <w:rPr>
                <w:rFonts w:ascii="宋体" w:hAnsi="宋体" w:cs="宋体" w:eastAsia="宋体" w:hint="default"/>
                <w:sz w:val="21"/>
                <w:szCs w:val="21"/>
              </w:rPr>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6"/>
                <w:sz w:val="21"/>
                <w:szCs w:val="21"/>
              </w:rPr>
              <w:t>然灾害而计提的各项资产减 </w:t>
            </w:r>
            <w:r>
              <w:rPr>
                <w:rFonts w:ascii="宋体" w:hAnsi="宋体" w:cs="宋体" w:eastAsia="宋体" w:hint="default"/>
                <w:sz w:val="21"/>
                <w:szCs w:val="21"/>
              </w:rPr>
              <w:t>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企业重组费用，如安置职工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的支出、整合费用等</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交易价格显失公允的交易产</w:t>
            </w:r>
            <w:r>
              <w:rPr>
                <w:rFonts w:ascii="宋体" w:hAnsi="宋体" w:cs="宋体" w:eastAsia="宋体" w:hint="default"/>
                <w:sz w:val="21"/>
                <w:szCs w:val="21"/>
              </w:rPr>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6"/>
                <w:sz w:val="21"/>
                <w:szCs w:val="21"/>
              </w:rPr>
              <w:t>生的超过公允价值部分的损 </w:t>
            </w:r>
            <w:r>
              <w:rPr>
                <w:rFonts w:ascii="宋体" w:hAnsi="宋体" w:cs="宋体" w:eastAsia="宋体" w:hint="default"/>
                <w:sz w:val="21"/>
                <w:szCs w:val="21"/>
              </w:rPr>
              <w:t>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同一控制下企业合并产生的</w:t>
            </w:r>
            <w:r>
              <w:rPr>
                <w:rFonts w:ascii="宋体" w:hAnsi="宋体" w:cs="宋体" w:eastAsia="宋体" w:hint="default"/>
                <w:sz w:val="21"/>
                <w:szCs w:val="21"/>
              </w:rPr>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6"/>
                <w:sz w:val="21"/>
                <w:szCs w:val="21"/>
              </w:rPr>
              <w:t>子公司期初至合并日的当期 </w:t>
            </w:r>
            <w:r>
              <w:rPr>
                <w:rFonts w:ascii="宋体" w:hAnsi="宋体" w:cs="宋体" w:eastAsia="宋体" w:hint="default"/>
                <w:sz w:val="21"/>
                <w:szCs w:val="21"/>
              </w:rPr>
              <w:t>净损益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与公司正常经营业务无关的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或有事项产生的损益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除同公司正常经营业务相关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的有效套期保值业务外，持</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1,004,794.52</w:t>
            </w: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803"/>
        <w:gridCol w:w="1844"/>
        <w:gridCol w:w="850"/>
        <w:gridCol w:w="1699"/>
        <w:gridCol w:w="1842"/>
      </w:tblGrid>
      <w:tr>
        <w:trPr>
          <w:trHeight w:val="164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有交易性金融资产、交易性</w:t>
            </w:r>
            <w:r>
              <w:rPr>
                <w:rFonts w:ascii="宋体" w:hAnsi="宋体" w:cs="宋体" w:eastAsia="宋体" w:hint="default"/>
                <w:sz w:val="21"/>
                <w:szCs w:val="21"/>
              </w:rPr>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pacing w:val="6"/>
                <w:sz w:val="21"/>
                <w:szCs w:val="21"/>
              </w:rPr>
              <w:t>金融负债产生的公允价值变 动损益，以及处置交易性金 融资产、交易性金融负债和 可供出售金融资产取得的投 </w:t>
            </w:r>
            <w:r>
              <w:rPr>
                <w:rFonts w:ascii="宋体" w:hAnsi="宋体" w:cs="宋体" w:eastAsia="宋体" w:hint="default"/>
                <w:sz w:val="21"/>
                <w:szCs w:val="21"/>
              </w:rPr>
              <w:t>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单独进行减值测试的应收款</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项减值准备转回</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采用公允价值模式进行后续</w:t>
            </w:r>
            <w:r>
              <w:rPr>
                <w:rFonts w:ascii="宋体" w:hAnsi="宋体" w:cs="宋体" w:eastAsia="宋体" w:hint="default"/>
                <w:sz w:val="21"/>
                <w:szCs w:val="21"/>
              </w:rPr>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6"/>
                <w:sz w:val="21"/>
                <w:szCs w:val="21"/>
              </w:rPr>
              <w:t>计量的投资性房地产公允价 </w:t>
            </w:r>
            <w:r>
              <w:rPr>
                <w:rFonts w:ascii="宋体" w:hAnsi="宋体" w:cs="宋体" w:eastAsia="宋体" w:hint="default"/>
                <w:sz w:val="21"/>
                <w:szCs w:val="21"/>
              </w:rPr>
              <w:t>值变动产生的损益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w:t>
            </w:r>
            <w:r>
              <w:rPr>
                <w:rFonts w:ascii="宋体" w:hAnsi="宋体" w:cs="宋体" w:eastAsia="宋体" w:hint="default"/>
                <w:sz w:val="21"/>
                <w:szCs w:val="21"/>
              </w:rPr>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6"/>
                <w:sz w:val="21"/>
                <w:szCs w:val="21"/>
              </w:rPr>
              <w:t>规的要求对当期损益进行一 </w:t>
            </w:r>
            <w:r>
              <w:rPr>
                <w:rFonts w:ascii="宋体" w:hAnsi="宋体" w:cs="宋体" w:eastAsia="宋体" w:hint="default"/>
                <w:sz w:val="21"/>
                <w:szCs w:val="21"/>
              </w:rPr>
              <w:t>次性调整对当期损益的影响</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除上述各项之外的其他营业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外收入和支出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-3,335.71</w:t>
            </w: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220,948.85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-188,480.71</w:t>
            </w:r>
          </w:p>
        </w:tc>
      </w:tr>
      <w:tr>
        <w:trPr>
          <w:trHeight w:val="55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其他符合非经常性损益定义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的损益项目</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-20,590.82</w:t>
            </w: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-40,972.50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-47,250.00</w:t>
            </w:r>
          </w:p>
        </w:tc>
      </w:tr>
      <w:tr>
        <w:trPr>
          <w:trHeight w:val="46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-1,929,569.31</w:t>
            </w: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-2,191,797.43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-2,184,831.77</w:t>
            </w:r>
          </w:p>
        </w:tc>
      </w:tr>
      <w:tr>
        <w:trPr>
          <w:trHeight w:val="46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10,786,868.62</w:t>
            </w:r>
          </w:p>
        </w:tc>
        <w:tc>
          <w:tcPr>
            <w:tcW w:w="85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14,386,450.80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11,785,563.10</w:t>
            </w:r>
          </w:p>
        </w:tc>
      </w:tr>
    </w:tbl>
    <w:p>
      <w:pPr>
        <w:spacing w:after="0" w:line="240" w:lineRule="auto"/>
        <w:jc w:val="right"/>
        <w:rPr>
          <w:rFonts w:ascii="宋体" w:hAnsi="宋体" w:cs="宋体" w:eastAsia="宋体" w:hint="default"/>
          <w:sz w:val="21"/>
          <w:szCs w:val="21"/>
        </w:rPr>
        <w:sectPr>
          <w:pgSz w:w="11910" w:h="16840"/>
          <w:pgMar w:header="882" w:footer="977"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Heading1"/>
        <w:tabs>
          <w:tab w:pos="1264" w:val="left" w:leader="none"/>
        </w:tabs>
        <w:spacing w:line="240" w:lineRule="auto"/>
        <w:ind w:left="4" w:right="0"/>
        <w:jc w:val="center"/>
        <w:rPr>
          <w:b w:val="0"/>
          <w:bCs w:val="0"/>
        </w:rPr>
      </w:pPr>
      <w:bookmarkStart w:name="_TOC_250007" w:id="4"/>
      <w:r>
        <w:rPr>
          <w:w w:val="95"/>
        </w:rPr>
        <w:t>第四节</w:t>
        <w:tab/>
      </w:r>
      <w:r>
        <w:rPr/>
        <w:t>董事会报告</w:t>
      </w:r>
      <w:bookmarkEnd w:id="4"/>
      <w:r>
        <w:rPr>
          <w:b w:val="0"/>
          <w:bCs w:val="0"/>
        </w:rPr>
      </w:r>
    </w:p>
    <w:p>
      <w:pPr>
        <w:pStyle w:val="Heading2"/>
        <w:spacing w:line="240" w:lineRule="auto" w:before="249"/>
        <w:ind w:left="137" w:right="0"/>
        <w:jc w:val="both"/>
        <w:rPr>
          <w:b w:val="0"/>
          <w:bCs w:val="0"/>
        </w:rPr>
      </w:pPr>
      <w:r>
        <w:rPr/>
        <w:t>一、董事会关于公司报告期内经营情况的讨论与分析</w:t>
      </w:r>
      <w:r>
        <w:rPr>
          <w:b w:val="0"/>
          <w:bCs w:val="0"/>
        </w:rPr>
      </w:r>
    </w:p>
    <w:p>
      <w:pPr>
        <w:pStyle w:val="BodyText"/>
        <w:spacing w:line="314" w:lineRule="auto" w:before="135"/>
        <w:ind w:left="137" w:right="131" w:firstLine="420"/>
        <w:jc w:val="both"/>
      </w:pPr>
      <w:r>
        <w:rPr/>
        <w:t>2014</w:t>
      </w:r>
      <w:r>
        <w:rPr>
          <w:spacing w:val="-37"/>
        </w:rPr>
        <w:t> </w:t>
      </w:r>
      <w:r>
        <w:rPr>
          <w:spacing w:val="-7"/>
        </w:rPr>
        <w:t>年，在公司董事会的科学领导和经营班子的努力运作下，全体员工紧扣中心，坚守职责，</w:t>
      </w:r>
      <w:r>
        <w:rPr/>
        <w:t> 主动履职，协作推进各项经营管理工作。全年营业收入、净利润、新增订单等主要经营指标均创</w:t>
      </w:r>
      <w:r>
        <w:rPr>
          <w:spacing w:val="-96"/>
        </w:rPr>
        <w:t> </w:t>
      </w:r>
      <w:r>
        <w:rPr>
          <w:spacing w:val="-96"/>
        </w:rPr>
      </w:r>
      <w:r>
        <w:rPr/>
        <w:t>历年新高，挂牌上市、启用总部大楼等重点工作全面实现，较好地完成了全年经营管理计划。</w:t>
      </w:r>
    </w:p>
    <w:p>
      <w:pPr>
        <w:pStyle w:val="BodyText"/>
        <w:spacing w:line="314" w:lineRule="auto"/>
        <w:ind w:left="137" w:right="130" w:firstLine="420"/>
        <w:jc w:val="both"/>
      </w:pPr>
      <w:r>
        <w:rPr/>
        <w:t>2014</w:t>
      </w:r>
      <w:r>
        <w:rPr>
          <w:spacing w:val="-54"/>
        </w:rPr>
        <w:t> </w:t>
      </w:r>
      <w:r>
        <w:rPr/>
        <w:t>年公司的营业收入为</w:t>
      </w:r>
      <w:r>
        <w:rPr>
          <w:spacing w:val="-54"/>
        </w:rPr>
        <w:t> </w:t>
      </w:r>
      <w:r>
        <w:rPr/>
        <w:t>32,331.56</w:t>
      </w:r>
      <w:r>
        <w:rPr>
          <w:spacing w:val="-54"/>
        </w:rPr>
        <w:t> </w:t>
      </w:r>
      <w:r>
        <w:rPr/>
        <w:t>万元，同比增长</w:t>
      </w:r>
      <w:r>
        <w:rPr>
          <w:spacing w:val="-54"/>
        </w:rPr>
        <w:t> </w:t>
      </w:r>
      <w:r>
        <w:rPr/>
        <w:t>15.23%；营业利润为</w:t>
      </w:r>
      <w:r>
        <w:rPr>
          <w:spacing w:val="-54"/>
        </w:rPr>
        <w:t> </w:t>
      </w:r>
      <w:r>
        <w:rPr/>
        <w:t>7,888.43</w:t>
      </w:r>
      <w:r>
        <w:rPr>
          <w:spacing w:val="-55"/>
        </w:rPr>
        <w:t> </w:t>
      </w:r>
      <w:r>
        <w:rPr/>
        <w:t>万元，</w:t>
      </w:r>
      <w:r>
        <w:rPr>
          <w:spacing w:val="-1"/>
        </w:rPr>
        <w:t> </w:t>
      </w:r>
      <w:r>
        <w:rPr/>
        <w:t>同比增长</w:t>
      </w:r>
      <w:r>
        <w:rPr>
          <w:spacing w:val="-52"/>
        </w:rPr>
        <w:t> </w:t>
      </w:r>
      <w:r>
        <w:rPr/>
        <w:t>15.11%，利润总额为</w:t>
      </w:r>
      <w:r>
        <w:rPr>
          <w:spacing w:val="-52"/>
        </w:rPr>
        <w:t> </w:t>
      </w:r>
      <w:r>
        <w:rPr/>
        <w:t>10,011.92</w:t>
      </w:r>
      <w:r>
        <w:rPr>
          <w:spacing w:val="-52"/>
        </w:rPr>
        <w:t> </w:t>
      </w:r>
      <w:r>
        <w:rPr/>
        <w:t>万元，同比增长</w:t>
      </w:r>
      <w:r>
        <w:rPr>
          <w:spacing w:val="-52"/>
        </w:rPr>
        <w:t> </w:t>
      </w:r>
      <w:r>
        <w:rPr/>
        <w:t>9.64%，归属于上市公司股东的净利润</w:t>
      </w:r>
      <w:r>
        <w:rPr/>
        <w:t> 为</w:t>
      </w:r>
      <w:r>
        <w:rPr>
          <w:spacing w:val="-59"/>
        </w:rPr>
        <w:t> </w:t>
      </w:r>
      <w:r>
        <w:rPr/>
        <w:t>8,688.66</w:t>
      </w:r>
      <w:r>
        <w:rPr>
          <w:spacing w:val="-59"/>
        </w:rPr>
        <w:t> </w:t>
      </w:r>
      <w:r>
        <w:rPr/>
        <w:t>万元，同比增长</w:t>
      </w:r>
      <w:r>
        <w:rPr>
          <w:spacing w:val="-59"/>
        </w:rPr>
        <w:t> </w:t>
      </w:r>
      <w:r>
        <w:rPr/>
        <w:t>9.30%。</w:t>
      </w:r>
    </w:p>
    <w:p>
      <w:pPr>
        <w:pStyle w:val="BodyText"/>
        <w:spacing w:line="240" w:lineRule="auto"/>
        <w:ind w:left="557" w:right="127"/>
        <w:jc w:val="left"/>
      </w:pPr>
      <w:r>
        <w:rPr/>
        <w:t>报告期内，公司的总体经营情况概述如下：</w:t>
      </w:r>
    </w:p>
    <w:p>
      <w:pPr>
        <w:spacing w:line="314" w:lineRule="auto" w:before="85"/>
        <w:ind w:left="557" w:right="127"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发展平台升级跨越</w:t>
      </w:r>
      <w:r>
        <w:rPr>
          <w:rFonts w:ascii="宋体" w:hAnsi="宋体" w:cs="宋体" w:eastAsia="宋体" w:hint="default"/>
          <w:b/>
          <w:bCs/>
          <w:w w:val="99"/>
          <w:sz w:val="21"/>
          <w:szCs w:val="21"/>
        </w:rPr>
        <w:t> </w:t>
      </w:r>
      <w:r>
        <w:rPr>
          <w:rFonts w:ascii="宋体" w:hAnsi="宋体" w:cs="宋体" w:eastAsia="宋体" w:hint="default"/>
          <w:sz w:val="21"/>
          <w:szCs w:val="21"/>
        </w:rPr>
        <w:t>年初启用总部大楼南威大厦，企业运营资源进一步集中；年末，公司在沪市挂牌上市，企业</w:t>
      </w:r>
    </w:p>
    <w:p>
      <w:pPr>
        <w:pStyle w:val="BodyText"/>
        <w:spacing w:line="314" w:lineRule="auto"/>
        <w:ind w:left="137" w:right="132"/>
        <w:jc w:val="both"/>
      </w:pPr>
      <w:r>
        <w:rPr/>
        <w:t>品牌和影响力实现重大跨越。以总部大楼为主要经营载体、以资本为重要经营资源的新型高端发</w:t>
      </w:r>
      <w:r>
        <w:rPr>
          <w:spacing w:val="-96"/>
        </w:rPr>
        <w:t> </w:t>
      </w:r>
      <w:r>
        <w:rPr>
          <w:spacing w:val="-96"/>
        </w:rPr>
      </w:r>
      <w:r>
        <w:rPr/>
        <w:t>展平台快速成形，企业进入以平台发展为主要特征的新常态。</w:t>
      </w:r>
    </w:p>
    <w:p>
      <w:pPr>
        <w:spacing w:line="314" w:lineRule="auto" w:before="20"/>
        <w:ind w:left="557" w:right="127"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技术研发深化推进</w:t>
      </w:r>
      <w:r>
        <w:rPr>
          <w:rFonts w:ascii="宋体" w:hAnsi="宋体" w:cs="宋体" w:eastAsia="宋体" w:hint="default"/>
          <w:b/>
          <w:bCs/>
          <w:w w:val="99"/>
          <w:sz w:val="21"/>
          <w:szCs w:val="21"/>
        </w:rPr>
        <w:t> </w:t>
      </w:r>
      <w:r>
        <w:rPr>
          <w:rFonts w:ascii="宋体" w:hAnsi="宋体" w:cs="宋体" w:eastAsia="宋体" w:hint="default"/>
          <w:sz w:val="21"/>
          <w:szCs w:val="21"/>
        </w:rPr>
        <w:t>报告期内，公司坚持研发“一盘棋、一体化”原则，加大研发投入，研发体系进一步完善，</w:t>
      </w:r>
    </w:p>
    <w:p>
      <w:pPr>
        <w:pStyle w:val="BodyText"/>
        <w:spacing w:line="314" w:lineRule="auto"/>
        <w:ind w:left="137" w:right="132"/>
        <w:jc w:val="both"/>
      </w:pPr>
      <w:r>
        <w:rPr>
          <w:spacing w:val="-3"/>
        </w:rPr>
        <w:t>产品研发与产品推广有效推进。报告期内研发投入总额为</w:t>
      </w:r>
      <w:r>
        <w:rPr>
          <w:spacing w:val="-52"/>
        </w:rPr>
        <w:t> </w:t>
      </w:r>
      <w:r>
        <w:rPr/>
        <w:t>2,565.33</w:t>
      </w:r>
      <w:r>
        <w:rPr>
          <w:spacing w:val="-51"/>
        </w:rPr>
        <w:t> </w:t>
      </w:r>
      <w:r>
        <w:rPr>
          <w:spacing w:val="-8"/>
        </w:rPr>
        <w:t>万元，同比增长</w:t>
      </w:r>
      <w:r>
        <w:rPr>
          <w:spacing w:val="-52"/>
        </w:rPr>
        <w:t> </w:t>
      </w:r>
      <w:r>
        <w:rPr>
          <w:spacing w:val="-6"/>
        </w:rPr>
        <w:t>19.56%。2014</w:t>
      </w:r>
      <w:r>
        <w:rPr>
          <w:spacing w:val="-1"/>
        </w:rPr>
        <w:t> </w:t>
      </w:r>
      <w:r>
        <w:rPr/>
        <w:t>年新增获得计算机软件著作权</w:t>
      </w:r>
      <w:r>
        <w:rPr>
          <w:spacing w:val="-55"/>
        </w:rPr>
        <w:t> </w:t>
      </w:r>
      <w:r>
        <w:rPr/>
        <w:t>34</w:t>
      </w:r>
      <w:r>
        <w:rPr>
          <w:spacing w:val="-54"/>
        </w:rPr>
        <w:t> </w:t>
      </w:r>
      <w:r>
        <w:rPr>
          <w:spacing w:val="-13"/>
        </w:rPr>
        <w:t>项，新增</w:t>
      </w:r>
      <w:r>
        <w:rPr>
          <w:spacing w:val="-55"/>
        </w:rPr>
        <w:t> </w:t>
      </w:r>
      <w:r>
        <w:rPr/>
        <w:t>1</w:t>
      </w:r>
      <w:r>
        <w:rPr>
          <w:spacing w:val="-54"/>
        </w:rPr>
        <w:t> </w:t>
      </w:r>
      <w:r>
        <w:rPr>
          <w:spacing w:val="-3"/>
        </w:rPr>
        <w:t>件实用新型专利授权（道路高清卡口前端设备状态的</w:t>
      </w:r>
      <w:r>
        <w:rPr>
          <w:spacing w:val="-1"/>
        </w:rPr>
        <w:t> </w:t>
      </w:r>
      <w:r>
        <w:rPr/>
        <w:t>检测系统）。截至本报告出具日，公司共拥有</w:t>
      </w:r>
      <w:r>
        <w:rPr>
          <w:spacing w:val="-33"/>
        </w:rPr>
        <w:t> </w:t>
      </w:r>
      <w:r>
        <w:rPr/>
        <w:t>216</w:t>
      </w:r>
      <w:r>
        <w:rPr>
          <w:spacing w:val="-32"/>
        </w:rPr>
        <w:t> </w:t>
      </w:r>
      <w:r>
        <w:rPr/>
        <w:t>项产品获得计算机软件著作权、8</w:t>
      </w:r>
      <w:r>
        <w:rPr>
          <w:spacing w:val="-32"/>
        </w:rPr>
        <w:t> </w:t>
      </w:r>
      <w:r>
        <w:rPr/>
        <w:t>项专利（其</w:t>
      </w:r>
      <w:r>
        <w:rPr/>
        <w:t> 中</w:t>
      </w:r>
      <w:r>
        <w:rPr>
          <w:spacing w:val="-54"/>
        </w:rPr>
        <w:t> </w:t>
      </w:r>
      <w:r>
        <w:rPr/>
        <w:t>3</w:t>
      </w:r>
      <w:r>
        <w:rPr>
          <w:spacing w:val="-53"/>
        </w:rPr>
        <w:t> </w:t>
      </w:r>
      <w:r>
        <w:rPr/>
        <w:t>项发明专利）、25</w:t>
      </w:r>
      <w:r>
        <w:rPr>
          <w:spacing w:val="-54"/>
        </w:rPr>
        <w:t> </w:t>
      </w:r>
      <w:r>
        <w:rPr/>
        <w:t>项受理发明专利申请。</w:t>
      </w:r>
    </w:p>
    <w:p>
      <w:pPr>
        <w:pStyle w:val="BodyText"/>
        <w:spacing w:line="314" w:lineRule="auto"/>
        <w:ind w:left="137" w:right="130" w:firstLine="420"/>
        <w:jc w:val="both"/>
      </w:pPr>
      <w:r>
        <w:rPr>
          <w:spacing w:val="-5"/>
        </w:rPr>
        <w:t>围绕主营业务，公司推出移动警务平台、公安信息综合研判应用系统、部门间信息共享平台、</w:t>
      </w:r>
      <w:r>
        <w:rPr/>
        <w:t> 智慧军营一体机、审批服务“一张网”等产品，市场反响良好。基础平台研发持续深入，正式推</w:t>
      </w:r>
      <w:r>
        <w:rPr>
          <w:spacing w:val="-96"/>
        </w:rPr>
        <w:t> </w:t>
      </w:r>
      <w:r>
        <w:rPr>
          <w:spacing w:val="-96"/>
        </w:rPr>
      </w:r>
      <w:r>
        <w:rPr/>
        <w:t>出基于标准</w:t>
      </w:r>
      <w:r>
        <w:rPr>
          <w:spacing w:val="-48"/>
        </w:rPr>
        <w:t> </w:t>
      </w:r>
      <w:r>
        <w:rPr/>
        <w:t>ESB</w:t>
      </w:r>
      <w:r>
        <w:rPr>
          <w:spacing w:val="-47"/>
        </w:rPr>
        <w:t> </w:t>
      </w:r>
      <w:r>
        <w:rPr/>
        <w:t>服务总线的</w:t>
      </w:r>
      <w:r>
        <w:rPr>
          <w:spacing w:val="-48"/>
        </w:rPr>
        <w:t> </w:t>
      </w:r>
      <w:r>
        <w:rPr>
          <w:spacing w:val="-3"/>
        </w:rPr>
        <w:t>UCAP-ESB，并在重要项目中成功应用。大数据技术研发取得实质性突</w:t>
      </w:r>
      <w:r>
        <w:rPr>
          <w:spacing w:val="-100"/>
        </w:rPr>
        <w:t> </w:t>
      </w:r>
      <w:r>
        <w:rPr>
          <w:spacing w:val="-100"/>
        </w:rPr>
      </w:r>
      <w:r>
        <w:rPr>
          <w:spacing w:val="-8"/>
        </w:rPr>
        <w:t>破，实现</w:t>
      </w:r>
      <w:r>
        <w:rPr>
          <w:spacing w:val="-58"/>
        </w:rPr>
        <w:t> </w:t>
      </w:r>
      <w:r>
        <w:rPr/>
        <w:t>50</w:t>
      </w:r>
      <w:r>
        <w:rPr>
          <w:spacing w:val="-58"/>
        </w:rPr>
        <w:t> </w:t>
      </w:r>
      <w:r>
        <w:rPr/>
        <w:t>亿数据精确查询</w:t>
      </w:r>
      <w:r>
        <w:rPr>
          <w:spacing w:val="-58"/>
        </w:rPr>
        <w:t> </w:t>
      </w:r>
      <w:r>
        <w:rPr/>
        <w:t>3</w:t>
      </w:r>
      <w:r>
        <w:rPr>
          <w:spacing w:val="-57"/>
        </w:rPr>
        <w:t> </w:t>
      </w:r>
      <w:r>
        <w:rPr>
          <w:spacing w:val="-5"/>
        </w:rPr>
        <w:t>秒左右、模糊查询</w:t>
      </w:r>
      <w:r>
        <w:rPr>
          <w:spacing w:val="-58"/>
        </w:rPr>
        <w:t> </w:t>
      </w:r>
      <w:r>
        <w:rPr/>
        <w:t>5-8</w:t>
      </w:r>
      <w:r>
        <w:rPr>
          <w:spacing w:val="-57"/>
        </w:rPr>
        <w:t> </w:t>
      </w:r>
      <w:r>
        <w:rPr/>
        <w:t>秒的处理能力，大数据查阅和监控系统成功</w:t>
      </w:r>
      <w:r>
        <w:rPr/>
        <w:t> 应用于具体项目。移动互联网技术研发多点推进，上线首个移动</w:t>
      </w:r>
      <w:r>
        <w:rPr>
          <w:spacing w:val="-42"/>
        </w:rPr>
        <w:t> </w:t>
      </w:r>
      <w:r>
        <w:rPr/>
        <w:t>APP“私信定制”，推出</w:t>
      </w:r>
      <w:r>
        <w:rPr>
          <w:spacing w:val="-42"/>
        </w:rPr>
        <w:t> </w:t>
      </w:r>
      <w:r>
        <w:rPr/>
        <w:t>3</w:t>
      </w:r>
      <w:r>
        <w:rPr>
          <w:spacing w:val="-43"/>
        </w:rPr>
        <w:t> </w:t>
      </w:r>
      <w:r>
        <w:rPr/>
        <w:t>个主</w:t>
      </w:r>
      <w:r>
        <w:rPr/>
        <w:t> 线产品移动版本等。</w:t>
      </w:r>
    </w:p>
    <w:p>
      <w:pPr>
        <w:pStyle w:val="Heading2"/>
        <w:spacing w:line="240" w:lineRule="auto" w:before="20"/>
        <w:ind w:left="559" w:right="127"/>
        <w:jc w:val="left"/>
        <w:rPr>
          <w:b w:val="0"/>
          <w:bCs w:val="0"/>
        </w:rPr>
      </w:pPr>
      <w:r>
        <w:rPr/>
        <w:t>（3）业务拓展再上台阶</w:t>
      </w:r>
      <w:r>
        <w:rPr>
          <w:b w:val="0"/>
          <w:bCs w:val="0"/>
        </w:rPr>
      </w:r>
    </w:p>
    <w:p>
      <w:pPr>
        <w:pStyle w:val="BodyText"/>
        <w:spacing w:line="240" w:lineRule="auto" w:before="85"/>
        <w:ind w:left="557" w:right="0"/>
        <w:jc w:val="left"/>
      </w:pPr>
      <w:r>
        <w:rPr/>
        <w:t>2014</w:t>
      </w:r>
      <w:r>
        <w:rPr>
          <w:spacing w:val="-20"/>
        </w:rPr>
        <w:t> </w:t>
      </w:r>
      <w:r>
        <w:rPr>
          <w:spacing w:val="-2"/>
        </w:rPr>
        <w:t>年公司进一步完善了市场布局，成立总部大区，建立分支机构之间、大区之间协同合作</w:t>
      </w:r>
    </w:p>
    <w:p>
      <w:pPr>
        <w:pStyle w:val="BodyText"/>
        <w:spacing w:line="314" w:lineRule="auto" w:before="85"/>
        <w:ind w:left="137" w:right="131"/>
        <w:jc w:val="both"/>
      </w:pPr>
      <w:r>
        <w:rPr/>
        <w:t>机制，强化合力攻关市场。建立立体式营销体系，参加及举办主题展会，参评并荣获行业</w:t>
      </w:r>
      <w:r>
        <w:rPr>
          <w:spacing w:val="-47"/>
        </w:rPr>
        <w:t> </w:t>
      </w:r>
      <w:r>
        <w:rPr/>
        <w:t>5</w:t>
      </w:r>
      <w:r>
        <w:rPr>
          <w:spacing w:val="-46"/>
        </w:rPr>
        <w:t> </w:t>
      </w:r>
      <w:r>
        <w:rPr/>
        <w:t>个重</w:t>
      </w:r>
      <w:r>
        <w:rPr/>
        <w:t> 要奖项，提升了公司影响力和知名度；产业链合作整合计划继续推进，顺应安全可控技术发展趋</w:t>
      </w:r>
      <w:r>
        <w:rPr>
          <w:spacing w:val="-96"/>
        </w:rPr>
        <w:t> </w:t>
      </w:r>
      <w:r>
        <w:rPr>
          <w:spacing w:val="-96"/>
        </w:rPr>
      </w:r>
      <w:r>
        <w:rPr/>
        <w:t>势，与上下游国产化资源联合打造安全可控整体解决方案。</w:t>
      </w:r>
    </w:p>
    <w:p>
      <w:pPr>
        <w:spacing w:line="314" w:lineRule="auto" w:before="20"/>
        <w:ind w:left="557" w:right="127"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2"/>
          <w:sz w:val="21"/>
          <w:szCs w:val="21"/>
        </w:rPr>
        <w:t> </w:t>
      </w:r>
      <w:r>
        <w:rPr>
          <w:rFonts w:ascii="宋体" w:hAnsi="宋体" w:cs="宋体" w:eastAsia="宋体" w:hint="default"/>
          <w:b/>
          <w:bCs/>
          <w:sz w:val="21"/>
          <w:szCs w:val="21"/>
        </w:rPr>
        <w:t>运行管理创新提速</w:t>
      </w:r>
      <w:r>
        <w:rPr>
          <w:rFonts w:ascii="宋体" w:hAnsi="宋体" w:cs="宋体" w:eastAsia="宋体" w:hint="default"/>
          <w:b/>
          <w:bCs/>
          <w:w w:val="99"/>
          <w:sz w:val="21"/>
          <w:szCs w:val="21"/>
        </w:rPr>
        <w:t> </w:t>
      </w:r>
      <w:r>
        <w:rPr>
          <w:rFonts w:ascii="宋体" w:hAnsi="宋体" w:cs="宋体" w:eastAsia="宋体" w:hint="default"/>
          <w:sz w:val="21"/>
          <w:szCs w:val="21"/>
        </w:rPr>
        <w:t>报告期内，公司全面规范、完善各项管理制度，强化风险防控体系建设，完善公司在人力资</w:t>
      </w:r>
    </w:p>
    <w:p>
      <w:pPr>
        <w:pStyle w:val="BodyText"/>
        <w:spacing w:line="314" w:lineRule="auto"/>
        <w:ind w:left="137" w:right="132"/>
        <w:jc w:val="both"/>
      </w:pPr>
      <w:r>
        <w:rPr/>
        <w:t>源系统、财务系统、采购系统、项目实施等方面的管理办法和实施细则，健全反馈和问责机制，</w:t>
      </w:r>
      <w:r>
        <w:rPr>
          <w:spacing w:val="-96"/>
        </w:rPr>
        <w:t> </w:t>
      </w:r>
      <w:r>
        <w:rPr>
          <w:spacing w:val="-96"/>
        </w:rPr>
      </w:r>
      <w:r>
        <w:rPr/>
        <w:t>增加考评体系的实时性和有效性，公司的管理质效有效增强。</w:t>
      </w:r>
    </w:p>
    <w:p>
      <w:pPr>
        <w:pStyle w:val="BodyText"/>
        <w:spacing w:line="314" w:lineRule="auto"/>
        <w:ind w:left="137" w:right="132" w:firstLine="420"/>
        <w:jc w:val="both"/>
      </w:pPr>
      <w:r>
        <w:rPr>
          <w:spacing w:val="-5"/>
        </w:rPr>
        <w:t>公司以提升队伍职业力和专业力为目标，以开展塑造执行力活动为主线，持续推进“学习型、</w:t>
      </w:r>
      <w:r>
        <w:rPr/>
        <w:t> 创新型、专业型、高效型”队伍建设。广泛推行马上就办、直通终批、首发负责、首问负责、限</w:t>
      </w:r>
    </w:p>
    <w:p>
      <w:pPr>
        <w:spacing w:after="0" w:line="314" w:lineRule="auto"/>
        <w:jc w:val="both"/>
        <w:sectPr>
          <w:footerReference w:type="default" r:id="rId20"/>
          <w:pgSz w:w="11910" w:h="16840"/>
          <w:pgMar w:footer="977" w:header="882" w:top="1120" w:bottom="116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before="0"/>
        <w:ind w:left="217" w:right="227"/>
        <w:jc w:val="left"/>
      </w:pPr>
      <w:r>
        <w:rPr/>
        <w:t>时办结等制度，梳理简化了一批工作流程，完善了内部管理系统业务模块，工作运转继续提速。</w:t>
      </w:r>
      <w:r>
        <w:rPr>
          <w:spacing w:val="-96"/>
        </w:rPr>
        <w:t> </w:t>
      </w:r>
      <w:r>
        <w:rPr>
          <w:spacing w:val="-96"/>
        </w:rPr>
      </w:r>
      <w:r>
        <w:rPr/>
        <w:t>加强审计监察工作，深入开展弘扬正能量活动，企业文化建设不断深化。</w:t>
      </w:r>
    </w:p>
    <w:p>
      <w:pPr>
        <w:pStyle w:val="Heading2"/>
        <w:spacing w:line="240" w:lineRule="auto" w:before="20"/>
        <w:ind w:left="639" w:right="227"/>
        <w:jc w:val="left"/>
        <w:rPr>
          <w:b w:val="0"/>
          <w:bCs w:val="0"/>
        </w:rPr>
      </w:pPr>
      <w:r>
        <w:rPr/>
        <w:t>（5）资质品牌不断提升</w:t>
      </w:r>
      <w:r>
        <w:rPr>
          <w:b w:val="0"/>
          <w:bCs w:val="0"/>
        </w:rPr>
      </w:r>
    </w:p>
    <w:p>
      <w:pPr>
        <w:pStyle w:val="BodyText"/>
        <w:spacing w:line="314" w:lineRule="auto" w:before="85"/>
        <w:ind w:left="217" w:right="231" w:firstLine="420"/>
        <w:jc w:val="both"/>
      </w:pPr>
      <w:r>
        <w:rPr>
          <w:spacing w:val="-6"/>
        </w:rPr>
        <w:t>报告期内，公司获得《ITSS</w:t>
      </w:r>
      <w:r>
        <w:rPr>
          <w:spacing w:val="-47"/>
        </w:rPr>
        <w:t> </w:t>
      </w:r>
      <w:r>
        <w:rPr>
          <w:spacing w:val="-5"/>
        </w:rPr>
        <w:t>信息技术服务运行维护标准符合性证书》、《ISO/IEC27001：2005</w:t>
      </w:r>
      <w:r>
        <w:rPr/>
        <w:t> 信息安全管理体系认证证书》、《ISO/IEC20000-1:2011</w:t>
      </w:r>
      <w:r>
        <w:rPr>
          <w:spacing w:val="-58"/>
        </w:rPr>
        <w:t> </w:t>
      </w:r>
      <w:r>
        <w:rPr/>
        <w:t>IT</w:t>
      </w:r>
      <w:r>
        <w:rPr>
          <w:spacing w:val="-68"/>
        </w:rPr>
        <w:t> </w:t>
      </w:r>
      <w:r>
        <w:rPr/>
        <w:t>服务管理体系认证证书》、《国军标</w:t>
      </w:r>
      <w:r>
        <w:rPr>
          <w:spacing w:val="-1"/>
        </w:rPr>
        <w:t> </w:t>
      </w:r>
      <w:r>
        <w:rPr/>
        <w:t>质量管理体系认证证书》、《商用密码产品生产定点单位》和《建筑智能化设计与施工一体化壹</w:t>
      </w:r>
      <w:r>
        <w:rPr>
          <w:spacing w:val="-96"/>
        </w:rPr>
        <w:t> </w:t>
      </w:r>
      <w:r>
        <w:rPr>
          <w:spacing w:val="-96"/>
        </w:rPr>
      </w:r>
      <w:r>
        <w:rPr/>
        <w:t>级资质证书》等资质，进一步健全了公司的资质体系；获得第十八届国际软件博览会“优秀应用</w:t>
      </w:r>
      <w:r>
        <w:rPr>
          <w:spacing w:val="-96"/>
        </w:rPr>
        <w:t> </w:t>
      </w:r>
      <w:r>
        <w:rPr>
          <w:spacing w:val="-96"/>
        </w:rPr>
      </w:r>
      <w:r>
        <w:rPr/>
        <w:t>产品”和“行业创新产品”、第十四届中国信息产业经济年会“2014</w:t>
      </w:r>
      <w:r>
        <w:rPr>
          <w:spacing w:val="-87"/>
        </w:rPr>
        <w:t> </w:t>
      </w:r>
      <w:r>
        <w:rPr/>
        <w:t>中国信息产业年度影响力企</w:t>
      </w:r>
      <w:r>
        <w:rPr/>
        <w:t> 业”和</w:t>
      </w:r>
      <w:r>
        <w:rPr>
          <w:spacing w:val="-53"/>
        </w:rPr>
        <w:t> </w:t>
      </w:r>
      <w:r>
        <w:rPr/>
        <w:t>2014</w:t>
      </w:r>
      <w:r>
        <w:rPr>
          <w:spacing w:val="-53"/>
        </w:rPr>
        <w:t> </w:t>
      </w:r>
      <w:r>
        <w:rPr/>
        <w:t>年中国软件大会“2014</w:t>
      </w:r>
      <w:r>
        <w:rPr>
          <w:spacing w:val="-53"/>
        </w:rPr>
        <w:t> </w:t>
      </w:r>
      <w:r>
        <w:rPr>
          <w:spacing w:val="-3"/>
        </w:rPr>
        <w:t>年中国软件和信息服务•大数据领域杰出企业奖”等奖项，提</w:t>
      </w:r>
      <w:r>
        <w:rPr/>
        <w:t> 升了企业的品牌美誉度。</w:t>
      </w: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1"/>
          <w:pgSz w:w="11910" w:h="16840"/>
          <w:pgMar w:footer="977" w:header="882" w:top="1120" w:bottom="1160" w:left="1580" w:right="1040"/>
          <w:pgNumType w:start="11"/>
        </w:sectPr>
      </w:pPr>
    </w:p>
    <w:p>
      <w:pPr>
        <w:pStyle w:val="Heading2"/>
        <w:spacing w:line="240" w:lineRule="auto"/>
        <w:ind w:left="217"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2"/>
        <w:tabs>
          <w:tab w:pos="585" w:val="left" w:leader="none"/>
        </w:tabs>
        <w:spacing w:line="240" w:lineRule="auto" w:before="30"/>
        <w:ind w:left="217" w:right="0"/>
        <w:jc w:val="left"/>
        <w:rPr>
          <w:b w:val="0"/>
          <w:bCs w:val="0"/>
        </w:rPr>
      </w:pPr>
      <w:r>
        <w:rPr>
          <w:w w:val="95"/>
        </w:rPr>
        <w:t>1</w:t>
        <w:tab/>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160" w:left="1580" w:right="1040"/>
          <w:cols w:num="2" w:equalWidth="0">
            <w:col w:w="4381" w:space="2354"/>
            <w:col w:w="2555"/>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73"/>
        <w:gridCol w:w="1858"/>
        <w:gridCol w:w="1874"/>
        <w:gridCol w:w="1844"/>
      </w:tblGrid>
      <w:tr>
        <w:trPr>
          <w:trHeight w:val="40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0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5"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40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323,315,557.02</w:t>
            </w:r>
            <w:r>
              <w:rPr>
                <w:rFonts w:ascii="宋体"/>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21"/>
                <w:szCs w:val="21"/>
              </w:rPr>
            </w:pPr>
            <w:r>
              <w:rPr>
                <w:rFonts w:ascii="宋体"/>
                <w:spacing w:val="-1"/>
                <w:sz w:val="21"/>
              </w:rPr>
              <w:t>280,587,600.83</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15.23</w:t>
            </w:r>
          </w:p>
        </w:tc>
      </w:tr>
      <w:tr>
        <w:trPr>
          <w:trHeight w:val="40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168,141,346.01</w:t>
            </w:r>
            <w:r>
              <w:rPr>
                <w:rFonts w:ascii="宋体"/>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21"/>
                <w:szCs w:val="21"/>
              </w:rPr>
            </w:pPr>
            <w:r>
              <w:rPr>
                <w:rFonts w:ascii="宋体"/>
                <w:spacing w:val="-1"/>
                <w:sz w:val="21"/>
              </w:rPr>
              <w:t>154,152,548.02</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9.07</w:t>
            </w:r>
          </w:p>
        </w:tc>
      </w:tr>
      <w:tr>
        <w:trPr>
          <w:trHeight w:val="40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20,250,402.25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15,483,716.72</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30.79</w:t>
            </w:r>
          </w:p>
        </w:tc>
      </w:tr>
      <w:tr>
        <w:trPr>
          <w:trHeight w:val="408"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54,363,666.97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40,216,743.14</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35.18</w:t>
            </w:r>
          </w:p>
        </w:tc>
      </w:tr>
      <w:tr>
        <w:trPr>
          <w:trHeight w:val="40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-4,579,023.24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-3,345,020.50</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-36.89</w:t>
            </w:r>
          </w:p>
        </w:tc>
      </w:tr>
      <w:tr>
        <w:trPr>
          <w:trHeight w:val="40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104,650,567.90</w:t>
            </w:r>
            <w:r>
              <w:rPr>
                <w:rFonts w:ascii="宋体"/>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100,561,099.68</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4.07</w:t>
            </w:r>
          </w:p>
        </w:tc>
      </w:tr>
      <w:tr>
        <w:trPr>
          <w:trHeight w:val="40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-27,081,206.57</w:t>
            </w:r>
            <w:r>
              <w:rPr>
                <w:rFonts w:ascii="宋体"/>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-70,017,275.04</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61.32</w:t>
            </w:r>
          </w:p>
        </w:tc>
      </w:tr>
      <w:tr>
        <w:trPr>
          <w:trHeight w:val="40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339,829,009.14</w:t>
            </w:r>
            <w:r>
              <w:rPr>
                <w:rFonts w:ascii="宋体"/>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7,654,028.44</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4,339.87</w:t>
            </w:r>
          </w:p>
        </w:tc>
      </w:tr>
      <w:tr>
        <w:trPr>
          <w:trHeight w:val="408"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研发支出</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25,653,314.15</w:t>
            </w:r>
            <w:r>
              <w:rPr>
                <w:rFonts w:ascii="宋体"/>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21,455,759.47</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w w:val="95"/>
                <w:sz w:val="21"/>
              </w:rPr>
              <w:t>19.56</w:t>
            </w:r>
            <w:r>
              <w:rPr>
                <w:rFonts w:ascii="宋体"/>
                <w:w w:val="95"/>
                <w:sz w:val="21"/>
              </w:rPr>
            </w:r>
          </w:p>
        </w:tc>
      </w:tr>
    </w:tbl>
    <w:p>
      <w:pPr>
        <w:spacing w:line="240" w:lineRule="auto" w:before="10"/>
        <w:rPr>
          <w:rFonts w:ascii="宋体" w:hAnsi="宋体" w:cs="宋体" w:eastAsia="宋体" w:hint="default"/>
          <w:sz w:val="18"/>
          <w:szCs w:val="18"/>
        </w:rPr>
      </w:pPr>
    </w:p>
    <w:p>
      <w:pPr>
        <w:pStyle w:val="Heading2"/>
        <w:tabs>
          <w:tab w:pos="585" w:val="left" w:leader="none"/>
        </w:tabs>
        <w:spacing w:line="240" w:lineRule="auto"/>
        <w:ind w:left="217" w:right="227"/>
        <w:jc w:val="left"/>
        <w:rPr>
          <w:b w:val="0"/>
          <w:bCs w:val="0"/>
        </w:rPr>
      </w:pPr>
      <w:r>
        <w:rPr>
          <w:w w:val="95"/>
        </w:rPr>
        <w:t>2</w:t>
        <w:tab/>
      </w:r>
      <w:r>
        <w:rPr/>
        <w:t>收入</w:t>
      </w:r>
      <w:r>
        <w:rPr>
          <w:b w:val="0"/>
          <w:bCs w:val="0"/>
        </w:rPr>
      </w:r>
    </w:p>
    <w:p>
      <w:pPr>
        <w:pStyle w:val="Heading2"/>
        <w:spacing w:line="240" w:lineRule="auto" w:before="57"/>
        <w:ind w:left="217" w:right="227"/>
        <w:jc w:val="left"/>
        <w:rPr>
          <w:b w:val="0"/>
          <w:bCs w:val="0"/>
        </w:rPr>
      </w:pPr>
      <w:r>
        <w:rPr/>
        <w:t>(1)</w:t>
      </w:r>
      <w:r>
        <w:rPr>
          <w:spacing w:val="-8"/>
        </w:rPr>
        <w:t> </w:t>
      </w:r>
      <w:r>
        <w:rPr/>
        <w:t>驱动业务收入变化的因素分析</w:t>
      </w:r>
      <w:r>
        <w:rPr>
          <w:b w:val="0"/>
          <w:bCs w:val="0"/>
        </w:rPr>
      </w:r>
    </w:p>
    <w:p>
      <w:pPr>
        <w:pStyle w:val="BodyText"/>
        <w:spacing w:line="314" w:lineRule="auto" w:before="135"/>
        <w:ind w:left="217" w:right="231" w:firstLine="420"/>
        <w:jc w:val="left"/>
      </w:pPr>
      <w:r>
        <w:rPr/>
        <w:t>报告期内，公司营业收入较去年增长</w:t>
      </w:r>
      <w:r>
        <w:rPr>
          <w:spacing w:val="-88"/>
        </w:rPr>
        <w:t> </w:t>
      </w:r>
      <w:r>
        <w:rPr/>
        <w:t>15.23%。主要是公司技术研发能力不断提升，产品成熟</w:t>
      </w:r>
      <w:r>
        <w:rPr/>
        <w:t> 度不断提高，同时加强项目实施和验收管理，项目实施效率有效提升，年度验收项目金额增长。</w:t>
      </w:r>
    </w:p>
    <w:p>
      <w:pPr>
        <w:spacing w:line="240" w:lineRule="auto" w:before="13"/>
        <w:rPr>
          <w:rFonts w:ascii="宋体" w:hAnsi="宋体" w:cs="宋体" w:eastAsia="宋体" w:hint="default"/>
          <w:sz w:val="20"/>
          <w:szCs w:val="20"/>
        </w:rPr>
      </w:pPr>
    </w:p>
    <w:p>
      <w:pPr>
        <w:pStyle w:val="Heading2"/>
        <w:spacing w:line="357" w:lineRule="auto" w:before="0"/>
        <w:ind w:left="637" w:right="4417" w:hanging="420"/>
        <w:jc w:val="left"/>
        <w:rPr>
          <w:rFonts w:ascii="宋体" w:hAnsi="宋体" w:cs="宋体" w:eastAsia="宋体" w:hint="default"/>
          <w:b w:val="0"/>
          <w:bCs w:val="0"/>
        </w:rPr>
      </w:pPr>
      <w:r>
        <w:rPr/>
        <w:t>(2)</w:t>
      </w:r>
      <w:r>
        <w:rPr>
          <w:spacing w:val="-10"/>
        </w:rPr>
        <w:t> </w:t>
      </w:r>
      <w:r>
        <w:rPr/>
        <w:t>以实物销售为主的公司产品收入影响因素分析</w:t>
      </w:r>
      <w:r>
        <w:rPr>
          <w:w w:val="99"/>
        </w:rPr>
        <w:t> </w:t>
      </w:r>
      <w:r>
        <w:rPr>
          <w:rFonts w:ascii="宋体" w:hAnsi="宋体" w:cs="宋体" w:eastAsia="宋体" w:hint="default"/>
          <w:b w:val="0"/>
          <w:bCs w:val="0"/>
        </w:rPr>
        <w:t>不适用。</w:t>
      </w:r>
    </w:p>
    <w:p>
      <w:pPr>
        <w:spacing w:line="240" w:lineRule="auto" w:before="1"/>
        <w:rPr>
          <w:rFonts w:ascii="宋体" w:hAnsi="宋体" w:cs="宋体" w:eastAsia="宋体" w:hint="default"/>
          <w:sz w:val="18"/>
          <w:szCs w:val="18"/>
        </w:rPr>
      </w:pPr>
    </w:p>
    <w:p>
      <w:pPr>
        <w:pStyle w:val="Heading2"/>
        <w:spacing w:line="357" w:lineRule="auto" w:before="0"/>
        <w:ind w:left="637" w:right="6102" w:hanging="420"/>
        <w:jc w:val="left"/>
        <w:rPr>
          <w:rFonts w:ascii="宋体" w:hAnsi="宋体" w:cs="宋体" w:eastAsia="宋体" w:hint="default"/>
          <w:b w:val="0"/>
          <w:bCs w:val="0"/>
        </w:rPr>
      </w:pPr>
      <w:r>
        <w:rPr/>
        <w:t>(3)</w:t>
      </w:r>
      <w:r>
        <w:rPr>
          <w:spacing w:val="-8"/>
        </w:rPr>
        <w:t> </w:t>
      </w:r>
      <w:r>
        <w:rPr/>
        <w:t>新产品及新服务的影响分析</w:t>
      </w:r>
      <w:r>
        <w:rPr>
          <w:w w:val="99"/>
        </w:rPr>
        <w:t> </w:t>
      </w:r>
      <w:r>
        <w:rPr>
          <w:rFonts w:ascii="宋体" w:hAnsi="宋体" w:cs="宋体" w:eastAsia="宋体" w:hint="default"/>
          <w:b w:val="0"/>
          <w:bCs w:val="0"/>
        </w:rPr>
        <w:t>不适用。</w:t>
      </w:r>
    </w:p>
    <w:p>
      <w:pPr>
        <w:spacing w:after="0" w:line="357" w:lineRule="auto"/>
        <w:jc w:val="left"/>
        <w:rPr>
          <w:rFonts w:ascii="宋体" w:hAnsi="宋体" w:cs="宋体" w:eastAsia="宋体" w:hint="default"/>
        </w:rPr>
        <w:sectPr>
          <w:type w:val="continuous"/>
          <w:pgSz w:w="11910" w:h="16840"/>
          <w:pgMar w:top="1120" w:bottom="1160" w:left="1580" w:right="1040"/>
        </w:sectPr>
      </w:pPr>
    </w:p>
    <w:p>
      <w:pPr>
        <w:spacing w:line="240" w:lineRule="auto" w:before="4"/>
        <w:rPr>
          <w:rFonts w:ascii="宋体" w:hAnsi="宋体" w:cs="宋体" w:eastAsia="宋体" w:hint="default"/>
          <w:sz w:val="25"/>
          <w:szCs w:val="25"/>
        </w:rPr>
      </w:pPr>
    </w:p>
    <w:p>
      <w:pPr>
        <w:pStyle w:val="Heading2"/>
        <w:spacing w:line="240" w:lineRule="auto"/>
        <w:ind w:left="237" w:right="227"/>
        <w:jc w:val="left"/>
        <w:rPr>
          <w:b w:val="0"/>
          <w:bCs w:val="0"/>
        </w:rPr>
      </w:pPr>
      <w:r>
        <w:rPr/>
        <w:t>(4)</w:t>
      </w:r>
      <w:r>
        <w:rPr>
          <w:spacing w:val="-6"/>
        </w:rPr>
        <w:t> </w:t>
      </w:r>
      <w:r>
        <w:rPr/>
        <w:t>主要销售客户的情况</w:t>
      </w:r>
      <w:r>
        <w:rPr>
          <w:b w:val="0"/>
          <w:bCs w:val="0"/>
        </w:rPr>
      </w:r>
    </w:p>
    <w:p>
      <w:pPr>
        <w:pStyle w:val="BodyText"/>
        <w:spacing w:line="314" w:lineRule="auto" w:before="135"/>
        <w:ind w:left="237" w:right="203" w:firstLine="422"/>
        <w:jc w:val="left"/>
      </w:pPr>
      <w:r>
        <w:rPr/>
        <w:t>公司</w:t>
      </w:r>
      <w:r>
        <w:rPr>
          <w:spacing w:val="-52"/>
        </w:rPr>
        <w:t> </w:t>
      </w:r>
      <w:r>
        <w:rPr/>
        <w:t>2014</w:t>
      </w:r>
      <w:r>
        <w:rPr>
          <w:spacing w:val="-52"/>
        </w:rPr>
        <w:t> </w:t>
      </w:r>
      <w:r>
        <w:rPr/>
        <w:t>年度营业收入排名前</w:t>
      </w:r>
      <w:r>
        <w:rPr>
          <w:spacing w:val="-52"/>
        </w:rPr>
        <w:t> </w:t>
      </w:r>
      <w:r>
        <w:rPr/>
        <w:t>5</w:t>
      </w:r>
      <w:r>
        <w:rPr>
          <w:spacing w:val="-52"/>
        </w:rPr>
        <w:t> </w:t>
      </w:r>
      <w:r>
        <w:rPr/>
        <w:t>位的客户共计实现收入</w:t>
      </w:r>
      <w:r>
        <w:rPr>
          <w:spacing w:val="-52"/>
        </w:rPr>
        <w:t> </w:t>
      </w:r>
      <w:r>
        <w:rPr/>
        <w:t>126,895,713.33</w:t>
      </w:r>
      <w:r>
        <w:rPr>
          <w:spacing w:val="-53"/>
        </w:rPr>
        <w:t> </w:t>
      </w:r>
      <w:r>
        <w:rPr/>
        <w:t>元，占公司营业收</w:t>
      </w:r>
      <w:r>
        <w:rPr/>
        <w:t> 入比例为</w:t>
      </w:r>
      <w:r>
        <w:rPr>
          <w:spacing w:val="-53"/>
        </w:rPr>
        <w:t> </w:t>
      </w:r>
      <w:r>
        <w:rPr/>
        <w:t>39.25%。</w:t>
      </w: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7" w:top="1120" w:bottom="1160" w:left="1560" w:right="1060"/>
        </w:sectPr>
      </w:pPr>
    </w:p>
    <w:p>
      <w:pPr>
        <w:pStyle w:val="Heading2"/>
        <w:tabs>
          <w:tab w:pos="657" w:val="left" w:leader="none"/>
        </w:tabs>
        <w:spacing w:line="240" w:lineRule="auto"/>
        <w:ind w:left="237" w:right="-17"/>
        <w:jc w:val="left"/>
        <w:rPr>
          <w:b w:val="0"/>
          <w:bCs w:val="0"/>
        </w:rPr>
      </w:pPr>
      <w:r>
        <w:rPr>
          <w:w w:val="95"/>
        </w:rPr>
        <w:t>3</w:t>
        <w:tab/>
      </w:r>
      <w:r>
        <w:rPr/>
        <w:t>成本</w:t>
      </w:r>
      <w:r>
        <w:rPr>
          <w:b w:val="0"/>
          <w:bCs w:val="0"/>
        </w:rPr>
      </w:r>
    </w:p>
    <w:p>
      <w:pPr>
        <w:pStyle w:val="Heading2"/>
        <w:spacing w:line="240" w:lineRule="auto" w:before="57"/>
        <w:ind w:left="237" w:right="-17"/>
        <w:jc w:val="left"/>
        <w:rPr>
          <w:b w:val="0"/>
          <w:bCs w:val="0"/>
        </w:rPr>
      </w:pPr>
      <w:r>
        <w:rPr/>
        <w:t>(1)</w:t>
      </w:r>
      <w:r>
        <w:rPr>
          <w:spacing w:val="-7"/>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37" w:right="0"/>
        <w:jc w:val="left"/>
      </w:pPr>
      <w:r>
        <w:rPr/>
        <w:t>单位：元</w:t>
      </w:r>
    </w:p>
    <w:p>
      <w:pPr>
        <w:spacing w:after="0" w:line="240" w:lineRule="auto"/>
        <w:jc w:val="left"/>
        <w:sectPr>
          <w:type w:val="continuous"/>
          <w:pgSz w:w="11910" w:h="16840"/>
          <w:pgMar w:top="1120" w:bottom="1160" w:left="1560" w:right="1060"/>
          <w:cols w:num="2" w:equalWidth="0">
            <w:col w:w="1712" w:space="6281"/>
            <w:col w:w="1297"/>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087"/>
        <w:gridCol w:w="866"/>
        <w:gridCol w:w="1686"/>
        <w:gridCol w:w="978"/>
        <w:gridCol w:w="1728"/>
        <w:gridCol w:w="869"/>
        <w:gridCol w:w="1117"/>
        <w:gridCol w:w="572"/>
      </w:tblGrid>
      <w:tr>
        <w:trPr>
          <w:trHeight w:val="407" w:hRule="exact"/>
        </w:trPr>
        <w:tc>
          <w:tcPr>
            <w:tcW w:w="89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099"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2" w:right="94"/>
              <w:jc w:val="left"/>
              <w:rPr>
                <w:rFonts w:ascii="宋体" w:hAnsi="宋体" w:cs="宋体" w:eastAsia="宋体" w:hint="default"/>
                <w:sz w:val="21"/>
                <w:szCs w:val="21"/>
              </w:rPr>
            </w:pPr>
            <w:r>
              <w:rPr>
                <w:rFonts w:ascii="宋体" w:hAnsi="宋体" w:cs="宋体" w:eastAsia="宋体" w:hint="default"/>
                <w:spacing w:val="9"/>
                <w:sz w:val="21"/>
                <w:szCs w:val="21"/>
              </w:rPr>
              <w:t>成本构 </w:t>
            </w:r>
            <w:r>
              <w:rPr>
                <w:rFonts w:ascii="宋体" w:hAnsi="宋体" w:cs="宋体" w:eastAsia="宋体" w:hint="default"/>
                <w:sz w:val="21"/>
                <w:szCs w:val="21"/>
              </w:rPr>
              <w:t>成项目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2" w:right="36"/>
              <w:jc w:val="both"/>
              <w:rPr>
                <w:rFonts w:ascii="宋体" w:hAnsi="宋体" w:cs="宋体" w:eastAsia="宋体" w:hint="default"/>
                <w:sz w:val="21"/>
                <w:szCs w:val="21"/>
              </w:rPr>
            </w:pPr>
            <w:r>
              <w:rPr>
                <w:rFonts w:ascii="宋体" w:hAnsi="宋体" w:cs="宋体" w:eastAsia="宋体" w:hint="default"/>
                <w:spacing w:val="44"/>
                <w:sz w:val="21"/>
                <w:szCs w:val="21"/>
              </w:rPr>
              <w:t>本期占</w:t>
            </w:r>
            <w:r>
              <w:rPr>
                <w:rFonts w:ascii="宋体" w:hAnsi="宋体" w:cs="宋体" w:eastAsia="宋体" w:hint="default"/>
                <w:spacing w:val="-39"/>
                <w:sz w:val="21"/>
                <w:szCs w:val="21"/>
              </w:rPr>
              <w:t> </w:t>
            </w:r>
            <w:r>
              <w:rPr>
                <w:rFonts w:ascii="宋体" w:hAnsi="宋体" w:cs="宋体" w:eastAsia="宋体" w:hint="default"/>
                <w:spacing w:val="44"/>
                <w:sz w:val="21"/>
                <w:szCs w:val="21"/>
              </w:rPr>
              <w:t>总成本</w:t>
            </w:r>
            <w:r>
              <w:rPr>
                <w:rFonts w:ascii="宋体" w:hAnsi="宋体" w:cs="宋体" w:eastAsia="宋体" w:hint="default"/>
                <w:spacing w:val="-39"/>
                <w:sz w:val="21"/>
                <w:szCs w:val="21"/>
              </w:rPr>
              <w:t> </w:t>
            </w:r>
            <w:r>
              <w:rPr>
                <w:rFonts w:ascii="宋体" w:hAnsi="宋体" w:cs="宋体" w:eastAsia="宋体" w:hint="default"/>
                <w:sz w:val="21"/>
                <w:szCs w:val="21"/>
              </w:rPr>
              <w:t>比例(%)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2"/>
                <w:sz w:val="21"/>
                <w:szCs w:val="21"/>
              </w:rPr>
              <w:t>上年同</w:t>
            </w:r>
            <w:r>
              <w:rPr>
                <w:rFonts w:ascii="宋体" w:hAnsi="宋体" w:cs="宋体" w:eastAsia="宋体" w:hint="default"/>
                <w:sz w:val="21"/>
                <w:szCs w:val="21"/>
              </w:rPr>
            </w:r>
          </w:p>
          <w:p>
            <w:pPr>
              <w:pStyle w:val="TableParagraph"/>
              <w:spacing w:line="272" w:lineRule="exact" w:before="26"/>
              <w:ind w:left="101" w:right="89"/>
              <w:jc w:val="both"/>
              <w:rPr>
                <w:rFonts w:ascii="宋体" w:hAnsi="宋体" w:cs="宋体" w:eastAsia="宋体" w:hint="default"/>
                <w:sz w:val="21"/>
                <w:szCs w:val="21"/>
              </w:rPr>
            </w:pPr>
            <w:r>
              <w:rPr>
                <w:rFonts w:ascii="宋体" w:hAnsi="宋体" w:cs="宋体" w:eastAsia="宋体" w:hint="default"/>
                <w:spacing w:val="12"/>
                <w:sz w:val="21"/>
                <w:szCs w:val="21"/>
              </w:rPr>
              <w:t>期占总 成本比 </w:t>
            </w:r>
            <w:r>
              <w:rPr>
                <w:rFonts w:ascii="宋体" w:hAnsi="宋体" w:cs="宋体" w:eastAsia="宋体" w:hint="default"/>
                <w:sz w:val="21"/>
                <w:szCs w:val="21"/>
              </w:rPr>
              <w:t>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5"/>
                <w:sz w:val="21"/>
                <w:szCs w:val="21"/>
              </w:rPr>
              <w:t>本期金额</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1" w:right="82"/>
              <w:jc w:val="both"/>
              <w:rPr>
                <w:rFonts w:ascii="宋体" w:hAnsi="宋体" w:cs="宋体" w:eastAsia="宋体" w:hint="default"/>
                <w:sz w:val="21"/>
                <w:szCs w:val="21"/>
              </w:rPr>
            </w:pPr>
            <w:r>
              <w:rPr>
                <w:rFonts w:ascii="宋体" w:hAnsi="宋体" w:cs="宋体" w:eastAsia="宋体" w:hint="default"/>
                <w:spacing w:val="15"/>
                <w:sz w:val="21"/>
                <w:szCs w:val="21"/>
              </w:rPr>
              <w:t>较上年同</w:t>
            </w:r>
            <w:r>
              <w:rPr>
                <w:rFonts w:ascii="宋体" w:hAnsi="宋体" w:cs="宋体" w:eastAsia="宋体" w:hint="default"/>
                <w:spacing w:val="-85"/>
                <w:sz w:val="21"/>
                <w:szCs w:val="21"/>
              </w:rPr>
              <w:t> </w:t>
            </w:r>
            <w:r>
              <w:rPr>
                <w:rFonts w:ascii="宋体" w:hAnsi="宋体" w:cs="宋体" w:eastAsia="宋体" w:hint="default"/>
                <w:spacing w:val="15"/>
                <w:sz w:val="21"/>
                <w:szCs w:val="21"/>
              </w:rPr>
              <w:t>期变动比</w:t>
            </w:r>
            <w:r>
              <w:rPr>
                <w:rFonts w:ascii="宋体" w:hAnsi="宋体" w:cs="宋体" w:eastAsia="宋体" w:hint="default"/>
                <w:spacing w:val="-85"/>
                <w:sz w:val="21"/>
                <w:szCs w:val="21"/>
              </w:rPr>
              <w:t> </w:t>
            </w:r>
            <w:r>
              <w:rPr>
                <w:rFonts w:ascii="宋体" w:hAnsi="宋体" w:cs="宋体" w:eastAsia="宋体" w:hint="default"/>
                <w:sz w:val="21"/>
                <w:szCs w:val="21"/>
              </w:rPr>
              <w:t>例(%)</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情</w:t>
            </w:r>
          </w:p>
          <w:p>
            <w:pPr>
              <w:pStyle w:val="TableParagraph"/>
              <w:spacing w:line="272" w:lineRule="exact" w:before="26"/>
              <w:ind w:left="175" w:right="175"/>
              <w:jc w:val="both"/>
              <w:rPr>
                <w:rFonts w:ascii="宋体" w:hAnsi="宋体" w:cs="宋体" w:eastAsia="宋体" w:hint="default"/>
                <w:sz w:val="21"/>
                <w:szCs w:val="21"/>
              </w:rPr>
            </w:pPr>
            <w:r>
              <w:rPr>
                <w:rFonts w:ascii="宋体" w:hAnsi="宋体" w:cs="宋体" w:eastAsia="宋体" w:hint="default"/>
                <w:sz w:val="21"/>
                <w:szCs w:val="21"/>
              </w:rPr>
              <w:t>况 说 明</w:t>
            </w:r>
          </w:p>
        </w:tc>
      </w:tr>
      <w:tr>
        <w:trPr>
          <w:trHeight w:val="407"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9"/>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8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167,605,092.94</w:t>
            </w:r>
            <w:r>
              <w:rPr>
                <w:rFonts w:ascii="宋体"/>
                <w:sz w:val="21"/>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154,152,548.02</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w w:val="95"/>
                <w:sz w:val="21"/>
              </w:rPr>
              <w:t>8.73</w:t>
            </w:r>
            <w:r>
              <w:rPr>
                <w:rFonts w:ascii="宋体"/>
                <w:w w:val="95"/>
                <w:sz w:val="21"/>
              </w:rPr>
            </w:r>
          </w:p>
        </w:tc>
        <w:tc>
          <w:tcPr>
            <w:tcW w:w="57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9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099"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分产品</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2" w:right="94"/>
              <w:jc w:val="left"/>
              <w:rPr>
                <w:rFonts w:ascii="宋体" w:hAnsi="宋体" w:cs="宋体" w:eastAsia="宋体" w:hint="default"/>
                <w:sz w:val="21"/>
                <w:szCs w:val="21"/>
              </w:rPr>
            </w:pPr>
            <w:r>
              <w:rPr>
                <w:rFonts w:ascii="宋体" w:hAnsi="宋体" w:cs="宋体" w:eastAsia="宋体" w:hint="default"/>
                <w:spacing w:val="9"/>
                <w:sz w:val="21"/>
                <w:szCs w:val="21"/>
              </w:rPr>
              <w:t>成本构 </w:t>
            </w:r>
            <w:r>
              <w:rPr>
                <w:rFonts w:ascii="宋体" w:hAnsi="宋体" w:cs="宋体" w:eastAsia="宋体" w:hint="default"/>
                <w:sz w:val="21"/>
                <w:szCs w:val="21"/>
              </w:rPr>
              <w:t>成项目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2" w:right="36"/>
              <w:jc w:val="both"/>
              <w:rPr>
                <w:rFonts w:ascii="宋体" w:hAnsi="宋体" w:cs="宋体" w:eastAsia="宋体" w:hint="default"/>
                <w:sz w:val="21"/>
                <w:szCs w:val="21"/>
              </w:rPr>
            </w:pPr>
            <w:r>
              <w:rPr>
                <w:rFonts w:ascii="宋体" w:hAnsi="宋体" w:cs="宋体" w:eastAsia="宋体" w:hint="default"/>
                <w:spacing w:val="44"/>
                <w:sz w:val="21"/>
                <w:szCs w:val="21"/>
              </w:rPr>
              <w:t>本期占</w:t>
            </w:r>
            <w:r>
              <w:rPr>
                <w:rFonts w:ascii="宋体" w:hAnsi="宋体" w:cs="宋体" w:eastAsia="宋体" w:hint="default"/>
                <w:spacing w:val="-39"/>
                <w:sz w:val="21"/>
                <w:szCs w:val="21"/>
              </w:rPr>
              <w:t> </w:t>
            </w:r>
            <w:r>
              <w:rPr>
                <w:rFonts w:ascii="宋体" w:hAnsi="宋体" w:cs="宋体" w:eastAsia="宋体" w:hint="default"/>
                <w:spacing w:val="44"/>
                <w:sz w:val="21"/>
                <w:szCs w:val="21"/>
              </w:rPr>
              <w:t>总成本</w:t>
            </w:r>
            <w:r>
              <w:rPr>
                <w:rFonts w:ascii="宋体" w:hAnsi="宋体" w:cs="宋体" w:eastAsia="宋体" w:hint="default"/>
                <w:spacing w:val="-39"/>
                <w:sz w:val="21"/>
                <w:szCs w:val="21"/>
              </w:rPr>
              <w:t> </w:t>
            </w:r>
            <w:r>
              <w:rPr>
                <w:rFonts w:ascii="宋体" w:hAnsi="宋体" w:cs="宋体" w:eastAsia="宋体" w:hint="default"/>
                <w:sz w:val="21"/>
                <w:szCs w:val="21"/>
              </w:rPr>
              <w:t>比例(%)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2"/>
                <w:sz w:val="21"/>
                <w:szCs w:val="21"/>
              </w:rPr>
              <w:t>上年同</w:t>
            </w:r>
            <w:r>
              <w:rPr>
                <w:rFonts w:ascii="宋体" w:hAnsi="宋体" w:cs="宋体" w:eastAsia="宋体" w:hint="default"/>
                <w:sz w:val="21"/>
                <w:szCs w:val="21"/>
              </w:rPr>
            </w:r>
          </w:p>
          <w:p>
            <w:pPr>
              <w:pStyle w:val="TableParagraph"/>
              <w:spacing w:line="237" w:lineRule="auto" w:before="1"/>
              <w:ind w:left="101" w:right="89"/>
              <w:jc w:val="both"/>
              <w:rPr>
                <w:rFonts w:ascii="宋体" w:hAnsi="宋体" w:cs="宋体" w:eastAsia="宋体" w:hint="default"/>
                <w:sz w:val="21"/>
                <w:szCs w:val="21"/>
              </w:rPr>
            </w:pPr>
            <w:r>
              <w:rPr>
                <w:rFonts w:ascii="宋体" w:hAnsi="宋体" w:cs="宋体" w:eastAsia="宋体" w:hint="default"/>
                <w:spacing w:val="12"/>
                <w:sz w:val="21"/>
                <w:szCs w:val="21"/>
              </w:rPr>
              <w:t>期占总 成本比 </w:t>
            </w:r>
            <w:r>
              <w:rPr>
                <w:rFonts w:ascii="宋体" w:hAnsi="宋体" w:cs="宋体" w:eastAsia="宋体" w:hint="default"/>
                <w:sz w:val="21"/>
                <w:szCs w:val="21"/>
              </w:rPr>
              <w:t>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before="1"/>
              <w:ind w:left="131" w:right="133"/>
              <w:jc w:val="center"/>
              <w:rPr>
                <w:rFonts w:ascii="宋体" w:hAnsi="宋体" w:cs="宋体" w:eastAsia="宋体" w:hint="default"/>
                <w:sz w:val="21"/>
                <w:szCs w:val="21"/>
              </w:rPr>
            </w:pPr>
            <w:r>
              <w:rPr>
                <w:rFonts w:ascii="宋体" w:hAnsi="宋体" w:cs="宋体" w:eastAsia="宋体" w:hint="default"/>
                <w:sz w:val="21"/>
                <w:szCs w:val="21"/>
              </w:rPr>
              <w:t>较上年同 期变动比 例(%)</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情</w:t>
            </w:r>
          </w:p>
          <w:p>
            <w:pPr>
              <w:pStyle w:val="TableParagraph"/>
              <w:spacing w:line="237" w:lineRule="auto" w:before="1"/>
              <w:ind w:left="175" w:right="175"/>
              <w:jc w:val="both"/>
              <w:rPr>
                <w:rFonts w:ascii="宋体" w:hAnsi="宋体" w:cs="宋体" w:eastAsia="宋体" w:hint="default"/>
                <w:sz w:val="21"/>
                <w:szCs w:val="21"/>
              </w:rPr>
            </w:pPr>
            <w:r>
              <w:rPr>
                <w:rFonts w:ascii="宋体" w:hAnsi="宋体" w:cs="宋体" w:eastAsia="宋体" w:hint="default"/>
                <w:sz w:val="21"/>
                <w:szCs w:val="21"/>
              </w:rPr>
              <w:t>况 说 明</w:t>
            </w:r>
          </w:p>
        </w:tc>
      </w:tr>
      <w:tr>
        <w:trPr>
          <w:trHeight w:val="55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软件开发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8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18,158,551.45</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10.83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23,914,615.17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15.51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-24.07</w:t>
            </w:r>
          </w:p>
        </w:tc>
        <w:tc>
          <w:tcPr>
            <w:tcW w:w="5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系统集成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8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149,446,541.48</w:t>
            </w:r>
            <w:r>
              <w:rPr>
                <w:rFonts w:ascii="宋体"/>
                <w:sz w:val="21"/>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89.17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130,237,932.85</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84.49</w:t>
            </w:r>
            <w:r>
              <w:rPr>
                <w:rFonts w:ascii="宋体"/>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14.75</w:t>
            </w:r>
          </w:p>
        </w:tc>
        <w:tc>
          <w:tcPr>
            <w:tcW w:w="5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技术服务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8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w:t>
            </w:r>
          </w:p>
        </w:tc>
        <w:tc>
          <w:tcPr>
            <w:tcW w:w="5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left="237" w:right="227"/>
        <w:jc w:val="left"/>
        <w:rPr>
          <w:b w:val="0"/>
          <w:bCs w:val="0"/>
        </w:rPr>
      </w:pPr>
      <w:r>
        <w:rPr/>
        <w:t>(2)</w:t>
      </w:r>
      <w:r>
        <w:rPr>
          <w:spacing w:val="-8"/>
        </w:rPr>
        <w:t> </w:t>
      </w:r>
      <w:r>
        <w:rPr/>
        <w:t>主要供应商情况</w:t>
      </w:r>
      <w:r>
        <w:rPr>
          <w:b w:val="0"/>
          <w:bCs w:val="0"/>
        </w:rPr>
      </w:r>
    </w:p>
    <w:p>
      <w:pPr>
        <w:pStyle w:val="BodyText"/>
        <w:spacing w:line="240" w:lineRule="auto" w:before="135"/>
        <w:ind w:left="657" w:right="0"/>
        <w:jc w:val="left"/>
      </w:pPr>
      <w:r>
        <w:rPr/>
        <w:t>公司向前</w:t>
      </w:r>
      <w:r>
        <w:rPr>
          <w:spacing w:val="-42"/>
        </w:rPr>
        <w:t> </w:t>
      </w:r>
      <w:r>
        <w:rPr/>
        <w:t>5</w:t>
      </w:r>
      <w:r>
        <w:rPr>
          <w:spacing w:val="-43"/>
        </w:rPr>
        <w:t> </w:t>
      </w:r>
      <w:r>
        <w:rPr/>
        <w:t>名供应商的采购额为</w:t>
      </w:r>
      <w:r>
        <w:rPr>
          <w:spacing w:val="-42"/>
        </w:rPr>
        <w:t> </w:t>
      </w:r>
      <w:r>
        <w:rPr/>
        <w:t>61,947,223.55</w:t>
      </w:r>
      <w:r>
        <w:rPr>
          <w:spacing w:val="-43"/>
        </w:rPr>
        <w:t> </w:t>
      </w:r>
      <w:r>
        <w:rPr/>
        <w:t>元，占公司主营业务成本的比例为</w:t>
      </w:r>
      <w:r>
        <w:rPr>
          <w:spacing w:val="-42"/>
        </w:rPr>
        <w:t> </w:t>
      </w:r>
      <w:r>
        <w:rPr/>
        <w:t>36.96%。</w:t>
      </w:r>
    </w:p>
    <w:p>
      <w:pPr>
        <w:spacing w:line="240" w:lineRule="auto" w:before="12"/>
        <w:rPr>
          <w:rFonts w:ascii="宋体" w:hAnsi="宋体" w:cs="宋体" w:eastAsia="宋体" w:hint="default"/>
          <w:sz w:val="25"/>
          <w:szCs w:val="25"/>
        </w:rPr>
      </w:pPr>
    </w:p>
    <w:p>
      <w:pPr>
        <w:pStyle w:val="Heading2"/>
        <w:tabs>
          <w:tab w:pos="657" w:val="left" w:leader="none"/>
        </w:tabs>
        <w:spacing w:line="240" w:lineRule="auto" w:before="0"/>
        <w:ind w:left="237" w:right="227"/>
        <w:jc w:val="left"/>
        <w:rPr>
          <w:b w:val="0"/>
          <w:bCs w:val="0"/>
        </w:rPr>
      </w:pPr>
      <w:r>
        <w:rPr>
          <w:w w:val="95"/>
        </w:rPr>
        <w:t>4</w:t>
        <w:tab/>
      </w:r>
      <w:r>
        <w:rPr/>
        <w:t>费用</w:t>
      </w:r>
      <w:r>
        <w:rPr>
          <w:b w:val="0"/>
          <w:bCs w:val="0"/>
        </w:rPr>
      </w:r>
    </w:p>
    <w:p>
      <w:pPr>
        <w:spacing w:line="240" w:lineRule="auto" w:before="12"/>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1819"/>
        <w:gridCol w:w="1580"/>
        <w:gridCol w:w="1582"/>
        <w:gridCol w:w="1656"/>
        <w:gridCol w:w="2268"/>
      </w:tblGrid>
      <w:tr>
        <w:trPr>
          <w:trHeight w:val="418" w:hRule="exact"/>
        </w:trPr>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437"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31"/>
              <w:jc w:val="right"/>
              <w:rPr>
                <w:rFonts w:ascii="宋体" w:hAnsi="宋体" w:cs="宋体" w:eastAsia="宋体" w:hint="default"/>
                <w:sz w:val="21"/>
                <w:szCs w:val="21"/>
              </w:rPr>
            </w:pPr>
            <w:r>
              <w:rPr>
                <w:rFonts w:ascii="宋体" w:hAnsi="宋体" w:cs="宋体" w:eastAsia="宋体" w:hint="default"/>
                <w:b/>
                <w:bCs/>
                <w:sz w:val="21"/>
                <w:szCs w:val="21"/>
              </w:rPr>
              <w:t>增减比率（%）</w:t>
            </w:r>
            <w:r>
              <w:rPr>
                <w:rFonts w:ascii="宋体" w:hAnsi="宋体" w:cs="宋体" w:eastAsia="宋体" w:hint="default"/>
                <w:sz w:val="21"/>
                <w:szCs w:val="21"/>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702"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564" w:hRule="exact"/>
        </w:trPr>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z w:val="21"/>
              </w:rPr>
              <w:t>4,473,916.58</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2,349,177.82</w:t>
            </w:r>
            <w:r>
              <w:rPr>
                <w:rFonts w:ascii="宋体"/>
                <w:sz w:val="21"/>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w w:val="95"/>
                <w:sz w:val="21"/>
              </w:rPr>
              <w:t>90.45</w:t>
            </w:r>
            <w:r>
              <w:rPr>
                <w:rFonts w:ascii="宋体"/>
                <w:w w:val="95"/>
                <w:sz w:val="21"/>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主要系营业税应收收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入增加所致</w:t>
            </w:r>
          </w:p>
        </w:tc>
      </w:tr>
      <w:tr>
        <w:trPr>
          <w:trHeight w:val="565" w:hRule="exact"/>
        </w:trPr>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20,250,402.25</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15,483,716.72</w:t>
            </w:r>
            <w:r>
              <w:rPr>
                <w:rFonts w:ascii="宋体"/>
                <w:sz w:val="21"/>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30.79</w:t>
            </w:r>
            <w:r>
              <w:rPr>
                <w:rFonts w:ascii="宋体"/>
                <w:sz w:val="21"/>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主要系销售人员及薪</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酬增加所致</w:t>
            </w:r>
          </w:p>
        </w:tc>
      </w:tr>
      <w:tr>
        <w:trPr>
          <w:trHeight w:val="836" w:hRule="exact"/>
        </w:trPr>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54,363,666.97</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40,216,743.14</w:t>
            </w:r>
            <w:r>
              <w:rPr>
                <w:rFonts w:ascii="宋体"/>
                <w:sz w:val="21"/>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35.18</w:t>
            </w:r>
            <w:r>
              <w:rPr>
                <w:rFonts w:ascii="宋体"/>
                <w:sz w:val="21"/>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5"/>
                <w:sz w:val="21"/>
                <w:szCs w:val="21"/>
              </w:rPr>
              <w:t>主要系研发费用、固定</w:t>
            </w:r>
          </w:p>
          <w:p>
            <w:pPr>
              <w:pStyle w:val="TableParagraph"/>
              <w:spacing w:line="272" w:lineRule="exact" w:before="26"/>
              <w:ind w:left="98" w:right="258"/>
              <w:jc w:val="left"/>
              <w:rPr>
                <w:rFonts w:ascii="宋体" w:hAnsi="宋体" w:cs="宋体" w:eastAsia="宋体" w:hint="default"/>
                <w:sz w:val="21"/>
                <w:szCs w:val="21"/>
              </w:rPr>
            </w:pPr>
            <w:r>
              <w:rPr>
                <w:rFonts w:ascii="宋体" w:hAnsi="宋体" w:cs="宋体" w:eastAsia="宋体" w:hint="default"/>
                <w:sz w:val="21"/>
                <w:szCs w:val="21"/>
              </w:rPr>
              <w:t>资产折旧及中介费用 增加所致</w:t>
            </w:r>
          </w:p>
        </w:tc>
      </w:tr>
      <w:tr>
        <w:trPr>
          <w:trHeight w:val="565" w:hRule="exact"/>
        </w:trPr>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-4,579,023.24</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pacing w:val="-1"/>
                <w:sz w:val="21"/>
              </w:rPr>
              <w:t>-3,345,020.50</w:t>
            </w:r>
            <w:r>
              <w:rPr>
                <w:rFonts w:ascii="宋体"/>
                <w:sz w:val="21"/>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pacing w:val="-1"/>
                <w:sz w:val="21"/>
              </w:rPr>
              <w:t>-36.89</w:t>
            </w:r>
            <w:r>
              <w:rPr>
                <w:rFonts w:ascii="宋体"/>
                <w:sz w:val="21"/>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主要系利息收入增加</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65" w:hRule="exact"/>
        </w:trPr>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z w:val="21"/>
              </w:rPr>
              <w:t>2,768,042.37</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3,197,594.56</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-13.43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主要系期末应收款项</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账面余额减少所致</w:t>
            </w:r>
          </w:p>
        </w:tc>
      </w:tr>
      <w:tr>
        <w:trPr>
          <w:trHeight w:val="564" w:hRule="exact"/>
        </w:trPr>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7"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13,953,370.08</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12,360,129.17</w:t>
            </w:r>
            <w:r>
              <w:rPr>
                <w:rFonts w:ascii="宋体"/>
                <w:sz w:val="21"/>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w w:val="95"/>
                <w:sz w:val="21"/>
              </w:rPr>
              <w:t>12.89</w:t>
            </w:r>
            <w:r>
              <w:rPr>
                <w:rFonts w:ascii="宋体"/>
                <w:w w:val="95"/>
                <w:sz w:val="21"/>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主要系本期利润增加</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所致</w:t>
            </w:r>
          </w:p>
        </w:tc>
      </w:tr>
    </w:tbl>
    <w:p>
      <w:pPr>
        <w:spacing w:after="0" w:line="274" w:lineRule="exact"/>
        <w:jc w:val="left"/>
        <w:rPr>
          <w:rFonts w:ascii="宋体" w:hAnsi="宋体" w:cs="宋体" w:eastAsia="宋体" w:hint="default"/>
          <w:sz w:val="21"/>
          <w:szCs w:val="21"/>
        </w:rPr>
        <w:sectPr>
          <w:type w:val="continuous"/>
          <w:pgSz w:w="11910" w:h="16840"/>
          <w:pgMar w:top="1120" w:bottom="1160" w:left="1560" w:right="106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977" w:top="1120" w:bottom="1160" w:left="1560" w:right="1040"/>
        </w:sectPr>
      </w:pPr>
    </w:p>
    <w:p>
      <w:pPr>
        <w:pStyle w:val="Heading2"/>
        <w:tabs>
          <w:tab w:pos="605" w:val="left" w:leader="none"/>
        </w:tabs>
        <w:spacing w:line="240" w:lineRule="auto"/>
        <w:ind w:left="237" w:right="-16"/>
        <w:jc w:val="left"/>
        <w:rPr>
          <w:b w:val="0"/>
          <w:bCs w:val="0"/>
        </w:rPr>
      </w:pPr>
      <w:r>
        <w:rPr>
          <w:w w:val="95"/>
        </w:rPr>
        <w:t>5</w:t>
        <w:tab/>
      </w:r>
      <w:r>
        <w:rPr/>
        <w:t>研发支出</w:t>
      </w:r>
      <w:r>
        <w:rPr>
          <w:b w:val="0"/>
          <w:bCs w:val="0"/>
        </w:rPr>
      </w:r>
    </w:p>
    <w:p>
      <w:pPr>
        <w:pStyle w:val="Heading2"/>
        <w:spacing w:line="240" w:lineRule="auto" w:before="57"/>
        <w:ind w:left="237" w:right="-16"/>
        <w:jc w:val="left"/>
        <w:rPr>
          <w:b w:val="0"/>
          <w:bCs w:val="0"/>
        </w:rPr>
      </w:pPr>
      <w:r>
        <w:rPr/>
        <w:t>(1)</w:t>
      </w:r>
      <w:r>
        <w:rPr>
          <w:spacing w:val="52"/>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37" w:right="0"/>
        <w:jc w:val="left"/>
      </w:pPr>
      <w:r>
        <w:rPr/>
        <w:t>单位：元</w:t>
      </w:r>
    </w:p>
    <w:p>
      <w:pPr>
        <w:spacing w:after="0" w:line="240" w:lineRule="auto"/>
        <w:jc w:val="left"/>
        <w:sectPr>
          <w:type w:val="continuous"/>
          <w:pgSz w:w="11910" w:h="16840"/>
          <w:pgMar w:top="1120" w:bottom="1160" w:left="1560" w:right="1040"/>
          <w:cols w:num="2" w:equalWidth="0">
            <w:col w:w="2193" w:space="5800"/>
            <w:col w:w="1317"/>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796"/>
        <w:gridCol w:w="5254"/>
      </w:tblGrid>
      <w:tr>
        <w:trPr>
          <w:trHeight w:val="407"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12,027,421.52</w:t>
            </w:r>
          </w:p>
        </w:tc>
      </w:tr>
      <w:tr>
        <w:trPr>
          <w:trHeight w:val="407"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13,625,892.63</w:t>
            </w:r>
          </w:p>
        </w:tc>
      </w:tr>
      <w:tr>
        <w:trPr>
          <w:trHeight w:val="407"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25,653,314.15</w:t>
            </w:r>
          </w:p>
        </w:tc>
      </w:tr>
      <w:tr>
        <w:trPr>
          <w:trHeight w:val="407"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3.15</w:t>
            </w:r>
          </w:p>
        </w:tc>
      </w:tr>
      <w:tr>
        <w:trPr>
          <w:trHeight w:val="408"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7.93</w:t>
            </w:r>
          </w:p>
        </w:tc>
      </w:tr>
    </w:tbl>
    <w:p>
      <w:pPr>
        <w:spacing w:line="240" w:lineRule="auto" w:before="0"/>
        <w:rPr>
          <w:rFonts w:ascii="宋体" w:hAnsi="宋体" w:cs="宋体" w:eastAsia="宋体" w:hint="default"/>
          <w:sz w:val="20"/>
          <w:szCs w:val="20"/>
        </w:rPr>
      </w:pPr>
    </w:p>
    <w:p>
      <w:pPr>
        <w:pStyle w:val="Heading2"/>
        <w:spacing w:line="240" w:lineRule="auto"/>
        <w:ind w:left="237" w:right="219"/>
        <w:jc w:val="left"/>
        <w:rPr>
          <w:b w:val="0"/>
          <w:bCs w:val="0"/>
        </w:rPr>
      </w:pPr>
      <w:r>
        <w:rPr/>
        <w:t>(2)</w:t>
      </w:r>
      <w:r>
        <w:rPr>
          <w:spacing w:val="58"/>
        </w:rPr>
        <w:t> </w:t>
      </w:r>
      <w:r>
        <w:rPr/>
        <w:t>情况说明</w:t>
      </w:r>
      <w:r>
        <w:rPr>
          <w:b w:val="0"/>
          <w:bCs w:val="0"/>
        </w:rPr>
      </w:r>
    </w:p>
    <w:p>
      <w:pPr>
        <w:pStyle w:val="BodyText"/>
        <w:spacing w:line="314" w:lineRule="auto" w:before="135"/>
        <w:ind w:left="237" w:right="219" w:firstLine="420"/>
        <w:jc w:val="left"/>
      </w:pPr>
      <w:r>
        <w:rPr/>
        <w:t>报告期内，公司继续加大研发投入，整体研发支出较</w:t>
      </w:r>
      <w:r>
        <w:rPr>
          <w:spacing w:val="-32"/>
        </w:rPr>
        <w:t> </w:t>
      </w:r>
      <w:r>
        <w:rPr/>
        <w:t>2013</w:t>
      </w:r>
      <w:r>
        <w:rPr>
          <w:spacing w:val="-33"/>
        </w:rPr>
        <w:t> </w:t>
      </w:r>
      <w:r>
        <w:rPr/>
        <w:t>年增加了</w:t>
      </w:r>
      <w:r>
        <w:rPr>
          <w:spacing w:val="-32"/>
        </w:rPr>
        <w:t> </w:t>
      </w:r>
      <w:r>
        <w:rPr/>
        <w:t>19.56%。研发支出主要</w:t>
      </w:r>
      <w:r>
        <w:rPr/>
        <w:t> 应用于政务云应用平台、应急指挥系统平台与智能车辆分析系统等项目。</w:t>
      </w:r>
    </w:p>
    <w:p>
      <w:pPr>
        <w:spacing w:line="240" w:lineRule="auto" w:before="13"/>
        <w:rPr>
          <w:rFonts w:ascii="宋体" w:hAnsi="宋体" w:cs="宋体" w:eastAsia="宋体" w:hint="default"/>
          <w:sz w:val="20"/>
          <w:szCs w:val="20"/>
        </w:rPr>
      </w:pPr>
    </w:p>
    <w:p>
      <w:pPr>
        <w:pStyle w:val="Heading2"/>
        <w:tabs>
          <w:tab w:pos="657" w:val="left" w:leader="none"/>
        </w:tabs>
        <w:spacing w:line="240" w:lineRule="auto" w:before="0"/>
        <w:ind w:left="237" w:right="219"/>
        <w:jc w:val="left"/>
        <w:rPr>
          <w:b w:val="0"/>
          <w:bCs w:val="0"/>
        </w:rPr>
      </w:pPr>
      <w:r>
        <w:rPr>
          <w:w w:val="95"/>
        </w:rPr>
        <w:t>6</w:t>
        <w:tab/>
      </w:r>
      <w:r>
        <w:rPr/>
        <w:t>现金流</w:t>
      </w:r>
      <w:r>
        <w:rPr>
          <w:b w:val="0"/>
          <w:bCs w:val="0"/>
        </w:rPr>
      </w:r>
    </w:p>
    <w:p>
      <w:pPr>
        <w:spacing w:line="240" w:lineRule="auto" w:before="12"/>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1819"/>
        <w:gridCol w:w="1700"/>
        <w:gridCol w:w="1780"/>
        <w:gridCol w:w="1622"/>
        <w:gridCol w:w="1968"/>
      </w:tblGrid>
      <w:tr>
        <w:trPr>
          <w:trHeight w:val="407"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3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2"/>
              <w:jc w:val="right"/>
              <w:rPr>
                <w:rFonts w:ascii="宋体" w:hAnsi="宋体" w:cs="宋体" w:eastAsia="宋体" w:hint="default"/>
                <w:sz w:val="21"/>
                <w:szCs w:val="21"/>
              </w:rPr>
            </w:pPr>
            <w:r>
              <w:rPr>
                <w:rFonts w:ascii="宋体" w:hAnsi="宋体" w:cs="宋体" w:eastAsia="宋体" w:hint="default"/>
                <w:sz w:val="21"/>
                <w:szCs w:val="21"/>
              </w:rPr>
              <w:t>增长比率（%）</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8"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经营活动产生的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 w:right="0"/>
              <w:jc w:val="center"/>
              <w:rPr>
                <w:rFonts w:ascii="宋体" w:hAnsi="宋体" w:cs="宋体" w:eastAsia="宋体" w:hint="default"/>
                <w:sz w:val="21"/>
                <w:szCs w:val="21"/>
              </w:rPr>
            </w:pPr>
            <w:r>
              <w:rPr>
                <w:rFonts w:ascii="宋体"/>
                <w:sz w:val="21"/>
              </w:rPr>
              <w:t>104,650,567.90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100,561,099.68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5"/>
              <w:jc w:val="right"/>
              <w:rPr>
                <w:rFonts w:ascii="宋体" w:hAnsi="宋体" w:cs="宋体" w:eastAsia="宋体" w:hint="default"/>
                <w:sz w:val="21"/>
                <w:szCs w:val="21"/>
              </w:rPr>
            </w:pPr>
            <w:r>
              <w:rPr>
                <w:rFonts w:ascii="宋体"/>
                <w:spacing w:val="-1"/>
                <w:sz w:val="21"/>
              </w:rPr>
              <w:t>4.07</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投资活动产生的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 w:right="0"/>
              <w:jc w:val="center"/>
              <w:rPr>
                <w:rFonts w:ascii="宋体" w:hAnsi="宋体" w:cs="宋体" w:eastAsia="宋体" w:hint="default"/>
                <w:sz w:val="21"/>
                <w:szCs w:val="21"/>
              </w:rPr>
            </w:pPr>
            <w:r>
              <w:rPr>
                <w:rFonts w:ascii="宋体"/>
                <w:sz w:val="21"/>
              </w:rPr>
              <w:t>-27,081,206.57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-70,017,275.04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-61.32</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主要系收回理财投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资所致</w:t>
            </w:r>
          </w:p>
        </w:tc>
      </w:tr>
      <w:tr>
        <w:trPr>
          <w:trHeight w:val="556"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筹资活动产生的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 w:right="0"/>
              <w:jc w:val="center"/>
              <w:rPr>
                <w:rFonts w:ascii="宋体" w:hAnsi="宋体" w:cs="宋体" w:eastAsia="宋体" w:hint="default"/>
                <w:sz w:val="21"/>
                <w:szCs w:val="21"/>
              </w:rPr>
            </w:pPr>
            <w:r>
              <w:rPr>
                <w:rFonts w:ascii="宋体"/>
                <w:sz w:val="21"/>
              </w:rPr>
              <w:t>339,829,009.14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7,654,028.44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1"/>
              <w:jc w:val="right"/>
              <w:rPr>
                <w:rFonts w:ascii="宋体" w:hAnsi="宋体" w:cs="宋体" w:eastAsia="宋体" w:hint="default"/>
                <w:sz w:val="21"/>
                <w:szCs w:val="21"/>
              </w:rPr>
            </w:pPr>
            <w:r>
              <w:rPr>
                <w:rFonts w:ascii="宋体"/>
                <w:spacing w:val="-1"/>
                <w:sz w:val="21"/>
              </w:rPr>
              <w:t>4339.87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首次公开发行股票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收到募集资金</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tabs>
          <w:tab w:pos="657" w:val="left" w:leader="none"/>
        </w:tabs>
        <w:spacing w:line="240" w:lineRule="auto"/>
        <w:ind w:left="237" w:right="219"/>
        <w:jc w:val="left"/>
        <w:rPr>
          <w:b w:val="0"/>
          <w:bCs w:val="0"/>
        </w:rPr>
      </w:pPr>
      <w:r>
        <w:rPr>
          <w:w w:val="95"/>
        </w:rPr>
        <w:t>7</w:t>
        <w:tab/>
      </w:r>
      <w:r>
        <w:rPr/>
        <w:t>其他</w:t>
      </w:r>
      <w:r>
        <w:rPr>
          <w:b w:val="0"/>
          <w:bCs w:val="0"/>
        </w:rPr>
      </w:r>
    </w:p>
    <w:p>
      <w:pPr>
        <w:pStyle w:val="Heading2"/>
        <w:spacing w:line="240" w:lineRule="auto" w:before="57"/>
        <w:ind w:left="237" w:right="219"/>
        <w:jc w:val="left"/>
        <w:rPr>
          <w:b w:val="0"/>
          <w:bCs w:val="0"/>
        </w:rPr>
      </w:pPr>
      <w:r>
        <w:rPr/>
        <w:t>(1)</w:t>
      </w:r>
      <w:r>
        <w:rPr>
          <w:spacing w:val="-11"/>
        </w:rPr>
        <w:t> </w:t>
      </w:r>
      <w:r>
        <w:rPr/>
        <w:t>公司利润构成或利润来源发生重大变动的详细说明</w:t>
      </w:r>
      <w:r>
        <w:rPr>
          <w:b w:val="0"/>
          <w:bCs w:val="0"/>
        </w:rPr>
      </w:r>
    </w:p>
    <w:p>
      <w:pPr>
        <w:spacing w:line="240" w:lineRule="auto" w:before="12"/>
        <w:rPr>
          <w:rFonts w:ascii="宋体" w:hAnsi="宋体" w:cs="宋体" w:eastAsia="宋体" w:hint="default"/>
          <w:b/>
          <w:bCs/>
          <w:sz w:val="27"/>
          <w:szCs w:val="27"/>
        </w:rPr>
      </w:pPr>
    </w:p>
    <w:tbl>
      <w:tblPr>
        <w:tblW w:w="0" w:type="auto"/>
        <w:jc w:val="left"/>
        <w:tblInd w:w="232" w:type="dxa"/>
        <w:tblLayout w:type="fixed"/>
        <w:tblCellMar>
          <w:top w:w="0" w:type="dxa"/>
          <w:left w:w="0" w:type="dxa"/>
          <w:bottom w:w="0" w:type="dxa"/>
          <w:right w:w="0" w:type="dxa"/>
        </w:tblCellMar>
        <w:tblLook w:val="01E0"/>
      </w:tblPr>
      <w:tblGrid>
        <w:gridCol w:w="1702"/>
        <w:gridCol w:w="1686"/>
        <w:gridCol w:w="1686"/>
        <w:gridCol w:w="1447"/>
        <w:gridCol w:w="2268"/>
      </w:tblGrid>
      <w:tr>
        <w:trPr>
          <w:trHeight w:val="40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21"/>
                <w:szCs w:val="21"/>
              </w:rPr>
            </w:pPr>
            <w:r>
              <w:rPr>
                <w:rFonts w:ascii="宋体" w:hAnsi="宋体" w:cs="宋体" w:eastAsia="宋体" w:hint="default"/>
                <w:b/>
                <w:bCs/>
                <w:spacing w:val="-5"/>
                <w:w w:val="95"/>
                <w:sz w:val="21"/>
                <w:szCs w:val="21"/>
              </w:rPr>
              <w:t>增减比率（%）</w:t>
            </w:r>
            <w:r>
              <w:rPr>
                <w:rFonts w:ascii="宋体" w:hAnsi="宋体" w:cs="宋体" w:eastAsia="宋体" w:hint="default"/>
                <w:spacing w:val="-5"/>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06"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40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323,315,557.02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280,587,600.83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15.23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销售规模增长所致</w:t>
            </w:r>
          </w:p>
        </w:tc>
      </w:tr>
      <w:tr>
        <w:trPr>
          <w:trHeight w:val="40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168,141,346.01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154,152,548.02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9.07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销售规模增长所致</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4,473,916.58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2,349,177.82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90.45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主要系营业税应收收</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入增加所致</w:t>
            </w:r>
          </w:p>
        </w:tc>
      </w:tr>
      <w:tr>
        <w:trPr>
          <w:trHeight w:val="55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20,250,402.25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15,483,716.72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30.79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主要系销售人员及薪</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酬增加所致</w:t>
            </w:r>
          </w:p>
        </w:tc>
      </w:tr>
      <w:tr>
        <w:trPr>
          <w:trHeight w:val="8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54,363,666.97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40,216,743.14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35.18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主要系研发费用、固定</w:t>
            </w:r>
          </w:p>
          <w:p>
            <w:pPr>
              <w:pStyle w:val="TableParagraph"/>
              <w:spacing w:line="272" w:lineRule="exact" w:before="26"/>
              <w:ind w:left="103" w:right="80"/>
              <w:jc w:val="left"/>
              <w:rPr>
                <w:rFonts w:ascii="宋体" w:hAnsi="宋体" w:cs="宋体" w:eastAsia="宋体" w:hint="default"/>
                <w:sz w:val="21"/>
                <w:szCs w:val="21"/>
              </w:rPr>
            </w:pPr>
            <w:r>
              <w:rPr>
                <w:rFonts w:ascii="宋体" w:hAnsi="宋体" w:cs="宋体" w:eastAsia="宋体" w:hint="default"/>
                <w:spacing w:val="17"/>
                <w:sz w:val="21"/>
                <w:szCs w:val="21"/>
              </w:rPr>
              <w:t>资产折旧及中介费用</w:t>
            </w:r>
            <w:r>
              <w:rPr>
                <w:rFonts w:ascii="宋体" w:hAnsi="宋体" w:cs="宋体" w:eastAsia="宋体" w:hint="default"/>
                <w:spacing w:val="-99"/>
                <w:sz w:val="21"/>
                <w:szCs w:val="21"/>
              </w:rPr>
              <w:t> </w:t>
            </w:r>
            <w:r>
              <w:rPr>
                <w:rFonts w:ascii="宋体" w:hAnsi="宋体" w:cs="宋体" w:eastAsia="宋体" w:hint="default"/>
                <w:sz w:val="21"/>
                <w:szCs w:val="21"/>
              </w:rPr>
              <w:t>增加所致</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-4,579,023.24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-3,345,020.50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36.89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主要系利息收入增加</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987,116.74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-944.40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全增长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主要系购买理财收到</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的收益增加所致</w:t>
            </w:r>
          </w:p>
        </w:tc>
      </w:tr>
    </w:tbl>
    <w:p>
      <w:pPr>
        <w:spacing w:after="0" w:line="274" w:lineRule="exact"/>
        <w:jc w:val="left"/>
        <w:rPr>
          <w:rFonts w:ascii="宋体" w:hAnsi="宋体" w:cs="宋体" w:eastAsia="宋体" w:hint="default"/>
          <w:sz w:val="21"/>
          <w:szCs w:val="21"/>
        </w:rPr>
        <w:sectPr>
          <w:type w:val="continuous"/>
          <w:pgSz w:w="11910" w:h="16840"/>
          <w:pgMar w:top="1120" w:bottom="1160" w:left="1560" w:right="1040"/>
        </w:sectPr>
      </w:pPr>
    </w:p>
    <w:p>
      <w:pPr>
        <w:spacing w:line="240" w:lineRule="auto" w:before="4"/>
        <w:rPr>
          <w:rFonts w:ascii="宋体" w:hAnsi="宋体" w:cs="宋体" w:eastAsia="宋体" w:hint="default"/>
          <w:b/>
          <w:bCs/>
          <w:sz w:val="25"/>
          <w:szCs w:val="25"/>
        </w:rPr>
      </w:pPr>
    </w:p>
    <w:p>
      <w:pPr>
        <w:pStyle w:val="Heading2"/>
        <w:spacing w:line="240" w:lineRule="auto"/>
        <w:ind w:left="217" w:right="0"/>
        <w:jc w:val="both"/>
        <w:rPr>
          <w:b w:val="0"/>
          <w:bCs w:val="0"/>
        </w:rPr>
      </w:pPr>
      <w:r>
        <w:rPr/>
        <w:t>(2)</w:t>
      </w:r>
      <w:r>
        <w:rPr>
          <w:spacing w:val="-12"/>
        </w:rPr>
        <w:t> </w:t>
      </w:r>
      <w:r>
        <w:rPr/>
        <w:t>公司前期各类融资、重大资产重组事项实施进度分析说明</w:t>
      </w:r>
      <w:r>
        <w:rPr>
          <w:b w:val="0"/>
          <w:bCs w:val="0"/>
        </w:rPr>
      </w:r>
    </w:p>
    <w:p>
      <w:pPr>
        <w:pStyle w:val="BodyText"/>
        <w:spacing w:line="314" w:lineRule="auto" w:before="135"/>
        <w:ind w:left="217" w:right="130" w:firstLine="420"/>
        <w:jc w:val="both"/>
      </w:pPr>
      <w:r>
        <w:rPr/>
        <w:t>经中国证券监督管理委员会“证监许可〔2014〕1332</w:t>
      </w:r>
      <w:r>
        <w:rPr>
          <w:spacing w:val="-34"/>
        </w:rPr>
        <w:t> </w:t>
      </w:r>
      <w:r>
        <w:rPr/>
        <w:t>号文”核准，公司于</w:t>
      </w:r>
      <w:r>
        <w:rPr>
          <w:spacing w:val="-34"/>
        </w:rPr>
        <w:t> </w:t>
      </w:r>
      <w:r>
        <w:rPr/>
        <w:t>2014</w:t>
      </w:r>
      <w:r>
        <w:rPr>
          <w:spacing w:val="-35"/>
        </w:rPr>
        <w:t> </w:t>
      </w:r>
      <w:r>
        <w:rPr/>
        <w:t>年</w:t>
      </w:r>
      <w:r>
        <w:rPr>
          <w:spacing w:val="-34"/>
        </w:rPr>
        <w:t> </w:t>
      </w:r>
      <w:r>
        <w:rPr/>
        <w:t>12</w:t>
      </w:r>
      <w:r>
        <w:rPr>
          <w:spacing w:val="-34"/>
        </w:rPr>
        <w:t> </w:t>
      </w:r>
      <w:r>
        <w:rPr/>
        <w:t>月</w:t>
      </w:r>
      <w:r>
        <w:rPr>
          <w:spacing w:val="-34"/>
        </w:rPr>
        <w:t> </w:t>
      </w:r>
      <w:r>
        <w:rPr/>
        <w:t>22</w:t>
      </w:r>
      <w:r>
        <w:rPr/>
        <w:t> 日向社会公开发行人民币普通股（A</w:t>
      </w:r>
      <w:r>
        <w:rPr>
          <w:spacing w:val="-32"/>
        </w:rPr>
        <w:t> </w:t>
      </w:r>
      <w:r>
        <w:rPr/>
        <w:t>股）25,000,000</w:t>
      </w:r>
      <w:r>
        <w:rPr>
          <w:spacing w:val="-32"/>
        </w:rPr>
        <w:t> </w:t>
      </w:r>
      <w:r>
        <w:rPr/>
        <w:t>股，占发行后公司总股本的</w:t>
      </w:r>
      <w:r>
        <w:rPr>
          <w:spacing w:val="-33"/>
        </w:rPr>
        <w:t> </w:t>
      </w:r>
      <w:r>
        <w:rPr/>
        <w:t>25%，每股面值</w:t>
      </w:r>
      <w:r>
        <w:rPr/>
        <w:t> 人民币</w:t>
      </w:r>
      <w:r>
        <w:rPr>
          <w:spacing w:val="-58"/>
        </w:rPr>
        <w:t> </w:t>
      </w:r>
      <w:r>
        <w:rPr/>
        <w:t>1.00</w:t>
      </w:r>
      <w:r>
        <w:rPr>
          <w:spacing w:val="-59"/>
        </w:rPr>
        <w:t> </w:t>
      </w:r>
      <w:r>
        <w:rPr/>
        <w:t>元，发行价格为每股人民币</w:t>
      </w:r>
      <w:r>
        <w:rPr>
          <w:spacing w:val="-58"/>
        </w:rPr>
        <w:t> </w:t>
      </w:r>
      <w:r>
        <w:rPr/>
        <w:t>14.95</w:t>
      </w:r>
      <w:r>
        <w:rPr>
          <w:spacing w:val="-59"/>
        </w:rPr>
        <w:t> </w:t>
      </w:r>
      <w:r>
        <w:rPr/>
        <w:t>元，募集资金总额为人民币</w:t>
      </w:r>
      <w:r>
        <w:rPr>
          <w:spacing w:val="-58"/>
        </w:rPr>
        <w:t> </w:t>
      </w:r>
      <w:r>
        <w:rPr/>
        <w:t>373,750,000.00</w:t>
      </w:r>
      <w:r>
        <w:rPr>
          <w:spacing w:val="-58"/>
        </w:rPr>
        <w:t> </w:t>
      </w:r>
      <w:r>
        <w:rPr/>
        <w:t>元，</w:t>
      </w:r>
    </w:p>
    <w:p>
      <w:pPr>
        <w:pStyle w:val="BodyText"/>
        <w:spacing w:line="240" w:lineRule="auto"/>
        <w:ind w:left="217" w:right="0"/>
        <w:jc w:val="both"/>
      </w:pPr>
      <w:r>
        <w:rPr/>
        <w:t>扣除发行费用人民币</w:t>
      </w:r>
      <w:r>
        <w:rPr>
          <w:spacing w:val="-57"/>
        </w:rPr>
        <w:t> </w:t>
      </w:r>
      <w:r>
        <w:rPr/>
        <w:t>24,670,000.00</w:t>
      </w:r>
      <w:r>
        <w:rPr>
          <w:spacing w:val="-57"/>
        </w:rPr>
        <w:t> </w:t>
      </w:r>
      <w:r>
        <w:rPr/>
        <w:t>后，实际募集资金净额为人民币</w:t>
      </w:r>
      <w:r>
        <w:rPr>
          <w:spacing w:val="-57"/>
        </w:rPr>
        <w:t> </w:t>
      </w:r>
      <w:r>
        <w:rPr/>
        <w:t>349,080,000.00</w:t>
      </w:r>
      <w:r>
        <w:rPr>
          <w:spacing w:val="-57"/>
        </w:rPr>
        <w:t> </w:t>
      </w:r>
      <w:r>
        <w:rPr/>
        <w:t>元。</w:t>
      </w:r>
    </w:p>
    <w:p>
      <w:pPr>
        <w:spacing w:line="240" w:lineRule="auto" w:before="0"/>
        <w:rPr>
          <w:rFonts w:ascii="宋体" w:hAnsi="宋体" w:cs="宋体" w:eastAsia="宋体" w:hint="default"/>
          <w:sz w:val="20"/>
          <w:szCs w:val="20"/>
        </w:rPr>
      </w:pPr>
    </w:p>
    <w:p>
      <w:pPr>
        <w:spacing w:line="357" w:lineRule="auto" w:before="165"/>
        <w:ind w:left="637" w:right="127"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公司发展战略为：把握全球新一代信息技术变革的时代机遇和国家支持发展软件产业的政策</w:t>
      </w:r>
    </w:p>
    <w:p>
      <w:pPr>
        <w:pStyle w:val="BodyText"/>
        <w:spacing w:line="257" w:lineRule="exact" w:before="0"/>
        <w:ind w:left="217" w:right="0"/>
        <w:jc w:val="both"/>
      </w:pPr>
      <w:r>
        <w:rPr/>
        <w:t>机遇，以电子政务整体解决方案提供商为发展定位，围绕“一核两翼四纵”，即：以提高自主研</w:t>
      </w:r>
    </w:p>
    <w:p>
      <w:pPr>
        <w:pStyle w:val="BodyText"/>
        <w:spacing w:line="314" w:lineRule="auto" w:before="85"/>
        <w:ind w:left="217" w:right="132"/>
        <w:jc w:val="both"/>
      </w:pPr>
      <w:r>
        <w:rPr/>
        <w:t>发竞争力为核心，以人才、资本为两翼驱动，深度耕作权力阳光、信息党务、智慧公安、智慧军</w:t>
      </w:r>
      <w:r>
        <w:rPr>
          <w:spacing w:val="-96"/>
        </w:rPr>
        <w:t> </w:t>
      </w:r>
      <w:r>
        <w:rPr>
          <w:spacing w:val="-96"/>
        </w:rPr>
      </w:r>
      <w:r>
        <w:rPr/>
        <w:t>营等四个细分行业线，构建创新型、可延拓、可持续的企业经营发展体系，努力打造国内软件和</w:t>
      </w:r>
      <w:r>
        <w:rPr>
          <w:spacing w:val="-96"/>
        </w:rPr>
        <w:t> </w:t>
      </w:r>
      <w:r>
        <w:rPr>
          <w:spacing w:val="-96"/>
        </w:rPr>
      </w:r>
      <w:r>
        <w:rPr/>
        <w:t>信息技术服务业的百年企业、技术标杆。</w:t>
      </w:r>
    </w:p>
    <w:p>
      <w:pPr>
        <w:pStyle w:val="BodyText"/>
        <w:spacing w:line="314" w:lineRule="auto"/>
        <w:ind w:left="217" w:right="132" w:firstLine="420"/>
        <w:jc w:val="both"/>
      </w:pPr>
      <w:r>
        <w:rPr/>
        <w:t>报告期内，公司深化落实公司发展战略，严格按照公司制定的经营计划开展经营管理活动。 2014</w:t>
      </w:r>
      <w:r>
        <w:rPr>
          <w:spacing w:val="-24"/>
        </w:rPr>
        <w:t> </w:t>
      </w:r>
      <w:r>
        <w:rPr>
          <w:spacing w:val="-2"/>
        </w:rPr>
        <w:t>年度，公司营业收入、利润保持稳定增长；技术创新能力不断增强，技术水平不断提高；组</w:t>
      </w:r>
      <w:r>
        <w:rPr>
          <w:spacing w:val="-99"/>
        </w:rPr>
        <w:t> </w:t>
      </w:r>
      <w:r>
        <w:rPr>
          <w:spacing w:val="-99"/>
        </w:rPr>
      </w:r>
      <w:r>
        <w:rPr/>
        <w:t>织架构不断完善，管理职能更加清晰；核心竞争力不断加强，企业管理更加规范，挂牌上市、启</w:t>
      </w:r>
      <w:r>
        <w:rPr>
          <w:spacing w:val="-96"/>
        </w:rPr>
        <w:t> </w:t>
      </w:r>
      <w:r>
        <w:rPr>
          <w:spacing w:val="-96"/>
        </w:rPr>
      </w:r>
      <w:r>
        <w:rPr/>
        <w:t>用总部大楼等重点工作全面实现，较好地完成期初制定的各项工作目标。</w:t>
      </w:r>
    </w:p>
    <w:p>
      <w:pPr>
        <w:pStyle w:val="BodyText"/>
        <w:spacing w:line="314" w:lineRule="auto"/>
        <w:ind w:left="217" w:right="131" w:firstLine="420"/>
        <w:jc w:val="both"/>
      </w:pPr>
      <w:r>
        <w:rPr/>
        <w:t>2015</w:t>
      </w:r>
      <w:r>
        <w:rPr>
          <w:spacing w:val="-88"/>
        </w:rPr>
        <w:t> </w:t>
      </w:r>
      <w:r>
        <w:rPr/>
        <w:t>年公司的基本发展思路是：以南威使命和愿景为指针，以南威精神为推力，以稳中求快</w:t>
      </w:r>
      <w:r>
        <w:rPr/>
        <w:t> </w:t>
      </w:r>
      <w:r>
        <w:rPr>
          <w:spacing w:val="-3"/>
        </w:rPr>
        <w:t>为发展总基调，以打造具有生态功能的发展平台为主题,以构建自主、可控、安全的软件和信息技</w:t>
      </w:r>
      <w:r>
        <w:rPr>
          <w:spacing w:val="-73"/>
        </w:rPr>
        <w:t> </w:t>
      </w:r>
      <w:r>
        <w:rPr>
          <w:spacing w:val="-73"/>
        </w:rPr>
      </w:r>
      <w:r>
        <w:rPr/>
        <w:t>术服务能力为导向，以建立健全上市企业经营管理体系为统筹，立足优势基础，加强综合创新，</w:t>
      </w:r>
      <w:r>
        <w:rPr>
          <w:spacing w:val="-96"/>
        </w:rPr>
        <w:t> </w:t>
      </w:r>
      <w:r>
        <w:rPr>
          <w:spacing w:val="-96"/>
        </w:rPr>
      </w:r>
      <w:r>
        <w:rPr>
          <w:spacing w:val="-5"/>
        </w:rPr>
        <w:t>继续深耕党务信息、权力阳光、智慧公安、智慧军营四大细分行业线，深度融合大数据、云计算、</w:t>
      </w:r>
      <w:r>
        <w:rPr>
          <w:spacing w:val="-90"/>
        </w:rPr>
        <w:t> </w:t>
      </w:r>
      <w:r>
        <w:rPr>
          <w:spacing w:val="-90"/>
        </w:rPr>
      </w:r>
      <w:r>
        <w:rPr/>
        <w:t>移动互联、网络安全技术，稳步推进政务云应用平台、智慧型平安城市、支持国产化的党委系统</w:t>
      </w:r>
      <w:r>
        <w:rPr>
          <w:spacing w:val="-96"/>
        </w:rPr>
        <w:t> </w:t>
      </w:r>
      <w:r>
        <w:rPr>
          <w:spacing w:val="-96"/>
        </w:rPr>
      </w:r>
      <w:r>
        <w:rPr/>
        <w:t>信息化解决方案、智慧军营综合信息系统、研发中心等募投项目的研发与建设，加大全国营销网</w:t>
      </w:r>
      <w:r>
        <w:rPr>
          <w:spacing w:val="-96"/>
        </w:rPr>
        <w:t> </w:t>
      </w:r>
      <w:r>
        <w:rPr>
          <w:spacing w:val="-96"/>
        </w:rPr>
      </w:r>
      <w:r>
        <w:rPr/>
        <w:t>络建设力度，持续加强队伍专业力和职业力建设，提升富有扩张力、创新力、先见力的核心竞争</w:t>
      </w:r>
      <w:r>
        <w:rPr>
          <w:spacing w:val="-96"/>
        </w:rPr>
        <w:t> </w:t>
      </w:r>
      <w:r>
        <w:rPr>
          <w:spacing w:val="-96"/>
        </w:rPr>
      </w:r>
      <w:r>
        <w:rPr/>
        <w:t>优势，完成公司</w:t>
      </w:r>
      <w:r>
        <w:rPr>
          <w:spacing w:val="-63"/>
        </w:rPr>
        <w:t> </w:t>
      </w:r>
      <w:r>
        <w:rPr/>
        <w:t>2015</w:t>
      </w:r>
      <w:r>
        <w:rPr>
          <w:spacing w:val="-62"/>
        </w:rPr>
        <w:t> </w:t>
      </w:r>
      <w:r>
        <w:rPr/>
        <w:t>年度经营业绩目标。</w:t>
      </w:r>
    </w:p>
    <w:p>
      <w:pPr>
        <w:spacing w:line="240" w:lineRule="auto" w:before="9"/>
        <w:rPr>
          <w:rFonts w:ascii="宋体" w:hAnsi="宋体" w:cs="宋体" w:eastAsia="宋体" w:hint="default"/>
          <w:sz w:val="27"/>
          <w:szCs w:val="27"/>
        </w:rPr>
      </w:pPr>
    </w:p>
    <w:p>
      <w:pPr>
        <w:pStyle w:val="Heading2"/>
        <w:spacing w:line="240" w:lineRule="auto" w:before="0"/>
        <w:ind w:left="217" w:right="0"/>
        <w:jc w:val="both"/>
        <w:rPr>
          <w:b w:val="0"/>
          <w:bCs w:val="0"/>
        </w:rPr>
      </w:pPr>
      <w:r>
        <w:rPr/>
        <w:t>(4)</w:t>
      </w:r>
      <w:r>
        <w:rPr>
          <w:spacing w:val="-6"/>
        </w:rPr>
        <w:t> </w:t>
      </w:r>
      <w:r>
        <w:rPr/>
        <w:t>其他</w:t>
      </w:r>
      <w:r>
        <w:rPr>
          <w:b w:val="0"/>
          <w:bCs w:val="0"/>
        </w:rPr>
      </w:r>
    </w:p>
    <w:p>
      <w:pPr>
        <w:pStyle w:val="BodyText"/>
        <w:spacing w:line="240" w:lineRule="auto" w:before="57"/>
        <w:ind w:left="637" w:right="2437"/>
        <w:jc w:val="left"/>
      </w:pPr>
      <w:r>
        <w:rPr/>
        <w:t>无。</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977" w:top="1120" w:bottom="1160" w:left="1580" w:right="1140"/>
        </w:sectPr>
      </w:pPr>
    </w:p>
    <w:p>
      <w:pPr>
        <w:pStyle w:val="Heading2"/>
        <w:spacing w:line="264" w:lineRule="auto"/>
        <w:ind w:left="217"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行业、产品或地区经营情况分析</w:t>
      </w:r>
      <w:r>
        <w:rPr>
          <w:spacing w:val="1"/>
          <w:w w:val="99"/>
        </w:rPr>
        <w:t> </w:t>
      </w:r>
      <w:r>
        <w:rPr/>
        <w:t>1、</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160" w:left="1580" w:right="1140"/>
          <w:cols w:num="2" w:equalWidth="0">
            <w:col w:w="3538" w:space="3196"/>
            <w:col w:w="2456"/>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16"/>
        <w:gridCol w:w="1843"/>
        <w:gridCol w:w="1843"/>
        <w:gridCol w:w="851"/>
        <w:gridCol w:w="1273"/>
        <w:gridCol w:w="1136"/>
        <w:gridCol w:w="995"/>
      </w:tblGrid>
      <w:tr>
        <w:trPr>
          <w:trHeight w:val="408" w:hRule="exact"/>
        </w:trPr>
        <w:tc>
          <w:tcPr>
            <w:tcW w:w="87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1"/>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5"/>
                <w:sz w:val="21"/>
                <w:szCs w:val="21"/>
              </w:rPr>
              <w:t> </w:t>
            </w:r>
            <w:r>
              <w:rPr>
                <w:rFonts w:ascii="宋体" w:hAnsi="宋体" w:cs="宋体" w:eastAsia="宋体" w:hint="default"/>
                <w:sz w:val="21"/>
                <w:szCs w:val="21"/>
              </w:rPr>
              <w:t>行</w:t>
            </w:r>
            <w:r>
              <w:rPr>
                <w:rFonts w:ascii="宋体" w:hAnsi="宋体" w:cs="宋体" w:eastAsia="宋体" w:hint="default"/>
                <w:sz w:val="21"/>
                <w:szCs w:val="21"/>
              </w:rPr>
              <w:t> 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pacing w:val="54"/>
                <w:sz w:val="21"/>
                <w:szCs w:val="21"/>
              </w:rPr>
              <w:t>上年增减</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9"/>
                <w:sz w:val="21"/>
                <w:szCs w:val="21"/>
              </w:rPr>
              <w:t> </w:t>
            </w:r>
            <w:r>
              <w:rPr>
                <w:rFonts w:ascii="宋体" w:hAnsi="宋体" w:cs="宋体" w:eastAsia="宋体" w:hint="default"/>
                <w:sz w:val="21"/>
                <w:szCs w:val="21"/>
              </w:rPr>
              <w:t>本</w:t>
            </w:r>
          </w:p>
          <w:p>
            <w:pPr>
              <w:pStyle w:val="TableParagraph"/>
              <w:spacing w:line="272" w:lineRule="exact" w:before="26"/>
              <w:ind w:left="102" w:right="101"/>
              <w:jc w:val="left"/>
              <w:rPr>
                <w:rFonts w:ascii="宋体" w:hAnsi="宋体" w:cs="宋体" w:eastAsia="宋体" w:hint="default"/>
                <w:sz w:val="21"/>
                <w:szCs w:val="21"/>
              </w:rPr>
            </w:pPr>
            <w:r>
              <w:rPr>
                <w:rFonts w:ascii="宋体" w:hAnsi="宋体" w:cs="宋体" w:eastAsia="宋体" w:hint="default"/>
                <w:spacing w:val="18"/>
                <w:sz w:val="21"/>
                <w:szCs w:val="21"/>
              </w:rPr>
              <w:t>比上年</w:t>
            </w:r>
            <w:r>
              <w:rPr>
                <w:rFonts w:ascii="宋体" w:hAnsi="宋体" w:cs="宋体" w:eastAsia="宋体" w:hint="default"/>
                <w:spacing w:val="-79"/>
                <w:sz w:val="21"/>
                <w:szCs w:val="21"/>
              </w:rPr>
              <w:t> </w:t>
            </w:r>
            <w:r>
              <w:rPr>
                <w:rFonts w:ascii="宋体" w:hAnsi="宋体" w:cs="宋体" w:eastAsia="宋体" w:hint="default"/>
                <w:sz w:val="21"/>
                <w:szCs w:val="21"/>
              </w:rPr>
              <w:t>增</w:t>
            </w:r>
            <w:r>
              <w:rPr>
                <w:rFonts w:ascii="宋体" w:hAnsi="宋体" w:cs="宋体" w:eastAsia="宋体" w:hint="default"/>
                <w:sz w:val="21"/>
                <w:szCs w:val="21"/>
              </w:rPr>
              <w:t> 减（%）</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毛利率</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pacing w:val="49"/>
                <w:sz w:val="21"/>
                <w:szCs w:val="21"/>
              </w:rPr>
              <w:t>比上年</w:t>
            </w:r>
            <w:r>
              <w:rPr>
                <w:rFonts w:ascii="宋体" w:hAnsi="宋体" w:cs="宋体" w:eastAsia="宋体" w:hint="default"/>
                <w:spacing w:val="-31"/>
                <w:sz w:val="21"/>
                <w:szCs w:val="21"/>
              </w:rPr>
              <w:t> </w:t>
            </w:r>
            <w:r>
              <w:rPr>
                <w:rFonts w:ascii="宋体" w:hAnsi="宋体" w:cs="宋体" w:eastAsia="宋体" w:hint="default"/>
                <w:spacing w:val="-13"/>
                <w:sz w:val="21"/>
                <w:szCs w:val="21"/>
              </w:rPr>
              <w:t>增减（%）</w:t>
            </w:r>
          </w:p>
        </w:tc>
      </w:tr>
      <w:tr>
        <w:trPr>
          <w:trHeight w:val="143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103"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5"/>
                <w:sz w:val="21"/>
                <w:szCs w:val="21"/>
              </w:rPr>
              <w:t> </w:t>
            </w:r>
            <w:r>
              <w:rPr>
                <w:rFonts w:ascii="宋体" w:hAnsi="宋体" w:cs="宋体" w:eastAsia="宋体" w:hint="default"/>
                <w:sz w:val="21"/>
                <w:szCs w:val="21"/>
              </w:rPr>
              <w:t>件</w:t>
            </w:r>
            <w:r>
              <w:rPr>
                <w:rFonts w:ascii="宋体" w:hAnsi="宋体" w:cs="宋体" w:eastAsia="宋体" w:hint="default"/>
                <w:sz w:val="21"/>
                <w:szCs w:val="21"/>
              </w:rPr>
              <w:t> 行业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21"/>
                <w:szCs w:val="21"/>
              </w:rPr>
            </w:pPr>
            <w:r>
              <w:rPr>
                <w:rFonts w:ascii="宋体"/>
                <w:sz w:val="21"/>
              </w:rPr>
              <w:t>321,908,165.02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21"/>
                <w:szCs w:val="21"/>
              </w:rPr>
            </w:pPr>
            <w:r>
              <w:rPr>
                <w:rFonts w:ascii="宋体"/>
                <w:sz w:val="21"/>
              </w:rPr>
              <w:t>167,605,092.94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12" w:right="0"/>
              <w:jc w:val="left"/>
              <w:rPr>
                <w:rFonts w:ascii="宋体" w:hAnsi="宋体" w:cs="宋体" w:eastAsia="宋体" w:hint="default"/>
                <w:sz w:val="21"/>
                <w:szCs w:val="21"/>
              </w:rPr>
            </w:pPr>
            <w:r>
              <w:rPr>
                <w:rFonts w:ascii="宋体"/>
                <w:sz w:val="21"/>
              </w:rPr>
              <w:t>47.93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34" w:right="0"/>
              <w:jc w:val="left"/>
              <w:rPr>
                <w:rFonts w:ascii="宋体" w:hAnsi="宋体" w:cs="宋体" w:eastAsia="宋体" w:hint="default"/>
                <w:sz w:val="21"/>
                <w:szCs w:val="21"/>
              </w:rPr>
            </w:pPr>
            <w:r>
              <w:rPr>
                <w:rFonts w:ascii="宋体"/>
                <w:sz w:val="21"/>
              </w:rPr>
              <w:t>14.73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03" w:right="0"/>
              <w:jc w:val="left"/>
              <w:rPr>
                <w:rFonts w:ascii="宋体" w:hAnsi="宋体" w:cs="宋体" w:eastAsia="宋体" w:hint="default"/>
                <w:sz w:val="21"/>
                <w:szCs w:val="21"/>
              </w:rPr>
            </w:pPr>
            <w:r>
              <w:rPr>
                <w:rFonts w:ascii="宋体"/>
                <w:sz w:val="21"/>
              </w:rPr>
              <w:t>8.73</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4" w:lineRule="exact"/>
              <w:ind w:left="28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177" w:right="149" w:hanging="27"/>
              <w:jc w:val="left"/>
              <w:rPr>
                <w:rFonts w:ascii="宋体" w:hAnsi="宋体" w:cs="宋体" w:eastAsia="宋体" w:hint="default"/>
                <w:sz w:val="21"/>
                <w:szCs w:val="21"/>
              </w:rPr>
            </w:pPr>
            <w:r>
              <w:rPr>
                <w:rFonts w:ascii="宋体" w:hAnsi="宋体" w:cs="宋体" w:eastAsia="宋体" w:hint="default"/>
                <w:sz w:val="21"/>
                <w:szCs w:val="21"/>
              </w:rPr>
              <w:t>2.87</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r>
    </w:tbl>
    <w:p>
      <w:pPr>
        <w:spacing w:after="0" w:line="272" w:lineRule="exact"/>
        <w:jc w:val="left"/>
        <w:rPr>
          <w:rFonts w:ascii="宋体" w:hAnsi="宋体" w:cs="宋体" w:eastAsia="宋体" w:hint="default"/>
          <w:sz w:val="21"/>
          <w:szCs w:val="21"/>
        </w:rPr>
        <w:sectPr>
          <w:type w:val="continuous"/>
          <w:pgSz w:w="11910" w:h="16840"/>
          <w:pgMar w:top="1120" w:bottom="1160" w:left="158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816"/>
        <w:gridCol w:w="1843"/>
        <w:gridCol w:w="1843"/>
        <w:gridCol w:w="851"/>
        <w:gridCol w:w="1273"/>
        <w:gridCol w:w="1136"/>
        <w:gridCol w:w="995"/>
      </w:tblGrid>
      <w:tr>
        <w:trPr>
          <w:trHeight w:val="407" w:hRule="exact"/>
        </w:trPr>
        <w:tc>
          <w:tcPr>
            <w:tcW w:w="87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01"/>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5"/>
                <w:sz w:val="21"/>
                <w:szCs w:val="21"/>
              </w:rPr>
              <w:t> </w:t>
            </w:r>
            <w:r>
              <w:rPr>
                <w:rFonts w:ascii="宋体" w:hAnsi="宋体" w:cs="宋体" w:eastAsia="宋体" w:hint="default"/>
                <w:sz w:val="21"/>
                <w:szCs w:val="21"/>
              </w:rPr>
              <w:t>产</w:t>
            </w:r>
            <w:r>
              <w:rPr>
                <w:rFonts w:ascii="宋体" w:hAnsi="宋体" w:cs="宋体" w:eastAsia="宋体" w:hint="default"/>
                <w:sz w:val="21"/>
                <w:szCs w:val="21"/>
              </w:rPr>
              <w:t> 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1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95" w:right="142" w:hanging="53"/>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2" w:lineRule="exact" w:before="26"/>
              <w:ind w:left="103" w:right="-3" w:firstLine="74"/>
              <w:jc w:val="left"/>
              <w:rPr>
                <w:rFonts w:ascii="宋体" w:hAnsi="宋体" w:cs="宋体" w:eastAsia="宋体" w:hint="default"/>
                <w:sz w:val="21"/>
                <w:szCs w:val="21"/>
              </w:rPr>
            </w:pPr>
            <w:r>
              <w:rPr>
                <w:rFonts w:ascii="宋体" w:hAnsi="宋体" w:cs="宋体" w:eastAsia="宋体" w:hint="default"/>
                <w:sz w:val="21"/>
                <w:szCs w:val="21"/>
              </w:rPr>
              <w:t>比上年 </w:t>
            </w:r>
            <w:r>
              <w:rPr>
                <w:rFonts w:ascii="宋体" w:hAnsi="宋体" w:cs="宋体" w:eastAsia="宋体" w:hint="default"/>
                <w:spacing w:val="-13"/>
                <w:sz w:val="21"/>
                <w:szCs w:val="21"/>
              </w:rPr>
              <w:t>增减（%）</w:t>
            </w:r>
          </w:p>
        </w:tc>
      </w:tr>
      <w:tr>
        <w:trPr>
          <w:trHeight w:val="109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w:t>
            </w:r>
          </w:p>
          <w:p>
            <w:pPr>
              <w:pStyle w:val="TableParagraph"/>
              <w:spacing w:line="272" w:lineRule="exact" w:before="26"/>
              <w:ind w:left="103" w:right="281"/>
              <w:jc w:val="left"/>
              <w:rPr>
                <w:rFonts w:ascii="宋体" w:hAnsi="宋体" w:cs="宋体" w:eastAsia="宋体" w:hint="default"/>
                <w:sz w:val="21"/>
                <w:szCs w:val="21"/>
              </w:rPr>
            </w:pPr>
            <w:r>
              <w:rPr>
                <w:rFonts w:ascii="宋体" w:hAnsi="宋体" w:cs="宋体" w:eastAsia="宋体" w:hint="default"/>
                <w:sz w:val="21"/>
                <w:szCs w:val="21"/>
              </w:rPr>
              <w:t>（产 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117,025,843.51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18,158,551.45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84.48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-24.07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8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177" w:right="149" w:hanging="27"/>
              <w:jc w:val="left"/>
              <w:rPr>
                <w:rFonts w:ascii="宋体" w:hAnsi="宋体" w:cs="宋体" w:eastAsia="宋体" w:hint="default"/>
                <w:sz w:val="21"/>
                <w:szCs w:val="21"/>
              </w:rPr>
            </w:pPr>
            <w:r>
              <w:rPr>
                <w:rFonts w:ascii="宋体" w:hAnsi="宋体" w:cs="宋体" w:eastAsia="宋体" w:hint="default"/>
                <w:sz w:val="21"/>
                <w:szCs w:val="21"/>
              </w:rPr>
              <w:t>7.48</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109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w:t>
            </w:r>
          </w:p>
          <w:p>
            <w:pPr>
              <w:pStyle w:val="TableParagraph"/>
              <w:spacing w:line="272" w:lineRule="exact" w:before="26"/>
              <w:ind w:left="103" w:right="281"/>
              <w:jc w:val="left"/>
              <w:rPr>
                <w:rFonts w:ascii="宋体" w:hAnsi="宋体" w:cs="宋体" w:eastAsia="宋体" w:hint="default"/>
                <w:sz w:val="21"/>
                <w:szCs w:val="21"/>
              </w:rPr>
            </w:pPr>
            <w:r>
              <w:rPr>
                <w:rFonts w:ascii="宋体" w:hAnsi="宋体" w:cs="宋体" w:eastAsia="宋体" w:hint="default"/>
                <w:sz w:val="21"/>
                <w:szCs w:val="21"/>
              </w:rPr>
              <w:t>（产 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198,048,587.88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149,446,541.48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24.54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14.75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8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177" w:right="149" w:hanging="27"/>
              <w:jc w:val="left"/>
              <w:rPr>
                <w:rFonts w:ascii="宋体" w:hAnsi="宋体" w:cs="宋体" w:eastAsia="宋体" w:hint="default"/>
                <w:sz w:val="21"/>
                <w:szCs w:val="21"/>
              </w:rPr>
            </w:pPr>
            <w:r>
              <w:rPr>
                <w:rFonts w:ascii="宋体" w:hAnsi="宋体" w:cs="宋体" w:eastAsia="宋体" w:hint="default"/>
                <w:sz w:val="21"/>
                <w:szCs w:val="21"/>
              </w:rPr>
              <w:t>0.97</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277" w:hRule="exact"/>
        </w:trPr>
        <w:tc>
          <w:tcPr>
            <w:tcW w:w="81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843"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6,833,733.63</w:t>
            </w:r>
            <w:r>
              <w:rPr>
                <w:rFonts w:ascii="宋体"/>
                <w:sz w:val="21"/>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100</w:t>
            </w:r>
            <w:r>
              <w:rPr>
                <w:rFonts w:ascii="宋体"/>
                <w:sz w:val="21"/>
              </w:rPr>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9.67</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w:t>
            </w: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w:t>
            </w:r>
          </w:p>
        </w:tc>
      </w:tr>
      <w:tr>
        <w:trPr>
          <w:trHeight w:val="279" w:hRule="exact"/>
        </w:trPr>
        <w:tc>
          <w:tcPr>
            <w:tcW w:w="81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843"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995" w:type="dxa"/>
            <w:tcBorders>
              <w:top w:val="nil" w:sz="6" w:space="0" w:color="auto"/>
              <w:left w:val="single" w:sz="4" w:space="0" w:color="000000"/>
              <w:bottom w:val="single" w:sz="4" w:space="0" w:color="000000"/>
              <w:right w:val="single" w:sz="4" w:space="0" w:color="000000"/>
            </w:tcBorders>
          </w:tcPr>
          <w:p>
            <w:pPr/>
          </w:p>
        </w:tc>
      </w:tr>
      <w:tr>
        <w:trPr>
          <w:trHeight w:val="40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321,908,165.02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167,605,092.93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2"/>
        <w:ind w:left="637" w:right="227"/>
        <w:jc w:val="left"/>
      </w:pPr>
      <w:r>
        <w:rPr/>
        <w:t>主营业务分行业和分产品情况的说明 公司是国内电子政务领域的信息化综合服务提供商，主要从事电子政务的软件开发、系统集</w:t>
      </w:r>
    </w:p>
    <w:p>
      <w:pPr>
        <w:pStyle w:val="BodyText"/>
        <w:spacing w:line="314" w:lineRule="auto"/>
        <w:ind w:left="217" w:right="232"/>
        <w:jc w:val="both"/>
      </w:pPr>
      <w:r>
        <w:rPr/>
        <w:t>成及技术服务，并以解决方案的方式向政务部门提供上述全部或部分业务。公司的解决方案类产</w:t>
      </w:r>
      <w:r>
        <w:rPr>
          <w:spacing w:val="-96"/>
        </w:rPr>
        <w:t> </w:t>
      </w:r>
      <w:r>
        <w:rPr>
          <w:spacing w:val="-96"/>
        </w:rPr>
      </w:r>
      <w:r>
        <w:rPr/>
        <w:t>品销售主要采用直销的方式，依托软件产品和解决方案直接参与项目投标，项目中标后与业主单</w:t>
      </w:r>
      <w:r>
        <w:rPr>
          <w:spacing w:val="-96"/>
        </w:rPr>
        <w:t> </w:t>
      </w:r>
      <w:r>
        <w:rPr>
          <w:spacing w:val="-96"/>
        </w:rPr>
      </w:r>
      <w:r>
        <w:rPr/>
        <w:t>位签署合同，按合同组织应用软件开发、提供软硬件系统集成及技术服务，项目建设完毕后由业</w:t>
      </w:r>
      <w:r>
        <w:rPr>
          <w:spacing w:val="-96"/>
        </w:rPr>
        <w:t> </w:t>
      </w:r>
      <w:r>
        <w:rPr>
          <w:spacing w:val="-96"/>
        </w:rPr>
      </w:r>
      <w:r>
        <w:rPr/>
        <w:t>主单位组织进行项目最终验收，公司在取得项目最终验收合格单据后确认收入。</w:t>
      </w:r>
    </w:p>
    <w:p>
      <w:pPr>
        <w:pStyle w:val="BodyText"/>
        <w:spacing w:line="314" w:lineRule="auto"/>
        <w:ind w:left="217" w:right="247" w:firstLine="420"/>
        <w:jc w:val="left"/>
      </w:pPr>
      <w:r>
        <w:rPr/>
        <w:t>报告期内，公司来自软件行业的营业收入稳步增长，增长率为</w:t>
      </w:r>
      <w:r>
        <w:rPr>
          <w:spacing w:val="-88"/>
        </w:rPr>
        <w:t> </w:t>
      </w:r>
      <w:r>
        <w:rPr/>
        <w:t>14.73%；公司的综合毛利率有</w:t>
      </w:r>
      <w:r>
        <w:rPr/>
        <w:t> 所上升，同比增加了</w:t>
      </w:r>
      <w:r>
        <w:rPr>
          <w:spacing w:val="-55"/>
        </w:rPr>
        <w:t> </w:t>
      </w:r>
      <w:r>
        <w:rPr/>
        <w:t>2.87%，主要原因是软件产品毛利率上升。</w:t>
      </w:r>
    </w:p>
    <w:p>
      <w:pPr>
        <w:pStyle w:val="BodyText"/>
        <w:spacing w:line="314" w:lineRule="auto"/>
        <w:ind w:left="217" w:right="227" w:firstLine="420"/>
        <w:jc w:val="left"/>
      </w:pPr>
      <w:r>
        <w:rPr/>
        <w:t>公司的产品由软件开发、系统集成和技术服务构成。报告期内各产品收入均实现增长，其中 系统集成收入的同比增长最高，达到</w:t>
      </w:r>
      <w:r>
        <w:rPr>
          <w:spacing w:val="-53"/>
        </w:rPr>
        <w:t> </w:t>
      </w:r>
      <w:r>
        <w:rPr/>
        <w:t>16.23%。</w:t>
      </w:r>
    </w:p>
    <w:p>
      <w:pPr>
        <w:spacing w:line="240" w:lineRule="auto" w:before="4"/>
        <w:rPr>
          <w:rFonts w:ascii="宋体" w:hAnsi="宋体" w:cs="宋体" w:eastAsia="宋体" w:hint="default"/>
          <w:sz w:val="18"/>
          <w:szCs w:val="18"/>
        </w:rPr>
      </w:pPr>
    </w:p>
    <w:p>
      <w:pPr>
        <w:pStyle w:val="Heading2"/>
        <w:spacing w:line="240" w:lineRule="auto"/>
        <w:ind w:left="217" w:right="227"/>
        <w:jc w:val="left"/>
        <w:rPr>
          <w:b w:val="0"/>
          <w:bCs w:val="0"/>
        </w:rPr>
      </w:pPr>
      <w:r>
        <w:rPr/>
        <w:t>2、</w:t>
      </w:r>
      <w:r>
        <w:rPr>
          <w:spacing w:val="-5"/>
        </w:rPr>
        <w:t> </w:t>
      </w:r>
      <w:r>
        <w:rPr/>
        <w:t>主营业务分地区情况</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016"/>
        <w:gridCol w:w="3017"/>
        <w:gridCol w:w="3016"/>
      </w:tblGrid>
      <w:tr>
        <w:trPr>
          <w:trHeight w:val="407"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407"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福建省内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241,752,340.21</w:t>
            </w:r>
            <w:r>
              <w:rPr>
                <w:rFonts w:ascii="宋体"/>
                <w:sz w:val="21"/>
              </w:rPr>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w w:val="95"/>
                <w:sz w:val="21"/>
              </w:rPr>
              <w:t>19.79</w:t>
            </w:r>
            <w:r>
              <w:rPr>
                <w:rFonts w:ascii="宋体"/>
                <w:w w:val="95"/>
                <w:sz w:val="21"/>
              </w:rPr>
            </w:r>
          </w:p>
        </w:tc>
      </w:tr>
      <w:tr>
        <w:trPr>
          <w:trHeight w:val="408"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福建省外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80,155,824.81</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1.74</w:t>
            </w:r>
          </w:p>
        </w:tc>
      </w:tr>
    </w:tbl>
    <w:p>
      <w:pPr>
        <w:pStyle w:val="BodyText"/>
        <w:spacing w:line="240" w:lineRule="exact" w:before="0"/>
        <w:ind w:left="217" w:right="227"/>
        <w:jc w:val="left"/>
      </w:pPr>
      <w:r>
        <w:rPr/>
        <w:t>主营业务分地区情况的说明</w:t>
      </w:r>
    </w:p>
    <w:p>
      <w:pPr>
        <w:pStyle w:val="BodyText"/>
        <w:spacing w:line="314" w:lineRule="auto" w:before="75"/>
        <w:ind w:left="217" w:right="232" w:firstLine="420"/>
        <w:jc w:val="both"/>
      </w:pPr>
      <w:r>
        <w:rPr>
          <w:spacing w:val="-3"/>
        </w:rPr>
        <w:t>报告期内，福建省内营业收入占比</w:t>
      </w:r>
      <w:r>
        <w:rPr>
          <w:spacing w:val="-57"/>
        </w:rPr>
        <w:t> </w:t>
      </w:r>
      <w:r>
        <w:rPr/>
        <w:t>75.10%，福建省外营业收入占比</w:t>
      </w:r>
      <w:r>
        <w:rPr>
          <w:spacing w:val="-57"/>
        </w:rPr>
        <w:t> </w:t>
      </w:r>
      <w:r>
        <w:rPr>
          <w:spacing w:val="-3"/>
        </w:rPr>
        <w:t>24.90%，省外收入增长慢</w:t>
      </w:r>
      <w:r>
        <w:rPr/>
        <w:t> 于省内收入增长幅度。公司业务在未来一段时期内仍将主要集中在福建省内市场，存在业务区域</w:t>
      </w:r>
      <w:r>
        <w:rPr>
          <w:spacing w:val="-96"/>
        </w:rPr>
        <w:t> </w:t>
      </w:r>
      <w:r>
        <w:rPr>
          <w:spacing w:val="-96"/>
        </w:rPr>
      </w:r>
      <w:r>
        <w:rPr/>
        <w:t>相对集中的风险。</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7" w:top="1120" w:bottom="1160" w:left="1580" w:right="1040"/>
        </w:sectPr>
      </w:pPr>
    </w:p>
    <w:p>
      <w:pPr>
        <w:pStyle w:val="Heading2"/>
        <w:tabs>
          <w:tab w:pos="637" w:val="left" w:leader="none"/>
        </w:tabs>
        <w:spacing w:line="264" w:lineRule="auto"/>
        <w:ind w:left="217"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资产、负债情况分析</w:t>
      </w:r>
      <w:r>
        <w:rPr>
          <w:spacing w:val="1"/>
          <w:w w:val="99"/>
        </w:rPr>
        <w:t> </w:t>
      </w:r>
      <w:r>
        <w:rPr>
          <w:w w:val="95"/>
        </w:rPr>
        <w:t>1</w:t>
        <w:tab/>
      </w:r>
      <w:r>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160" w:left="1580" w:right="1040"/>
          <w:cols w:num="2" w:equalWidth="0">
            <w:col w:w="2536" w:space="5457"/>
            <w:col w:w="1297"/>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100"/>
        <w:gridCol w:w="1688"/>
        <w:gridCol w:w="1202"/>
        <w:gridCol w:w="1686"/>
        <w:gridCol w:w="1094"/>
        <w:gridCol w:w="1057"/>
        <w:gridCol w:w="1210"/>
      </w:tblGrid>
      <w:tr>
        <w:trPr>
          <w:trHeight w:val="137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76" w:right="174"/>
              <w:jc w:val="both"/>
              <w:rPr>
                <w:rFonts w:ascii="宋体" w:hAnsi="宋体" w:cs="宋体" w:eastAsia="宋体" w:hint="default"/>
                <w:sz w:val="21"/>
                <w:szCs w:val="21"/>
              </w:rPr>
            </w:pPr>
            <w:r>
              <w:rPr>
                <w:rFonts w:ascii="宋体" w:hAnsi="宋体" w:cs="宋体" w:eastAsia="宋体" w:hint="default"/>
                <w:sz w:val="21"/>
                <w:szCs w:val="21"/>
              </w:rPr>
              <w:t>本期期末 数占总资 产的比例</w:t>
            </w:r>
          </w:p>
          <w:p>
            <w:pPr>
              <w:pStyle w:val="TableParagraph"/>
              <w:spacing w:line="248" w:lineRule="exact"/>
              <w:ind w:left="333" w:right="0"/>
              <w:jc w:val="left"/>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1" w:right="121"/>
              <w:jc w:val="both"/>
              <w:rPr>
                <w:rFonts w:ascii="宋体" w:hAnsi="宋体" w:cs="宋体" w:eastAsia="宋体" w:hint="default"/>
                <w:sz w:val="21"/>
                <w:szCs w:val="21"/>
              </w:rPr>
            </w:pPr>
            <w:r>
              <w:rPr>
                <w:rFonts w:ascii="宋体" w:hAnsi="宋体" w:cs="宋体" w:eastAsia="宋体" w:hint="default"/>
                <w:sz w:val="21"/>
                <w:szCs w:val="21"/>
              </w:rPr>
              <w:t>上期期末 数占总资 产的比例</w:t>
            </w:r>
          </w:p>
          <w:p>
            <w:pPr>
              <w:pStyle w:val="TableParagraph"/>
              <w:spacing w:line="248"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金额较上 期期末变 动比例</w:t>
            </w:r>
          </w:p>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099"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spacing w:val="-1"/>
                <w:sz w:val="21"/>
              </w:rPr>
              <w:t>616,032,504.48</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pacing w:val="-1"/>
                <w:w w:val="95"/>
                <w:sz w:val="21"/>
              </w:rPr>
              <w:t>56.24</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176,877,979.75</w:t>
            </w:r>
            <w:r>
              <w:rPr>
                <w:rFonts w:ascii="宋体"/>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pacing w:val="-1"/>
                <w:w w:val="95"/>
                <w:sz w:val="21"/>
              </w:rPr>
              <w:t>29.98</w:t>
            </w:r>
            <w:r>
              <w:rPr>
                <w:rFonts w:ascii="宋体"/>
                <w:w w:val="95"/>
                <w:sz w:val="21"/>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248.28</w:t>
            </w:r>
            <w:r>
              <w:rPr>
                <w:rFonts w:ascii="宋体"/>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7"/>
                <w:sz w:val="21"/>
                <w:szCs w:val="21"/>
              </w:rPr>
              <w:t>收到首次</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both"/>
              <w:rPr>
                <w:rFonts w:ascii="宋体" w:hAnsi="宋体" w:cs="宋体" w:eastAsia="宋体" w:hint="default"/>
                <w:sz w:val="21"/>
                <w:szCs w:val="21"/>
              </w:rPr>
            </w:pPr>
            <w:r>
              <w:rPr>
                <w:rFonts w:ascii="宋体" w:hAnsi="宋体" w:cs="宋体" w:eastAsia="宋体" w:hint="default"/>
                <w:spacing w:val="37"/>
                <w:sz w:val="21"/>
                <w:szCs w:val="21"/>
              </w:rPr>
              <w:t>公开发行</w:t>
            </w:r>
            <w:r>
              <w:rPr>
                <w:rFonts w:ascii="宋体" w:hAnsi="宋体" w:cs="宋体" w:eastAsia="宋体" w:hint="default"/>
                <w:spacing w:val="-103"/>
                <w:sz w:val="21"/>
                <w:szCs w:val="21"/>
              </w:rPr>
              <w:t> </w:t>
            </w:r>
            <w:r>
              <w:rPr>
                <w:rFonts w:ascii="宋体" w:hAnsi="宋体" w:cs="宋体" w:eastAsia="宋体" w:hint="default"/>
                <w:spacing w:val="37"/>
                <w:sz w:val="21"/>
                <w:szCs w:val="21"/>
              </w:rPr>
              <w:t>股票的募</w:t>
            </w:r>
            <w:r>
              <w:rPr>
                <w:rFonts w:ascii="宋体" w:hAnsi="宋体" w:cs="宋体" w:eastAsia="宋体" w:hint="default"/>
                <w:spacing w:val="-103"/>
                <w:sz w:val="21"/>
                <w:szCs w:val="21"/>
              </w:rPr>
              <w:t> </w:t>
            </w:r>
            <w:r>
              <w:rPr>
                <w:rFonts w:ascii="宋体" w:hAnsi="宋体" w:cs="宋体" w:eastAsia="宋体" w:hint="default"/>
                <w:sz w:val="21"/>
                <w:szCs w:val="21"/>
              </w:rPr>
              <w:t>集资金</w:t>
            </w:r>
          </w:p>
        </w:tc>
      </w:tr>
      <w:tr>
        <w:trPr>
          <w:trHeight w:val="55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3,519,781.60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457,110.88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0.08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670.01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银行定期</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存款增加</w:t>
            </w:r>
          </w:p>
        </w:tc>
      </w:tr>
      <w:tr>
        <w:trPr>
          <w:trHeight w:val="82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87"/>
              <w:jc w:val="left"/>
              <w:rPr>
                <w:rFonts w:ascii="宋体" w:hAnsi="宋体" w:cs="宋体" w:eastAsia="宋体" w:hint="default"/>
                <w:sz w:val="21"/>
                <w:szCs w:val="21"/>
              </w:rPr>
            </w:pPr>
            <w:r>
              <w:rPr>
                <w:rFonts w:ascii="宋体" w:hAnsi="宋体" w:cs="宋体" w:eastAsia="宋体" w:hint="default"/>
                <w:spacing w:val="14"/>
                <w:sz w:val="21"/>
                <w:szCs w:val="21"/>
              </w:rPr>
              <w:t>其他应收 </w:t>
            </w:r>
            <w:r>
              <w:rPr>
                <w:rFonts w:ascii="宋体" w:hAnsi="宋体" w:cs="宋体" w:eastAsia="宋体" w:hint="default"/>
                <w:sz w:val="21"/>
                <w:szCs w:val="21"/>
              </w:rPr>
              <w:t>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15,171,224.65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23,661,425.17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-35.88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加强其它</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left"/>
              <w:rPr>
                <w:rFonts w:ascii="宋体" w:hAnsi="宋体" w:cs="宋体" w:eastAsia="宋体" w:hint="default"/>
                <w:sz w:val="21"/>
                <w:szCs w:val="21"/>
              </w:rPr>
            </w:pPr>
            <w:r>
              <w:rPr>
                <w:rFonts w:ascii="宋体" w:hAnsi="宋体" w:cs="宋体" w:eastAsia="宋体" w:hint="default"/>
                <w:spacing w:val="37"/>
                <w:sz w:val="21"/>
                <w:szCs w:val="21"/>
              </w:rPr>
              <w:t>应收款项</w:t>
            </w:r>
            <w:r>
              <w:rPr>
                <w:rFonts w:ascii="宋体" w:hAnsi="宋体" w:cs="宋体" w:eastAsia="宋体" w:hint="default"/>
                <w:spacing w:val="-103"/>
                <w:sz w:val="21"/>
                <w:szCs w:val="21"/>
              </w:rPr>
              <w:t> </w:t>
            </w:r>
            <w:r>
              <w:rPr>
                <w:rFonts w:ascii="宋体" w:hAnsi="宋体" w:cs="宋体" w:eastAsia="宋体" w:hint="default"/>
                <w:sz w:val="21"/>
                <w:szCs w:val="21"/>
              </w:rPr>
              <w:t>管理所致</w:t>
            </w:r>
          </w:p>
        </w:tc>
      </w:tr>
      <w:tr>
        <w:trPr>
          <w:trHeight w:val="137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168,456,508.38</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15.38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109,736,285.76</w:t>
            </w:r>
            <w:r>
              <w:rPr>
                <w:rFonts w:ascii="宋体"/>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18.60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53.51</w:t>
            </w:r>
            <w:r>
              <w:rPr>
                <w:rFonts w:ascii="宋体"/>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7"/>
                <w:sz w:val="21"/>
                <w:szCs w:val="21"/>
              </w:rPr>
              <w:t>主要系公</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both"/>
              <w:rPr>
                <w:rFonts w:ascii="宋体" w:hAnsi="宋体" w:cs="宋体" w:eastAsia="宋体" w:hint="default"/>
                <w:sz w:val="21"/>
                <w:szCs w:val="21"/>
              </w:rPr>
            </w:pPr>
            <w:r>
              <w:rPr>
                <w:rFonts w:ascii="宋体" w:hAnsi="宋体" w:cs="宋体" w:eastAsia="宋体" w:hint="default"/>
                <w:spacing w:val="37"/>
                <w:sz w:val="21"/>
                <w:szCs w:val="21"/>
              </w:rPr>
              <w:t>司业务增</w:t>
            </w:r>
            <w:r>
              <w:rPr>
                <w:rFonts w:ascii="宋体" w:hAnsi="宋体" w:cs="宋体" w:eastAsia="宋体" w:hint="default"/>
                <w:spacing w:val="-103"/>
                <w:sz w:val="21"/>
                <w:szCs w:val="21"/>
              </w:rPr>
              <w:t> </w:t>
            </w:r>
            <w:r>
              <w:rPr>
                <w:rFonts w:ascii="宋体" w:hAnsi="宋体" w:cs="宋体" w:eastAsia="宋体" w:hint="default"/>
                <w:spacing w:val="-12"/>
                <w:sz w:val="21"/>
                <w:szCs w:val="21"/>
              </w:rPr>
              <w:t>长，相应在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7"/>
                <w:sz w:val="21"/>
                <w:szCs w:val="21"/>
              </w:rPr>
              <w:t>建项目增</w:t>
            </w:r>
            <w:r>
              <w:rPr>
                <w:rFonts w:ascii="宋体" w:hAnsi="宋体" w:cs="宋体" w:eastAsia="宋体" w:hint="default"/>
                <w:spacing w:val="-103"/>
                <w:sz w:val="21"/>
                <w:szCs w:val="21"/>
              </w:rPr>
              <w:t> </w:t>
            </w:r>
            <w:r>
              <w:rPr>
                <w:rFonts w:ascii="宋体" w:hAnsi="宋体" w:cs="宋体" w:eastAsia="宋体" w:hint="default"/>
                <w:sz w:val="21"/>
                <w:szCs w:val="21"/>
              </w:rPr>
              <w:t>加所致</w:t>
            </w:r>
          </w:p>
        </w:tc>
      </w:tr>
      <w:tr>
        <w:trPr>
          <w:trHeight w:val="1099"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3" w:right="87"/>
              <w:jc w:val="left"/>
              <w:rPr>
                <w:rFonts w:ascii="宋体" w:hAnsi="宋体" w:cs="宋体" w:eastAsia="宋体" w:hint="default"/>
                <w:sz w:val="21"/>
                <w:szCs w:val="21"/>
              </w:rPr>
            </w:pPr>
            <w:r>
              <w:rPr>
                <w:rFonts w:ascii="宋体" w:hAnsi="宋体" w:cs="宋体" w:eastAsia="宋体" w:hint="default"/>
                <w:spacing w:val="14"/>
                <w:sz w:val="21"/>
                <w:szCs w:val="21"/>
              </w:rPr>
              <w:t>其他流动 </w:t>
            </w: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667,283.58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0.06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25,499,577.57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4.32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-97.38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7"/>
                <w:sz w:val="21"/>
                <w:szCs w:val="21"/>
              </w:rPr>
              <w:t>系公司购</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both"/>
              <w:rPr>
                <w:rFonts w:ascii="宋体" w:hAnsi="宋体" w:cs="宋体" w:eastAsia="宋体" w:hint="default"/>
                <w:sz w:val="21"/>
                <w:szCs w:val="21"/>
              </w:rPr>
            </w:pPr>
            <w:r>
              <w:rPr>
                <w:rFonts w:ascii="宋体" w:hAnsi="宋体" w:cs="宋体" w:eastAsia="宋体" w:hint="default"/>
                <w:spacing w:val="37"/>
                <w:sz w:val="21"/>
                <w:szCs w:val="21"/>
              </w:rPr>
              <w:t>买理财产</w:t>
            </w:r>
            <w:r>
              <w:rPr>
                <w:rFonts w:ascii="宋体" w:hAnsi="宋体" w:cs="宋体" w:eastAsia="宋体" w:hint="default"/>
                <w:spacing w:val="-103"/>
                <w:sz w:val="21"/>
                <w:szCs w:val="21"/>
              </w:rPr>
              <w:t> </w:t>
            </w:r>
            <w:r>
              <w:rPr>
                <w:rFonts w:ascii="宋体" w:hAnsi="宋体" w:cs="宋体" w:eastAsia="宋体" w:hint="default"/>
                <w:spacing w:val="37"/>
                <w:sz w:val="21"/>
                <w:szCs w:val="21"/>
              </w:rPr>
              <w:t>品到期赎</w:t>
            </w:r>
            <w:r>
              <w:rPr>
                <w:rFonts w:ascii="宋体" w:hAnsi="宋体" w:cs="宋体" w:eastAsia="宋体" w:hint="default"/>
                <w:spacing w:val="-103"/>
                <w:sz w:val="21"/>
                <w:szCs w:val="21"/>
              </w:rPr>
              <w:t> </w:t>
            </w:r>
            <w:r>
              <w:rPr>
                <w:rFonts w:ascii="宋体" w:hAnsi="宋体" w:cs="宋体" w:eastAsia="宋体" w:hint="default"/>
                <w:sz w:val="21"/>
                <w:szCs w:val="21"/>
              </w:rPr>
              <w:t>回所致</w:t>
            </w:r>
          </w:p>
        </w:tc>
      </w:tr>
      <w:tr>
        <w:trPr>
          <w:trHeight w:val="164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80,885,184.27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7.38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8,529,803.56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1.45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848.27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7"/>
                <w:sz w:val="21"/>
                <w:szCs w:val="21"/>
              </w:rPr>
              <w:t>主要系公</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both"/>
              <w:rPr>
                <w:rFonts w:ascii="宋体" w:hAnsi="宋体" w:cs="宋体" w:eastAsia="宋体" w:hint="default"/>
                <w:sz w:val="21"/>
                <w:szCs w:val="21"/>
              </w:rPr>
            </w:pPr>
            <w:r>
              <w:rPr>
                <w:rFonts w:ascii="宋体" w:hAnsi="宋体" w:cs="宋体" w:eastAsia="宋体" w:hint="default"/>
                <w:spacing w:val="37"/>
                <w:sz w:val="21"/>
                <w:szCs w:val="21"/>
              </w:rPr>
              <w:t>司在建工</w:t>
            </w:r>
            <w:r>
              <w:rPr>
                <w:rFonts w:ascii="宋体" w:hAnsi="宋体" w:cs="宋体" w:eastAsia="宋体" w:hint="default"/>
                <w:spacing w:val="-103"/>
                <w:sz w:val="21"/>
                <w:szCs w:val="21"/>
              </w:rPr>
              <w:t> </w:t>
            </w:r>
            <w:r>
              <w:rPr>
                <w:rFonts w:ascii="宋体" w:hAnsi="宋体" w:cs="宋体" w:eastAsia="宋体" w:hint="default"/>
                <w:spacing w:val="37"/>
                <w:sz w:val="21"/>
                <w:szCs w:val="21"/>
              </w:rPr>
              <w:t>程转固定</w:t>
            </w:r>
            <w:r>
              <w:rPr>
                <w:rFonts w:ascii="宋体" w:hAnsi="宋体" w:cs="宋体" w:eastAsia="宋体" w:hint="default"/>
                <w:spacing w:val="-103"/>
                <w:sz w:val="21"/>
                <w:szCs w:val="21"/>
              </w:rPr>
              <w:t> </w:t>
            </w:r>
            <w:r>
              <w:rPr>
                <w:rFonts w:ascii="宋体" w:hAnsi="宋体" w:cs="宋体" w:eastAsia="宋体" w:hint="default"/>
                <w:spacing w:val="37"/>
                <w:sz w:val="21"/>
                <w:szCs w:val="21"/>
              </w:rPr>
              <w:t>资产以及</w:t>
            </w:r>
            <w:r>
              <w:rPr>
                <w:rFonts w:ascii="宋体" w:hAnsi="宋体" w:cs="宋体" w:eastAsia="宋体" w:hint="default"/>
                <w:spacing w:val="-103"/>
                <w:sz w:val="21"/>
                <w:szCs w:val="21"/>
              </w:rPr>
              <w:t> </w:t>
            </w:r>
            <w:r>
              <w:rPr>
                <w:rFonts w:ascii="宋体" w:hAnsi="宋体" w:cs="宋体" w:eastAsia="宋体" w:hint="default"/>
                <w:spacing w:val="37"/>
                <w:sz w:val="21"/>
                <w:szCs w:val="21"/>
              </w:rPr>
              <w:t>新增办公</w:t>
            </w:r>
            <w:r>
              <w:rPr>
                <w:rFonts w:ascii="宋体" w:hAnsi="宋体" w:cs="宋体" w:eastAsia="宋体" w:hint="default"/>
                <w:spacing w:val="-103"/>
                <w:sz w:val="21"/>
                <w:szCs w:val="21"/>
              </w:rPr>
              <w:t> </w:t>
            </w:r>
            <w:r>
              <w:rPr>
                <w:rFonts w:ascii="宋体" w:hAnsi="宋体" w:cs="宋体" w:eastAsia="宋体" w:hint="default"/>
                <w:sz w:val="21"/>
                <w:szCs w:val="21"/>
              </w:rPr>
              <w:t>设备所致</w:t>
            </w:r>
          </w:p>
        </w:tc>
      </w:tr>
      <w:tr>
        <w:trPr>
          <w:trHeight w:val="1099"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spacing w:val="-1"/>
                <w:sz w:val="21"/>
              </w:rPr>
              <w:t>247,166.82</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0.02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pacing w:val="-1"/>
                <w:sz w:val="21"/>
              </w:rPr>
              <w:t>67,474,239.83</w:t>
            </w:r>
            <w:r>
              <w:rPr>
                <w:rFonts w:ascii="宋体"/>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11.44</w:t>
            </w:r>
            <w:r>
              <w:rPr>
                <w:rFonts w:ascii="宋体"/>
                <w:sz w:val="21"/>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-99.63</w:t>
            </w:r>
            <w:r>
              <w:rPr>
                <w:rFonts w:ascii="宋体"/>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7"/>
                <w:sz w:val="21"/>
                <w:szCs w:val="21"/>
              </w:rPr>
              <w:t>主要系公</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both"/>
              <w:rPr>
                <w:rFonts w:ascii="宋体" w:hAnsi="宋体" w:cs="宋体" w:eastAsia="宋体" w:hint="default"/>
                <w:sz w:val="21"/>
                <w:szCs w:val="21"/>
              </w:rPr>
            </w:pPr>
            <w:r>
              <w:rPr>
                <w:rFonts w:ascii="宋体" w:hAnsi="宋体" w:cs="宋体" w:eastAsia="宋体" w:hint="default"/>
                <w:spacing w:val="37"/>
                <w:sz w:val="21"/>
                <w:szCs w:val="21"/>
              </w:rPr>
              <w:t>司在建工</w:t>
            </w:r>
            <w:r>
              <w:rPr>
                <w:rFonts w:ascii="宋体" w:hAnsi="宋体" w:cs="宋体" w:eastAsia="宋体" w:hint="default"/>
                <w:spacing w:val="-103"/>
                <w:sz w:val="21"/>
                <w:szCs w:val="21"/>
              </w:rPr>
              <w:t> </w:t>
            </w:r>
            <w:r>
              <w:rPr>
                <w:rFonts w:ascii="宋体" w:hAnsi="宋体" w:cs="宋体" w:eastAsia="宋体" w:hint="default"/>
                <w:spacing w:val="37"/>
                <w:sz w:val="21"/>
                <w:szCs w:val="21"/>
              </w:rPr>
              <w:t>程转固定</w:t>
            </w:r>
            <w:r>
              <w:rPr>
                <w:rFonts w:ascii="宋体" w:hAnsi="宋体" w:cs="宋体" w:eastAsia="宋体" w:hint="default"/>
                <w:spacing w:val="-103"/>
                <w:sz w:val="21"/>
                <w:szCs w:val="21"/>
              </w:rPr>
              <w:t> </w:t>
            </w:r>
            <w:r>
              <w:rPr>
                <w:rFonts w:ascii="宋体" w:hAnsi="宋体" w:cs="宋体" w:eastAsia="宋体" w:hint="default"/>
                <w:sz w:val="21"/>
                <w:szCs w:val="21"/>
              </w:rPr>
              <w:t>资产所致</w:t>
            </w:r>
          </w:p>
        </w:tc>
      </w:tr>
      <w:tr>
        <w:trPr>
          <w:trHeight w:val="1099"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z w:val="21"/>
              </w:rPr>
              <w:t>13,865,334.70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z w:val="21"/>
              </w:rPr>
              <w:t>1.27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8,502,688.11</w:t>
            </w:r>
            <w:r>
              <w:rPr>
                <w:rFonts w:ascii="宋体"/>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pacing w:val="-1"/>
                <w:w w:val="95"/>
                <w:sz w:val="21"/>
              </w:rPr>
              <w:t>1.44</w:t>
            </w:r>
            <w:r>
              <w:rPr>
                <w:rFonts w:ascii="宋体"/>
                <w:w w:val="95"/>
                <w:sz w:val="21"/>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w w:val="95"/>
                <w:sz w:val="21"/>
              </w:rPr>
              <w:t>63.07</w:t>
            </w:r>
            <w:r>
              <w:rPr>
                <w:rFonts w:ascii="宋体"/>
                <w:w w:val="95"/>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7"/>
                <w:sz w:val="21"/>
                <w:szCs w:val="21"/>
              </w:rPr>
              <w:t>主要系公</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both"/>
              <w:rPr>
                <w:rFonts w:ascii="宋体" w:hAnsi="宋体" w:cs="宋体" w:eastAsia="宋体" w:hint="default"/>
                <w:sz w:val="21"/>
                <w:szCs w:val="21"/>
              </w:rPr>
            </w:pPr>
            <w:r>
              <w:rPr>
                <w:rFonts w:ascii="宋体" w:hAnsi="宋体" w:cs="宋体" w:eastAsia="宋体" w:hint="default"/>
                <w:spacing w:val="37"/>
                <w:sz w:val="21"/>
                <w:szCs w:val="21"/>
              </w:rPr>
              <w:t>司对开发</w:t>
            </w:r>
            <w:r>
              <w:rPr>
                <w:rFonts w:ascii="宋体" w:hAnsi="宋体" w:cs="宋体" w:eastAsia="宋体" w:hint="default"/>
                <w:spacing w:val="-103"/>
                <w:sz w:val="21"/>
                <w:szCs w:val="21"/>
              </w:rPr>
              <w:t> </w:t>
            </w:r>
            <w:r>
              <w:rPr>
                <w:rFonts w:ascii="宋体" w:hAnsi="宋体" w:cs="宋体" w:eastAsia="宋体" w:hint="default"/>
                <w:spacing w:val="37"/>
                <w:sz w:val="21"/>
                <w:szCs w:val="21"/>
              </w:rPr>
              <w:t>支出投入</w:t>
            </w:r>
            <w:r>
              <w:rPr>
                <w:rFonts w:ascii="宋体" w:hAnsi="宋体" w:cs="宋体" w:eastAsia="宋体" w:hint="default"/>
                <w:spacing w:val="-103"/>
                <w:sz w:val="21"/>
                <w:szCs w:val="21"/>
              </w:rPr>
              <w:t> </w:t>
            </w:r>
            <w:r>
              <w:rPr>
                <w:rFonts w:ascii="宋体" w:hAnsi="宋体" w:cs="宋体" w:eastAsia="宋体" w:hint="default"/>
                <w:sz w:val="21"/>
                <w:szCs w:val="21"/>
              </w:rPr>
              <w:t>加大所致</w:t>
            </w:r>
          </w:p>
        </w:tc>
      </w:tr>
      <w:tr>
        <w:trPr>
          <w:trHeight w:val="1099"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3" w:right="87"/>
              <w:jc w:val="left"/>
              <w:rPr>
                <w:rFonts w:ascii="宋体" w:hAnsi="宋体" w:cs="宋体" w:eastAsia="宋体" w:hint="default"/>
                <w:sz w:val="21"/>
                <w:szCs w:val="21"/>
              </w:rPr>
            </w:pPr>
            <w:r>
              <w:rPr>
                <w:rFonts w:ascii="宋体" w:hAnsi="宋体" w:cs="宋体" w:eastAsia="宋体" w:hint="default"/>
                <w:spacing w:val="14"/>
                <w:sz w:val="21"/>
                <w:szCs w:val="21"/>
              </w:rPr>
              <w:t>长期待摊 </w:t>
            </w:r>
            <w:r>
              <w:rPr>
                <w:rFonts w:ascii="宋体" w:hAnsi="宋体" w:cs="宋体" w:eastAsia="宋体" w:hint="default"/>
                <w:sz w:val="21"/>
                <w:szCs w:val="21"/>
              </w:rPr>
              <w:t>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737,401.45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0.07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1,465,522.50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0.25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-49.68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7"/>
                <w:sz w:val="21"/>
                <w:szCs w:val="21"/>
              </w:rPr>
              <w:t>主要系相</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both"/>
              <w:rPr>
                <w:rFonts w:ascii="宋体" w:hAnsi="宋体" w:cs="宋体" w:eastAsia="宋体" w:hint="default"/>
                <w:sz w:val="21"/>
                <w:szCs w:val="21"/>
              </w:rPr>
            </w:pPr>
            <w:r>
              <w:rPr>
                <w:rFonts w:ascii="宋体" w:hAnsi="宋体" w:cs="宋体" w:eastAsia="宋体" w:hint="default"/>
                <w:spacing w:val="37"/>
                <w:sz w:val="21"/>
                <w:szCs w:val="21"/>
              </w:rPr>
              <w:t>应待摊费</w:t>
            </w:r>
            <w:r>
              <w:rPr>
                <w:rFonts w:ascii="宋体" w:hAnsi="宋体" w:cs="宋体" w:eastAsia="宋体" w:hint="default"/>
                <w:spacing w:val="-103"/>
                <w:sz w:val="21"/>
                <w:szCs w:val="21"/>
              </w:rPr>
              <w:t> </w:t>
            </w:r>
            <w:r>
              <w:rPr>
                <w:rFonts w:ascii="宋体" w:hAnsi="宋体" w:cs="宋体" w:eastAsia="宋体" w:hint="default"/>
                <w:spacing w:val="37"/>
                <w:sz w:val="21"/>
                <w:szCs w:val="21"/>
              </w:rPr>
              <w:t>用摊销所</w:t>
            </w:r>
            <w:r>
              <w:rPr>
                <w:rFonts w:ascii="宋体" w:hAnsi="宋体" w:cs="宋体" w:eastAsia="宋体" w:hint="default"/>
                <w:spacing w:val="-103"/>
                <w:sz w:val="21"/>
                <w:szCs w:val="21"/>
              </w:rPr>
              <w:t> </w:t>
            </w:r>
            <w:r>
              <w:rPr>
                <w:rFonts w:ascii="宋体" w:hAnsi="宋体" w:cs="宋体" w:eastAsia="宋体" w:hint="default"/>
                <w:sz w:val="21"/>
                <w:szCs w:val="21"/>
              </w:rPr>
              <w:t>致</w:t>
            </w:r>
          </w:p>
        </w:tc>
      </w:tr>
      <w:tr>
        <w:trPr>
          <w:trHeight w:val="191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z w:val="21"/>
              </w:rPr>
              <w:t>65,772,804.94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6.00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41,777,671.89</w:t>
            </w:r>
            <w:r>
              <w:rPr>
                <w:rFonts w:ascii="宋体"/>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7.08</w:t>
            </w:r>
            <w:r>
              <w:rPr>
                <w:rFonts w:ascii="宋体"/>
                <w:sz w:val="21"/>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57.44</w:t>
            </w:r>
            <w:r>
              <w:rPr>
                <w:rFonts w:ascii="宋体"/>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7"/>
                <w:sz w:val="21"/>
                <w:szCs w:val="21"/>
              </w:rPr>
              <w:t>主要系公</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1"/>
              <w:ind w:left="103" w:right="53"/>
              <w:jc w:val="both"/>
              <w:rPr>
                <w:rFonts w:ascii="宋体" w:hAnsi="宋体" w:cs="宋体" w:eastAsia="宋体" w:hint="default"/>
                <w:sz w:val="21"/>
                <w:szCs w:val="21"/>
              </w:rPr>
            </w:pPr>
            <w:r>
              <w:rPr>
                <w:rFonts w:ascii="宋体" w:hAnsi="宋体" w:cs="宋体" w:eastAsia="宋体" w:hint="default"/>
                <w:spacing w:val="37"/>
                <w:sz w:val="21"/>
                <w:szCs w:val="21"/>
              </w:rPr>
              <w:t>司业务增</w:t>
            </w:r>
            <w:r>
              <w:rPr>
                <w:rFonts w:ascii="宋体" w:hAnsi="宋体" w:cs="宋体" w:eastAsia="宋体" w:hint="default"/>
                <w:spacing w:val="-103"/>
                <w:sz w:val="21"/>
                <w:szCs w:val="21"/>
              </w:rPr>
              <w:t> </w:t>
            </w:r>
            <w:r>
              <w:rPr>
                <w:rFonts w:ascii="宋体" w:hAnsi="宋体" w:cs="宋体" w:eastAsia="宋体" w:hint="default"/>
                <w:spacing w:val="-12"/>
                <w:sz w:val="21"/>
                <w:szCs w:val="21"/>
              </w:rPr>
              <w:t>加，以票据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7"/>
                <w:sz w:val="21"/>
                <w:szCs w:val="21"/>
              </w:rPr>
              <w:t>结算的供</w:t>
            </w:r>
            <w:r>
              <w:rPr>
                <w:rFonts w:ascii="宋体" w:hAnsi="宋体" w:cs="宋体" w:eastAsia="宋体" w:hint="default"/>
                <w:spacing w:val="-103"/>
                <w:sz w:val="21"/>
                <w:szCs w:val="21"/>
              </w:rPr>
              <w:t> </w:t>
            </w:r>
            <w:r>
              <w:rPr>
                <w:rFonts w:ascii="宋体" w:hAnsi="宋体" w:cs="宋体" w:eastAsia="宋体" w:hint="default"/>
                <w:spacing w:val="37"/>
                <w:sz w:val="21"/>
                <w:szCs w:val="21"/>
              </w:rPr>
              <w:t>应商款项</w:t>
            </w:r>
            <w:r>
              <w:rPr>
                <w:rFonts w:ascii="宋体" w:hAnsi="宋体" w:cs="宋体" w:eastAsia="宋体" w:hint="default"/>
                <w:spacing w:val="-103"/>
                <w:sz w:val="21"/>
                <w:szCs w:val="21"/>
              </w:rPr>
              <w:t> </w:t>
            </w:r>
            <w:r>
              <w:rPr>
                <w:rFonts w:ascii="宋体" w:hAnsi="宋体" w:cs="宋体" w:eastAsia="宋体" w:hint="default"/>
                <w:spacing w:val="37"/>
                <w:sz w:val="21"/>
                <w:szCs w:val="21"/>
              </w:rPr>
              <w:t>也相应所</w:t>
            </w:r>
            <w:r>
              <w:rPr>
                <w:rFonts w:ascii="宋体" w:hAnsi="宋体" w:cs="宋体" w:eastAsia="宋体" w:hint="default"/>
                <w:spacing w:val="-103"/>
                <w:sz w:val="21"/>
                <w:szCs w:val="21"/>
              </w:rPr>
              <w:t> </w:t>
            </w:r>
            <w:r>
              <w:rPr>
                <w:rFonts w:ascii="宋体" w:hAnsi="宋体" w:cs="宋体" w:eastAsia="宋体" w:hint="default"/>
                <w:sz w:val="21"/>
                <w:szCs w:val="21"/>
              </w:rPr>
              <w:t>致</w:t>
            </w:r>
          </w:p>
        </w:tc>
      </w:tr>
      <w:tr>
        <w:trPr>
          <w:trHeight w:val="55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应付职工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12,805,005.25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7,261,534.41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76.34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主要系公</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司人员增</w:t>
            </w:r>
            <w:r>
              <w:rPr>
                <w:rFonts w:ascii="宋体" w:hAnsi="宋体" w:cs="宋体" w:eastAsia="宋体" w:hint="default"/>
                <w:spacing w:val="-55"/>
                <w:sz w:val="21"/>
                <w:szCs w:val="21"/>
              </w:rPr>
              <w:t> </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pgSz w:w="11910" w:h="16840"/>
          <w:pgMar w:header="882" w:footer="977"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100"/>
        <w:gridCol w:w="1688"/>
        <w:gridCol w:w="1202"/>
        <w:gridCol w:w="1686"/>
        <w:gridCol w:w="1094"/>
        <w:gridCol w:w="1057"/>
        <w:gridCol w:w="1210"/>
      </w:tblGrid>
      <w:tr>
        <w:trPr>
          <w:trHeight w:val="827" w:hRule="exact"/>
        </w:trPr>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加以及薪</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left"/>
              <w:rPr>
                <w:rFonts w:ascii="宋体" w:hAnsi="宋体" w:cs="宋体" w:eastAsia="宋体" w:hint="default"/>
                <w:sz w:val="21"/>
                <w:szCs w:val="21"/>
              </w:rPr>
            </w:pPr>
            <w:r>
              <w:rPr>
                <w:rFonts w:ascii="宋体" w:hAnsi="宋体" w:cs="宋体" w:eastAsia="宋体" w:hint="default"/>
                <w:spacing w:val="37"/>
                <w:sz w:val="21"/>
                <w:szCs w:val="21"/>
              </w:rPr>
              <w:t>酬调整所</w:t>
            </w:r>
            <w:r>
              <w:rPr>
                <w:rFonts w:ascii="宋体" w:hAnsi="宋体" w:cs="宋体" w:eastAsia="宋体" w:hint="default"/>
                <w:spacing w:val="-103"/>
                <w:sz w:val="21"/>
                <w:szCs w:val="21"/>
              </w:rPr>
              <w:t> </w:t>
            </w:r>
            <w:r>
              <w:rPr>
                <w:rFonts w:ascii="宋体" w:hAnsi="宋体" w:cs="宋体" w:eastAsia="宋体" w:hint="default"/>
                <w:sz w:val="21"/>
                <w:szCs w:val="21"/>
              </w:rPr>
              <w:t>致</w:t>
            </w:r>
          </w:p>
        </w:tc>
      </w:tr>
      <w:tr>
        <w:trPr>
          <w:trHeight w:val="276" w:hRule="exact"/>
        </w:trPr>
        <w:tc>
          <w:tcPr>
            <w:tcW w:w="1100" w:type="dxa"/>
            <w:tcBorders>
              <w:top w:val="single" w:sz="4" w:space="0" w:color="000000"/>
              <w:left w:val="single" w:sz="4" w:space="0" w:color="000000"/>
              <w:bottom w:val="nil" w:sz="6" w:space="0" w:color="auto"/>
              <w:right w:val="single" w:sz="4" w:space="0" w:color="000000"/>
            </w:tcBorders>
          </w:tcPr>
          <w:p>
            <w:pPr/>
          </w:p>
        </w:tc>
        <w:tc>
          <w:tcPr>
            <w:tcW w:w="1688"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121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主要系尚</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817" w:hRule="exact"/>
        </w:trPr>
        <w:tc>
          <w:tcPr>
            <w:tcW w:w="1100" w:type="dxa"/>
            <w:tcBorders>
              <w:top w:val="nil" w:sz="6" w:space="0" w:color="auto"/>
              <w:left w:val="single" w:sz="4" w:space="0" w:color="000000"/>
              <w:bottom w:val="nil" w:sz="6" w:space="0" w:color="auto"/>
              <w:right w:val="single" w:sz="4" w:space="0" w:color="000000"/>
            </w:tcBorders>
          </w:tcPr>
          <w:p>
            <w:pPr>
              <w:pStyle w:val="TableParagraph"/>
              <w:spacing w:line="272" w:lineRule="exact" w:before="131"/>
              <w:ind w:left="103" w:right="87"/>
              <w:jc w:val="left"/>
              <w:rPr>
                <w:rFonts w:ascii="宋体" w:hAnsi="宋体" w:cs="宋体" w:eastAsia="宋体" w:hint="default"/>
                <w:sz w:val="21"/>
                <w:szCs w:val="21"/>
              </w:rPr>
            </w:pPr>
            <w:r>
              <w:rPr>
                <w:rFonts w:ascii="宋体" w:hAnsi="宋体" w:cs="宋体" w:eastAsia="宋体" w:hint="default"/>
                <w:spacing w:val="14"/>
                <w:sz w:val="21"/>
                <w:szCs w:val="21"/>
              </w:rPr>
              <w:t>其他应付 </w:t>
            </w:r>
            <w:r>
              <w:rPr>
                <w:rFonts w:ascii="宋体" w:hAnsi="宋体" w:cs="宋体" w:eastAsia="宋体" w:hint="default"/>
                <w:sz w:val="21"/>
                <w:szCs w:val="21"/>
              </w:rPr>
              <w:t>款</w:t>
            </w:r>
          </w:p>
        </w:tc>
        <w:tc>
          <w:tcPr>
            <w:tcW w:w="16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13,062,732.84</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1.19</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995,611.30</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0.17</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1,212.03</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未支付公</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left"/>
              <w:rPr>
                <w:rFonts w:ascii="宋体" w:hAnsi="宋体" w:cs="宋体" w:eastAsia="宋体" w:hint="default"/>
                <w:sz w:val="21"/>
                <w:szCs w:val="21"/>
              </w:rPr>
            </w:pPr>
            <w:r>
              <w:rPr>
                <w:rFonts w:ascii="宋体" w:hAnsi="宋体" w:cs="宋体" w:eastAsia="宋体" w:hint="default"/>
                <w:spacing w:val="37"/>
                <w:sz w:val="21"/>
                <w:szCs w:val="21"/>
              </w:rPr>
              <w:t>司南威大</w:t>
            </w:r>
            <w:r>
              <w:rPr>
                <w:rFonts w:ascii="宋体" w:hAnsi="宋体" w:cs="宋体" w:eastAsia="宋体" w:hint="default"/>
                <w:spacing w:val="-103"/>
                <w:sz w:val="21"/>
                <w:szCs w:val="21"/>
              </w:rPr>
              <w:t> </w:t>
            </w:r>
            <w:r>
              <w:rPr>
                <w:rFonts w:ascii="宋体" w:hAnsi="宋体" w:cs="宋体" w:eastAsia="宋体" w:hint="default"/>
                <w:spacing w:val="37"/>
                <w:sz w:val="21"/>
                <w:szCs w:val="21"/>
              </w:rPr>
              <w:t>厦工程款</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279" w:hRule="exact"/>
        </w:trPr>
        <w:tc>
          <w:tcPr>
            <w:tcW w:w="1100" w:type="dxa"/>
            <w:tcBorders>
              <w:top w:val="nil" w:sz="6" w:space="0" w:color="auto"/>
              <w:left w:val="single" w:sz="4" w:space="0" w:color="000000"/>
              <w:bottom w:val="single" w:sz="4" w:space="0" w:color="000000"/>
              <w:right w:val="single" w:sz="4" w:space="0" w:color="000000"/>
            </w:tcBorders>
          </w:tcPr>
          <w:p>
            <w:pPr/>
          </w:p>
        </w:tc>
        <w:tc>
          <w:tcPr>
            <w:tcW w:w="1688"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121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82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87"/>
              <w:jc w:val="left"/>
              <w:rPr>
                <w:rFonts w:ascii="宋体" w:hAnsi="宋体" w:cs="宋体" w:eastAsia="宋体" w:hint="default"/>
                <w:sz w:val="21"/>
                <w:szCs w:val="21"/>
              </w:rPr>
            </w:pPr>
            <w:r>
              <w:rPr>
                <w:rFonts w:ascii="宋体" w:hAnsi="宋体" w:cs="宋体" w:eastAsia="宋体" w:hint="default"/>
                <w:spacing w:val="14"/>
                <w:sz w:val="21"/>
                <w:szCs w:val="21"/>
              </w:rPr>
              <w:t>未分配利 </w:t>
            </w:r>
            <w:r>
              <w:rPr>
                <w:rFonts w:ascii="宋体" w:hAnsi="宋体" w:cs="宋体" w:eastAsia="宋体" w:hint="default"/>
                <w:sz w:val="21"/>
                <w:szCs w:val="21"/>
              </w:rPr>
              <w:t>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265,548,006.81</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24.24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188,173,718.97</w:t>
            </w:r>
            <w:r>
              <w:rPr>
                <w:rFonts w:ascii="宋体"/>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31.90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41.12</w:t>
            </w:r>
            <w:r>
              <w:rPr>
                <w:rFonts w:ascii="宋体"/>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主要系公</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left"/>
              <w:rPr>
                <w:rFonts w:ascii="宋体" w:hAnsi="宋体" w:cs="宋体" w:eastAsia="宋体" w:hint="default"/>
                <w:sz w:val="21"/>
                <w:szCs w:val="21"/>
              </w:rPr>
            </w:pPr>
            <w:r>
              <w:rPr>
                <w:rFonts w:ascii="宋体" w:hAnsi="宋体" w:cs="宋体" w:eastAsia="宋体" w:hint="default"/>
                <w:spacing w:val="37"/>
                <w:sz w:val="21"/>
                <w:szCs w:val="21"/>
              </w:rPr>
              <w:t>司利润增</w:t>
            </w:r>
            <w:r>
              <w:rPr>
                <w:rFonts w:ascii="宋体" w:hAnsi="宋体" w:cs="宋体" w:eastAsia="宋体" w:hint="default"/>
                <w:spacing w:val="-103"/>
                <w:sz w:val="21"/>
                <w:szCs w:val="21"/>
              </w:rPr>
              <w:t> </w:t>
            </w:r>
            <w:r>
              <w:rPr>
                <w:rFonts w:ascii="宋体" w:hAnsi="宋体" w:cs="宋体" w:eastAsia="宋体" w:hint="default"/>
                <w:sz w:val="21"/>
                <w:szCs w:val="21"/>
              </w:rPr>
              <w:t>加所致</w:t>
            </w:r>
          </w:p>
        </w:tc>
      </w:tr>
      <w:tr>
        <w:trPr>
          <w:trHeight w:val="277" w:hRule="exact"/>
        </w:trPr>
        <w:tc>
          <w:tcPr>
            <w:tcW w:w="1100" w:type="dxa"/>
            <w:tcBorders>
              <w:top w:val="single" w:sz="4" w:space="0" w:color="000000"/>
              <w:left w:val="single" w:sz="4" w:space="0" w:color="000000"/>
              <w:bottom w:val="nil" w:sz="6" w:space="0" w:color="auto"/>
              <w:right w:val="single" w:sz="4" w:space="0" w:color="000000"/>
            </w:tcBorders>
          </w:tcPr>
          <w:p>
            <w:pPr/>
          </w:p>
        </w:tc>
        <w:tc>
          <w:tcPr>
            <w:tcW w:w="1688"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121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主要系子</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272" w:hRule="exact"/>
        </w:trPr>
        <w:tc>
          <w:tcPr>
            <w:tcW w:w="1100" w:type="dxa"/>
            <w:tcBorders>
              <w:top w:val="nil" w:sz="6" w:space="0" w:color="auto"/>
              <w:left w:val="single" w:sz="4" w:space="0" w:color="000000"/>
              <w:bottom w:val="nil" w:sz="6" w:space="0" w:color="auto"/>
              <w:right w:val="single" w:sz="4" w:space="0" w:color="000000"/>
            </w:tcBorders>
          </w:tcPr>
          <w:p>
            <w:pPr/>
          </w:p>
        </w:tc>
        <w:tc>
          <w:tcPr>
            <w:tcW w:w="1688"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公司福建</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816" w:hRule="exact"/>
        </w:trPr>
        <w:tc>
          <w:tcPr>
            <w:tcW w:w="1100"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3" w:right="87"/>
              <w:jc w:val="left"/>
              <w:rPr>
                <w:rFonts w:ascii="宋体" w:hAnsi="宋体" w:cs="宋体" w:eastAsia="宋体" w:hint="default"/>
                <w:sz w:val="21"/>
                <w:szCs w:val="21"/>
              </w:rPr>
            </w:pPr>
            <w:r>
              <w:rPr>
                <w:rFonts w:ascii="宋体" w:hAnsi="宋体" w:cs="宋体" w:eastAsia="宋体" w:hint="default"/>
                <w:spacing w:val="14"/>
                <w:sz w:val="21"/>
                <w:szCs w:val="21"/>
              </w:rPr>
              <w:t>少数股东 </w:t>
            </w:r>
            <w:r>
              <w:rPr>
                <w:rFonts w:ascii="宋体" w:hAnsi="宋体" w:cs="宋体" w:eastAsia="宋体" w:hint="default"/>
                <w:sz w:val="21"/>
                <w:szCs w:val="21"/>
              </w:rPr>
              <w:t>权益</w:t>
            </w:r>
          </w:p>
        </w:tc>
        <w:tc>
          <w:tcPr>
            <w:tcW w:w="16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10,376,799.98</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0.95</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4,105,228.84</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0.70</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152.77</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神威少数</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3" w:right="53"/>
              <w:jc w:val="left"/>
              <w:rPr>
                <w:rFonts w:ascii="宋体" w:hAnsi="宋体" w:cs="宋体" w:eastAsia="宋体" w:hint="default"/>
                <w:sz w:val="21"/>
                <w:szCs w:val="21"/>
              </w:rPr>
            </w:pPr>
            <w:r>
              <w:rPr>
                <w:rFonts w:ascii="宋体" w:hAnsi="宋体" w:cs="宋体" w:eastAsia="宋体" w:hint="default"/>
                <w:spacing w:val="37"/>
                <w:sz w:val="21"/>
                <w:szCs w:val="21"/>
              </w:rPr>
              <w:t>股东新增</w:t>
            </w:r>
            <w:r>
              <w:rPr>
                <w:rFonts w:ascii="宋体" w:hAnsi="宋体" w:cs="宋体" w:eastAsia="宋体" w:hint="default"/>
                <w:spacing w:val="-103"/>
                <w:sz w:val="21"/>
                <w:szCs w:val="21"/>
              </w:rPr>
              <w:t> </w:t>
            </w:r>
            <w:r>
              <w:rPr>
                <w:rFonts w:ascii="宋体" w:hAnsi="宋体" w:cs="宋体" w:eastAsia="宋体" w:hint="default"/>
                <w:spacing w:val="37"/>
                <w:sz w:val="21"/>
                <w:szCs w:val="21"/>
              </w:rPr>
              <w:t>投入注册</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272" w:hRule="exact"/>
        </w:trPr>
        <w:tc>
          <w:tcPr>
            <w:tcW w:w="1100" w:type="dxa"/>
            <w:tcBorders>
              <w:top w:val="nil" w:sz="6" w:space="0" w:color="auto"/>
              <w:left w:val="single" w:sz="4" w:space="0" w:color="000000"/>
              <w:bottom w:val="nil" w:sz="6" w:space="0" w:color="auto"/>
              <w:right w:val="single" w:sz="4" w:space="0" w:color="000000"/>
            </w:tcBorders>
          </w:tcPr>
          <w:p>
            <w:pPr/>
          </w:p>
        </w:tc>
        <w:tc>
          <w:tcPr>
            <w:tcW w:w="1688"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资本金所</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279" w:hRule="exact"/>
        </w:trPr>
        <w:tc>
          <w:tcPr>
            <w:tcW w:w="1100" w:type="dxa"/>
            <w:tcBorders>
              <w:top w:val="nil" w:sz="6" w:space="0" w:color="auto"/>
              <w:left w:val="single" w:sz="4" w:space="0" w:color="000000"/>
              <w:bottom w:val="single" w:sz="4" w:space="0" w:color="000000"/>
              <w:right w:val="single" w:sz="4" w:space="0" w:color="000000"/>
            </w:tcBorders>
          </w:tcPr>
          <w:p>
            <w:pPr/>
          </w:p>
        </w:tc>
        <w:tc>
          <w:tcPr>
            <w:tcW w:w="1688"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121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277" w:hRule="exact"/>
        </w:trPr>
        <w:tc>
          <w:tcPr>
            <w:tcW w:w="1100" w:type="dxa"/>
            <w:tcBorders>
              <w:top w:val="single" w:sz="4" w:space="0" w:color="000000"/>
              <w:left w:val="single" w:sz="4" w:space="0" w:color="000000"/>
              <w:bottom w:val="nil" w:sz="6" w:space="0" w:color="auto"/>
              <w:right w:val="single" w:sz="4" w:space="0" w:color="000000"/>
            </w:tcBorders>
          </w:tcPr>
          <w:p>
            <w:pPr/>
          </w:p>
        </w:tc>
        <w:tc>
          <w:tcPr>
            <w:tcW w:w="1688"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121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主要系收</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545" w:hRule="exact"/>
        </w:trPr>
        <w:tc>
          <w:tcPr>
            <w:tcW w:w="11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3,341,666.67</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0.31</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7,472,814.92</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1.27</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-55.28</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到的跨期</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政府补助</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279" w:hRule="exact"/>
        </w:trPr>
        <w:tc>
          <w:tcPr>
            <w:tcW w:w="1100" w:type="dxa"/>
            <w:tcBorders>
              <w:top w:val="nil" w:sz="6" w:space="0" w:color="auto"/>
              <w:left w:val="single" w:sz="4" w:space="0" w:color="000000"/>
              <w:bottom w:val="single" w:sz="4" w:space="0" w:color="000000"/>
              <w:right w:val="single" w:sz="4" w:space="0" w:color="000000"/>
            </w:tcBorders>
          </w:tcPr>
          <w:p>
            <w:pPr/>
          </w:p>
        </w:tc>
        <w:tc>
          <w:tcPr>
            <w:tcW w:w="1688"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121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2"/>
        <w:tabs>
          <w:tab w:pos="637" w:val="left" w:leader="none"/>
        </w:tabs>
        <w:spacing w:line="357" w:lineRule="auto"/>
        <w:ind w:left="637" w:right="3356" w:hanging="420"/>
        <w:jc w:val="left"/>
        <w:rPr>
          <w:rFonts w:ascii="宋体" w:hAnsi="宋体" w:cs="宋体" w:eastAsia="宋体" w:hint="default"/>
          <w:b w:val="0"/>
          <w:bCs w:val="0"/>
        </w:rPr>
      </w:pPr>
      <w:r>
        <w:rPr>
          <w:w w:val="95"/>
        </w:rPr>
        <w:t>2</w:t>
        <w:tab/>
      </w:r>
      <w:r>
        <w:rPr/>
        <w:t>公允价值计量资产、主要资产计量属性变化相关情况说明</w:t>
      </w:r>
      <w:r>
        <w:rPr>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pStyle w:val="Heading2"/>
        <w:tabs>
          <w:tab w:pos="637" w:val="left" w:leader="none"/>
        </w:tabs>
        <w:spacing w:line="357" w:lineRule="auto" w:before="0"/>
        <w:ind w:left="637" w:right="7361" w:hanging="420"/>
        <w:jc w:val="left"/>
        <w:rPr>
          <w:rFonts w:ascii="宋体" w:hAnsi="宋体" w:cs="宋体" w:eastAsia="宋体" w:hint="default"/>
          <w:b w:val="0"/>
          <w:bCs w:val="0"/>
        </w:rPr>
      </w:pPr>
      <w:r>
        <w:rPr>
          <w:w w:val="95"/>
        </w:rPr>
        <w:t>3</w:t>
        <w:tab/>
      </w:r>
      <w:r>
        <w:rPr/>
        <w:t>其他情况说明</w:t>
      </w:r>
      <w:r>
        <w:rPr>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spacing w:line="326" w:lineRule="auto" w:before="0"/>
        <w:ind w:left="637" w:right="20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公司把握电子政务建设热点的变化趋势，大力介入智慧公安、平安城市等社会管理与公共服</w:t>
      </w:r>
    </w:p>
    <w:p>
      <w:pPr>
        <w:pStyle w:val="BodyText"/>
        <w:spacing w:line="314" w:lineRule="auto" w:before="9"/>
        <w:ind w:left="217" w:right="212"/>
        <w:jc w:val="both"/>
      </w:pPr>
      <w:r>
        <w:rPr/>
        <w:t>务领域的信息化建设，业务规模增长较快，现已成为福建、浙江、安徽等地重要的电子政务解决</w:t>
      </w:r>
      <w:r>
        <w:rPr>
          <w:spacing w:val="-96"/>
        </w:rPr>
        <w:t> </w:t>
      </w:r>
      <w:r>
        <w:rPr>
          <w:spacing w:val="-96"/>
        </w:rPr>
      </w:r>
      <w:r>
        <w:rPr/>
        <w:t>方案提供商。</w:t>
      </w:r>
    </w:p>
    <w:p>
      <w:pPr>
        <w:pStyle w:val="BodyText"/>
        <w:spacing w:line="314" w:lineRule="auto"/>
        <w:ind w:left="637" w:right="207" w:firstLine="2"/>
        <w:jc w:val="left"/>
      </w:pPr>
      <w:r>
        <w:rPr>
          <w:rFonts w:ascii="宋体" w:hAnsi="宋体" w:cs="宋体" w:eastAsia="宋体" w:hint="default"/>
          <w:b/>
          <w:bCs/>
        </w:rPr>
        <w:t>1、技术方案优势</w:t>
      </w:r>
      <w:r>
        <w:rPr>
          <w:rFonts w:ascii="宋体" w:hAnsi="宋体" w:cs="宋体" w:eastAsia="宋体" w:hint="default"/>
          <w:b/>
          <w:bCs/>
          <w:spacing w:val="1"/>
          <w:w w:val="99"/>
        </w:rPr>
        <w:t> </w:t>
      </w:r>
      <w:r>
        <w:rPr/>
        <w:t>公司始终坚持技术创新，把自主技术创新作为巩固竞争优势的根本途径。自成立以来，公司</w:t>
      </w:r>
    </w:p>
    <w:p>
      <w:pPr>
        <w:pStyle w:val="BodyText"/>
        <w:spacing w:line="240" w:lineRule="auto"/>
        <w:ind w:left="217" w:right="0"/>
        <w:jc w:val="left"/>
      </w:pPr>
      <w:r>
        <w:rPr>
          <w:spacing w:val="-4"/>
        </w:rPr>
        <w:t>累计承担了国家发改委、国家科技部、国家工信部等部委组织的 </w:t>
      </w:r>
      <w:r>
        <w:rPr/>
        <w:t>18</w:t>
      </w:r>
      <w:r>
        <w:rPr>
          <w:spacing w:val="-69"/>
        </w:rPr>
        <w:t> </w:t>
      </w:r>
      <w:r>
        <w:rPr>
          <w:spacing w:val="-4"/>
        </w:rPr>
        <w:t>项国家级课题，以及福建省科</w:t>
      </w:r>
    </w:p>
    <w:p>
      <w:pPr>
        <w:pStyle w:val="BodyText"/>
        <w:spacing w:line="240" w:lineRule="auto" w:before="85"/>
        <w:ind w:left="217" w:right="0"/>
        <w:jc w:val="left"/>
      </w:pPr>
      <w:r>
        <w:rPr>
          <w:spacing w:val="-3"/>
        </w:rPr>
        <w:t>技厅、福建省信息化局等部门组织的</w:t>
      </w:r>
      <w:r>
        <w:rPr>
          <w:spacing w:val="-52"/>
        </w:rPr>
        <w:t> </w:t>
      </w:r>
      <w:r>
        <w:rPr/>
        <w:t>20</w:t>
      </w:r>
      <w:r>
        <w:rPr>
          <w:spacing w:val="-51"/>
        </w:rPr>
        <w:t> </w:t>
      </w:r>
      <w:r>
        <w:rPr>
          <w:spacing w:val="-3"/>
        </w:rPr>
        <w:t>项省级课题，公司目前拥有发明专利</w:t>
      </w:r>
      <w:r>
        <w:rPr>
          <w:spacing w:val="-52"/>
        </w:rPr>
        <w:t> </w:t>
      </w:r>
      <w:r>
        <w:rPr/>
        <w:t>3</w:t>
      </w:r>
      <w:r>
        <w:rPr>
          <w:spacing w:val="-51"/>
        </w:rPr>
        <w:t> </w:t>
      </w:r>
      <w:r>
        <w:rPr>
          <w:spacing w:val="-5"/>
        </w:rPr>
        <w:t>项，实用新型专利</w:t>
      </w:r>
    </w:p>
    <w:p>
      <w:pPr>
        <w:pStyle w:val="BodyText"/>
        <w:spacing w:line="240" w:lineRule="auto" w:before="85"/>
        <w:ind w:left="217" w:right="0"/>
        <w:jc w:val="left"/>
      </w:pPr>
      <w:r>
        <w:rPr/>
        <w:t>5 </w:t>
      </w:r>
      <w:r>
        <w:rPr>
          <w:spacing w:val="2"/>
        </w:rPr>
        <w:t>项，自主产品计算机软件著作权 </w:t>
      </w:r>
      <w:r>
        <w:rPr/>
        <w:t>216</w:t>
      </w:r>
      <w:r>
        <w:rPr>
          <w:spacing w:val="21"/>
        </w:rPr>
        <w:t> </w:t>
      </w:r>
      <w:r>
        <w:rPr>
          <w:spacing w:val="2"/>
        </w:rPr>
        <w:t>项。公司成功开发了具有自主知识产权的应用支撑平台</w:t>
      </w:r>
      <w:r>
        <w:rPr/>
      </w:r>
    </w:p>
    <w:p>
      <w:pPr>
        <w:pStyle w:val="BodyText"/>
        <w:spacing w:line="314" w:lineRule="auto" w:before="85"/>
        <w:ind w:left="217" w:right="212"/>
        <w:jc w:val="both"/>
      </w:pPr>
      <w:r>
        <w:rPr>
          <w:spacing w:val="-4"/>
        </w:rPr>
        <w:t>（UCAP），平台定位于云计算</w:t>
      </w:r>
      <w:r>
        <w:rPr>
          <w:spacing w:val="-69"/>
        </w:rPr>
        <w:t> </w:t>
      </w:r>
      <w:r>
        <w:rPr/>
        <w:t>PaaS</w:t>
      </w:r>
      <w:r>
        <w:rPr>
          <w:spacing w:val="-69"/>
        </w:rPr>
        <w:t> </w:t>
      </w:r>
      <w:r>
        <w:rPr/>
        <w:t>层，能够支持公司、第三方软件开发商实现云计算应用的快速</w:t>
      </w:r>
      <w:r>
        <w:rPr/>
        <w:t> 开发，为最终用户提供软件服务。公司产品均以公司自主研发的应用支撑平台作为底层架构，发</w:t>
      </w:r>
      <w:r>
        <w:rPr>
          <w:spacing w:val="-96"/>
        </w:rPr>
        <w:t> </w:t>
      </w:r>
      <w:r>
        <w:rPr>
          <w:spacing w:val="-96"/>
        </w:rPr>
      </w:r>
      <w:r>
        <w:rPr/>
        <w:t>挥了平台在技术方面的优势，可根据需求快速实现二次开发，形成资源复用的开发管理模式。</w:t>
      </w:r>
    </w:p>
    <w:p>
      <w:pPr>
        <w:pStyle w:val="Heading2"/>
        <w:spacing w:line="240" w:lineRule="auto" w:before="20"/>
        <w:ind w:left="639" w:right="5667"/>
        <w:jc w:val="left"/>
        <w:rPr>
          <w:b w:val="0"/>
          <w:bCs w:val="0"/>
        </w:rPr>
      </w:pPr>
      <w:r>
        <w:rPr/>
        <w:t>2、产品和解决方案优势</w:t>
      </w:r>
      <w:r>
        <w:rPr>
          <w:b w:val="0"/>
          <w:bCs w:val="0"/>
        </w:rPr>
      </w:r>
    </w:p>
    <w:p>
      <w:pPr>
        <w:spacing w:after="0" w:line="240" w:lineRule="auto"/>
        <w:jc w:val="left"/>
        <w:sectPr>
          <w:pgSz w:w="11910" w:h="16840"/>
          <w:pgMar w:header="882" w:footer="977" w:top="1120" w:bottom="1160" w:left="1580" w:right="106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BodyText"/>
        <w:spacing w:line="314" w:lineRule="auto" w:before="0"/>
        <w:ind w:left="137" w:right="212" w:firstLine="420"/>
        <w:jc w:val="both"/>
      </w:pPr>
      <w:r>
        <w:rPr/>
        <w:t>公司依托自身先进的技术水平和丰富的实践经验，研发了行政审批、电子监察、电子证照、 党委内网门户监管系统、军队基层通用信息系统等多个在细分领域具有较高知名度和比较优势的</w:t>
      </w:r>
      <w:r>
        <w:rPr>
          <w:spacing w:val="-96"/>
        </w:rPr>
        <w:t> </w:t>
      </w:r>
      <w:r>
        <w:rPr>
          <w:spacing w:val="-96"/>
        </w:rPr>
      </w:r>
      <w:r>
        <w:rPr>
          <w:spacing w:val="-5"/>
        </w:rPr>
        <w:t>软件产品。同时，根据公司作为电子政务整体解决方案提供商的发展定位，综合提出了智慧城市、</w:t>
      </w:r>
      <w:r>
        <w:rPr>
          <w:spacing w:val="-88"/>
        </w:rPr>
        <w:t> </w:t>
      </w:r>
      <w:r>
        <w:rPr>
          <w:spacing w:val="-88"/>
        </w:rPr>
      </w:r>
      <w:r>
        <w:rPr/>
        <w:t>智慧政务、智慧公安、平安城市、党委系统信息化、智慧军营等多项解决方案，为政务部门提供</w:t>
      </w:r>
      <w:r>
        <w:rPr>
          <w:spacing w:val="-96"/>
        </w:rPr>
        <w:t> </w:t>
      </w:r>
      <w:r>
        <w:rPr>
          <w:spacing w:val="-96"/>
        </w:rPr>
      </w:r>
      <w:r>
        <w:rPr/>
        <w:t>包括技术、业务、运行等多方面的综合服务。</w:t>
      </w:r>
    </w:p>
    <w:p>
      <w:pPr>
        <w:pStyle w:val="Heading2"/>
        <w:spacing w:line="240" w:lineRule="auto" w:before="20"/>
        <w:ind w:left="559" w:right="2437"/>
        <w:jc w:val="left"/>
        <w:rPr>
          <w:b w:val="0"/>
          <w:bCs w:val="0"/>
        </w:rPr>
      </w:pPr>
      <w:r>
        <w:rPr/>
        <w:t>3、客户资源优势</w:t>
      </w:r>
      <w:r>
        <w:rPr>
          <w:b w:val="0"/>
          <w:bCs w:val="0"/>
        </w:rPr>
      </w:r>
    </w:p>
    <w:p>
      <w:pPr>
        <w:pStyle w:val="BodyText"/>
        <w:spacing w:line="240" w:lineRule="auto" w:before="85"/>
        <w:ind w:left="557" w:right="127"/>
        <w:jc w:val="left"/>
      </w:pPr>
      <w:r>
        <w:rPr/>
        <w:t>报告期末，公司业务已经覆盖全国</w:t>
      </w:r>
      <w:r>
        <w:rPr>
          <w:spacing w:val="-62"/>
        </w:rPr>
        <w:t> </w:t>
      </w:r>
      <w:r>
        <w:rPr/>
        <w:t>18</w:t>
      </w:r>
      <w:r>
        <w:rPr>
          <w:spacing w:val="-61"/>
        </w:rPr>
        <w:t> </w:t>
      </w:r>
      <w:r>
        <w:rPr>
          <w:spacing w:val="-5"/>
        </w:rPr>
        <w:t>个省份，积累了国家部委、省、市、县、乡</w:t>
      </w:r>
      <w:r>
        <w:rPr>
          <w:spacing w:val="-62"/>
        </w:rPr>
        <w:t> </w:t>
      </w:r>
      <w:r>
        <w:rPr/>
        <w:t>5</w:t>
      </w:r>
      <w:r>
        <w:rPr>
          <w:spacing w:val="-61"/>
        </w:rPr>
        <w:t> </w:t>
      </w:r>
      <w:r>
        <w:rPr/>
        <w:t>级政务部</w:t>
      </w:r>
    </w:p>
    <w:p>
      <w:pPr>
        <w:pStyle w:val="BodyText"/>
        <w:spacing w:line="314" w:lineRule="auto" w:before="85"/>
        <w:ind w:left="137" w:right="92"/>
        <w:jc w:val="left"/>
      </w:pPr>
      <w:r>
        <w:rPr/>
        <w:t>门</w:t>
      </w:r>
      <w:r>
        <w:rPr>
          <w:spacing w:val="-48"/>
        </w:rPr>
        <w:t> </w:t>
      </w:r>
      <w:r>
        <w:rPr/>
        <w:t>2000</w:t>
      </w:r>
      <w:r>
        <w:rPr>
          <w:spacing w:val="-47"/>
        </w:rPr>
        <w:t> </w:t>
      </w:r>
      <w:r>
        <w:rPr/>
        <w:t>多家客户，承担建设了中共中央办公厅、国务院办公厅、中共中央组织部、国家发改委、</w:t>
      </w:r>
      <w:r>
        <w:rPr/>
        <w:t> 国家公安部、中国保监会及福建省、浙江省、安徽省、新疆建设兵团、新疆自治区等具有较高影</w:t>
      </w:r>
      <w:r>
        <w:rPr>
          <w:spacing w:val="-96"/>
        </w:rPr>
        <w:t> </w:t>
      </w:r>
      <w:r>
        <w:rPr>
          <w:spacing w:val="-96"/>
        </w:rPr>
      </w:r>
      <w:r>
        <w:rPr/>
        <w:t>响力、示范力、带动力的项目，形成了广泛稳定的客户群体，具备了较高的行业影响力。</w:t>
      </w:r>
    </w:p>
    <w:p>
      <w:pPr>
        <w:pStyle w:val="BodyText"/>
        <w:spacing w:line="314" w:lineRule="auto"/>
        <w:ind w:left="557" w:right="207" w:firstLine="2"/>
        <w:jc w:val="left"/>
      </w:pPr>
      <w:r>
        <w:rPr>
          <w:rFonts w:ascii="宋体" w:hAnsi="宋体" w:cs="宋体" w:eastAsia="宋体" w:hint="default"/>
          <w:b/>
          <w:bCs/>
        </w:rPr>
        <w:t>4、资质优势</w:t>
      </w:r>
      <w:r>
        <w:rPr>
          <w:rFonts w:ascii="宋体" w:hAnsi="宋体" w:cs="宋体" w:eastAsia="宋体" w:hint="default"/>
          <w:b/>
          <w:bCs/>
          <w:spacing w:val="1"/>
          <w:w w:val="99"/>
        </w:rPr>
        <w:t> </w:t>
      </w:r>
      <w:r>
        <w:rPr/>
        <w:t>公司已取得计算机信息系统集成壹级资质、涉及国家秘密的计算机信息系统集成甲级资质、</w:t>
      </w:r>
    </w:p>
    <w:p>
      <w:pPr>
        <w:pStyle w:val="BodyText"/>
        <w:spacing w:line="314" w:lineRule="auto"/>
        <w:ind w:left="137" w:right="196"/>
        <w:jc w:val="left"/>
      </w:pPr>
      <w:r>
        <w:rPr/>
        <w:t>建筑智能工程设计与施工壹级资质、安防工程企业壹级资质和</w:t>
      </w:r>
      <w:r>
        <w:rPr>
          <w:spacing w:val="-47"/>
        </w:rPr>
        <w:t> </w:t>
      </w:r>
      <w:r>
        <w:rPr/>
        <w:t>CMMI3</w:t>
      </w:r>
      <w:r>
        <w:rPr>
          <w:spacing w:val="-47"/>
        </w:rPr>
        <w:t> </w:t>
      </w:r>
      <w:r>
        <w:rPr/>
        <w:t>级认证等，具备进入重点行</w:t>
      </w:r>
      <w:r>
        <w:rPr/>
        <w:t> 业、重要领域、重大工程的资质条件。</w:t>
      </w:r>
    </w:p>
    <w:p>
      <w:pPr>
        <w:pStyle w:val="BodyText"/>
        <w:spacing w:line="314" w:lineRule="auto"/>
        <w:ind w:left="557" w:right="207" w:firstLine="2"/>
        <w:jc w:val="left"/>
      </w:pPr>
      <w:r>
        <w:rPr>
          <w:rFonts w:ascii="宋体" w:hAnsi="宋体" w:cs="宋体" w:eastAsia="宋体" w:hint="default"/>
          <w:b/>
          <w:bCs/>
        </w:rPr>
        <w:t>5、品牌优势</w:t>
      </w:r>
      <w:r>
        <w:rPr>
          <w:rFonts w:ascii="宋体" w:hAnsi="宋体" w:cs="宋体" w:eastAsia="宋体" w:hint="default"/>
          <w:b/>
          <w:bCs/>
          <w:spacing w:val="1"/>
          <w:w w:val="99"/>
        </w:rPr>
        <w:t> </w:t>
      </w:r>
      <w:r>
        <w:rPr/>
        <w:t>公司是国家火炬计划重点高新技术企业，被国家工信部授予“国家软件公共服务平台海西云</w:t>
      </w:r>
    </w:p>
    <w:p>
      <w:pPr>
        <w:pStyle w:val="BodyText"/>
        <w:spacing w:line="314" w:lineRule="auto"/>
        <w:ind w:left="137" w:right="211"/>
        <w:jc w:val="both"/>
      </w:pPr>
      <w:r>
        <w:rPr>
          <w:spacing w:val="-9"/>
        </w:rPr>
        <w:t>计算技术创新中心”，获得第十四届中国信息产业经济年会“2014</w:t>
      </w:r>
      <w:r>
        <w:rPr>
          <w:spacing w:val="-31"/>
        </w:rPr>
        <w:t> </w:t>
      </w:r>
      <w:r>
        <w:rPr/>
        <w:t>中国信息产业年度影响力企业”</w:t>
      </w:r>
      <w:r>
        <w:rPr>
          <w:spacing w:val="-101"/>
        </w:rPr>
        <w:t> </w:t>
      </w:r>
      <w:r>
        <w:rPr>
          <w:spacing w:val="-101"/>
        </w:rPr>
      </w:r>
      <w:r>
        <w:rPr/>
        <w:t>和</w:t>
      </w:r>
      <w:r>
        <w:rPr>
          <w:spacing w:val="-52"/>
        </w:rPr>
        <w:t> </w:t>
      </w:r>
      <w:r>
        <w:rPr/>
        <w:t>2014</w:t>
      </w:r>
      <w:r>
        <w:rPr>
          <w:spacing w:val="-51"/>
        </w:rPr>
        <w:t> </w:t>
      </w:r>
      <w:r>
        <w:rPr/>
        <w:t>年中国软件大会“2014</w:t>
      </w:r>
      <w:r>
        <w:rPr>
          <w:spacing w:val="-51"/>
        </w:rPr>
        <w:t> </w:t>
      </w:r>
      <w:r>
        <w:rPr>
          <w:spacing w:val="-3"/>
        </w:rPr>
        <w:t>年中国软件和信息服务•大数据领域杰出企业奖”等奖项，在行业</w:t>
      </w:r>
      <w:r>
        <w:rPr>
          <w:spacing w:val="-1"/>
        </w:rPr>
        <w:t> </w:t>
      </w:r>
      <w:r>
        <w:rPr/>
        <w:t>具有较高的品牌美誉度。</w:t>
      </w:r>
    </w:p>
    <w:p>
      <w:pPr>
        <w:spacing w:after="0" w:line="314" w:lineRule="auto"/>
        <w:jc w:val="both"/>
        <w:sectPr>
          <w:pgSz w:w="11910" w:h="16840"/>
          <w:pgMar w:header="882" w:footer="977" w:top="1120" w:bottom="1160" w:left="1660" w:right="1060"/>
        </w:sectPr>
      </w:pPr>
    </w:p>
    <w:p>
      <w:pPr>
        <w:spacing w:before="22"/>
        <w:ind w:left="0" w:right="466"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696.3pt;height:.75pt;mso-position-horizontal-relative:char;mso-position-vertical-relative:line" coordorigin="0,0" coordsize="13926,15">
            <v:group style="position:absolute;left:7;top:7;width:13912;height:2" coordorigin="7,7" coordsize="13912,2">
              <v:shape style="position:absolute;left:7;top:7;width:13912;height:2" coordorigin="7,7" coordsize="13912,0" path="m7,7l1391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2"/>
          <w:footerReference w:type="default" r:id="rId23"/>
          <w:pgSz w:w="16840" w:h="11910" w:orient="landscape"/>
          <w:pgMar w:header="0" w:footer="0" w:top="800" w:bottom="280" w:left="1220" w:right="1080"/>
        </w:sectPr>
      </w:pPr>
    </w:p>
    <w:p>
      <w:pPr>
        <w:spacing w:line="240" w:lineRule="auto" w:before="7"/>
        <w:rPr>
          <w:rFonts w:ascii="宋体" w:hAnsi="宋体" w:cs="宋体" w:eastAsia="宋体" w:hint="default"/>
          <w:sz w:val="15"/>
          <w:szCs w:val="15"/>
        </w:rPr>
      </w:pPr>
    </w:p>
    <w:p>
      <w:pPr>
        <w:pStyle w:val="Heading2"/>
        <w:spacing w:line="240" w:lineRule="auto" w:before="0"/>
        <w:ind w:left="219" w:right="-1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2"/>
        <w:spacing w:line="290" w:lineRule="auto" w:before="30"/>
        <w:ind w:left="219" w:right="-15"/>
        <w:jc w:val="left"/>
        <w:rPr>
          <w:b w:val="0"/>
          <w:bCs w:val="0"/>
        </w:rPr>
      </w:pPr>
      <w:r>
        <w:rPr/>
        <w:t>1、</w:t>
      </w:r>
      <w:r>
        <w:rPr>
          <w:spacing w:val="-7"/>
        </w:rPr>
        <w:t> </w:t>
      </w:r>
      <w:r>
        <w:rPr/>
        <w:t>非金融类公司委托理财及衍生品投资的情况</w:t>
      </w:r>
      <w:r>
        <w:rPr>
          <w:spacing w:val="1"/>
          <w:w w:val="99"/>
        </w:rPr>
        <w:t> </w:t>
      </w:r>
      <w:r>
        <w:rPr/>
        <w:t>(1)</w:t>
      </w:r>
      <w:r>
        <w:rPr>
          <w:spacing w:val="-8"/>
        </w:rPr>
        <w:t> </w:t>
      </w:r>
      <w:r>
        <w:rPr/>
        <w:t>委托理财情况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165" w:val="left" w:leader="none"/>
        </w:tabs>
        <w:spacing w:line="240" w:lineRule="auto" w:before="153"/>
        <w:ind w:left="219" w:right="0"/>
        <w:jc w:val="left"/>
      </w:pPr>
      <w:r>
        <w:rPr/>
        <w:t>单位:元</w:t>
        <w:tab/>
        <w:t>币种:人民币</w:t>
      </w:r>
    </w:p>
    <w:p>
      <w:pPr>
        <w:spacing w:after="0" w:line="240" w:lineRule="auto"/>
        <w:jc w:val="left"/>
        <w:sectPr>
          <w:type w:val="continuous"/>
          <w:pgSz w:w="16840" w:h="11910" w:orient="landscape"/>
          <w:pgMar w:top="1120" w:bottom="1160" w:left="1220" w:right="1080"/>
          <w:cols w:num="2" w:equalWidth="0">
            <w:col w:w="4646" w:space="7129"/>
            <w:col w:w="276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34"/>
        <w:gridCol w:w="760"/>
        <w:gridCol w:w="1368"/>
        <w:gridCol w:w="1274"/>
        <w:gridCol w:w="1276"/>
        <w:gridCol w:w="568"/>
        <w:gridCol w:w="1276"/>
        <w:gridCol w:w="1277"/>
        <w:gridCol w:w="1559"/>
        <w:gridCol w:w="566"/>
        <w:gridCol w:w="737"/>
        <w:gridCol w:w="709"/>
        <w:gridCol w:w="708"/>
        <w:gridCol w:w="1084"/>
        <w:gridCol w:w="618"/>
      </w:tblGrid>
      <w:tr>
        <w:trPr>
          <w:trHeight w:val="2189"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7" w:right="155"/>
              <w:jc w:val="both"/>
              <w:rPr>
                <w:rFonts w:ascii="宋体" w:hAnsi="宋体" w:cs="宋体" w:eastAsia="宋体" w:hint="default"/>
                <w:sz w:val="21"/>
                <w:szCs w:val="21"/>
              </w:rPr>
            </w:pPr>
            <w:r>
              <w:rPr>
                <w:rFonts w:ascii="宋体" w:hAnsi="宋体" w:cs="宋体" w:eastAsia="宋体" w:hint="default"/>
                <w:sz w:val="21"/>
                <w:szCs w:val="21"/>
              </w:rPr>
              <w:t>合 作 方 名 称</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64" w:right="163"/>
              <w:jc w:val="both"/>
              <w:rPr>
                <w:rFonts w:ascii="宋体" w:hAnsi="宋体" w:cs="宋体" w:eastAsia="宋体" w:hint="default"/>
                <w:sz w:val="21"/>
                <w:szCs w:val="21"/>
              </w:rPr>
            </w:pPr>
            <w:r>
              <w:rPr>
                <w:rFonts w:ascii="宋体" w:hAnsi="宋体" w:cs="宋体" w:eastAsia="宋体" w:hint="default"/>
                <w:sz w:val="21"/>
                <w:szCs w:val="21"/>
              </w:rPr>
              <w:t>委托 理财 产品 类型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573" w:right="152" w:hanging="420"/>
              <w:jc w:val="left"/>
              <w:rPr>
                <w:rFonts w:ascii="宋体" w:hAnsi="宋体" w:cs="宋体" w:eastAsia="宋体" w:hint="default"/>
                <w:sz w:val="21"/>
                <w:szCs w:val="21"/>
              </w:rPr>
            </w:pPr>
            <w:r>
              <w:rPr>
                <w:rFonts w:ascii="宋体" w:hAnsi="宋体" w:cs="宋体" w:eastAsia="宋体" w:hint="default"/>
                <w:sz w:val="21"/>
                <w:szCs w:val="21"/>
              </w:rPr>
              <w:t>委托理财金 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15" w:right="107" w:hanging="210"/>
              <w:jc w:val="left"/>
              <w:rPr>
                <w:rFonts w:ascii="宋体" w:hAnsi="宋体" w:cs="宋体" w:eastAsia="宋体" w:hint="default"/>
                <w:sz w:val="21"/>
                <w:szCs w:val="21"/>
              </w:rPr>
            </w:pPr>
            <w:r>
              <w:rPr>
                <w:rFonts w:ascii="宋体" w:hAnsi="宋体" w:cs="宋体" w:eastAsia="宋体" w:hint="default"/>
                <w:sz w:val="21"/>
                <w:szCs w:val="21"/>
              </w:rPr>
              <w:t>委托理财起 始日期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17" w:right="106" w:hanging="210"/>
              <w:jc w:val="left"/>
              <w:rPr>
                <w:rFonts w:ascii="宋体" w:hAnsi="宋体" w:cs="宋体" w:eastAsia="宋体" w:hint="default"/>
                <w:sz w:val="21"/>
                <w:szCs w:val="21"/>
              </w:rPr>
            </w:pPr>
            <w:r>
              <w:rPr>
                <w:rFonts w:ascii="宋体" w:hAnsi="宋体" w:cs="宋体" w:eastAsia="宋体" w:hint="default"/>
                <w:sz w:val="21"/>
                <w:szCs w:val="21"/>
              </w:rPr>
              <w:t>委托理财终 止日期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73" w:right="172"/>
              <w:jc w:val="both"/>
              <w:rPr>
                <w:rFonts w:ascii="宋体" w:hAnsi="宋体" w:cs="宋体" w:eastAsia="宋体" w:hint="default"/>
                <w:sz w:val="21"/>
                <w:szCs w:val="21"/>
              </w:rPr>
            </w:pPr>
            <w:r>
              <w:rPr>
                <w:rFonts w:ascii="宋体" w:hAnsi="宋体" w:cs="宋体" w:eastAsia="宋体" w:hint="default"/>
                <w:sz w:val="21"/>
                <w:szCs w:val="21"/>
              </w:rPr>
              <w:t>报 酬 确 定 方 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12"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17" w:right="107" w:hanging="210"/>
              <w:jc w:val="left"/>
              <w:rPr>
                <w:rFonts w:ascii="宋体" w:hAnsi="宋体" w:cs="宋体" w:eastAsia="宋体" w:hint="default"/>
                <w:sz w:val="21"/>
                <w:szCs w:val="21"/>
              </w:rPr>
            </w:pPr>
            <w:r>
              <w:rPr>
                <w:rFonts w:ascii="宋体" w:hAnsi="宋体" w:cs="宋体" w:eastAsia="宋体" w:hint="default"/>
                <w:sz w:val="21"/>
                <w:szCs w:val="21"/>
              </w:rPr>
              <w:t>实际收回本 金金额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实际获得收益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3"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37" w:lineRule="auto" w:before="1"/>
              <w:ind w:left="173" w:right="170"/>
              <w:jc w:val="both"/>
              <w:rPr>
                <w:rFonts w:ascii="宋体" w:hAnsi="宋体" w:cs="宋体" w:eastAsia="宋体" w:hint="default"/>
                <w:sz w:val="21"/>
                <w:szCs w:val="21"/>
              </w:rPr>
            </w:pPr>
            <w:r>
              <w:rPr>
                <w:rFonts w:ascii="宋体" w:hAnsi="宋体" w:cs="宋体" w:eastAsia="宋体" w:hint="default"/>
                <w:sz w:val="21"/>
                <w:szCs w:val="21"/>
              </w:rPr>
              <w:t>否 经 过 法 定 程 序</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计提 减值 准备 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39" w:right="138"/>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39" w:right="137"/>
              <w:jc w:val="left"/>
              <w:rPr>
                <w:rFonts w:ascii="宋体" w:hAnsi="宋体" w:cs="宋体" w:eastAsia="宋体" w:hint="default"/>
                <w:sz w:val="21"/>
                <w:szCs w:val="21"/>
              </w:rPr>
            </w:pPr>
            <w:r>
              <w:rPr>
                <w:rFonts w:ascii="宋体" w:hAnsi="宋体" w:cs="宋体" w:eastAsia="宋体" w:hint="default"/>
                <w:sz w:val="21"/>
                <w:szCs w:val="21"/>
              </w:rPr>
              <w:t>是否 涉诉</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28"/>
              <w:jc w:val="both"/>
              <w:rPr>
                <w:rFonts w:ascii="宋体" w:hAnsi="宋体" w:cs="宋体" w:eastAsia="宋体" w:hint="default"/>
                <w:sz w:val="21"/>
                <w:szCs w:val="21"/>
              </w:rPr>
            </w:pPr>
            <w:r>
              <w:rPr>
                <w:rFonts w:ascii="宋体" w:hAnsi="宋体" w:cs="宋体" w:eastAsia="宋体" w:hint="default"/>
                <w:sz w:val="21"/>
                <w:szCs w:val="21"/>
              </w:rPr>
              <w:t>资金来源 并说明是 否为募集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99" w:right="197"/>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1099"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7" w:right="0"/>
              <w:jc w:val="both"/>
              <w:rPr>
                <w:rFonts w:ascii="宋体" w:hAnsi="宋体" w:cs="宋体" w:eastAsia="宋体" w:hint="default"/>
                <w:sz w:val="21"/>
                <w:szCs w:val="21"/>
              </w:rPr>
            </w:pPr>
            <w:r>
              <w:rPr>
                <w:rFonts w:ascii="宋体" w:hAnsi="宋体" w:cs="宋体" w:eastAsia="宋体" w:hint="default"/>
                <w:sz w:val="21"/>
                <w:szCs w:val="21"/>
              </w:rPr>
              <w:t>中</w:t>
            </w:r>
          </w:p>
          <w:p>
            <w:pPr>
              <w:pStyle w:val="TableParagraph"/>
              <w:spacing w:line="237" w:lineRule="auto" w:before="1"/>
              <w:ind w:left="157" w:right="155"/>
              <w:jc w:val="both"/>
              <w:rPr>
                <w:rFonts w:ascii="宋体" w:hAnsi="宋体" w:cs="宋体" w:eastAsia="宋体" w:hint="default"/>
                <w:sz w:val="21"/>
                <w:szCs w:val="21"/>
              </w:rPr>
            </w:pPr>
            <w:r>
              <w:rPr>
                <w:rFonts w:ascii="宋体" w:hAnsi="宋体" w:cs="宋体" w:eastAsia="宋体" w:hint="default"/>
                <w:sz w:val="21"/>
                <w:szCs w:val="21"/>
              </w:rPr>
              <w:t>国 银 行</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64" w:right="163"/>
              <w:jc w:val="left"/>
              <w:rPr>
                <w:rFonts w:ascii="宋体" w:hAnsi="宋体" w:cs="宋体" w:eastAsia="宋体" w:hint="default"/>
                <w:sz w:val="21"/>
                <w:szCs w:val="21"/>
              </w:rPr>
            </w:pPr>
            <w:r>
              <w:rPr>
                <w:rFonts w:ascii="宋体" w:hAnsi="宋体" w:cs="宋体" w:eastAsia="宋体" w:hint="default"/>
                <w:sz w:val="21"/>
                <w:szCs w:val="21"/>
              </w:rPr>
              <w:t>银行 理财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sz w:val="21"/>
              </w:rPr>
              <w:t>25,000,000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2013-10-14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58"/>
              <w:jc w:val="right"/>
              <w:rPr>
                <w:rFonts w:ascii="宋体" w:hAnsi="宋体" w:cs="宋体" w:eastAsia="宋体" w:hint="default"/>
                <w:sz w:val="21"/>
                <w:szCs w:val="21"/>
              </w:rPr>
            </w:pPr>
            <w:r>
              <w:rPr>
                <w:rFonts w:ascii="宋体"/>
                <w:spacing w:val="-1"/>
                <w:sz w:val="21"/>
              </w:rPr>
              <w:t>2014-4-13</w:t>
            </w:r>
            <w:r>
              <w:rPr>
                <w:rFonts w:ascii="宋体"/>
                <w:sz w:val="21"/>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560,000</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sz w:val="21"/>
              </w:rPr>
              <w:t>25,000,000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560,958.90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7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自有资金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9" w:right="197"/>
              <w:jc w:val="left"/>
              <w:rPr>
                <w:rFonts w:ascii="宋体" w:hAnsi="宋体" w:cs="宋体" w:eastAsia="宋体" w:hint="default"/>
                <w:sz w:val="21"/>
                <w:szCs w:val="21"/>
              </w:rPr>
            </w:pPr>
            <w:r>
              <w:rPr>
                <w:rFonts w:ascii="宋体" w:hAnsi="宋体" w:cs="宋体" w:eastAsia="宋体" w:hint="default"/>
                <w:sz w:val="21"/>
                <w:szCs w:val="21"/>
              </w:rPr>
              <w:t>其 他</w:t>
            </w:r>
          </w:p>
        </w:tc>
      </w:tr>
      <w:tr>
        <w:trPr>
          <w:trHeight w:val="1100"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7" w:right="0"/>
              <w:jc w:val="both"/>
              <w:rPr>
                <w:rFonts w:ascii="宋体" w:hAnsi="宋体" w:cs="宋体" w:eastAsia="宋体" w:hint="default"/>
                <w:sz w:val="21"/>
                <w:szCs w:val="21"/>
              </w:rPr>
            </w:pPr>
            <w:r>
              <w:rPr>
                <w:rFonts w:ascii="宋体" w:hAnsi="宋体" w:cs="宋体" w:eastAsia="宋体" w:hint="default"/>
                <w:sz w:val="21"/>
                <w:szCs w:val="21"/>
              </w:rPr>
              <w:t>中</w:t>
            </w:r>
          </w:p>
          <w:p>
            <w:pPr>
              <w:pStyle w:val="TableParagraph"/>
              <w:spacing w:line="272" w:lineRule="exact" w:before="26"/>
              <w:ind w:left="157" w:right="155"/>
              <w:jc w:val="both"/>
              <w:rPr>
                <w:rFonts w:ascii="宋体" w:hAnsi="宋体" w:cs="宋体" w:eastAsia="宋体" w:hint="default"/>
                <w:sz w:val="21"/>
                <w:szCs w:val="21"/>
              </w:rPr>
            </w:pPr>
            <w:r>
              <w:rPr>
                <w:rFonts w:ascii="宋体" w:hAnsi="宋体" w:cs="宋体" w:eastAsia="宋体" w:hint="default"/>
                <w:sz w:val="21"/>
                <w:szCs w:val="21"/>
              </w:rPr>
              <w:t>国 银 行</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64" w:right="163"/>
              <w:jc w:val="left"/>
              <w:rPr>
                <w:rFonts w:ascii="宋体" w:hAnsi="宋体" w:cs="宋体" w:eastAsia="宋体" w:hint="default"/>
                <w:sz w:val="21"/>
                <w:szCs w:val="21"/>
              </w:rPr>
            </w:pPr>
            <w:r>
              <w:rPr>
                <w:rFonts w:ascii="宋体" w:hAnsi="宋体" w:cs="宋体" w:eastAsia="宋体" w:hint="default"/>
                <w:sz w:val="21"/>
                <w:szCs w:val="21"/>
              </w:rPr>
              <w:t>银行 理财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sz w:val="21"/>
              </w:rPr>
              <w:t>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2014-01-28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58"/>
              <w:jc w:val="right"/>
              <w:rPr>
                <w:rFonts w:ascii="宋体" w:hAnsi="宋体" w:cs="宋体" w:eastAsia="宋体" w:hint="default"/>
                <w:sz w:val="21"/>
                <w:szCs w:val="21"/>
              </w:rPr>
            </w:pPr>
            <w:r>
              <w:rPr>
                <w:rFonts w:ascii="宋体"/>
                <w:spacing w:val="-1"/>
                <w:sz w:val="21"/>
              </w:rPr>
              <w:t>2014-7-27</w:t>
            </w:r>
            <w:r>
              <w:rPr>
                <w:rFonts w:ascii="宋体"/>
                <w:sz w:val="21"/>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443,000</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sz w:val="21"/>
              </w:rPr>
              <w:t>20,000,000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443,835.62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7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自有资金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9" w:right="197"/>
              <w:jc w:val="left"/>
              <w:rPr>
                <w:rFonts w:ascii="宋体" w:hAnsi="宋体" w:cs="宋体" w:eastAsia="宋体" w:hint="default"/>
                <w:sz w:val="21"/>
                <w:szCs w:val="21"/>
              </w:rPr>
            </w:pPr>
            <w:r>
              <w:rPr>
                <w:rFonts w:ascii="宋体" w:hAnsi="宋体" w:cs="宋体" w:eastAsia="宋体" w:hint="default"/>
                <w:sz w:val="21"/>
                <w:szCs w:val="21"/>
              </w:rPr>
              <w:t>其 他</w:t>
            </w:r>
          </w:p>
        </w:tc>
      </w:tr>
      <w:tr>
        <w:trPr>
          <w:trHeight w:val="554"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3" w:right="0"/>
              <w:jc w:val="left"/>
              <w:rPr>
                <w:rFonts w:ascii="宋体" w:hAnsi="宋体" w:cs="宋体" w:eastAsia="宋体" w:hint="default"/>
                <w:sz w:val="21"/>
                <w:szCs w:val="21"/>
              </w:rPr>
            </w:pPr>
            <w:r>
              <w:rPr>
                <w:rFonts w:ascii="宋体"/>
                <w:sz w:val="21"/>
              </w:rPr>
              <w:t>45,000,000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0"/>
              <w:jc w:val="left"/>
              <w:rPr>
                <w:rFonts w:ascii="宋体" w:hAnsi="宋体" w:cs="宋体" w:eastAsia="宋体" w:hint="default"/>
                <w:sz w:val="21"/>
                <w:szCs w:val="21"/>
              </w:rPr>
            </w:pPr>
            <w:r>
              <w:rPr>
                <w:rFonts w:ascii="宋体"/>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1,003,000</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2" w:right="0"/>
              <w:jc w:val="left"/>
              <w:rPr>
                <w:rFonts w:ascii="宋体" w:hAnsi="宋体" w:cs="宋体" w:eastAsia="宋体" w:hint="default"/>
                <w:sz w:val="21"/>
                <w:szCs w:val="21"/>
              </w:rPr>
            </w:pPr>
            <w:r>
              <w:rPr>
                <w:rFonts w:ascii="宋体"/>
                <w:sz w:val="21"/>
              </w:rPr>
              <w:t>45,000,000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center"/>
              <w:rPr>
                <w:rFonts w:ascii="宋体" w:hAnsi="宋体" w:cs="宋体" w:eastAsia="宋体" w:hint="default"/>
                <w:sz w:val="21"/>
                <w:szCs w:val="21"/>
              </w:rPr>
            </w:pPr>
            <w:r>
              <w:rPr>
                <w:rFonts w:ascii="宋体"/>
                <w:sz w:val="21"/>
              </w:rPr>
              <w:t>1,004,794.52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0"/>
              <w:jc w:val="lef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0" w:right="0"/>
              <w:jc w:val="left"/>
              <w:rPr>
                <w:rFonts w:ascii="宋体" w:hAnsi="宋体" w:cs="宋体" w:eastAsia="宋体" w:hint="default"/>
                <w:sz w:val="21"/>
                <w:szCs w:val="21"/>
              </w:rPr>
            </w:pPr>
            <w:r>
              <w:rPr>
                <w:rFonts w:ascii="宋体"/>
                <w:sz w:val="21"/>
              </w:rPr>
              <w:t>/</w:t>
            </w:r>
          </w:p>
        </w:tc>
      </w:tr>
      <w:tr>
        <w:trPr>
          <w:trHeight w:val="408" w:hRule="exact"/>
        </w:trPr>
        <w:tc>
          <w:tcPr>
            <w:tcW w:w="57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853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宋体"/>
                <w:sz w:val="21"/>
              </w:rPr>
              <w:t>0</w:t>
            </w:r>
          </w:p>
        </w:tc>
      </w:tr>
      <w:tr>
        <w:trPr>
          <w:trHeight w:val="1090" w:hRule="exact"/>
        </w:trPr>
        <w:tc>
          <w:tcPr>
            <w:tcW w:w="57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853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59"/>
                <w:sz w:val="21"/>
                <w:szCs w:val="21"/>
              </w:rPr>
              <w:t> </w:t>
            </w:r>
            <w:r>
              <w:rPr>
                <w:rFonts w:ascii="宋体" w:hAnsi="宋体" w:cs="宋体" w:eastAsia="宋体" w:hint="default"/>
                <w:sz w:val="21"/>
                <w:szCs w:val="21"/>
              </w:rPr>
              <w:t>日，公司第一届董事会第十一次会议审议通过了《关于使用自有闲置资</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金进行委托理财的议案》，同意公司使用自有资金购买商业银行人民币理财产品，连续</w:t>
            </w:r>
            <w:r>
              <w:rPr>
                <w:rFonts w:ascii="宋体" w:hAnsi="宋体" w:cs="宋体" w:eastAsia="宋体" w:hint="default"/>
                <w:spacing w:val="15"/>
                <w:sz w:val="21"/>
                <w:szCs w:val="21"/>
              </w:rPr>
              <w:t> </w:t>
            </w:r>
            <w:r>
              <w:rPr>
                <w:rFonts w:ascii="宋体" w:hAnsi="宋体" w:cs="宋体" w:eastAsia="宋体" w:hint="default"/>
                <w:sz w:val="21"/>
                <w:szCs w:val="21"/>
              </w:rPr>
              <w:t>12</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个月内累计使用金额不超过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亿元，在上述额度内，资金可以滚动使用。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63"/>
        <w:ind w:left="6833" w:right="7059" w:firstLine="0"/>
        <w:jc w:val="center"/>
        <w:rPr>
          <w:rFonts w:ascii="Calibri" w:hAnsi="Calibri" w:cs="Calibri" w:eastAsia="Calibri" w:hint="default"/>
          <w:sz w:val="18"/>
          <w:szCs w:val="18"/>
        </w:rPr>
      </w:pPr>
      <w:r>
        <w:rPr>
          <w:rFonts w:ascii="Calibri"/>
          <w:b/>
          <w:sz w:val="18"/>
        </w:rPr>
        <w:t>19 </w:t>
      </w:r>
      <w:r>
        <w:rPr>
          <w:rFonts w:ascii="Calibri"/>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0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24"/>
          <w:pgSz w:w="11910" w:h="16840"/>
          <w:pgMar w:footer="977" w:header="0" w:top="1120" w:bottom="1160" w:left="1660" w:right="1060"/>
          <w:pgNumType w:start="20"/>
        </w:sectPr>
      </w:pPr>
    </w:p>
    <w:p>
      <w:pPr>
        <w:spacing w:line="240" w:lineRule="auto" w:before="3"/>
        <w:rPr>
          <w:rFonts w:ascii="Calibri" w:hAnsi="Calibri" w:cs="Calibri" w:eastAsia="Calibri" w:hint="default"/>
          <w:b/>
          <w:bCs/>
          <w:sz w:val="17"/>
          <w:szCs w:val="17"/>
        </w:rPr>
      </w:pPr>
    </w:p>
    <w:p>
      <w:pPr>
        <w:pStyle w:val="Heading2"/>
        <w:spacing w:line="240" w:lineRule="auto" w:before="0"/>
        <w:ind w:left="137" w:right="-16"/>
        <w:jc w:val="left"/>
        <w:rPr>
          <w:b w:val="0"/>
          <w:bCs w:val="0"/>
        </w:rPr>
      </w:pPr>
      <w:r>
        <w:rPr/>
        <w:t>2、</w:t>
      </w:r>
      <w:r>
        <w:rPr>
          <w:spacing w:val="-6"/>
        </w:rPr>
        <w:t> </w:t>
      </w:r>
      <w:r>
        <w:rPr/>
        <w:t>集资金使用情况</w:t>
      </w:r>
      <w:r>
        <w:rPr>
          <w:b w:val="0"/>
          <w:bCs w:val="0"/>
        </w:rPr>
      </w:r>
    </w:p>
    <w:p>
      <w:pPr>
        <w:pStyle w:val="Heading2"/>
        <w:spacing w:line="240" w:lineRule="auto" w:before="57"/>
        <w:ind w:left="137" w:right="-16"/>
        <w:jc w:val="left"/>
        <w:rPr>
          <w:b w:val="0"/>
          <w:bCs w:val="0"/>
        </w:rPr>
      </w:pPr>
      <w:r>
        <w:rPr/>
        <w:t>(1)</w:t>
      </w:r>
      <w:r>
        <w:rPr>
          <w:spacing w:val="-8"/>
        </w:rPr>
        <w:t> </w:t>
      </w:r>
      <w:r>
        <w:rPr/>
        <w:t>募集资金总体使用情况</w:t>
      </w:r>
      <w:r>
        <w:rPr>
          <w:b w:val="0"/>
          <w:bCs w:val="0"/>
        </w:rPr>
      </w:r>
    </w:p>
    <w:p>
      <w:pPr>
        <w:pStyle w:val="BodyText"/>
        <w:spacing w:line="240" w:lineRule="auto" w:before="57"/>
        <w:ind w:left="137"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tabs>
          <w:tab w:pos="1083" w:val="left" w:leader="none"/>
        </w:tabs>
        <w:spacing w:line="240" w:lineRule="auto" w:before="0"/>
        <w:ind w:left="137" w:right="0"/>
        <w:jc w:val="left"/>
      </w:pPr>
      <w:r>
        <w:rPr/>
        <w:t>单位:元</w:t>
        <w:tab/>
        <w:t>币种:人民币</w:t>
      </w:r>
    </w:p>
    <w:p>
      <w:pPr>
        <w:spacing w:after="0" w:line="240" w:lineRule="auto"/>
        <w:jc w:val="left"/>
        <w:sectPr>
          <w:type w:val="continuous"/>
          <w:pgSz w:w="11910" w:h="16840"/>
          <w:pgMar w:top="1120" w:bottom="1160" w:left="1660" w:right="1060"/>
          <w:cols w:num="2" w:equalWidth="0">
            <w:col w:w="2665" w:space="4069"/>
            <w:col w:w="2456"/>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566"/>
        <w:gridCol w:w="1046"/>
        <w:gridCol w:w="1379"/>
        <w:gridCol w:w="1382"/>
        <w:gridCol w:w="1338"/>
        <w:gridCol w:w="1657"/>
        <w:gridCol w:w="1572"/>
      </w:tblGrid>
      <w:tr>
        <w:trPr>
          <w:trHeight w:val="569"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68" w:right="66"/>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募集方式</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53"/>
              <w:jc w:val="right"/>
              <w:rPr>
                <w:rFonts w:ascii="宋体" w:hAnsi="宋体" w:cs="宋体" w:eastAsia="宋体" w:hint="default"/>
                <w:sz w:val="21"/>
                <w:szCs w:val="21"/>
              </w:rPr>
            </w:pPr>
            <w:r>
              <w:rPr>
                <w:rFonts w:ascii="宋体" w:hAnsi="宋体" w:cs="宋体" w:eastAsia="宋体" w:hint="default"/>
                <w:sz w:val="21"/>
                <w:szCs w:val="21"/>
              </w:rPr>
              <w:t>募集资金总额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55" w:right="55"/>
              <w:jc w:val="left"/>
              <w:rPr>
                <w:rFonts w:ascii="宋体" w:hAnsi="宋体" w:cs="宋体" w:eastAsia="宋体" w:hint="default"/>
                <w:sz w:val="21"/>
                <w:szCs w:val="21"/>
              </w:rPr>
            </w:pPr>
            <w:r>
              <w:rPr>
                <w:rFonts w:ascii="宋体" w:hAnsi="宋体" w:cs="宋体" w:eastAsia="宋体" w:hint="default"/>
                <w:sz w:val="21"/>
                <w:szCs w:val="21"/>
              </w:rPr>
              <w:t>本年度已使用 募集资金总额</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138" w:right="32" w:hanging="105"/>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508" w:right="86" w:hanging="420"/>
              <w:jc w:val="left"/>
              <w:rPr>
                <w:rFonts w:ascii="宋体" w:hAnsi="宋体" w:cs="宋体" w:eastAsia="宋体" w:hint="default"/>
                <w:sz w:val="21"/>
                <w:szCs w:val="21"/>
              </w:rPr>
            </w:pPr>
            <w:r>
              <w:rPr>
                <w:rFonts w:ascii="宋体" w:hAnsi="宋体" w:cs="宋体" w:eastAsia="宋体" w:hint="default"/>
                <w:sz w:val="21"/>
                <w:szCs w:val="21"/>
              </w:rPr>
              <w:t>尚未使用募集资 金总额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149" w:right="44" w:hanging="105"/>
              <w:jc w:val="left"/>
              <w:rPr>
                <w:rFonts w:ascii="宋体" w:hAnsi="宋体" w:cs="宋体" w:eastAsia="宋体" w:hint="default"/>
                <w:sz w:val="21"/>
                <w:szCs w:val="21"/>
              </w:rPr>
            </w:pPr>
            <w:r>
              <w:rPr>
                <w:rFonts w:ascii="宋体" w:hAnsi="宋体" w:cs="宋体" w:eastAsia="宋体" w:hint="default"/>
                <w:sz w:val="21"/>
                <w:szCs w:val="21"/>
              </w:rPr>
              <w:t>尚未使用募集资 金用途及去向</w:t>
            </w:r>
          </w:p>
        </w:tc>
      </w:tr>
      <w:tr>
        <w:trPr>
          <w:trHeight w:val="48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2014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首次发行</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373,750,000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right"/>
              <w:rPr>
                <w:rFonts w:ascii="宋体" w:hAnsi="宋体" w:cs="宋体" w:eastAsia="宋体" w:hint="default"/>
                <w:sz w:val="21"/>
                <w:szCs w:val="21"/>
              </w:rPr>
            </w:pPr>
            <w:r>
              <w:rPr>
                <w:rFonts w:ascii="宋体"/>
                <w:spacing w:val="-1"/>
                <w:sz w:val="21"/>
              </w:rPr>
              <w:t>16,950,000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right"/>
              <w:rPr>
                <w:rFonts w:ascii="宋体" w:hAnsi="宋体" w:cs="宋体" w:eastAsia="宋体" w:hint="default"/>
                <w:sz w:val="21"/>
                <w:szCs w:val="21"/>
              </w:rPr>
            </w:pPr>
            <w:r>
              <w:rPr>
                <w:rFonts w:ascii="宋体"/>
                <w:spacing w:val="-1"/>
                <w:sz w:val="21"/>
              </w:rPr>
              <w:t>16,950,000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356,799,980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按规定专户存储</w:t>
            </w:r>
          </w:p>
        </w:tc>
      </w:tr>
      <w:tr>
        <w:trPr>
          <w:trHeight w:val="479"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
              <w:jc w:val="right"/>
              <w:rPr>
                <w:rFonts w:ascii="宋体" w:hAnsi="宋体" w:cs="宋体" w:eastAsia="宋体" w:hint="default"/>
                <w:sz w:val="21"/>
                <w:szCs w:val="21"/>
              </w:rPr>
            </w:pPr>
            <w:r>
              <w:rPr>
                <w:rFonts w:ascii="宋体"/>
                <w:spacing w:val="-1"/>
                <w:sz w:val="21"/>
              </w:rPr>
              <w:t>373,750,000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
              <w:jc w:val="right"/>
              <w:rPr>
                <w:rFonts w:ascii="宋体" w:hAnsi="宋体" w:cs="宋体" w:eastAsia="宋体" w:hint="default"/>
                <w:sz w:val="21"/>
                <w:szCs w:val="21"/>
              </w:rPr>
            </w:pPr>
            <w:r>
              <w:rPr>
                <w:rFonts w:ascii="宋体"/>
                <w:spacing w:val="-1"/>
                <w:sz w:val="21"/>
              </w:rPr>
              <w:t>16,950,000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
              <w:jc w:val="right"/>
              <w:rPr>
                <w:rFonts w:ascii="宋体" w:hAnsi="宋体" w:cs="宋体" w:eastAsia="宋体" w:hint="default"/>
                <w:sz w:val="21"/>
                <w:szCs w:val="21"/>
              </w:rPr>
            </w:pPr>
            <w:r>
              <w:rPr>
                <w:rFonts w:ascii="宋体"/>
                <w:spacing w:val="-1"/>
                <w:sz w:val="21"/>
              </w:rPr>
              <w:t>16,950,000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宋体" w:hAnsi="宋体" w:cs="宋体" w:eastAsia="宋体" w:hint="default"/>
                <w:sz w:val="21"/>
                <w:szCs w:val="21"/>
              </w:rPr>
            </w:pPr>
            <w:r>
              <w:rPr>
                <w:rFonts w:ascii="宋体"/>
                <w:spacing w:val="-1"/>
                <w:sz w:val="21"/>
              </w:rPr>
              <w:t>356,799,980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sz w:val="21"/>
              </w:rPr>
              <w:t>/</w:t>
            </w:r>
          </w:p>
        </w:tc>
      </w:tr>
      <w:tr>
        <w:trPr>
          <w:trHeight w:val="479" w:hRule="exact"/>
        </w:trPr>
        <w:tc>
          <w:tcPr>
            <w:tcW w:w="2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1"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c>
          <w:tcPr>
            <w:tcW w:w="5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 w:right="0"/>
              <w:jc w:val="left"/>
              <w:rPr>
                <w:rFonts w:ascii="宋体" w:hAnsi="宋体" w:cs="宋体" w:eastAsia="宋体" w:hint="default"/>
                <w:sz w:val="21"/>
                <w:szCs w:val="21"/>
              </w:rPr>
            </w:pPr>
            <w:r>
              <w:rPr>
                <w:rFonts w:ascii="宋体" w:hAnsi="宋体" w:cs="宋体" w:eastAsia="宋体" w:hint="default"/>
                <w:sz w:val="21"/>
                <w:szCs w:val="21"/>
              </w:rPr>
              <w:t>已累计使用的</w:t>
            </w:r>
            <w:r>
              <w:rPr>
                <w:rFonts w:ascii="宋体" w:hAnsi="宋体" w:cs="宋体" w:eastAsia="宋体" w:hint="default"/>
                <w:spacing w:val="-65"/>
                <w:sz w:val="21"/>
                <w:szCs w:val="21"/>
              </w:rPr>
              <w:t> </w:t>
            </w:r>
            <w:r>
              <w:rPr>
                <w:rFonts w:ascii="宋体" w:hAnsi="宋体" w:cs="宋体" w:eastAsia="宋体" w:hint="default"/>
                <w:sz w:val="21"/>
                <w:szCs w:val="21"/>
              </w:rPr>
              <w:t>16,950,000</w:t>
            </w:r>
            <w:r>
              <w:rPr>
                <w:rFonts w:ascii="宋体" w:hAnsi="宋体" w:cs="宋体" w:eastAsia="宋体" w:hint="default"/>
                <w:spacing w:val="-65"/>
                <w:sz w:val="21"/>
                <w:szCs w:val="21"/>
              </w:rPr>
              <w:t> </w:t>
            </w:r>
            <w:r>
              <w:rPr>
                <w:rFonts w:ascii="宋体" w:hAnsi="宋体" w:cs="宋体" w:eastAsia="宋体" w:hint="default"/>
                <w:sz w:val="21"/>
                <w:szCs w:val="21"/>
              </w:rPr>
              <w:t>元为部分发行费用。</w:t>
            </w:r>
          </w:p>
        </w:tc>
      </w:tr>
    </w:tbl>
    <w:p>
      <w:pPr>
        <w:pStyle w:val="BodyText"/>
        <w:spacing w:line="314" w:lineRule="auto" w:before="42"/>
        <w:ind w:left="137" w:right="207" w:firstLine="420"/>
        <w:jc w:val="both"/>
      </w:pPr>
      <w:r>
        <w:rPr/>
        <w:t>报告期内，公司向社会公众首次公开发行人民币普通股（A</w:t>
      </w:r>
      <w:r>
        <w:rPr>
          <w:spacing w:val="-63"/>
        </w:rPr>
        <w:t> </w:t>
      </w:r>
      <w:r>
        <w:rPr>
          <w:spacing w:val="-3"/>
        </w:rPr>
        <w:t>股）股票</w:t>
      </w:r>
      <w:r>
        <w:rPr>
          <w:spacing w:val="-63"/>
        </w:rPr>
        <w:t> </w:t>
      </w:r>
      <w:r>
        <w:rPr/>
        <w:t>2500</w:t>
      </w:r>
      <w:r>
        <w:rPr>
          <w:spacing w:val="-63"/>
        </w:rPr>
        <w:t> </w:t>
      </w:r>
      <w:r>
        <w:rPr>
          <w:spacing w:val="-3"/>
        </w:rPr>
        <w:t>万股，发行价为每</w:t>
      </w:r>
      <w:r>
        <w:rPr>
          <w:spacing w:val="-1"/>
        </w:rPr>
        <w:t> </w:t>
      </w:r>
      <w:r>
        <w:rPr>
          <w:spacing w:val="2"/>
        </w:rPr>
        <w:t>股人民币 </w:t>
      </w:r>
      <w:r>
        <w:rPr/>
        <w:t>14.95 </w:t>
      </w:r>
      <w:r>
        <w:rPr>
          <w:spacing w:val="2"/>
        </w:rPr>
        <w:t>元，本次发行募集资金总额为 </w:t>
      </w:r>
      <w:r>
        <w:rPr/>
        <w:t>37,375</w:t>
      </w:r>
      <w:r>
        <w:rPr>
          <w:spacing w:val="25"/>
        </w:rPr>
        <w:t> </w:t>
      </w:r>
      <w:r>
        <w:rPr>
          <w:spacing w:val="2"/>
        </w:rPr>
        <w:t>万元，扣除发行费用后募集资金净额为</w:t>
      </w:r>
      <w:r>
        <w:rPr>
          <w:spacing w:val="3"/>
        </w:rPr>
        <w:t> </w:t>
      </w:r>
      <w:r>
        <w:rPr/>
        <w:t>34,908</w:t>
      </w:r>
      <w:r>
        <w:rPr>
          <w:spacing w:val="-68"/>
        </w:rPr>
        <w:t> </w:t>
      </w:r>
      <w:r>
        <w:rPr/>
        <w:t>万元，并经福建华兴会计师事务所（特殊普通合伙）出具闽华兴所〔2014〕验字</w:t>
      </w:r>
      <w:r>
        <w:rPr>
          <w:spacing w:val="-69"/>
        </w:rPr>
        <w:t> </w:t>
      </w:r>
      <w:r>
        <w:rPr/>
        <w:t>B-010</w:t>
      </w:r>
      <w:r>
        <w:rPr>
          <w:spacing w:val="-67"/>
        </w:rPr>
        <w:t> </w:t>
      </w:r>
      <w:r>
        <w:rPr/>
        <w:t>号</w:t>
      </w:r>
    </w:p>
    <w:p>
      <w:pPr>
        <w:pStyle w:val="BodyText"/>
        <w:spacing w:line="314" w:lineRule="auto"/>
        <w:ind w:left="557" w:right="207" w:hanging="420"/>
        <w:jc w:val="left"/>
      </w:pPr>
      <w:r>
        <w:rPr/>
        <w:t>《验资报告》进行审验。 上述募集资金全部存放于募集资金专户管理。公司及本次发行保荐人太平洋证券股份有限公</w:t>
      </w:r>
    </w:p>
    <w:p>
      <w:pPr>
        <w:pStyle w:val="BodyText"/>
        <w:spacing w:line="314" w:lineRule="auto"/>
        <w:ind w:left="137" w:right="212"/>
        <w:jc w:val="both"/>
      </w:pPr>
      <w:r>
        <w:rPr/>
        <w:t>司已与中国工商银行股份有限公司泉州丰泽支行、兴业银行股份有限公司泉州广场分行、招商银</w:t>
      </w:r>
      <w:r>
        <w:rPr>
          <w:spacing w:val="-96"/>
        </w:rPr>
        <w:t> </w:t>
      </w:r>
      <w:r>
        <w:rPr>
          <w:spacing w:val="-96"/>
        </w:rPr>
      </w:r>
      <w:r>
        <w:rPr/>
        <w:t>行股份有限公司泉州分行、中国民生银行股份有限公司泉州分行分别签订了《募集资金专户存储</w:t>
      </w:r>
      <w:r>
        <w:rPr>
          <w:spacing w:val="-96"/>
        </w:rPr>
        <w:t> </w:t>
      </w:r>
      <w:r>
        <w:rPr>
          <w:spacing w:val="-96"/>
        </w:rPr>
      </w:r>
      <w:r>
        <w:rPr/>
        <w:t>三方监管协议》。</w:t>
      </w:r>
    </w:p>
    <w:p>
      <w:pPr>
        <w:pStyle w:val="Heading2"/>
        <w:spacing w:line="240" w:lineRule="auto" w:before="2"/>
        <w:ind w:left="137" w:right="0"/>
        <w:jc w:val="both"/>
        <w:rPr>
          <w:b w:val="0"/>
          <w:bCs w:val="0"/>
        </w:rPr>
      </w:pPr>
      <w:r>
        <w:rPr/>
        <w:t>(2)</w:t>
      </w:r>
      <w:r>
        <w:rPr>
          <w:spacing w:val="-8"/>
        </w:rPr>
        <w:t> </w:t>
      </w:r>
      <w:r>
        <w:rPr/>
        <w:t>募集资金承诺项目情况</w:t>
      </w:r>
      <w:r>
        <w:rPr>
          <w:b w:val="0"/>
          <w:bCs w:val="0"/>
        </w:rPr>
      </w:r>
    </w:p>
    <w:p>
      <w:pPr>
        <w:pStyle w:val="BodyText"/>
        <w:spacing w:line="240" w:lineRule="auto" w:before="57"/>
        <w:ind w:left="137"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7" w:right="0"/>
        <w:jc w:val="both"/>
        <w:rPr>
          <w:b w:val="0"/>
          <w:bCs w:val="0"/>
        </w:rPr>
      </w:pPr>
      <w:r>
        <w:rPr/>
        <w:t>(3)</w:t>
      </w:r>
      <w:r>
        <w:rPr>
          <w:spacing w:val="-8"/>
        </w:rPr>
        <w:t> </w:t>
      </w:r>
      <w:r>
        <w:rPr/>
        <w:t>募集资金变更项目情况</w:t>
      </w:r>
      <w:r>
        <w:rPr>
          <w:b w:val="0"/>
          <w:bCs w:val="0"/>
        </w:rPr>
      </w:r>
    </w:p>
    <w:p>
      <w:pPr>
        <w:pStyle w:val="BodyText"/>
        <w:spacing w:line="240" w:lineRule="auto" w:before="57"/>
        <w:ind w:left="137"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7" w:right="0"/>
        <w:jc w:val="both"/>
        <w:rPr>
          <w:b w:val="0"/>
          <w:bCs w:val="0"/>
        </w:rPr>
      </w:pPr>
      <w:r>
        <w:rPr/>
        <w:t>(4)</w:t>
      </w:r>
      <w:r>
        <w:rPr>
          <w:spacing w:val="-6"/>
        </w:rPr>
        <w:t> </w:t>
      </w:r>
      <w:r>
        <w:rPr/>
        <w:t>其他</w:t>
      </w:r>
      <w:r>
        <w:rPr>
          <w:b w:val="0"/>
          <w:bCs w:val="0"/>
        </w:rPr>
      </w:r>
    </w:p>
    <w:p>
      <w:pPr>
        <w:pStyle w:val="BodyText"/>
        <w:spacing w:line="240" w:lineRule="auto" w:before="135"/>
        <w:ind w:left="557" w:right="127"/>
        <w:jc w:val="left"/>
      </w:pPr>
      <w:r>
        <w:rPr/>
        <w:t>公司于</w:t>
      </w:r>
      <w:r>
        <w:rPr>
          <w:spacing w:val="-57"/>
        </w:rPr>
        <w:t> </w:t>
      </w:r>
      <w:r>
        <w:rPr/>
        <w:t>2015</w:t>
      </w:r>
      <w:r>
        <w:rPr>
          <w:spacing w:val="-58"/>
        </w:rPr>
        <w:t> </w:t>
      </w:r>
      <w:r>
        <w:rPr/>
        <w:t>年</w:t>
      </w:r>
      <w:r>
        <w:rPr>
          <w:spacing w:val="-57"/>
        </w:rPr>
        <w:t> </w:t>
      </w:r>
      <w:r>
        <w:rPr/>
        <w:t>1</w:t>
      </w:r>
      <w:r>
        <w:rPr>
          <w:spacing w:val="-58"/>
        </w:rPr>
        <w:t> </w:t>
      </w:r>
      <w:r>
        <w:rPr/>
        <w:t>月</w:t>
      </w:r>
      <w:r>
        <w:rPr>
          <w:spacing w:val="-57"/>
        </w:rPr>
        <w:t> </w:t>
      </w:r>
      <w:r>
        <w:rPr/>
        <w:t>19</w:t>
      </w:r>
      <w:r>
        <w:rPr>
          <w:spacing w:val="-57"/>
        </w:rPr>
        <w:t> </w:t>
      </w:r>
      <w:r>
        <w:rPr/>
        <w:t>日召开了第二届董事会第十次会议，审议通过了《关于使用募集资金</w:t>
      </w:r>
    </w:p>
    <w:p>
      <w:pPr>
        <w:pStyle w:val="BodyText"/>
        <w:spacing w:line="314" w:lineRule="auto" w:before="85"/>
        <w:ind w:left="137" w:right="196"/>
        <w:jc w:val="left"/>
      </w:pPr>
      <w:r>
        <w:rPr/>
        <w:t>置换预先已投入募投项目的自筹资金的议案》，同意使用募集资金</w:t>
      </w:r>
      <w:r>
        <w:rPr>
          <w:spacing w:val="-47"/>
        </w:rPr>
        <w:t> </w:t>
      </w:r>
      <w:r>
        <w:rPr/>
        <w:t>30,994,948.16</w:t>
      </w:r>
      <w:r>
        <w:rPr>
          <w:spacing w:val="-47"/>
        </w:rPr>
        <w:t> </w:t>
      </w:r>
      <w:r>
        <w:rPr/>
        <w:t>元置换前期已</w:t>
      </w:r>
      <w:r>
        <w:rPr/>
        <w:t> 预先投入的自筹资金。</w:t>
      </w:r>
    </w:p>
    <w:p>
      <w:pPr>
        <w:spacing w:line="240" w:lineRule="auto" w:before="13"/>
        <w:rPr>
          <w:rFonts w:ascii="宋体" w:hAnsi="宋体" w:cs="宋体" w:eastAsia="宋体" w:hint="default"/>
          <w:sz w:val="20"/>
          <w:szCs w:val="20"/>
        </w:rPr>
      </w:pPr>
    </w:p>
    <w:p>
      <w:pPr>
        <w:pStyle w:val="Heading2"/>
        <w:spacing w:line="240" w:lineRule="auto" w:before="0"/>
        <w:ind w:left="137" w:right="0"/>
        <w:jc w:val="both"/>
        <w:rPr>
          <w:b w:val="0"/>
          <w:bCs w:val="0"/>
        </w:rPr>
      </w:pPr>
      <w:r>
        <w:rPr/>
        <w:t>3、</w:t>
      </w:r>
      <w:r>
        <w:rPr>
          <w:spacing w:val="-7"/>
        </w:rPr>
        <w:t> </w:t>
      </w:r>
      <w:r>
        <w:rPr/>
        <w:t>主要子公司、参股公司分析</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before="0"/>
        <w:ind w:left="557" w:right="127"/>
        <w:jc w:val="left"/>
      </w:pPr>
      <w:r>
        <w:rPr/>
        <w:t>北京南威科技有限公司是本公司的全资子公司，成立于</w:t>
      </w:r>
      <w:r>
        <w:rPr>
          <w:spacing w:val="-58"/>
        </w:rPr>
        <w:t> </w:t>
      </w:r>
      <w:r>
        <w:rPr/>
        <w:t>2010</w:t>
      </w:r>
      <w:r>
        <w:rPr>
          <w:spacing w:val="-57"/>
        </w:rPr>
        <w:t> </w:t>
      </w:r>
      <w:r>
        <w:rPr/>
        <w:t>年</w:t>
      </w:r>
      <w:r>
        <w:rPr>
          <w:spacing w:val="-59"/>
        </w:rPr>
        <w:t> </w:t>
      </w:r>
      <w:r>
        <w:rPr/>
        <w:t>11</w:t>
      </w:r>
      <w:r>
        <w:rPr>
          <w:spacing w:val="-58"/>
        </w:rPr>
        <w:t> </w:t>
      </w:r>
      <w:r>
        <w:rPr/>
        <w:t>月</w:t>
      </w:r>
      <w:r>
        <w:rPr>
          <w:spacing w:val="-58"/>
        </w:rPr>
        <w:t> </w:t>
      </w:r>
      <w:r>
        <w:rPr/>
        <w:t>16</w:t>
      </w:r>
      <w:r>
        <w:rPr>
          <w:spacing w:val="-58"/>
        </w:rPr>
        <w:t> </w:t>
      </w:r>
      <w:r>
        <w:rPr>
          <w:spacing w:val="-8"/>
        </w:rPr>
        <w:t>日，主营业务：技术</w:t>
      </w:r>
    </w:p>
    <w:p>
      <w:pPr>
        <w:pStyle w:val="BodyText"/>
        <w:spacing w:line="240" w:lineRule="auto" w:before="85"/>
        <w:ind w:left="137" w:right="0"/>
        <w:jc w:val="both"/>
      </w:pPr>
      <w:r>
        <w:rPr/>
        <w:t>咨询、软件开发与技术服务等，注册资本</w:t>
      </w:r>
      <w:r>
        <w:rPr>
          <w:spacing w:val="-51"/>
        </w:rPr>
        <w:t> </w:t>
      </w:r>
      <w:r>
        <w:rPr/>
        <w:t>1000</w:t>
      </w:r>
      <w:r>
        <w:rPr>
          <w:spacing w:val="-52"/>
        </w:rPr>
        <w:t> </w:t>
      </w:r>
      <w:r>
        <w:rPr/>
        <w:t>万元。截至</w:t>
      </w:r>
      <w:r>
        <w:rPr>
          <w:spacing w:val="-1"/>
        </w:rPr>
        <w:t> </w:t>
      </w:r>
      <w:r>
        <w:rPr/>
        <w:t>2014</w:t>
      </w:r>
      <w:r>
        <w:rPr>
          <w:spacing w:val="-1"/>
        </w:rPr>
        <w:t> </w:t>
      </w:r>
      <w:r>
        <w:rPr/>
        <w:t>年度，该公司总资产</w:t>
      </w:r>
      <w:r>
        <w:rPr>
          <w:spacing w:val="-51"/>
        </w:rPr>
        <w:t> </w:t>
      </w:r>
      <w:r>
        <w:rPr/>
        <w:t>738.78</w:t>
      </w:r>
      <w:r>
        <w:rPr>
          <w:spacing w:val="-51"/>
        </w:rPr>
        <w:t> </w:t>
      </w:r>
      <w:r>
        <w:rPr/>
        <w:t>万</w:t>
      </w:r>
    </w:p>
    <w:p>
      <w:pPr>
        <w:pStyle w:val="BodyText"/>
        <w:spacing w:line="240" w:lineRule="auto" w:before="85"/>
        <w:ind w:left="137" w:right="0"/>
        <w:jc w:val="both"/>
      </w:pPr>
      <w:r>
        <w:rPr/>
        <w:t>元，净资产</w:t>
      </w:r>
      <w:r>
        <w:rPr>
          <w:spacing w:val="-59"/>
        </w:rPr>
        <w:t> </w:t>
      </w:r>
      <w:r>
        <w:rPr/>
        <w:t>647.86</w:t>
      </w:r>
      <w:r>
        <w:rPr>
          <w:spacing w:val="-58"/>
        </w:rPr>
        <w:t> </w:t>
      </w:r>
      <w:r>
        <w:rPr/>
        <w:t>万元，净利润</w:t>
      </w:r>
      <w:r>
        <w:rPr>
          <w:spacing w:val="-59"/>
        </w:rPr>
        <w:t> </w:t>
      </w:r>
      <w:r>
        <w:rPr/>
        <w:t>118.02</w:t>
      </w:r>
      <w:r>
        <w:rPr>
          <w:spacing w:val="-58"/>
        </w:rPr>
        <w:t> </w:t>
      </w:r>
      <w:r>
        <w:rPr/>
        <w:t>万元。</w:t>
      </w:r>
    </w:p>
    <w:p>
      <w:pPr>
        <w:spacing w:line="240" w:lineRule="auto" w:before="9"/>
        <w:rPr>
          <w:rFonts w:ascii="宋体" w:hAnsi="宋体" w:cs="宋体" w:eastAsia="宋体" w:hint="default"/>
          <w:sz w:val="15"/>
          <w:szCs w:val="15"/>
        </w:rPr>
      </w:pPr>
    </w:p>
    <w:p>
      <w:pPr>
        <w:pStyle w:val="BodyText"/>
        <w:spacing w:line="240" w:lineRule="auto" w:before="0"/>
        <w:ind w:left="557" w:right="127"/>
        <w:jc w:val="left"/>
      </w:pPr>
      <w:r>
        <w:rPr/>
        <w:t>福建南威软件有限公司是本公司的全资子公司，成立于</w:t>
      </w:r>
      <w:r>
        <w:rPr>
          <w:spacing w:val="-57"/>
        </w:rPr>
        <w:t> </w:t>
      </w:r>
      <w:r>
        <w:rPr/>
        <w:t>2011</w:t>
      </w:r>
      <w:r>
        <w:rPr>
          <w:spacing w:val="-57"/>
        </w:rPr>
        <w:t> </w:t>
      </w:r>
      <w:r>
        <w:rPr/>
        <w:t>年</w:t>
      </w:r>
      <w:r>
        <w:rPr>
          <w:spacing w:val="-57"/>
        </w:rPr>
        <w:t> </w:t>
      </w:r>
      <w:r>
        <w:rPr/>
        <w:t>5</w:t>
      </w:r>
      <w:r>
        <w:rPr>
          <w:spacing w:val="-57"/>
        </w:rPr>
        <w:t> </w:t>
      </w:r>
      <w:r>
        <w:rPr/>
        <w:t>月</w:t>
      </w:r>
      <w:r>
        <w:rPr>
          <w:spacing w:val="-57"/>
        </w:rPr>
        <w:t> </w:t>
      </w:r>
      <w:r>
        <w:rPr/>
        <w:t>31</w:t>
      </w:r>
      <w:r>
        <w:rPr>
          <w:spacing w:val="-57"/>
        </w:rPr>
        <w:t> </w:t>
      </w:r>
      <w:r>
        <w:rPr/>
        <w:t>日，主营业务：技术</w:t>
      </w:r>
    </w:p>
    <w:p>
      <w:pPr>
        <w:pStyle w:val="BodyText"/>
        <w:spacing w:line="240" w:lineRule="auto" w:before="85"/>
        <w:ind w:left="137" w:right="0"/>
        <w:jc w:val="both"/>
      </w:pPr>
      <w:r>
        <w:rPr/>
        <w:t>咨询、软件开发与技术服务等，注册资本</w:t>
      </w:r>
      <w:r>
        <w:rPr>
          <w:spacing w:val="-32"/>
        </w:rPr>
        <w:t> </w:t>
      </w:r>
      <w:r>
        <w:rPr/>
        <w:t>2000</w:t>
      </w:r>
      <w:r>
        <w:rPr>
          <w:spacing w:val="-33"/>
        </w:rPr>
        <w:t> </w:t>
      </w:r>
      <w:r>
        <w:rPr/>
        <w:t>万元。截至</w:t>
      </w:r>
      <w:r>
        <w:rPr>
          <w:spacing w:val="-1"/>
        </w:rPr>
        <w:t> </w:t>
      </w:r>
      <w:r>
        <w:rPr/>
        <w:t>2014</w:t>
      </w:r>
      <w:r>
        <w:rPr>
          <w:spacing w:val="-2"/>
        </w:rPr>
        <w:t> </w:t>
      </w:r>
      <w:r>
        <w:rPr/>
        <w:t>年度，该公司总资产</w:t>
      </w:r>
      <w:r>
        <w:rPr>
          <w:spacing w:val="-32"/>
        </w:rPr>
        <w:t> </w:t>
      </w:r>
      <w:r>
        <w:rPr/>
        <w:t>2,131.88</w:t>
      </w:r>
    </w:p>
    <w:p>
      <w:pPr>
        <w:pStyle w:val="BodyText"/>
        <w:spacing w:line="240" w:lineRule="auto" w:before="85"/>
        <w:ind w:left="137" w:right="0"/>
        <w:jc w:val="both"/>
      </w:pPr>
      <w:r>
        <w:rPr/>
        <w:t>万元，净资产</w:t>
      </w:r>
      <w:r>
        <w:rPr>
          <w:spacing w:val="-60"/>
        </w:rPr>
        <w:t> </w:t>
      </w:r>
      <w:r>
        <w:rPr/>
        <w:t>1,803.37</w:t>
      </w:r>
      <w:r>
        <w:rPr>
          <w:spacing w:val="-60"/>
        </w:rPr>
        <w:t> </w:t>
      </w:r>
      <w:r>
        <w:rPr/>
        <w:t>万元，净利润</w:t>
      </w:r>
      <w:r>
        <w:rPr>
          <w:spacing w:val="-60"/>
        </w:rPr>
        <w:t> </w:t>
      </w:r>
      <w:r>
        <w:rPr/>
        <w:t>65.41</w:t>
      </w:r>
      <w:r>
        <w:rPr>
          <w:spacing w:val="-59"/>
        </w:rPr>
        <w:t> </w:t>
      </w:r>
      <w:r>
        <w:rPr/>
        <w:t>万元。</w:t>
      </w:r>
    </w:p>
    <w:p>
      <w:pPr>
        <w:spacing w:after="0" w:line="240" w:lineRule="auto"/>
        <w:jc w:val="both"/>
        <w:sectPr>
          <w:type w:val="continuous"/>
          <w:pgSz w:w="11910" w:h="16840"/>
          <w:pgMar w:top="1120" w:bottom="116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0"/>
        <w:ind w:left="557" w:right="0"/>
        <w:jc w:val="left"/>
      </w:pPr>
      <w:r>
        <w:rPr/>
        <w:t>厦门市南威软件科技有限公司是本公司的全资子公司</w:t>
      </w:r>
      <w:r>
        <w:rPr>
          <w:spacing w:val="-99"/>
        </w:rPr>
        <w:t>，</w:t>
      </w:r>
      <w:r>
        <w:rPr>
          <w:spacing w:val="-1"/>
        </w:rPr>
        <w:t>成立</w:t>
      </w:r>
      <w:r>
        <w:rPr/>
        <w:t>于</w:t>
      </w:r>
      <w:r>
        <w:rPr>
          <w:spacing w:val="-53"/>
        </w:rPr>
        <w:t> </w:t>
      </w:r>
      <w:r>
        <w:rPr>
          <w:spacing w:val="-1"/>
        </w:rPr>
        <w:t>201</w:t>
      </w:r>
      <w:r>
        <w:rPr/>
        <w:t>1</w:t>
      </w:r>
      <w:r>
        <w:rPr>
          <w:spacing w:val="-52"/>
        </w:rPr>
        <w:t> </w:t>
      </w:r>
      <w:r>
        <w:rPr/>
        <w:t>年</w:t>
      </w:r>
      <w:r>
        <w:rPr>
          <w:spacing w:val="-54"/>
        </w:rPr>
        <w:t> </w:t>
      </w:r>
      <w:r>
        <w:rPr/>
        <w:t>1</w:t>
      </w:r>
      <w:r>
        <w:rPr>
          <w:spacing w:val="-53"/>
        </w:rPr>
        <w:t> </w:t>
      </w:r>
      <w:r>
        <w:rPr/>
        <w:t>月</w:t>
      </w:r>
      <w:r>
        <w:rPr>
          <w:spacing w:val="-53"/>
        </w:rPr>
        <w:t> </w:t>
      </w:r>
      <w:r>
        <w:rPr>
          <w:spacing w:val="-1"/>
        </w:rPr>
        <w:t>3</w:t>
      </w:r>
      <w:r>
        <w:rPr/>
        <w:t>1</w:t>
      </w:r>
      <w:r>
        <w:rPr>
          <w:spacing w:val="-52"/>
        </w:rPr>
        <w:t> </w:t>
      </w:r>
      <w:r>
        <w:rPr/>
        <w:t>日</w:t>
      </w:r>
      <w:r>
        <w:rPr>
          <w:spacing w:val="-99"/>
        </w:rPr>
        <w:t>，</w:t>
      </w:r>
      <w:r>
        <w:rPr>
          <w:spacing w:val="-2"/>
        </w:rPr>
        <w:t>主</w:t>
      </w:r>
      <w:r>
        <w:rPr/>
        <w:t>营业务：</w:t>
      </w:r>
    </w:p>
    <w:p>
      <w:pPr>
        <w:pStyle w:val="BodyText"/>
        <w:spacing w:line="240" w:lineRule="auto" w:before="85"/>
        <w:ind w:left="137" w:right="0"/>
        <w:jc w:val="left"/>
      </w:pPr>
      <w:r>
        <w:rPr>
          <w:spacing w:val="-7"/>
        </w:rPr>
        <w:t>技术咨询、软件开发与技术服务等，注册资本</w:t>
      </w:r>
      <w:r>
        <w:rPr>
          <w:spacing w:val="-52"/>
        </w:rPr>
        <w:t> </w:t>
      </w:r>
      <w:r>
        <w:rPr/>
        <w:t>500</w:t>
      </w:r>
      <w:r>
        <w:rPr>
          <w:spacing w:val="-52"/>
        </w:rPr>
        <w:t> </w:t>
      </w:r>
      <w:r>
        <w:rPr>
          <w:spacing w:val="-13"/>
        </w:rPr>
        <w:t>万元。截至</w:t>
      </w:r>
      <w:r>
        <w:rPr>
          <w:spacing w:val="3"/>
        </w:rPr>
        <w:t> </w:t>
      </w:r>
      <w:r>
        <w:rPr/>
        <w:t>2014</w:t>
      </w:r>
      <w:r>
        <w:rPr>
          <w:spacing w:val="3"/>
        </w:rPr>
        <w:t> </w:t>
      </w:r>
      <w:r>
        <w:rPr>
          <w:spacing w:val="-8"/>
        </w:rPr>
        <w:t>年度，该公司总资产</w:t>
      </w:r>
      <w:r>
        <w:rPr>
          <w:spacing w:val="-52"/>
        </w:rPr>
        <w:t> </w:t>
      </w:r>
      <w:r>
        <w:rPr/>
        <w:t>1,064.94</w:t>
      </w:r>
    </w:p>
    <w:p>
      <w:pPr>
        <w:pStyle w:val="BodyText"/>
        <w:spacing w:line="240" w:lineRule="auto" w:before="85"/>
        <w:ind w:left="137" w:right="127"/>
        <w:jc w:val="left"/>
      </w:pPr>
      <w:r>
        <w:rPr/>
        <w:t>万元，净资产</w:t>
      </w:r>
      <w:r>
        <w:rPr>
          <w:spacing w:val="-57"/>
        </w:rPr>
        <w:t> </w:t>
      </w:r>
      <w:r>
        <w:rPr/>
        <w:t>247.19</w:t>
      </w:r>
      <w:r>
        <w:rPr>
          <w:spacing w:val="-56"/>
        </w:rPr>
        <w:t> </w:t>
      </w:r>
      <w:r>
        <w:rPr/>
        <w:t>万元，净利润</w:t>
      </w:r>
      <w:r>
        <w:rPr>
          <w:spacing w:val="-9"/>
        </w:rPr>
        <w:t> </w:t>
      </w:r>
      <w:r>
        <w:rPr/>
        <w:t>14.35</w:t>
      </w:r>
      <w:r>
        <w:rPr>
          <w:spacing w:val="-9"/>
        </w:rPr>
        <w:t> </w:t>
      </w:r>
      <w:r>
        <w:rPr/>
        <w:t>万元。</w:t>
      </w:r>
    </w:p>
    <w:p>
      <w:pPr>
        <w:spacing w:line="240" w:lineRule="auto" w:before="9"/>
        <w:rPr>
          <w:rFonts w:ascii="宋体" w:hAnsi="宋体" w:cs="宋体" w:eastAsia="宋体" w:hint="default"/>
          <w:sz w:val="15"/>
          <w:szCs w:val="15"/>
        </w:rPr>
      </w:pPr>
    </w:p>
    <w:p>
      <w:pPr>
        <w:pStyle w:val="BodyText"/>
        <w:spacing w:line="240" w:lineRule="auto" w:before="0"/>
        <w:ind w:left="557" w:right="0"/>
        <w:jc w:val="left"/>
      </w:pPr>
      <w:r>
        <w:rPr/>
        <w:t>宁德南威软件有限公司是本公司的全资子公司，成立于</w:t>
      </w:r>
      <w:r>
        <w:rPr>
          <w:spacing w:val="-58"/>
        </w:rPr>
        <w:t> </w:t>
      </w:r>
      <w:r>
        <w:rPr/>
        <w:t>2010</w:t>
      </w:r>
      <w:r>
        <w:rPr>
          <w:spacing w:val="-57"/>
        </w:rPr>
        <w:t> </w:t>
      </w:r>
      <w:r>
        <w:rPr/>
        <w:t>年</w:t>
      </w:r>
      <w:r>
        <w:rPr>
          <w:spacing w:val="-59"/>
        </w:rPr>
        <w:t> </w:t>
      </w:r>
      <w:r>
        <w:rPr/>
        <w:t>12</w:t>
      </w:r>
      <w:r>
        <w:rPr>
          <w:spacing w:val="-58"/>
        </w:rPr>
        <w:t> </w:t>
      </w:r>
      <w:r>
        <w:rPr/>
        <w:t>月</w:t>
      </w:r>
      <w:r>
        <w:rPr>
          <w:spacing w:val="-58"/>
        </w:rPr>
        <w:t> </w:t>
      </w:r>
      <w:r>
        <w:rPr/>
        <w:t>21</w:t>
      </w:r>
      <w:r>
        <w:rPr>
          <w:spacing w:val="-58"/>
        </w:rPr>
        <w:t> </w:t>
      </w:r>
      <w:r>
        <w:rPr>
          <w:spacing w:val="-8"/>
        </w:rPr>
        <w:t>日，主营业务：软件</w:t>
      </w:r>
    </w:p>
    <w:p>
      <w:pPr>
        <w:pStyle w:val="BodyText"/>
        <w:spacing w:line="240" w:lineRule="auto" w:before="85"/>
        <w:ind w:left="137" w:right="0"/>
        <w:jc w:val="left"/>
      </w:pPr>
      <w:r>
        <w:rPr>
          <w:spacing w:val="-9"/>
        </w:rPr>
        <w:t>开发、系统集成与技术服务等，注册资本</w:t>
      </w:r>
      <w:r>
        <w:rPr>
          <w:spacing w:val="-53"/>
        </w:rPr>
        <w:t> </w:t>
      </w:r>
      <w:r>
        <w:rPr/>
        <w:t>100</w:t>
      </w:r>
      <w:r>
        <w:rPr>
          <w:spacing w:val="-52"/>
        </w:rPr>
        <w:t> </w:t>
      </w:r>
      <w:r>
        <w:rPr>
          <w:spacing w:val="-16"/>
        </w:rPr>
        <w:t>万元。截至</w:t>
      </w:r>
      <w:r>
        <w:rPr>
          <w:spacing w:val="1"/>
        </w:rPr>
        <w:t> </w:t>
      </w:r>
      <w:r>
        <w:rPr/>
        <w:t>2014</w:t>
      </w:r>
      <w:r>
        <w:rPr>
          <w:spacing w:val="1"/>
        </w:rPr>
        <w:t> </w:t>
      </w:r>
      <w:r>
        <w:rPr>
          <w:spacing w:val="-9"/>
        </w:rPr>
        <w:t>年度，该公司总资产</w:t>
      </w:r>
      <w:r>
        <w:rPr>
          <w:spacing w:val="-53"/>
        </w:rPr>
        <w:t> </w:t>
      </w:r>
      <w:r>
        <w:rPr/>
        <w:t>381.53</w:t>
      </w:r>
      <w:r>
        <w:rPr>
          <w:spacing w:val="-52"/>
        </w:rPr>
        <w:t> </w:t>
      </w:r>
      <w:r>
        <w:rPr/>
        <w:t>万元，</w:t>
      </w:r>
    </w:p>
    <w:p>
      <w:pPr>
        <w:pStyle w:val="BodyText"/>
        <w:spacing w:line="240" w:lineRule="auto" w:before="85"/>
        <w:ind w:left="137" w:right="127"/>
        <w:jc w:val="left"/>
      </w:pPr>
      <w:r>
        <w:rPr/>
        <w:t>净资产</w:t>
      </w:r>
      <w:r>
        <w:rPr>
          <w:spacing w:val="-58"/>
        </w:rPr>
        <w:t> </w:t>
      </w:r>
      <w:r>
        <w:rPr/>
        <w:t>211.34</w:t>
      </w:r>
      <w:r>
        <w:rPr>
          <w:spacing w:val="-57"/>
        </w:rPr>
        <w:t> </w:t>
      </w:r>
      <w:r>
        <w:rPr/>
        <w:t>万元，净利润</w:t>
      </w:r>
      <w:r>
        <w:rPr>
          <w:spacing w:val="-58"/>
        </w:rPr>
        <w:t> </w:t>
      </w:r>
      <w:r>
        <w:rPr/>
        <w:t>5.22</w:t>
      </w:r>
      <w:r>
        <w:rPr>
          <w:spacing w:val="-57"/>
        </w:rPr>
        <w:t> </w:t>
      </w:r>
      <w:r>
        <w:rPr/>
        <w:t>万元。</w:t>
      </w:r>
    </w:p>
    <w:p>
      <w:pPr>
        <w:spacing w:line="240" w:lineRule="auto" w:before="9"/>
        <w:rPr>
          <w:rFonts w:ascii="宋体" w:hAnsi="宋体" w:cs="宋体" w:eastAsia="宋体" w:hint="default"/>
          <w:sz w:val="15"/>
          <w:szCs w:val="15"/>
        </w:rPr>
      </w:pPr>
    </w:p>
    <w:p>
      <w:pPr>
        <w:pStyle w:val="BodyText"/>
        <w:spacing w:line="240" w:lineRule="auto" w:before="0"/>
        <w:ind w:left="557" w:right="127"/>
        <w:jc w:val="left"/>
      </w:pPr>
      <w:r>
        <w:rPr/>
        <w:t>成都南威软件有限公司是本公司的全资子公司，成立于</w:t>
      </w:r>
      <w:r>
        <w:rPr>
          <w:spacing w:val="-57"/>
        </w:rPr>
        <w:t> </w:t>
      </w:r>
      <w:r>
        <w:rPr/>
        <w:t>2012</w:t>
      </w:r>
      <w:r>
        <w:rPr>
          <w:spacing w:val="-57"/>
        </w:rPr>
        <w:t> </w:t>
      </w:r>
      <w:r>
        <w:rPr/>
        <w:t>年</w:t>
      </w:r>
      <w:r>
        <w:rPr>
          <w:spacing w:val="-57"/>
        </w:rPr>
        <w:t> </w:t>
      </w:r>
      <w:r>
        <w:rPr/>
        <w:t>3</w:t>
      </w:r>
      <w:r>
        <w:rPr>
          <w:spacing w:val="-57"/>
        </w:rPr>
        <w:t> </w:t>
      </w:r>
      <w:r>
        <w:rPr/>
        <w:t>月</w:t>
      </w:r>
      <w:r>
        <w:rPr>
          <w:spacing w:val="-57"/>
        </w:rPr>
        <w:t> </w:t>
      </w:r>
      <w:r>
        <w:rPr/>
        <w:t>15</w:t>
      </w:r>
      <w:r>
        <w:rPr>
          <w:spacing w:val="-57"/>
        </w:rPr>
        <w:t> </w:t>
      </w:r>
      <w:r>
        <w:rPr/>
        <w:t>日，主营业务：技术</w:t>
      </w:r>
    </w:p>
    <w:p>
      <w:pPr>
        <w:pStyle w:val="BodyText"/>
        <w:spacing w:line="240" w:lineRule="auto" w:before="85"/>
        <w:ind w:left="137" w:right="0"/>
        <w:jc w:val="left"/>
      </w:pPr>
      <w:r>
        <w:rPr>
          <w:spacing w:val="-9"/>
        </w:rPr>
        <w:t>咨询、软件开发与技术服务等，注册资本</w:t>
      </w:r>
      <w:r>
        <w:rPr>
          <w:spacing w:val="-53"/>
        </w:rPr>
        <w:t> </w:t>
      </w:r>
      <w:r>
        <w:rPr/>
        <w:t>100</w:t>
      </w:r>
      <w:r>
        <w:rPr>
          <w:spacing w:val="-52"/>
        </w:rPr>
        <w:t> </w:t>
      </w:r>
      <w:r>
        <w:rPr>
          <w:spacing w:val="-16"/>
        </w:rPr>
        <w:t>万元。截至</w:t>
      </w:r>
      <w:r>
        <w:rPr>
          <w:spacing w:val="1"/>
        </w:rPr>
        <w:t> </w:t>
      </w:r>
      <w:r>
        <w:rPr/>
        <w:t>2014</w:t>
      </w:r>
      <w:r>
        <w:rPr>
          <w:spacing w:val="1"/>
        </w:rPr>
        <w:t> </w:t>
      </w:r>
      <w:r>
        <w:rPr>
          <w:spacing w:val="-9"/>
        </w:rPr>
        <w:t>年度，该公司总资产</w:t>
      </w:r>
      <w:r>
        <w:rPr>
          <w:spacing w:val="-53"/>
        </w:rPr>
        <w:t> </w:t>
      </w:r>
      <w:r>
        <w:rPr/>
        <w:t>122.41</w:t>
      </w:r>
      <w:r>
        <w:rPr>
          <w:spacing w:val="-52"/>
        </w:rPr>
        <w:t> </w:t>
      </w:r>
      <w:r>
        <w:rPr/>
        <w:t>万元，</w:t>
      </w:r>
    </w:p>
    <w:p>
      <w:pPr>
        <w:pStyle w:val="BodyText"/>
        <w:spacing w:line="240" w:lineRule="auto" w:before="85"/>
        <w:ind w:left="137" w:right="127"/>
        <w:jc w:val="left"/>
      </w:pPr>
      <w:r>
        <w:rPr/>
        <w:t>净资产</w:t>
      </w:r>
      <w:r>
        <w:rPr>
          <w:spacing w:val="-58"/>
        </w:rPr>
        <w:t> </w:t>
      </w:r>
      <w:r>
        <w:rPr/>
        <w:t>43.26</w:t>
      </w:r>
      <w:r>
        <w:rPr>
          <w:spacing w:val="-57"/>
        </w:rPr>
        <w:t> </w:t>
      </w:r>
      <w:r>
        <w:rPr/>
        <w:t>万元，净利润</w:t>
      </w:r>
      <w:r>
        <w:rPr>
          <w:spacing w:val="-58"/>
        </w:rPr>
        <w:t> </w:t>
      </w:r>
      <w:r>
        <w:rPr/>
        <w:t>11.88</w:t>
      </w:r>
      <w:r>
        <w:rPr>
          <w:spacing w:val="-57"/>
        </w:rPr>
        <w:t> </w:t>
      </w:r>
      <w:r>
        <w:rPr/>
        <w:t>万元。</w:t>
      </w:r>
    </w:p>
    <w:p>
      <w:pPr>
        <w:spacing w:line="240" w:lineRule="auto" w:before="9"/>
        <w:rPr>
          <w:rFonts w:ascii="宋体" w:hAnsi="宋体" w:cs="宋体" w:eastAsia="宋体" w:hint="default"/>
          <w:sz w:val="15"/>
          <w:szCs w:val="15"/>
        </w:rPr>
      </w:pPr>
    </w:p>
    <w:p>
      <w:pPr>
        <w:pStyle w:val="BodyText"/>
        <w:spacing w:line="240" w:lineRule="auto" w:before="0"/>
        <w:ind w:left="557" w:right="127"/>
        <w:jc w:val="left"/>
      </w:pPr>
      <w:r>
        <w:rPr/>
        <w:t>昌吉州南威软件有限公司是本公司的全资子公司，成立于</w:t>
      </w:r>
      <w:r>
        <w:rPr>
          <w:spacing w:val="-57"/>
        </w:rPr>
        <w:t> </w:t>
      </w:r>
      <w:r>
        <w:rPr/>
        <w:t>2012</w:t>
      </w:r>
      <w:r>
        <w:rPr>
          <w:spacing w:val="-57"/>
        </w:rPr>
        <w:t> </w:t>
      </w:r>
      <w:r>
        <w:rPr/>
        <w:t>年</w:t>
      </w:r>
      <w:r>
        <w:rPr>
          <w:spacing w:val="-58"/>
        </w:rPr>
        <w:t> </w:t>
      </w:r>
      <w:r>
        <w:rPr/>
        <w:t>3</w:t>
      </w:r>
      <w:r>
        <w:rPr>
          <w:spacing w:val="-58"/>
        </w:rPr>
        <w:t> </w:t>
      </w:r>
      <w:r>
        <w:rPr/>
        <w:t>月</w:t>
      </w:r>
      <w:r>
        <w:rPr>
          <w:spacing w:val="-57"/>
        </w:rPr>
        <w:t> </w:t>
      </w:r>
      <w:r>
        <w:rPr/>
        <w:t>13</w:t>
      </w:r>
      <w:r>
        <w:rPr>
          <w:spacing w:val="-57"/>
        </w:rPr>
        <w:t> </w:t>
      </w:r>
      <w:r>
        <w:rPr/>
        <w:t>日，主营业务：技</w:t>
      </w:r>
    </w:p>
    <w:p>
      <w:pPr>
        <w:pStyle w:val="BodyText"/>
        <w:spacing w:line="240" w:lineRule="auto" w:before="85"/>
        <w:ind w:left="137" w:right="0"/>
        <w:jc w:val="left"/>
      </w:pPr>
      <w:r>
        <w:rPr/>
        <w:t>术咨询、软件开发、信息系统集成与技术服务等，注册资本</w:t>
      </w:r>
      <w:r>
        <w:rPr>
          <w:spacing w:val="-48"/>
        </w:rPr>
        <w:t> </w:t>
      </w:r>
      <w:r>
        <w:rPr/>
        <w:t>500</w:t>
      </w:r>
      <w:r>
        <w:rPr>
          <w:spacing w:val="-47"/>
        </w:rPr>
        <w:t> </w:t>
      </w:r>
      <w:r>
        <w:rPr/>
        <w:t>万元。截至</w:t>
      </w:r>
      <w:r>
        <w:rPr>
          <w:spacing w:val="-2"/>
        </w:rPr>
        <w:t> </w:t>
      </w:r>
      <w:r>
        <w:rPr/>
        <w:t>2014</w:t>
      </w:r>
      <w:r>
        <w:rPr>
          <w:spacing w:val="-2"/>
        </w:rPr>
        <w:t> </w:t>
      </w:r>
      <w:r>
        <w:rPr/>
        <w:t>年度，该公司</w:t>
      </w:r>
    </w:p>
    <w:p>
      <w:pPr>
        <w:pStyle w:val="BodyText"/>
        <w:spacing w:line="240" w:lineRule="auto" w:before="85"/>
        <w:ind w:left="137" w:right="127"/>
        <w:jc w:val="left"/>
      </w:pPr>
      <w:r>
        <w:rPr/>
        <w:t>总资产</w:t>
      </w:r>
      <w:r>
        <w:rPr>
          <w:spacing w:val="-60"/>
        </w:rPr>
        <w:t> </w:t>
      </w:r>
      <w:r>
        <w:rPr/>
        <w:t>552.15</w:t>
      </w:r>
      <w:r>
        <w:rPr>
          <w:spacing w:val="-59"/>
        </w:rPr>
        <w:t> </w:t>
      </w:r>
      <w:r>
        <w:rPr/>
        <w:t>万元，净资产</w:t>
      </w:r>
      <w:r>
        <w:rPr>
          <w:spacing w:val="-60"/>
        </w:rPr>
        <w:t> </w:t>
      </w:r>
      <w:r>
        <w:rPr/>
        <w:t>535.38</w:t>
      </w:r>
      <w:r>
        <w:rPr>
          <w:spacing w:val="-59"/>
        </w:rPr>
        <w:t> </w:t>
      </w:r>
      <w:r>
        <w:rPr/>
        <w:t>万元，净利润-15.21</w:t>
      </w:r>
      <w:r>
        <w:rPr>
          <w:spacing w:val="-59"/>
        </w:rPr>
        <w:t> </w:t>
      </w:r>
      <w:r>
        <w:rPr/>
        <w:t>万元。</w:t>
      </w:r>
    </w:p>
    <w:p>
      <w:pPr>
        <w:spacing w:line="240" w:lineRule="auto" w:before="9"/>
        <w:rPr>
          <w:rFonts w:ascii="宋体" w:hAnsi="宋体" w:cs="宋体" w:eastAsia="宋体" w:hint="default"/>
          <w:sz w:val="15"/>
          <w:szCs w:val="15"/>
        </w:rPr>
      </w:pPr>
    </w:p>
    <w:p>
      <w:pPr>
        <w:pStyle w:val="BodyText"/>
        <w:spacing w:line="240" w:lineRule="auto" w:before="0"/>
        <w:ind w:left="557" w:right="0"/>
        <w:jc w:val="left"/>
      </w:pPr>
      <w:r>
        <w:rPr/>
        <w:t>西安南威信息科技有限责任公司为本公司控股子公司，成立于</w:t>
      </w:r>
      <w:r>
        <w:rPr>
          <w:spacing w:val="-60"/>
        </w:rPr>
        <w:t> </w:t>
      </w:r>
      <w:r>
        <w:rPr/>
        <w:t>2011</w:t>
      </w:r>
      <w:r>
        <w:rPr>
          <w:spacing w:val="-60"/>
        </w:rPr>
        <w:t> </w:t>
      </w:r>
      <w:r>
        <w:rPr/>
        <w:t>年</w:t>
      </w:r>
      <w:r>
        <w:rPr>
          <w:spacing w:val="-60"/>
        </w:rPr>
        <w:t> </w:t>
      </w:r>
      <w:r>
        <w:rPr/>
        <w:t>11</w:t>
      </w:r>
      <w:r>
        <w:rPr>
          <w:spacing w:val="-60"/>
        </w:rPr>
        <w:t> </w:t>
      </w:r>
      <w:r>
        <w:rPr/>
        <w:t>月</w:t>
      </w:r>
      <w:r>
        <w:rPr>
          <w:spacing w:val="-61"/>
        </w:rPr>
        <w:t> </w:t>
      </w:r>
      <w:r>
        <w:rPr/>
        <w:t>28</w:t>
      </w:r>
      <w:r>
        <w:rPr>
          <w:spacing w:val="-60"/>
        </w:rPr>
        <w:t> </w:t>
      </w:r>
      <w:r>
        <w:rPr>
          <w:spacing w:val="-9"/>
        </w:rPr>
        <w:t>日，注册资本</w:t>
      </w:r>
    </w:p>
    <w:p>
      <w:pPr>
        <w:pStyle w:val="BodyText"/>
        <w:spacing w:line="240" w:lineRule="auto" w:before="85"/>
        <w:ind w:left="137" w:right="127"/>
        <w:jc w:val="left"/>
      </w:pPr>
      <w:r>
        <w:rPr/>
        <w:t>500</w:t>
      </w:r>
      <w:r>
        <w:rPr>
          <w:spacing w:val="-65"/>
        </w:rPr>
        <w:t> </w:t>
      </w:r>
      <w:r>
        <w:rPr/>
        <w:t>万元，主营业务：计算机软硬件系统的开发与技术服务等，公司持股比例为</w:t>
      </w:r>
      <w:r>
        <w:rPr>
          <w:spacing w:val="-26"/>
        </w:rPr>
        <w:t> </w:t>
      </w:r>
      <w:r>
        <w:rPr>
          <w:spacing w:val="-3"/>
        </w:rPr>
        <w:t>70%。截至</w:t>
      </w:r>
      <w:r>
        <w:rPr>
          <w:spacing w:val="-26"/>
        </w:rPr>
        <w:t> </w:t>
      </w:r>
      <w:r>
        <w:rPr/>
        <w:t>2014</w:t>
      </w:r>
    </w:p>
    <w:p>
      <w:pPr>
        <w:pStyle w:val="BodyText"/>
        <w:spacing w:line="240" w:lineRule="auto" w:before="85"/>
        <w:ind w:left="137" w:right="127"/>
        <w:jc w:val="left"/>
      </w:pPr>
      <w:r>
        <w:rPr/>
        <w:t>年度，该公司总资产</w:t>
      </w:r>
      <w:r>
        <w:rPr>
          <w:spacing w:val="-61"/>
        </w:rPr>
        <w:t> </w:t>
      </w:r>
      <w:r>
        <w:rPr/>
        <w:t>557.83</w:t>
      </w:r>
      <w:r>
        <w:rPr>
          <w:spacing w:val="-60"/>
        </w:rPr>
        <w:t> </w:t>
      </w:r>
      <w:r>
        <w:rPr/>
        <w:t>万元，净资产</w:t>
      </w:r>
      <w:r>
        <w:rPr>
          <w:spacing w:val="-61"/>
        </w:rPr>
        <w:t> </w:t>
      </w:r>
      <w:r>
        <w:rPr/>
        <w:t>464.07</w:t>
      </w:r>
      <w:r>
        <w:rPr>
          <w:spacing w:val="-61"/>
        </w:rPr>
        <w:t> </w:t>
      </w:r>
      <w:r>
        <w:rPr/>
        <w:t>万元，净利润-43.79</w:t>
      </w:r>
      <w:r>
        <w:rPr>
          <w:spacing w:val="-60"/>
        </w:rPr>
        <w:t> </w:t>
      </w:r>
      <w:r>
        <w:rPr/>
        <w:t>万元。</w:t>
      </w:r>
    </w:p>
    <w:p>
      <w:pPr>
        <w:spacing w:line="240" w:lineRule="auto" w:before="9"/>
        <w:rPr>
          <w:rFonts w:ascii="宋体" w:hAnsi="宋体" w:cs="宋体" w:eastAsia="宋体" w:hint="default"/>
          <w:sz w:val="15"/>
          <w:szCs w:val="15"/>
        </w:rPr>
      </w:pPr>
    </w:p>
    <w:p>
      <w:pPr>
        <w:pStyle w:val="BodyText"/>
        <w:spacing w:line="240" w:lineRule="auto" w:before="0"/>
        <w:ind w:left="557" w:right="0"/>
        <w:jc w:val="left"/>
      </w:pPr>
      <w:r>
        <w:rPr/>
        <w:t>江西南威软件有限公司是本公司的全资子公司，成立于</w:t>
      </w:r>
      <w:r>
        <w:rPr>
          <w:spacing w:val="-58"/>
        </w:rPr>
        <w:t> </w:t>
      </w:r>
      <w:r>
        <w:rPr/>
        <w:t>2012</w:t>
      </w:r>
      <w:r>
        <w:rPr>
          <w:spacing w:val="-57"/>
        </w:rPr>
        <w:t> </w:t>
      </w:r>
      <w:r>
        <w:rPr/>
        <w:t>年</w:t>
      </w:r>
      <w:r>
        <w:rPr>
          <w:spacing w:val="-59"/>
        </w:rPr>
        <w:t> </w:t>
      </w:r>
      <w:r>
        <w:rPr/>
        <w:t>10</w:t>
      </w:r>
      <w:r>
        <w:rPr>
          <w:spacing w:val="-58"/>
        </w:rPr>
        <w:t> </w:t>
      </w:r>
      <w:r>
        <w:rPr/>
        <w:t>月</w:t>
      </w:r>
      <w:r>
        <w:rPr>
          <w:spacing w:val="-58"/>
        </w:rPr>
        <w:t> </w:t>
      </w:r>
      <w:r>
        <w:rPr/>
        <w:t>22</w:t>
      </w:r>
      <w:r>
        <w:rPr>
          <w:spacing w:val="-58"/>
        </w:rPr>
        <w:t> </w:t>
      </w:r>
      <w:r>
        <w:rPr>
          <w:spacing w:val="-8"/>
        </w:rPr>
        <w:t>日，主营业务：技术</w:t>
      </w:r>
    </w:p>
    <w:p>
      <w:pPr>
        <w:pStyle w:val="BodyText"/>
        <w:spacing w:line="314" w:lineRule="auto" w:before="85"/>
        <w:ind w:left="137" w:right="127"/>
        <w:jc w:val="left"/>
      </w:pPr>
      <w:r>
        <w:rPr>
          <w:spacing w:val="-9"/>
        </w:rPr>
        <w:t>咨询、软件开发与技术服务等，注册资本</w:t>
      </w:r>
      <w:r>
        <w:rPr>
          <w:spacing w:val="-53"/>
        </w:rPr>
        <w:t> </w:t>
      </w:r>
      <w:r>
        <w:rPr/>
        <w:t>500</w:t>
      </w:r>
      <w:r>
        <w:rPr>
          <w:spacing w:val="-52"/>
        </w:rPr>
        <w:t> </w:t>
      </w:r>
      <w:r>
        <w:rPr>
          <w:spacing w:val="-16"/>
        </w:rPr>
        <w:t>万元。截至</w:t>
      </w:r>
      <w:r>
        <w:rPr>
          <w:spacing w:val="1"/>
        </w:rPr>
        <w:t> </w:t>
      </w:r>
      <w:r>
        <w:rPr/>
        <w:t>2014</w:t>
      </w:r>
      <w:r>
        <w:rPr>
          <w:spacing w:val="1"/>
        </w:rPr>
        <w:t> </w:t>
      </w:r>
      <w:r>
        <w:rPr>
          <w:spacing w:val="-9"/>
        </w:rPr>
        <w:t>年度，该公司总资产</w:t>
      </w:r>
      <w:r>
        <w:rPr>
          <w:spacing w:val="-53"/>
        </w:rPr>
        <w:t> </w:t>
      </w:r>
      <w:r>
        <w:rPr/>
        <w:t>419.87</w:t>
      </w:r>
      <w:r>
        <w:rPr>
          <w:spacing w:val="-52"/>
        </w:rPr>
        <w:t> </w:t>
      </w:r>
      <w:r>
        <w:rPr/>
        <w:t>万元，</w:t>
      </w:r>
      <w:r>
        <w:rPr>
          <w:spacing w:val="-1"/>
        </w:rPr>
        <w:t> </w:t>
      </w:r>
      <w:r>
        <w:rPr/>
        <w:t>净资产</w:t>
      </w:r>
      <w:r>
        <w:rPr>
          <w:spacing w:val="-61"/>
        </w:rPr>
        <w:t> </w:t>
      </w:r>
      <w:r>
        <w:rPr/>
        <w:t>411.34</w:t>
      </w:r>
      <w:r>
        <w:rPr>
          <w:spacing w:val="-60"/>
        </w:rPr>
        <w:t> </w:t>
      </w:r>
      <w:r>
        <w:rPr/>
        <w:t>万元，净利润-47.11</w:t>
      </w:r>
      <w:r>
        <w:rPr>
          <w:spacing w:val="-60"/>
        </w:rPr>
        <w:t> </w:t>
      </w:r>
      <w:r>
        <w:rPr/>
        <w:t>万元。</w:t>
      </w:r>
    </w:p>
    <w:p>
      <w:pPr>
        <w:pStyle w:val="BodyText"/>
        <w:spacing w:line="240" w:lineRule="auto" w:before="140"/>
        <w:ind w:left="557" w:right="0"/>
        <w:jc w:val="left"/>
      </w:pPr>
      <w:r>
        <w:rPr/>
        <w:t>南平南威软件有限公司是本公司的全资子公司，成立于</w:t>
      </w:r>
      <w:r>
        <w:rPr>
          <w:spacing w:val="-58"/>
        </w:rPr>
        <w:t> </w:t>
      </w:r>
      <w:r>
        <w:rPr/>
        <w:t>2014</w:t>
      </w:r>
      <w:r>
        <w:rPr>
          <w:spacing w:val="-57"/>
        </w:rPr>
        <w:t> </w:t>
      </w:r>
      <w:r>
        <w:rPr/>
        <w:t>年</w:t>
      </w:r>
      <w:r>
        <w:rPr>
          <w:spacing w:val="-59"/>
        </w:rPr>
        <w:t> </w:t>
      </w:r>
      <w:r>
        <w:rPr/>
        <w:t>6</w:t>
      </w:r>
      <w:r>
        <w:rPr>
          <w:spacing w:val="-57"/>
        </w:rPr>
        <w:t> </w:t>
      </w:r>
      <w:r>
        <w:rPr/>
        <w:t>月</w:t>
      </w:r>
      <w:r>
        <w:rPr>
          <w:spacing w:val="-59"/>
        </w:rPr>
        <w:t> </w:t>
      </w:r>
      <w:r>
        <w:rPr/>
        <w:t>5</w:t>
      </w:r>
      <w:r>
        <w:rPr>
          <w:spacing w:val="-57"/>
        </w:rPr>
        <w:t> </w:t>
      </w:r>
      <w:r>
        <w:rPr>
          <w:spacing w:val="-7"/>
        </w:rPr>
        <w:t>日，主营业务：技术咨</w:t>
      </w:r>
    </w:p>
    <w:p>
      <w:pPr>
        <w:pStyle w:val="BodyText"/>
        <w:spacing w:line="314" w:lineRule="auto" w:before="85"/>
        <w:ind w:left="137" w:right="130"/>
        <w:jc w:val="left"/>
      </w:pPr>
      <w:r>
        <w:rPr>
          <w:spacing w:val="-3"/>
        </w:rPr>
        <w:t>询，软件开发与技术服务等，注册资本</w:t>
      </w:r>
      <w:r>
        <w:rPr>
          <w:spacing w:val="-54"/>
        </w:rPr>
        <w:t> </w:t>
      </w:r>
      <w:r>
        <w:rPr/>
        <w:t>500</w:t>
      </w:r>
      <w:r>
        <w:rPr>
          <w:spacing w:val="-53"/>
        </w:rPr>
        <w:t> </w:t>
      </w:r>
      <w:r>
        <w:rPr>
          <w:spacing w:val="-5"/>
        </w:rPr>
        <w:t>万元。截至</w:t>
      </w:r>
      <w:r>
        <w:rPr>
          <w:spacing w:val="-2"/>
        </w:rPr>
        <w:t> </w:t>
      </w:r>
      <w:r>
        <w:rPr/>
        <w:t>2014</w:t>
      </w:r>
      <w:r>
        <w:rPr>
          <w:spacing w:val="-2"/>
        </w:rPr>
        <w:t> </w:t>
      </w:r>
      <w:r>
        <w:rPr>
          <w:spacing w:val="-3"/>
        </w:rPr>
        <w:t>年度，该公司总资产</w:t>
      </w:r>
      <w:r>
        <w:rPr>
          <w:spacing w:val="-54"/>
        </w:rPr>
        <w:t> </w:t>
      </w:r>
      <w:r>
        <w:rPr/>
        <w:t>0.83</w:t>
      </w:r>
      <w:r>
        <w:rPr>
          <w:spacing w:val="-53"/>
        </w:rPr>
        <w:t> </w:t>
      </w:r>
      <w:r>
        <w:rPr>
          <w:spacing w:val="-5"/>
        </w:rPr>
        <w:t>万元，净</w:t>
      </w:r>
      <w:r>
        <w:rPr/>
        <w:t> 资产-2.48</w:t>
      </w:r>
      <w:r>
        <w:rPr>
          <w:spacing w:val="-53"/>
        </w:rPr>
        <w:t> </w:t>
      </w:r>
      <w:r>
        <w:rPr/>
        <w:t>万元，净利润-2.48</w:t>
      </w:r>
      <w:r>
        <w:rPr>
          <w:spacing w:val="-53"/>
        </w:rPr>
        <w:t> </w:t>
      </w:r>
      <w:r>
        <w:rPr/>
        <w:t>万元。</w:t>
      </w:r>
    </w:p>
    <w:p>
      <w:pPr>
        <w:pStyle w:val="BodyText"/>
        <w:spacing w:line="240" w:lineRule="auto" w:before="140"/>
        <w:ind w:left="557" w:right="127"/>
        <w:jc w:val="left"/>
      </w:pPr>
      <w:r>
        <w:rPr/>
        <w:t>海南科特尔科技有限公司是本公司的全资子公司，成立于</w:t>
      </w:r>
      <w:r>
        <w:rPr>
          <w:spacing w:val="-57"/>
        </w:rPr>
        <w:t> </w:t>
      </w:r>
      <w:r>
        <w:rPr/>
        <w:t>2014</w:t>
      </w:r>
      <w:r>
        <w:rPr>
          <w:spacing w:val="-57"/>
        </w:rPr>
        <w:t> </w:t>
      </w:r>
      <w:r>
        <w:rPr/>
        <w:t>年</w:t>
      </w:r>
      <w:r>
        <w:rPr>
          <w:spacing w:val="-58"/>
        </w:rPr>
        <w:t> </w:t>
      </w:r>
      <w:r>
        <w:rPr/>
        <w:t>8</w:t>
      </w:r>
      <w:r>
        <w:rPr>
          <w:spacing w:val="-58"/>
        </w:rPr>
        <w:t> </w:t>
      </w:r>
      <w:r>
        <w:rPr/>
        <w:t>月</w:t>
      </w:r>
      <w:r>
        <w:rPr>
          <w:spacing w:val="-57"/>
        </w:rPr>
        <w:t> </w:t>
      </w:r>
      <w:r>
        <w:rPr/>
        <w:t>11</w:t>
      </w:r>
      <w:r>
        <w:rPr>
          <w:spacing w:val="-57"/>
        </w:rPr>
        <w:t> </w:t>
      </w:r>
      <w:r>
        <w:rPr/>
        <w:t>日，主营业务：技</w:t>
      </w:r>
    </w:p>
    <w:p>
      <w:pPr>
        <w:pStyle w:val="BodyText"/>
        <w:spacing w:line="314" w:lineRule="auto" w:before="85"/>
        <w:ind w:left="137" w:right="131"/>
        <w:jc w:val="left"/>
      </w:pPr>
      <w:r>
        <w:rPr>
          <w:spacing w:val="-8"/>
        </w:rPr>
        <w:t>术咨询、软件开发与技术服务等，注册资本</w:t>
      </w:r>
      <w:r>
        <w:rPr>
          <w:spacing w:val="-53"/>
        </w:rPr>
        <w:t> </w:t>
      </w:r>
      <w:r>
        <w:rPr/>
        <w:t>100</w:t>
      </w:r>
      <w:r>
        <w:rPr>
          <w:spacing w:val="-52"/>
        </w:rPr>
        <w:t> </w:t>
      </w:r>
      <w:r>
        <w:rPr>
          <w:spacing w:val="-16"/>
        </w:rPr>
        <w:t>万元。截至</w:t>
      </w:r>
      <w:r>
        <w:rPr/>
        <w:t> 2014 </w:t>
      </w:r>
      <w:r>
        <w:rPr>
          <w:spacing w:val="-10"/>
        </w:rPr>
        <w:t>年度，该公司总资产</w:t>
      </w:r>
      <w:r>
        <w:rPr>
          <w:spacing w:val="-53"/>
        </w:rPr>
        <w:t> </w:t>
      </w:r>
      <w:r>
        <w:rPr/>
        <w:t>0.97</w:t>
      </w:r>
      <w:r>
        <w:rPr>
          <w:spacing w:val="-52"/>
        </w:rPr>
        <w:t> </w:t>
      </w:r>
      <w:r>
        <w:rPr/>
        <w:t>万元，</w:t>
      </w:r>
      <w:r>
        <w:rPr>
          <w:spacing w:val="-1"/>
        </w:rPr>
        <w:t> </w:t>
      </w:r>
      <w:r>
        <w:rPr/>
        <w:t>净资产-2.08</w:t>
      </w:r>
      <w:r>
        <w:rPr>
          <w:spacing w:val="-63"/>
        </w:rPr>
        <w:t> </w:t>
      </w:r>
      <w:r>
        <w:rPr/>
        <w:t>万元，净利润-2.08</w:t>
      </w:r>
      <w:r>
        <w:rPr>
          <w:spacing w:val="-63"/>
        </w:rPr>
        <w:t> </w:t>
      </w:r>
      <w:r>
        <w:rPr/>
        <w:t>万元。</w:t>
      </w:r>
    </w:p>
    <w:p>
      <w:pPr>
        <w:pStyle w:val="BodyText"/>
        <w:spacing w:line="240" w:lineRule="auto" w:before="140"/>
        <w:ind w:left="557" w:right="0"/>
        <w:jc w:val="left"/>
      </w:pPr>
      <w:r>
        <w:rPr/>
        <w:t>福建神威系统集成有限责任公司为本公司控股子公司，成立于</w:t>
      </w:r>
      <w:r>
        <w:rPr>
          <w:spacing w:val="-4"/>
        </w:rPr>
        <w:t> </w:t>
      </w:r>
      <w:r>
        <w:rPr/>
        <w:t>2012</w:t>
      </w:r>
      <w:r>
        <w:rPr>
          <w:spacing w:val="-4"/>
        </w:rPr>
        <w:t> </w:t>
      </w:r>
      <w:r>
        <w:rPr/>
        <w:t>年</w:t>
      </w:r>
      <w:r>
        <w:rPr>
          <w:spacing w:val="-4"/>
        </w:rPr>
        <w:t> </w:t>
      </w:r>
      <w:r>
        <w:rPr/>
        <w:t>3</w:t>
      </w:r>
      <w:r>
        <w:rPr>
          <w:spacing w:val="-54"/>
        </w:rPr>
        <w:t> </w:t>
      </w:r>
      <w:r>
        <w:rPr/>
        <w:t>月</w:t>
      </w:r>
      <w:r>
        <w:rPr>
          <w:spacing w:val="-5"/>
        </w:rPr>
        <w:t> </w:t>
      </w:r>
      <w:r>
        <w:rPr/>
        <w:t>31</w:t>
      </w:r>
      <w:r>
        <w:rPr>
          <w:spacing w:val="-4"/>
        </w:rPr>
        <w:t> 日，注册资</w:t>
      </w:r>
    </w:p>
    <w:p>
      <w:pPr>
        <w:pStyle w:val="BodyText"/>
        <w:spacing w:line="240" w:lineRule="auto" w:before="85"/>
        <w:ind w:left="137" w:right="127"/>
        <w:jc w:val="left"/>
      </w:pPr>
      <w:r>
        <w:rPr/>
        <w:t>本为 5,000</w:t>
      </w:r>
      <w:r>
        <w:rPr>
          <w:spacing w:val="17"/>
        </w:rPr>
        <w:t> </w:t>
      </w:r>
      <w:r>
        <w:rPr>
          <w:spacing w:val="-4"/>
        </w:rPr>
        <w:t>万元，主营业务：轨道交通类产品的研发、设计、销售、集成与运维服务等，公司持</w:t>
      </w:r>
    </w:p>
    <w:p>
      <w:pPr>
        <w:pStyle w:val="BodyText"/>
        <w:spacing w:line="240" w:lineRule="auto" w:before="85"/>
        <w:ind w:left="137" w:right="0"/>
        <w:jc w:val="left"/>
      </w:pPr>
      <w:r>
        <w:rPr/>
        <w:t>股比例为</w:t>
      </w:r>
      <w:r>
        <w:rPr>
          <w:spacing w:val="-2"/>
        </w:rPr>
        <w:t> </w:t>
      </w:r>
      <w:r>
        <w:rPr/>
        <w:t>55%。截至</w:t>
      </w:r>
      <w:r>
        <w:rPr>
          <w:spacing w:val="-2"/>
        </w:rPr>
        <w:t> </w:t>
      </w:r>
      <w:r>
        <w:rPr/>
        <w:t>2014</w:t>
      </w:r>
      <w:r>
        <w:rPr>
          <w:spacing w:val="-2"/>
        </w:rPr>
        <w:t> </w:t>
      </w:r>
      <w:r>
        <w:rPr/>
        <w:t>年度，该公司总资产</w:t>
      </w:r>
      <w:r>
        <w:rPr>
          <w:spacing w:val="-51"/>
        </w:rPr>
        <w:t> </w:t>
      </w:r>
      <w:r>
        <w:rPr/>
        <w:t>2,090.48</w:t>
      </w:r>
      <w:r>
        <w:rPr>
          <w:spacing w:val="-51"/>
        </w:rPr>
        <w:t> </w:t>
      </w:r>
      <w:r>
        <w:rPr/>
        <w:t>万元，净资产</w:t>
      </w:r>
      <w:r>
        <w:rPr>
          <w:spacing w:val="-51"/>
        </w:rPr>
        <w:t> </w:t>
      </w:r>
      <w:r>
        <w:rPr/>
        <w:t>2,103.52</w:t>
      </w:r>
      <w:r>
        <w:rPr>
          <w:spacing w:val="-51"/>
        </w:rPr>
        <w:t> </w:t>
      </w:r>
      <w:r>
        <w:rPr/>
        <w:t>万元，净利润</w:t>
      </w:r>
    </w:p>
    <w:p>
      <w:pPr>
        <w:pStyle w:val="BodyText"/>
        <w:spacing w:line="240" w:lineRule="auto" w:before="85"/>
        <w:ind w:left="137" w:right="127"/>
        <w:jc w:val="left"/>
      </w:pPr>
      <w:r>
        <w:rPr/>
        <w:t>-130.99</w:t>
      </w:r>
      <w:r>
        <w:rPr>
          <w:spacing w:val="-57"/>
        </w:rPr>
        <w:t> </w:t>
      </w:r>
      <w:r>
        <w:rPr/>
        <w:t>万元。</w:t>
      </w:r>
    </w:p>
    <w:p>
      <w:pPr>
        <w:spacing w:line="240" w:lineRule="auto" w:before="9"/>
        <w:rPr>
          <w:rFonts w:ascii="宋体" w:hAnsi="宋体" w:cs="宋体" w:eastAsia="宋体" w:hint="default"/>
          <w:sz w:val="15"/>
          <w:szCs w:val="15"/>
        </w:rPr>
      </w:pPr>
    </w:p>
    <w:p>
      <w:pPr>
        <w:pStyle w:val="BodyText"/>
        <w:spacing w:line="240" w:lineRule="auto" w:before="0"/>
        <w:ind w:left="557" w:right="0"/>
        <w:jc w:val="left"/>
      </w:pPr>
      <w:r>
        <w:rPr>
          <w:spacing w:val="-3"/>
        </w:rPr>
        <w:t>南京伍安信息科技有限公司是本公司的参股公司，成立于 </w:t>
      </w:r>
      <w:r>
        <w:rPr/>
        <w:t>2013 年 11 月 15</w:t>
      </w:r>
      <w:r>
        <w:rPr>
          <w:spacing w:val="-45"/>
        </w:rPr>
        <w:t> </w:t>
      </w:r>
      <w:r>
        <w:rPr>
          <w:spacing w:val="-11"/>
        </w:rPr>
        <w:t>日，主营业务：</w:t>
      </w:r>
    </w:p>
    <w:p>
      <w:pPr>
        <w:pStyle w:val="BodyText"/>
        <w:spacing w:line="240" w:lineRule="auto" w:before="85"/>
        <w:ind w:left="137" w:right="0"/>
        <w:jc w:val="left"/>
      </w:pPr>
      <w:r>
        <w:rPr/>
        <w:t>安全产品的设计、研发与销售，注册资本</w:t>
      </w:r>
      <w:r>
        <w:rPr>
          <w:spacing w:val="-32"/>
        </w:rPr>
        <w:t> </w:t>
      </w:r>
      <w:r>
        <w:rPr/>
        <w:t>150</w:t>
      </w:r>
      <w:r>
        <w:rPr>
          <w:spacing w:val="-33"/>
        </w:rPr>
        <w:t> </w:t>
      </w:r>
      <w:r>
        <w:rPr/>
        <w:t>万元，公司持股比例为</w:t>
      </w:r>
      <w:r>
        <w:rPr>
          <w:spacing w:val="-32"/>
        </w:rPr>
        <w:t> </w:t>
      </w:r>
      <w:r>
        <w:rPr/>
        <w:t>20%。截至</w:t>
      </w:r>
      <w:r>
        <w:rPr>
          <w:spacing w:val="-1"/>
        </w:rPr>
        <w:t> </w:t>
      </w:r>
      <w:r>
        <w:rPr/>
        <w:t>2014</w:t>
      </w:r>
      <w:r>
        <w:rPr>
          <w:spacing w:val="-1"/>
        </w:rPr>
        <w:t> </w:t>
      </w:r>
      <w:r>
        <w:rPr/>
        <w:t>年度，该</w:t>
      </w:r>
    </w:p>
    <w:p>
      <w:pPr>
        <w:pStyle w:val="BodyText"/>
        <w:spacing w:line="240" w:lineRule="auto" w:before="85"/>
        <w:ind w:left="137" w:right="127"/>
        <w:jc w:val="left"/>
      </w:pPr>
      <w:r>
        <w:rPr/>
        <w:t>公司总资产</w:t>
      </w:r>
      <w:r>
        <w:rPr>
          <w:spacing w:val="-60"/>
        </w:rPr>
        <w:t> </w:t>
      </w:r>
      <w:r>
        <w:rPr/>
        <w:t>160.68</w:t>
      </w:r>
      <w:r>
        <w:rPr>
          <w:spacing w:val="-59"/>
        </w:rPr>
        <w:t> </w:t>
      </w:r>
      <w:r>
        <w:rPr/>
        <w:t>万元，净资产</w:t>
      </w:r>
      <w:r>
        <w:rPr>
          <w:spacing w:val="-60"/>
        </w:rPr>
        <w:t> </w:t>
      </w:r>
      <w:r>
        <w:rPr/>
        <w:t>110.69</w:t>
      </w:r>
      <w:r>
        <w:rPr>
          <w:spacing w:val="-59"/>
        </w:rPr>
        <w:t> </w:t>
      </w:r>
      <w:r>
        <w:rPr/>
        <w:t>万元，净利润-8.84</w:t>
      </w:r>
      <w:r>
        <w:rPr>
          <w:spacing w:val="-59"/>
        </w:rPr>
        <w:t> </w:t>
      </w:r>
      <w:r>
        <w:rPr/>
        <w:t>万元。</w:t>
      </w:r>
    </w:p>
    <w:p>
      <w:pPr>
        <w:spacing w:line="240" w:lineRule="auto" w:before="12"/>
        <w:rPr>
          <w:rFonts w:ascii="宋体" w:hAnsi="宋体" w:cs="宋体" w:eastAsia="宋体" w:hint="default"/>
          <w:sz w:val="25"/>
          <w:szCs w:val="25"/>
        </w:rPr>
      </w:pPr>
    </w:p>
    <w:p>
      <w:pPr>
        <w:pStyle w:val="Heading2"/>
        <w:spacing w:line="240" w:lineRule="auto" w:before="0"/>
        <w:ind w:left="137" w:right="127"/>
        <w:jc w:val="left"/>
        <w:rPr>
          <w:b w:val="0"/>
          <w:bCs w:val="0"/>
        </w:rPr>
      </w:pPr>
      <w:r>
        <w:rPr/>
        <w:t>4、</w:t>
      </w:r>
      <w:r>
        <w:rPr>
          <w:spacing w:val="-5"/>
        </w:rPr>
        <w:t> </w:t>
      </w:r>
      <w:r>
        <w:rPr/>
        <w:t>非募集资金项目情况</w:t>
      </w:r>
      <w:r>
        <w:rPr>
          <w:b w:val="0"/>
          <w:bCs w:val="0"/>
        </w:rPr>
      </w:r>
    </w:p>
    <w:p>
      <w:pPr>
        <w:pStyle w:val="BodyText"/>
        <w:spacing w:line="240" w:lineRule="auto" w:before="57"/>
        <w:ind w:left="137" w:right="127"/>
        <w:jc w:val="left"/>
      </w:pPr>
      <w:r>
        <w:rPr/>
        <w:t>□适用</w:t>
      </w:r>
      <w:r>
        <w:rPr>
          <w:spacing w:val="-2"/>
        </w:rPr>
        <w:t> </w:t>
      </w:r>
      <w:r>
        <w:rPr/>
        <w:t>√不适用</w:t>
      </w:r>
    </w:p>
    <w:p>
      <w:pPr>
        <w:spacing w:after="0" w:line="240" w:lineRule="auto"/>
        <w:jc w:val="left"/>
        <w:sectPr>
          <w:pgSz w:w="11910" w:h="16840"/>
          <w:pgMar w:header="0" w:footer="977" w:top="1120" w:bottom="1160" w:left="1660" w:right="1140"/>
        </w:sectPr>
      </w:pPr>
    </w:p>
    <w:p>
      <w:pPr>
        <w:spacing w:line="240" w:lineRule="auto" w:before="4"/>
        <w:rPr>
          <w:rFonts w:ascii="宋体" w:hAnsi="宋体" w:cs="宋体" w:eastAsia="宋体" w:hint="default"/>
          <w:sz w:val="25"/>
          <w:szCs w:val="25"/>
        </w:rPr>
      </w:pPr>
    </w:p>
    <w:p>
      <w:pPr>
        <w:pStyle w:val="Heading2"/>
        <w:spacing w:line="240" w:lineRule="auto"/>
        <w:ind w:left="137" w:right="0"/>
        <w:jc w:val="both"/>
        <w:rPr>
          <w:b w:val="0"/>
          <w:bCs w:val="0"/>
        </w:rPr>
      </w:pPr>
      <w:r>
        <w:rPr/>
        <w:t>二、董事会关于公司未来发展的讨论与分析</w:t>
      </w:r>
      <w:r>
        <w:rPr>
          <w:b w:val="0"/>
          <w:bCs w:val="0"/>
        </w:rPr>
      </w:r>
    </w:p>
    <w:p>
      <w:pPr>
        <w:spacing w:line="326" w:lineRule="auto" w:before="57"/>
        <w:ind w:left="557" w:right="20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99"/>
          <w:sz w:val="21"/>
          <w:szCs w:val="21"/>
        </w:rPr>
        <w:t> </w:t>
      </w:r>
      <w:r>
        <w:rPr>
          <w:rFonts w:ascii="宋体" w:hAnsi="宋体" w:cs="宋体" w:eastAsia="宋体" w:hint="default"/>
          <w:sz w:val="21"/>
          <w:szCs w:val="21"/>
        </w:rPr>
        <w:t>我国电子政务的客户对象包括党委、人大、政府、政协、军队、法院、检察院系统等各级政</w:t>
      </w:r>
    </w:p>
    <w:p>
      <w:pPr>
        <w:pStyle w:val="BodyText"/>
        <w:spacing w:line="314" w:lineRule="auto" w:before="9"/>
        <w:ind w:left="137" w:right="212"/>
        <w:jc w:val="both"/>
      </w:pPr>
      <w:r>
        <w:rPr/>
        <w:t>务部门，业务内容涉及软件开发、系统集成、技术服务等多个方面，市场容量巨大但高度分散，</w:t>
      </w:r>
      <w:r>
        <w:rPr>
          <w:spacing w:val="-96"/>
        </w:rPr>
        <w:t> </w:t>
      </w:r>
      <w:r>
        <w:rPr>
          <w:spacing w:val="-96"/>
        </w:rPr>
      </w:r>
      <w:r>
        <w:rPr/>
        <w:t>单个供应商在市场中所占份额较低。</w:t>
      </w:r>
    </w:p>
    <w:p>
      <w:pPr>
        <w:pStyle w:val="BodyText"/>
        <w:spacing w:line="314" w:lineRule="auto"/>
        <w:ind w:left="137" w:right="92" w:firstLine="420"/>
        <w:jc w:val="left"/>
      </w:pPr>
      <w:r>
        <w:rPr>
          <w:spacing w:val="-3"/>
        </w:rPr>
        <w:t>公司是国内电子政务领域的信息化综合服务提供商，是全国软件和信息技术服务业骨干企业、</w:t>
      </w:r>
      <w:r>
        <w:rPr/>
        <w:t> 福建省软件行业龙头企业。公司自成立以来，顺应国家行政体制改革的战略导向和电子政务发展</w:t>
      </w:r>
      <w:r>
        <w:rPr>
          <w:spacing w:val="-96"/>
        </w:rPr>
        <w:t> </w:t>
      </w:r>
      <w:r>
        <w:rPr>
          <w:spacing w:val="-96"/>
        </w:rPr>
      </w:r>
      <w:r>
        <w:rPr/>
        <w:t>趋势，专注于权力阳光、党委信息化、智慧军营、智慧公安等细分领域的系列软件产品与解决方</w:t>
      </w:r>
      <w:r>
        <w:rPr>
          <w:spacing w:val="-96"/>
        </w:rPr>
        <w:t> </w:t>
      </w:r>
      <w:r>
        <w:rPr>
          <w:spacing w:val="-96"/>
        </w:rPr>
      </w:r>
      <w:r>
        <w:rPr/>
        <w:t>案的研究和开发。经过十多年的发展，公司已成为福建、浙江、江西、新疆、安徽等地党委、政</w:t>
      </w:r>
      <w:r>
        <w:rPr>
          <w:spacing w:val="-96"/>
        </w:rPr>
        <w:t> </w:t>
      </w:r>
      <w:r>
        <w:rPr>
          <w:spacing w:val="-96"/>
        </w:rPr>
      </w:r>
      <w:r>
        <w:rPr/>
        <w:t>府系统电子政务解决方案的重要提供商之一。</w:t>
      </w:r>
    </w:p>
    <w:p>
      <w:pPr>
        <w:spacing w:line="240" w:lineRule="auto" w:before="13"/>
        <w:rPr>
          <w:rFonts w:ascii="宋体" w:hAnsi="宋体" w:cs="宋体" w:eastAsia="宋体" w:hint="default"/>
          <w:sz w:val="20"/>
          <w:szCs w:val="20"/>
        </w:rPr>
      </w:pPr>
    </w:p>
    <w:p>
      <w:pPr>
        <w:spacing w:line="326" w:lineRule="auto" w:before="0"/>
        <w:ind w:left="557" w:right="20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公司将把握全球新一代信息技术变革的时代机遇和国家支持发展软件产业的政策机遇，以电</w:t>
      </w:r>
    </w:p>
    <w:p>
      <w:pPr>
        <w:pStyle w:val="BodyText"/>
        <w:spacing w:line="314" w:lineRule="auto" w:before="9"/>
        <w:ind w:left="137" w:right="212"/>
        <w:jc w:val="both"/>
      </w:pPr>
      <w:r>
        <w:rPr/>
        <w:t>子政务整体解决方案提供商为发展定位，围绕“一核两翼四纵”，即：以提高自主研发竞争力为</w:t>
      </w:r>
      <w:r>
        <w:rPr>
          <w:spacing w:val="-96"/>
        </w:rPr>
        <w:t> </w:t>
      </w:r>
      <w:r>
        <w:rPr>
          <w:spacing w:val="-96"/>
        </w:rPr>
      </w:r>
      <w:r>
        <w:rPr/>
        <w:t>核心，以人才、资本为两翼驱动，深度耕作权力阳光、信息党务、智慧公安、智慧军营等四个细</w:t>
      </w:r>
      <w:r>
        <w:rPr>
          <w:spacing w:val="-96"/>
        </w:rPr>
        <w:t> </w:t>
      </w:r>
      <w:r>
        <w:rPr>
          <w:spacing w:val="-96"/>
        </w:rPr>
      </w:r>
      <w:r>
        <w:rPr/>
        <w:t>分行业线，构建创新型、可延拓、可持续的企业经营发展体系，努力打造国内软件和信息技术服</w:t>
      </w:r>
      <w:r>
        <w:rPr>
          <w:spacing w:val="-96"/>
        </w:rPr>
        <w:t> </w:t>
      </w:r>
      <w:r>
        <w:rPr>
          <w:spacing w:val="-96"/>
        </w:rPr>
      </w:r>
      <w:r>
        <w:rPr/>
        <w:t>务业的百年企业、技术标杆。</w:t>
      </w:r>
    </w:p>
    <w:p>
      <w:pPr>
        <w:pStyle w:val="BodyText"/>
        <w:spacing w:line="314" w:lineRule="auto"/>
        <w:ind w:left="557" w:right="207" w:firstLine="2"/>
        <w:jc w:val="left"/>
      </w:pPr>
      <w:r>
        <w:rPr>
          <w:rFonts w:ascii="宋体" w:hAnsi="宋体" w:cs="宋体" w:eastAsia="宋体" w:hint="default"/>
          <w:b/>
          <w:bCs/>
        </w:rPr>
        <w:t>1、业务布局战略</w:t>
      </w:r>
      <w:r>
        <w:rPr>
          <w:rFonts w:ascii="宋体" w:hAnsi="宋体" w:cs="宋体" w:eastAsia="宋体" w:hint="default"/>
          <w:b/>
          <w:bCs/>
          <w:spacing w:val="1"/>
          <w:w w:val="99"/>
        </w:rPr>
        <w:t> </w:t>
      </w:r>
      <w:r>
        <w:rPr/>
        <w:t>公司以提供电子政务整体解决方案为主营业务，面向政府、党委、军队等领域的客户提供规</w:t>
      </w:r>
    </w:p>
    <w:p>
      <w:pPr>
        <w:spacing w:line="314" w:lineRule="auto" w:before="20"/>
        <w:ind w:left="559" w:right="2728" w:hanging="423"/>
        <w:jc w:val="left"/>
        <w:rPr>
          <w:rFonts w:ascii="宋体" w:hAnsi="宋体" w:cs="宋体" w:eastAsia="宋体" w:hint="default"/>
          <w:sz w:val="21"/>
          <w:szCs w:val="21"/>
        </w:rPr>
      </w:pPr>
      <w:r>
        <w:rPr>
          <w:rFonts w:ascii="宋体" w:hAnsi="宋体" w:cs="宋体" w:eastAsia="宋体" w:hint="default"/>
          <w:sz w:val="21"/>
          <w:szCs w:val="21"/>
        </w:rPr>
        <w:t>划咨询、应用软件开发、系统集成、智能化建设、运维管理等服务。 </w:t>
      </w:r>
      <w:r>
        <w:rPr>
          <w:rFonts w:ascii="宋体" w:hAnsi="宋体" w:cs="宋体" w:eastAsia="宋体" w:hint="default"/>
          <w:b/>
          <w:bCs/>
          <w:sz w:val="21"/>
          <w:szCs w:val="21"/>
        </w:rPr>
        <w:t>2、技术创新战略</w:t>
      </w:r>
      <w:r>
        <w:rPr>
          <w:rFonts w:ascii="宋体" w:hAnsi="宋体" w:cs="宋体" w:eastAsia="宋体" w:hint="default"/>
          <w:sz w:val="21"/>
          <w:szCs w:val="21"/>
        </w:rPr>
      </w:r>
    </w:p>
    <w:p>
      <w:pPr>
        <w:pStyle w:val="BodyText"/>
        <w:spacing w:line="314" w:lineRule="auto"/>
        <w:ind w:left="137" w:right="212" w:firstLine="420"/>
        <w:jc w:val="both"/>
      </w:pPr>
      <w:r>
        <w:rPr/>
        <w:t>以自主研发为根本途径，深化高端技术研发与主流技术开发。以功能智能化、体系智慧化为 方向，升级已有软件产品、技术平台，提高产品技术水平。加大云计算、物联网、大数据、信息</w:t>
      </w:r>
      <w:r>
        <w:rPr>
          <w:spacing w:val="-96"/>
        </w:rPr>
        <w:t> </w:t>
      </w:r>
      <w:r>
        <w:rPr>
          <w:spacing w:val="-96"/>
        </w:rPr>
      </w:r>
      <w:r>
        <w:rPr/>
        <w:t>安全等高端技术和关键技术的研发力度，跟踪、介入基础研发和前沿技术。加强对外合作，建立</w:t>
      </w:r>
      <w:r>
        <w:rPr>
          <w:spacing w:val="-96"/>
        </w:rPr>
        <w:t> </w:t>
      </w:r>
      <w:r>
        <w:rPr>
          <w:spacing w:val="-96"/>
        </w:rPr>
      </w:r>
      <w:r>
        <w:rPr/>
        <w:t>与著名高校、“核高基”关联研发机构的合作关系。</w:t>
      </w:r>
    </w:p>
    <w:p>
      <w:pPr>
        <w:pStyle w:val="BodyText"/>
        <w:spacing w:line="314" w:lineRule="auto"/>
        <w:ind w:left="557" w:right="207" w:firstLine="2"/>
        <w:jc w:val="left"/>
      </w:pPr>
      <w:r>
        <w:rPr>
          <w:rFonts w:ascii="宋体" w:hAnsi="宋体" w:cs="宋体" w:eastAsia="宋体" w:hint="default"/>
          <w:b/>
          <w:bCs/>
        </w:rPr>
        <w:t>3、人才强企战略</w:t>
      </w:r>
      <w:r>
        <w:rPr>
          <w:rFonts w:ascii="宋体" w:hAnsi="宋体" w:cs="宋体" w:eastAsia="宋体" w:hint="default"/>
          <w:b/>
          <w:bCs/>
          <w:spacing w:val="1"/>
          <w:w w:val="99"/>
        </w:rPr>
        <w:t> </w:t>
      </w:r>
      <w:r>
        <w:rPr/>
        <w:t>以建立梯队合理、结构科学、人尽其才的队伍为目标，推动队伍向高端人才领军、实用型人</w:t>
      </w:r>
    </w:p>
    <w:p>
      <w:pPr>
        <w:pStyle w:val="BodyText"/>
        <w:spacing w:line="314" w:lineRule="auto"/>
        <w:ind w:left="137" w:right="212"/>
        <w:jc w:val="both"/>
      </w:pPr>
      <w:r>
        <w:rPr/>
        <w:t>才支撑的优化组合转变。根据业务发展、产业拓展需要，引进相关领域高端人才。建立健全人力</w:t>
      </w:r>
      <w:r>
        <w:rPr>
          <w:spacing w:val="-96"/>
        </w:rPr>
        <w:t> </w:t>
      </w:r>
      <w:r>
        <w:rPr>
          <w:spacing w:val="-96"/>
        </w:rPr>
      </w:r>
      <w:r>
        <w:rPr>
          <w:spacing w:val="-5"/>
        </w:rPr>
        <w:t>资源培训体系，持续增强人员综合素质。建立人员流动机制，营造利于优秀人才健康成长的环境。</w:t>
      </w:r>
    </w:p>
    <w:p>
      <w:pPr>
        <w:pStyle w:val="BodyText"/>
        <w:spacing w:line="314" w:lineRule="auto"/>
        <w:ind w:left="557" w:right="207" w:firstLine="2"/>
        <w:jc w:val="left"/>
      </w:pPr>
      <w:r>
        <w:rPr>
          <w:rFonts w:ascii="宋体" w:hAnsi="宋体" w:cs="宋体" w:eastAsia="宋体" w:hint="default"/>
          <w:b/>
          <w:bCs/>
        </w:rPr>
        <w:t>4、市场拓展战略</w:t>
      </w:r>
      <w:r>
        <w:rPr>
          <w:rFonts w:ascii="宋体" w:hAnsi="宋体" w:cs="宋体" w:eastAsia="宋体" w:hint="default"/>
          <w:b/>
          <w:bCs/>
          <w:spacing w:val="1"/>
          <w:w w:val="99"/>
        </w:rPr>
        <w:t> </w:t>
      </w:r>
      <w:r>
        <w:rPr/>
        <w:t>以应用为导向，以行业为主线，开拓全国性、宽领域市场。调整与扩建相结合，完善全国五</w:t>
      </w:r>
    </w:p>
    <w:p>
      <w:pPr>
        <w:pStyle w:val="BodyText"/>
        <w:spacing w:line="314" w:lineRule="auto"/>
        <w:ind w:left="137" w:right="212"/>
        <w:jc w:val="both"/>
      </w:pPr>
      <w:r>
        <w:rPr/>
        <w:t>大片区分支机构。加强对各阶段信息化项目投资热点的研究，及早跟进热点领域。顺应国产化趋</w:t>
      </w:r>
      <w:r>
        <w:rPr>
          <w:spacing w:val="-96"/>
        </w:rPr>
        <w:t> </w:t>
      </w:r>
      <w:r>
        <w:rPr>
          <w:spacing w:val="-96"/>
        </w:rPr>
      </w:r>
      <w:r>
        <w:rPr/>
        <w:t>势，积极参与国产化联盟等行业组织，广泛建立上下游企业合作网络，拓宽市场渠道。发挥业务</w:t>
      </w:r>
      <w:r>
        <w:rPr>
          <w:spacing w:val="-96"/>
        </w:rPr>
        <w:t> </w:t>
      </w:r>
      <w:r>
        <w:rPr>
          <w:spacing w:val="-96"/>
        </w:rPr>
      </w:r>
      <w:r>
        <w:rPr/>
        <w:t>经验优势，加强对客户的业务引导和咨询服务。</w:t>
      </w:r>
    </w:p>
    <w:p>
      <w:pPr>
        <w:pStyle w:val="BodyText"/>
        <w:spacing w:line="314" w:lineRule="auto"/>
        <w:ind w:left="557" w:right="207" w:firstLine="2"/>
        <w:jc w:val="left"/>
      </w:pPr>
      <w:r>
        <w:rPr>
          <w:rFonts w:ascii="宋体" w:hAnsi="宋体" w:cs="宋体" w:eastAsia="宋体" w:hint="default"/>
          <w:b/>
          <w:bCs/>
        </w:rPr>
        <w:t>5、资本创新战略</w:t>
      </w:r>
      <w:r>
        <w:rPr>
          <w:rFonts w:ascii="宋体" w:hAnsi="宋体" w:cs="宋体" w:eastAsia="宋体" w:hint="default"/>
          <w:b/>
          <w:bCs/>
          <w:spacing w:val="1"/>
          <w:w w:val="99"/>
        </w:rPr>
        <w:t> </w:t>
      </w:r>
      <w:r>
        <w:rPr/>
        <w:t>以积极稳妥为原则，以促进企业做大做强为目标，加大资本运作力度。发挥资本杠杆效应，</w:t>
      </w:r>
    </w:p>
    <w:p>
      <w:pPr>
        <w:pStyle w:val="BodyText"/>
        <w:spacing w:line="240" w:lineRule="auto"/>
        <w:ind w:left="137" w:right="0"/>
        <w:jc w:val="both"/>
      </w:pPr>
      <w:r>
        <w:rPr/>
        <w:t>加强对外参股或并购工作，延伸产业链。整合内部资源，盘活公司资产。探索项目运营模式。试</w:t>
      </w:r>
    </w:p>
    <w:p>
      <w:pPr>
        <w:spacing w:after="0" w:line="240" w:lineRule="auto"/>
        <w:jc w:val="both"/>
        <w:sectPr>
          <w:pgSz w:w="11910" w:h="16840"/>
          <w:pgMar w:header="0" w:footer="977" w:top="1120" w:bottom="116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before="0"/>
        <w:ind w:left="137" w:right="132"/>
        <w:jc w:val="both"/>
      </w:pPr>
      <w:r>
        <w:rPr>
          <w:spacing w:val="-3"/>
        </w:rPr>
        <w:t>行以租代售（建）、增值运营、BT</w:t>
      </w:r>
      <w:r>
        <w:rPr>
          <w:spacing w:val="-68"/>
        </w:rPr>
        <w:t> </w:t>
      </w:r>
      <w:r>
        <w:rPr/>
        <w:t>等项目投资建设模式，促进技术成果快速推广、项目规模有效</w:t>
      </w:r>
      <w:r>
        <w:rPr>
          <w:spacing w:val="-1"/>
        </w:rPr>
        <w:t> </w:t>
      </w:r>
      <w:r>
        <w:rPr/>
        <w:t>做大，提高市场竞争力和经营持续力。</w:t>
      </w:r>
    </w:p>
    <w:p>
      <w:pPr>
        <w:pStyle w:val="BodyText"/>
        <w:spacing w:line="314" w:lineRule="auto"/>
        <w:ind w:left="557" w:right="127" w:firstLine="2"/>
        <w:jc w:val="left"/>
      </w:pPr>
      <w:r>
        <w:rPr>
          <w:rFonts w:ascii="宋体" w:hAnsi="宋体" w:cs="宋体" w:eastAsia="宋体" w:hint="default"/>
          <w:b/>
          <w:bCs/>
        </w:rPr>
        <w:t>6、管理创新战略</w:t>
      </w:r>
      <w:r>
        <w:rPr>
          <w:rFonts w:ascii="宋体" w:hAnsi="宋体" w:cs="宋体" w:eastAsia="宋体" w:hint="default"/>
          <w:b/>
          <w:bCs/>
          <w:spacing w:val="1"/>
          <w:w w:val="99"/>
        </w:rPr>
        <w:t> </w:t>
      </w:r>
      <w:r>
        <w:rPr/>
        <w:t>以绩效为中心，以文化为活力，促进管理高效化、精细化、人性化。健全、执行现代企业管</w:t>
      </w:r>
    </w:p>
    <w:p>
      <w:pPr>
        <w:pStyle w:val="BodyText"/>
        <w:spacing w:line="314" w:lineRule="auto"/>
        <w:ind w:left="137" w:right="132"/>
        <w:jc w:val="both"/>
      </w:pPr>
      <w:r>
        <w:rPr/>
        <w:t>理制度，加强规范，提高效率。完善绩效考核制度，实行部门预算制度，激励全员创造业绩。加</w:t>
      </w:r>
      <w:r>
        <w:rPr>
          <w:spacing w:val="-96"/>
        </w:rPr>
        <w:t> </w:t>
      </w:r>
      <w:r>
        <w:rPr>
          <w:spacing w:val="-96"/>
        </w:rPr>
      </w:r>
      <w:r>
        <w:rPr/>
        <w:t>强财务管控，保障财务运行安全。推行监察审计制度，加大纠错纠偏力度，确保企业运营健康。</w:t>
      </w:r>
      <w:r>
        <w:rPr>
          <w:spacing w:val="-96"/>
        </w:rPr>
        <w:t> </w:t>
      </w:r>
      <w:r>
        <w:rPr>
          <w:spacing w:val="-96"/>
        </w:rPr>
      </w:r>
      <w:r>
        <w:rPr/>
        <w:t>深入实践“诚信、担当、高效、创新”的南威精神，深化企业文化建设，塑造特色企业文化。</w:t>
      </w:r>
    </w:p>
    <w:p>
      <w:pPr>
        <w:spacing w:line="240" w:lineRule="auto" w:before="13"/>
        <w:rPr>
          <w:rFonts w:ascii="宋体" w:hAnsi="宋体" w:cs="宋体" w:eastAsia="宋体" w:hint="default"/>
          <w:sz w:val="20"/>
          <w:szCs w:val="20"/>
        </w:rPr>
      </w:pPr>
    </w:p>
    <w:p>
      <w:pPr>
        <w:pStyle w:val="Heading2"/>
        <w:spacing w:line="240" w:lineRule="auto" w:before="0"/>
        <w:ind w:left="137"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314" w:lineRule="auto" w:before="108"/>
        <w:ind w:left="137" w:right="131" w:firstLine="420"/>
        <w:jc w:val="both"/>
      </w:pPr>
      <w:r>
        <w:rPr/>
        <w:t>2015</w:t>
      </w:r>
      <w:r>
        <w:rPr>
          <w:spacing w:val="-88"/>
        </w:rPr>
        <w:t> </w:t>
      </w:r>
      <w:r>
        <w:rPr/>
        <w:t>年公司的基本发展思路是：以南威使命和愿景为指针，以南威精神为推力，以稳中求快</w:t>
      </w:r>
      <w:r>
        <w:rPr/>
        <w:t> </w:t>
      </w:r>
      <w:r>
        <w:rPr>
          <w:spacing w:val="-3"/>
        </w:rPr>
        <w:t>为发展总基调，以打造具有生态功能的发展平台为主题,以构建自主、可控、安全的软件和信息技</w:t>
      </w:r>
      <w:r>
        <w:rPr>
          <w:spacing w:val="-73"/>
        </w:rPr>
        <w:t> </w:t>
      </w:r>
      <w:r>
        <w:rPr>
          <w:spacing w:val="-73"/>
        </w:rPr>
      </w:r>
      <w:r>
        <w:rPr/>
        <w:t>术服务能力为导向，以建立健全上市企业经营管理体系为统筹，立足优势基础，加强综合创新，</w:t>
      </w:r>
      <w:r>
        <w:rPr>
          <w:spacing w:val="-96"/>
        </w:rPr>
        <w:t> </w:t>
      </w:r>
      <w:r>
        <w:rPr>
          <w:spacing w:val="-96"/>
        </w:rPr>
      </w:r>
      <w:r>
        <w:rPr>
          <w:spacing w:val="-5"/>
        </w:rPr>
        <w:t>继续深耕党务信息、权力阳光、智慧公安、智慧军营四大细分行业线，深度融合大数据、云计算、</w:t>
      </w:r>
      <w:r>
        <w:rPr>
          <w:spacing w:val="-90"/>
        </w:rPr>
        <w:t> </w:t>
      </w:r>
      <w:r>
        <w:rPr>
          <w:spacing w:val="-90"/>
        </w:rPr>
      </w:r>
      <w:r>
        <w:rPr/>
        <w:t>移动互联、网络安全技术，稳步推进政务云应用平台、智慧型平安城市、支持国产化的党委系统</w:t>
      </w:r>
      <w:r>
        <w:rPr>
          <w:spacing w:val="-96"/>
        </w:rPr>
        <w:t> </w:t>
      </w:r>
      <w:r>
        <w:rPr>
          <w:spacing w:val="-96"/>
        </w:rPr>
      </w:r>
      <w:r>
        <w:rPr/>
        <w:t>信息化解决方案、智慧军营综合信息系统、研发中心等募投项目的研发与建设，加大全国营销网</w:t>
      </w:r>
      <w:r>
        <w:rPr>
          <w:spacing w:val="-96"/>
        </w:rPr>
        <w:t> </w:t>
      </w:r>
      <w:r>
        <w:rPr>
          <w:spacing w:val="-96"/>
        </w:rPr>
      </w:r>
      <w:r>
        <w:rPr/>
        <w:t>络建设力度，持续加强队伍专业力和职业力建设，提升富有扩张力、创新力、先见力的核心竞争</w:t>
      </w:r>
      <w:r>
        <w:rPr>
          <w:spacing w:val="-96"/>
        </w:rPr>
        <w:t> </w:t>
      </w:r>
      <w:r>
        <w:rPr>
          <w:spacing w:val="-96"/>
        </w:rPr>
      </w:r>
      <w:r>
        <w:rPr/>
        <w:t>优势，完成公司</w:t>
      </w:r>
      <w:r>
        <w:rPr>
          <w:spacing w:val="-63"/>
        </w:rPr>
        <w:t> </w:t>
      </w:r>
      <w:r>
        <w:rPr/>
        <w:t>2015</w:t>
      </w:r>
      <w:r>
        <w:rPr>
          <w:spacing w:val="-62"/>
        </w:rPr>
        <w:t> </w:t>
      </w:r>
      <w:r>
        <w:rPr/>
        <w:t>年度经营业绩目标。</w:t>
      </w:r>
    </w:p>
    <w:p>
      <w:pPr>
        <w:pStyle w:val="BodyText"/>
        <w:spacing w:line="314" w:lineRule="auto"/>
        <w:ind w:left="137" w:right="132" w:firstLine="420"/>
        <w:jc w:val="both"/>
      </w:pPr>
      <w:r>
        <w:rPr/>
        <w:t>2015</w:t>
      </w:r>
      <w:r>
        <w:rPr>
          <w:spacing w:val="-25"/>
        </w:rPr>
        <w:t> </w:t>
      </w:r>
      <w:r>
        <w:rPr>
          <w:spacing w:val="-2"/>
        </w:rPr>
        <w:t>年公司的重点工作为实施“6336”计划，即：启动和推进六大募投项目实施，深化开展</w:t>
      </w:r>
      <w:r>
        <w:rPr/>
        <w:t> 核心技术专业化提升、主线产品国产化研发、行业线垂直链建设等三项专项行动，着力推进全国</w:t>
      </w:r>
      <w:r>
        <w:rPr>
          <w:spacing w:val="-96"/>
        </w:rPr>
        <w:t> </w:t>
      </w:r>
      <w:r>
        <w:rPr>
          <w:spacing w:val="-96"/>
        </w:rPr>
      </w:r>
      <w:r>
        <w:rPr/>
        <w:t>营销渠道建设、资本运营体系建设、专业型队伍建设等三项重点工作，夯实质量、规范、理论、</w:t>
      </w:r>
      <w:r>
        <w:rPr>
          <w:spacing w:val="-96"/>
        </w:rPr>
        <w:t> </w:t>
      </w:r>
      <w:r>
        <w:rPr>
          <w:spacing w:val="-96"/>
        </w:rPr>
      </w:r>
      <w:r>
        <w:rPr/>
        <w:t>资质、创新、文化等六大基础工作，努力构建要素齐备、核心驱动、专业引领、保障有力、环境</w:t>
      </w:r>
      <w:r>
        <w:rPr>
          <w:spacing w:val="-96"/>
        </w:rPr>
        <w:t> </w:t>
      </w:r>
      <w:r>
        <w:rPr>
          <w:spacing w:val="-96"/>
        </w:rPr>
      </w:r>
      <w:r>
        <w:rPr/>
        <w:t>优化的生态型发展平台。</w:t>
      </w:r>
    </w:p>
    <w:p>
      <w:pPr>
        <w:spacing w:line="240" w:lineRule="auto" w:before="13"/>
        <w:rPr>
          <w:rFonts w:ascii="宋体" w:hAnsi="宋体" w:cs="宋体" w:eastAsia="宋体" w:hint="default"/>
          <w:sz w:val="20"/>
          <w:szCs w:val="20"/>
        </w:rPr>
      </w:pPr>
    </w:p>
    <w:p>
      <w:pPr>
        <w:pStyle w:val="Heading2"/>
        <w:spacing w:line="240" w:lineRule="auto" w:before="0"/>
        <w:ind w:left="137" w:right="0"/>
        <w:jc w:val="both"/>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6"/>
        </w:rPr>
        <w:t> </w:t>
      </w:r>
      <w:r>
        <w:rPr/>
        <w:t>因维持当前业务并完成在建投资项目公司所需的资金需求</w:t>
      </w:r>
      <w:r>
        <w:rPr>
          <w:b w:val="0"/>
          <w:bCs w:val="0"/>
        </w:rPr>
      </w:r>
    </w:p>
    <w:p>
      <w:pPr>
        <w:pStyle w:val="BodyText"/>
        <w:spacing w:line="240" w:lineRule="auto" w:before="108"/>
        <w:ind w:left="557" w:right="127"/>
        <w:jc w:val="left"/>
      </w:pPr>
      <w:r>
        <w:rPr/>
        <w:t>1、完成</w:t>
      </w:r>
      <w:r>
        <w:rPr>
          <w:spacing w:val="-69"/>
        </w:rPr>
        <w:t> </w:t>
      </w:r>
      <w:r>
        <w:rPr/>
        <w:t>2015</w:t>
      </w:r>
      <w:r>
        <w:rPr>
          <w:spacing w:val="-69"/>
        </w:rPr>
        <w:t> </w:t>
      </w:r>
      <w:r>
        <w:rPr/>
        <w:t>年度的经营计划和工作目标，依靠自有资金及募集资金。</w:t>
      </w:r>
    </w:p>
    <w:p>
      <w:pPr>
        <w:pStyle w:val="BodyText"/>
        <w:spacing w:line="240" w:lineRule="auto" w:before="85"/>
        <w:ind w:left="557" w:right="127"/>
        <w:jc w:val="left"/>
      </w:pPr>
      <w:r>
        <w:rPr/>
        <w:t>2、6</w:t>
      </w:r>
      <w:r>
        <w:rPr>
          <w:spacing w:val="-54"/>
        </w:rPr>
        <w:t> </w:t>
      </w:r>
      <w:r>
        <w:rPr/>
        <w:t>个募集资金投资项目建设将利用募集资金，不足部分由公司自筹解决。</w:t>
      </w:r>
    </w:p>
    <w:p>
      <w:pPr>
        <w:spacing w:line="240" w:lineRule="auto" w:before="12"/>
        <w:rPr>
          <w:rFonts w:ascii="宋体" w:hAnsi="宋体" w:cs="宋体" w:eastAsia="宋体" w:hint="default"/>
          <w:sz w:val="25"/>
          <w:szCs w:val="25"/>
        </w:rPr>
      </w:pPr>
    </w:p>
    <w:p>
      <w:pPr>
        <w:pStyle w:val="Heading2"/>
        <w:spacing w:line="240" w:lineRule="auto" w:before="0"/>
        <w:ind w:left="137" w:right="0"/>
        <w:jc w:val="both"/>
        <w:rPr>
          <w:b w:val="0"/>
          <w:bCs w:val="0"/>
        </w:rPr>
      </w:pPr>
      <w:r>
        <w:rPr>
          <w:rFonts w:ascii="Calibri" w:hAnsi="Calibri" w:cs="Calibri" w:eastAsia="Calibri" w:hint="default"/>
        </w:rPr>
        <w:t>(</w:t>
      </w:r>
      <w:r>
        <w:rPr/>
        <w:t>五</w:t>
      </w:r>
      <w:r>
        <w:rPr>
          <w:rFonts w:ascii="Calibri" w:hAnsi="Calibri" w:cs="Calibri" w:eastAsia="Calibri" w:hint="default"/>
        </w:rPr>
        <w:t>) </w:t>
      </w:r>
      <w:r>
        <w:rPr>
          <w:rFonts w:ascii="Calibri" w:hAnsi="Calibri" w:cs="Calibri" w:eastAsia="Calibri" w:hint="default"/>
          <w:spacing w:val="39"/>
        </w:rPr>
        <w:t> </w:t>
      </w:r>
      <w:r>
        <w:rPr/>
        <w:t>可能面对的风险</w:t>
      </w:r>
      <w:r>
        <w:rPr>
          <w:b w:val="0"/>
          <w:bCs w:val="0"/>
        </w:rPr>
      </w:r>
    </w:p>
    <w:p>
      <w:pPr>
        <w:pStyle w:val="BodyText"/>
        <w:spacing w:line="285" w:lineRule="auto" w:before="108"/>
        <w:ind w:left="557" w:right="127" w:hanging="1"/>
        <w:jc w:val="left"/>
      </w:pPr>
      <w:r>
        <w:rPr>
          <w:rFonts w:ascii="Calibri" w:hAnsi="Calibri" w:cs="Calibri" w:eastAsia="Calibri" w:hint="default"/>
          <w:b/>
          <w:bCs/>
        </w:rPr>
        <w:t>1</w:t>
      </w:r>
      <w:r>
        <w:rPr>
          <w:rFonts w:ascii="宋体" w:hAnsi="宋体" w:cs="宋体" w:eastAsia="宋体" w:hint="default"/>
          <w:b/>
          <w:bCs/>
        </w:rPr>
        <w:t>、市场竞争风险</w:t>
      </w:r>
      <w:r>
        <w:rPr>
          <w:rFonts w:ascii="宋体" w:hAnsi="宋体" w:cs="宋体" w:eastAsia="宋体" w:hint="default"/>
          <w:b/>
          <w:bCs/>
          <w:spacing w:val="1"/>
          <w:w w:val="99"/>
        </w:rPr>
        <w:t> </w:t>
      </w:r>
      <w:r>
        <w:rPr/>
        <w:t>电子政务市场高度开放，厂商竞争较为激烈，客户需求也在快速变化和不断提升中。如果公</w:t>
      </w:r>
    </w:p>
    <w:p>
      <w:pPr>
        <w:pStyle w:val="BodyText"/>
        <w:spacing w:line="314" w:lineRule="auto" w:before="45"/>
        <w:ind w:left="137" w:right="132"/>
        <w:jc w:val="both"/>
      </w:pPr>
      <w:r>
        <w:rPr/>
        <w:t>司不能继续保持在政府、党委、军队、公安等电子政务领域的既有优势，并不断开发新产品、拓</w:t>
      </w:r>
      <w:r>
        <w:rPr>
          <w:spacing w:val="-96"/>
        </w:rPr>
        <w:t> </w:t>
      </w:r>
      <w:r>
        <w:rPr>
          <w:spacing w:val="-96"/>
        </w:rPr>
      </w:r>
      <w:r>
        <w:rPr/>
        <w:t>展新市场，将可能对公司未来增长产生不利影响。</w:t>
      </w:r>
    </w:p>
    <w:p>
      <w:pPr>
        <w:pStyle w:val="Heading2"/>
        <w:spacing w:line="240" w:lineRule="auto" w:before="20"/>
        <w:ind w:left="559" w:right="127"/>
        <w:jc w:val="left"/>
        <w:rPr>
          <w:b w:val="0"/>
          <w:bCs w:val="0"/>
        </w:rPr>
      </w:pPr>
      <w:r>
        <w:rPr>
          <w:rFonts w:ascii="Calibri" w:hAnsi="Calibri" w:cs="Calibri" w:eastAsia="Calibri" w:hint="default"/>
        </w:rPr>
        <w:t>2</w:t>
      </w:r>
      <w:r>
        <w:rPr/>
        <w:t>、业务集中的风险</w:t>
      </w:r>
      <w:r>
        <w:rPr>
          <w:b w:val="0"/>
          <w:bCs w:val="0"/>
        </w:rPr>
      </w:r>
    </w:p>
    <w:p>
      <w:pPr>
        <w:pStyle w:val="BodyText"/>
        <w:spacing w:line="314" w:lineRule="auto" w:before="58"/>
        <w:ind w:left="137" w:right="130" w:firstLine="420"/>
        <w:jc w:val="both"/>
      </w:pPr>
      <w:r>
        <w:rPr/>
        <w:t>2012</w:t>
      </w:r>
      <w:r>
        <w:rPr>
          <w:spacing w:val="-62"/>
        </w:rPr>
        <w:t> </w:t>
      </w:r>
      <w:r>
        <w:rPr/>
        <w:t>年至</w:t>
      </w:r>
      <w:r>
        <w:rPr>
          <w:spacing w:val="-62"/>
        </w:rPr>
        <w:t> </w:t>
      </w:r>
      <w:r>
        <w:rPr/>
        <w:t>2014</w:t>
      </w:r>
      <w:r>
        <w:rPr>
          <w:spacing w:val="-62"/>
        </w:rPr>
        <w:t> </w:t>
      </w:r>
      <w:r>
        <w:rPr/>
        <w:t>年，公司来自福建省外的业务收入占比分别为</w:t>
      </w:r>
      <w:r>
        <w:rPr>
          <w:spacing w:val="-62"/>
        </w:rPr>
        <w:t> </w:t>
      </w:r>
      <w:r>
        <w:rPr/>
        <w:t>26.35%、28.08%和</w:t>
      </w:r>
      <w:r>
        <w:rPr>
          <w:spacing w:val="-62"/>
        </w:rPr>
        <w:t> </w:t>
      </w:r>
      <w:r>
        <w:rPr/>
        <w:t>24.90%。从</w:t>
      </w:r>
      <w:r>
        <w:rPr/>
        <w:t> 收入结构来看，目前福建市场为公司最主要的市场，如果公司未来不能顺利拓展福建省外市场，</w:t>
      </w:r>
      <w:r>
        <w:rPr>
          <w:spacing w:val="-96"/>
        </w:rPr>
        <w:t> </w:t>
      </w:r>
      <w:r>
        <w:rPr>
          <w:spacing w:val="-96"/>
        </w:rPr>
      </w:r>
      <w:r>
        <w:rPr/>
        <w:t>将对公司的持续成长产生一定影响。</w:t>
      </w:r>
    </w:p>
    <w:p>
      <w:pPr>
        <w:pStyle w:val="Heading2"/>
        <w:spacing w:line="240" w:lineRule="auto" w:before="20"/>
        <w:ind w:left="559" w:right="127"/>
        <w:jc w:val="left"/>
        <w:rPr>
          <w:b w:val="0"/>
          <w:bCs w:val="0"/>
        </w:rPr>
      </w:pPr>
      <w:r>
        <w:rPr>
          <w:rFonts w:ascii="Calibri" w:hAnsi="Calibri" w:cs="Calibri" w:eastAsia="Calibri" w:hint="default"/>
        </w:rPr>
        <w:t>3</w:t>
      </w:r>
      <w:r>
        <w:rPr/>
        <w:t>、税收优惠风险</w:t>
      </w:r>
      <w:r>
        <w:rPr>
          <w:b w:val="0"/>
          <w:bCs w:val="0"/>
        </w:rPr>
      </w:r>
    </w:p>
    <w:p>
      <w:pPr>
        <w:spacing w:after="0" w:line="240" w:lineRule="auto"/>
        <w:jc w:val="left"/>
        <w:sectPr>
          <w:pgSz w:w="11910" w:h="16840"/>
          <w:pgMar w:header="0" w:footer="977" w:top="1120" w:bottom="1160" w:left="1660" w:right="11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BodyText"/>
        <w:spacing w:line="314" w:lineRule="auto" w:before="0"/>
        <w:ind w:left="177" w:right="132" w:firstLine="420"/>
        <w:jc w:val="both"/>
      </w:pPr>
      <w:r>
        <w:rPr/>
        <w:t>公司系高新技术企业，依照相关规定，公司在</w:t>
      </w:r>
      <w:r>
        <w:rPr>
          <w:spacing w:val="-43"/>
        </w:rPr>
        <w:t> </w:t>
      </w:r>
      <w:r>
        <w:rPr/>
        <w:t>2014-2016</w:t>
      </w:r>
      <w:r>
        <w:rPr>
          <w:spacing w:val="-44"/>
        </w:rPr>
        <w:t> </w:t>
      </w:r>
      <w:r>
        <w:rPr/>
        <w:t>年享受</w:t>
      </w:r>
      <w:r>
        <w:rPr>
          <w:spacing w:val="-43"/>
        </w:rPr>
        <w:t> </w:t>
      </w:r>
      <w:r>
        <w:rPr/>
        <w:t>15%的所得税优惠税率。如</w:t>
      </w:r>
      <w:r>
        <w:rPr>
          <w:spacing w:val="-1"/>
        </w:rPr>
        <w:t> </w:t>
      </w:r>
      <w:r>
        <w:rPr/>
        <w:t>果国家相关税收政策发生变化或公司未能被评为高新技术企业，致使公司不能享受上述税收优惠</w:t>
      </w:r>
      <w:r>
        <w:rPr>
          <w:spacing w:val="-96"/>
        </w:rPr>
        <w:t> </w:t>
      </w:r>
      <w:r>
        <w:rPr>
          <w:spacing w:val="-96"/>
        </w:rPr>
      </w:r>
      <w:r>
        <w:rPr/>
        <w:t>政策，将对公司经营业绩产生较大影响。</w:t>
      </w:r>
    </w:p>
    <w:p>
      <w:pPr>
        <w:pStyle w:val="Heading2"/>
        <w:spacing w:line="240" w:lineRule="auto" w:before="20"/>
        <w:ind w:left="599" w:right="127"/>
        <w:jc w:val="left"/>
        <w:rPr>
          <w:b w:val="0"/>
          <w:bCs w:val="0"/>
        </w:rPr>
      </w:pPr>
      <w:r>
        <w:rPr>
          <w:rFonts w:ascii="Calibri" w:hAnsi="Calibri" w:cs="Calibri" w:eastAsia="Calibri" w:hint="default"/>
        </w:rPr>
        <w:t>4</w:t>
      </w:r>
      <w:r>
        <w:rPr/>
        <w:t>、大股东控制风险</w:t>
      </w:r>
      <w:r>
        <w:rPr>
          <w:b w:val="0"/>
          <w:bCs w:val="0"/>
        </w:rPr>
      </w:r>
    </w:p>
    <w:p>
      <w:pPr>
        <w:pStyle w:val="BodyText"/>
        <w:spacing w:line="314" w:lineRule="auto" w:before="58"/>
        <w:ind w:left="177" w:right="130" w:firstLine="420"/>
        <w:jc w:val="both"/>
      </w:pPr>
      <w:r>
        <w:rPr/>
        <w:t>公司的控股股东和实际控制人为吴志雄。吴志雄先生持有公司</w:t>
      </w:r>
      <w:r>
        <w:rPr>
          <w:spacing w:val="-86"/>
        </w:rPr>
        <w:t> </w:t>
      </w:r>
      <w:r>
        <w:rPr/>
        <w:t>57.40%的股份，具有直接影响</w:t>
      </w:r>
      <w:r>
        <w:rPr/>
        <w:t> 公司重大经营决策的能力。未来存在控股股东利用其控股地位通过行使表决权对公司发展战略、</w:t>
      </w:r>
      <w:r>
        <w:rPr>
          <w:spacing w:val="-96"/>
        </w:rPr>
        <w:t> </w:t>
      </w:r>
      <w:r>
        <w:rPr>
          <w:spacing w:val="-96"/>
        </w:rPr>
      </w:r>
      <w:r>
        <w:rPr/>
        <w:t>经营决策、人事安排和利润分配等重大事宜实施影响，从而损害公司及中小股东利益的可能性。</w:t>
      </w:r>
    </w:p>
    <w:p>
      <w:pPr>
        <w:spacing w:line="240" w:lineRule="auto" w:before="13"/>
        <w:rPr>
          <w:rFonts w:ascii="宋体" w:hAnsi="宋体" w:cs="宋体" w:eastAsia="宋体" w:hint="default"/>
          <w:sz w:val="20"/>
          <w:szCs w:val="20"/>
        </w:rPr>
      </w:pPr>
    </w:p>
    <w:p>
      <w:pPr>
        <w:pStyle w:val="Heading2"/>
        <w:spacing w:line="240" w:lineRule="auto" w:before="0"/>
        <w:ind w:left="177" w:right="127"/>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42"/>
        <w:ind w:left="118" w:right="127"/>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5"/>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177" w:right="127"/>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18" w:right="127"/>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177" w:right="127"/>
        <w:jc w:val="left"/>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2"/>
        <w:spacing w:line="240" w:lineRule="auto" w:before="0"/>
        <w:ind w:left="118" w:right="127"/>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30"/>
        <w:ind w:left="177" w:right="127"/>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7" w:right="127"/>
        <w:jc w:val="left"/>
        <w:rPr>
          <w:b w:val="0"/>
          <w:bCs w:val="0"/>
        </w:rPr>
      </w:pPr>
      <w:r>
        <w:rPr/>
        <w:t>四、利润分配或资本公积金转增预案</w:t>
      </w:r>
      <w:r>
        <w:rPr>
          <w:b w:val="0"/>
          <w:bCs w:val="0"/>
        </w:rPr>
      </w:r>
    </w:p>
    <w:p>
      <w:pPr>
        <w:pStyle w:val="Heading2"/>
        <w:spacing w:line="326" w:lineRule="auto" w:before="57"/>
        <w:ind w:left="597" w:right="4948"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现金分红政策的制定、执行或调整情况</w:t>
      </w:r>
      <w:r>
        <w:rPr>
          <w:w w:val="99"/>
        </w:rPr>
        <w:t> </w:t>
      </w:r>
      <w:r>
        <w:rPr/>
        <w:t>1、利润分配原则</w:t>
      </w:r>
      <w:r>
        <w:rPr>
          <w:b w:val="0"/>
          <w:bCs w:val="0"/>
        </w:rPr>
      </w:r>
    </w:p>
    <w:p>
      <w:pPr>
        <w:pStyle w:val="BodyText"/>
        <w:spacing w:line="314" w:lineRule="auto" w:before="9"/>
        <w:ind w:left="177" w:right="132" w:firstLine="420"/>
        <w:jc w:val="both"/>
      </w:pPr>
      <w:r>
        <w:rPr/>
        <w:t>公司实行积极、持续、稳定的利润分配政策，公司利润分配应重视对投资者的合理投资回报 并兼顾公司当年的实际经营情况和可持续发展，利润分配不得超过累计可分配利润的范围，不得</w:t>
      </w:r>
      <w:r>
        <w:rPr>
          <w:spacing w:val="-96"/>
        </w:rPr>
        <w:t> </w:t>
      </w:r>
      <w:r>
        <w:rPr>
          <w:spacing w:val="-96"/>
        </w:rPr>
      </w:r>
      <w:r>
        <w:rPr/>
        <w:t>损害公司持续经营能力。</w:t>
      </w:r>
    </w:p>
    <w:p>
      <w:pPr>
        <w:spacing w:line="314" w:lineRule="auto" w:before="20"/>
        <w:ind w:left="597" w:right="127" w:firstLine="2"/>
        <w:jc w:val="left"/>
        <w:rPr>
          <w:rFonts w:ascii="宋体" w:hAnsi="宋体" w:cs="宋体" w:eastAsia="宋体" w:hint="default"/>
          <w:sz w:val="21"/>
          <w:szCs w:val="21"/>
        </w:rPr>
      </w:pPr>
      <w:r>
        <w:rPr>
          <w:rFonts w:ascii="宋体" w:hAnsi="宋体" w:cs="宋体" w:eastAsia="宋体" w:hint="default"/>
          <w:b/>
          <w:bCs/>
          <w:sz w:val="21"/>
          <w:szCs w:val="21"/>
        </w:rPr>
        <w:t>2、利润分配形式及优先顺序</w:t>
      </w:r>
      <w:r>
        <w:rPr>
          <w:rFonts w:ascii="宋体" w:hAnsi="宋体" w:cs="宋体" w:eastAsia="宋体" w:hint="default"/>
          <w:b/>
          <w:bCs/>
          <w:w w:val="99"/>
          <w:sz w:val="21"/>
          <w:szCs w:val="21"/>
        </w:rPr>
        <w:t> </w:t>
      </w:r>
      <w:r>
        <w:rPr>
          <w:rFonts w:ascii="宋体" w:hAnsi="宋体" w:cs="宋体" w:eastAsia="宋体" w:hint="default"/>
          <w:sz w:val="21"/>
          <w:szCs w:val="21"/>
        </w:rPr>
        <w:t>公司可以采取现金、股票或者现金与股票相结合的方式分配利润。现金分红相对于股票股利</w:t>
      </w:r>
    </w:p>
    <w:p>
      <w:pPr>
        <w:pStyle w:val="BodyText"/>
        <w:spacing w:line="314" w:lineRule="auto"/>
        <w:ind w:left="597" w:right="127" w:hanging="420"/>
        <w:jc w:val="left"/>
      </w:pPr>
      <w:r>
        <w:rPr>
          <w:spacing w:val="-5"/>
        </w:rPr>
        <w:t>在利润分配方式中具有优先性，如具备现金分红条件的，公司应采用现金分红方式进行利润分配。</w:t>
      </w:r>
      <w:r>
        <w:rPr>
          <w:spacing w:val="-88"/>
        </w:rPr>
        <w:t> </w:t>
      </w:r>
      <w:r>
        <w:rPr>
          <w:spacing w:val="-88"/>
        </w:rPr>
      </w:r>
      <w:r>
        <w:rPr>
          <w:rFonts w:ascii="宋体" w:hAnsi="宋体" w:cs="宋体" w:eastAsia="宋体" w:hint="default"/>
          <w:b/>
          <w:bCs/>
        </w:rPr>
        <w:t>3、现金分红具体条件、比例及期间间隔</w:t>
      </w:r>
      <w:r>
        <w:rPr>
          <w:rFonts w:ascii="宋体" w:hAnsi="宋体" w:cs="宋体" w:eastAsia="宋体" w:hint="default"/>
          <w:b/>
          <w:bCs/>
          <w:w w:val="99"/>
        </w:rPr>
        <w:t> </w:t>
      </w:r>
      <w:r>
        <w:rPr/>
        <w:t>如无重大投资计划或重大现金支出发生，公司应采取现金方式分配利润，且以现金方式分配</w:t>
      </w:r>
    </w:p>
    <w:p>
      <w:pPr>
        <w:pStyle w:val="BodyText"/>
        <w:spacing w:line="314" w:lineRule="auto"/>
        <w:ind w:left="177" w:right="119"/>
        <w:jc w:val="left"/>
      </w:pPr>
      <w:r>
        <w:rPr/>
        <w:t>的利润应不少于当年实现的可分配利润的</w:t>
      </w:r>
      <w:r>
        <w:rPr>
          <w:spacing w:val="8"/>
        </w:rPr>
        <w:t> </w:t>
      </w:r>
      <w:r>
        <w:rPr/>
        <w:t>20%，公司上半年的经营性现金流量净额不低于当期实</w:t>
      </w:r>
      <w:r>
        <w:rPr/>
        <w:t> 现的净利润时，公司可以进行中期现金分红。重大投资计划或重大现金支出是指以下情形之一：</w:t>
      </w:r>
    </w:p>
    <w:p>
      <w:pPr>
        <w:pStyle w:val="BodyText"/>
        <w:spacing w:line="314" w:lineRule="auto"/>
        <w:ind w:left="177" w:right="131" w:firstLine="420"/>
        <w:jc w:val="both"/>
      </w:pPr>
      <w:r>
        <w:rPr>
          <w:spacing w:val="-3"/>
        </w:rPr>
        <w:t>（1）公司未来十二个月内拟对外投资、收购资产或购买设备累计支出达到或超过公司最近一</w:t>
      </w:r>
      <w:r>
        <w:rPr/>
        <w:t> 期经审计净资产的</w:t>
      </w:r>
      <w:r>
        <w:rPr>
          <w:spacing w:val="-54"/>
        </w:rPr>
        <w:t> </w:t>
      </w:r>
      <w:r>
        <w:rPr/>
        <w:t>50%，且超过</w:t>
      </w:r>
      <w:r>
        <w:rPr>
          <w:spacing w:val="-54"/>
        </w:rPr>
        <w:t> </w:t>
      </w:r>
      <w:r>
        <w:rPr/>
        <w:t>3,000</w:t>
      </w:r>
      <w:r>
        <w:rPr>
          <w:spacing w:val="-53"/>
        </w:rPr>
        <w:t> </w:t>
      </w:r>
      <w:r>
        <w:rPr/>
        <w:t>万元。</w:t>
      </w:r>
    </w:p>
    <w:p>
      <w:pPr>
        <w:pStyle w:val="BodyText"/>
        <w:spacing w:line="314" w:lineRule="auto"/>
        <w:ind w:left="177" w:right="131" w:firstLine="420"/>
        <w:jc w:val="both"/>
      </w:pPr>
      <w:r>
        <w:rPr>
          <w:spacing w:val="-3"/>
        </w:rPr>
        <w:t>（2）公司未来十二个月内拟对外投资、收购资产或购买设备累计支出达到或超过公司最近一</w:t>
      </w:r>
      <w:r>
        <w:rPr/>
        <w:t> 期经审计总资产的</w:t>
      </w:r>
      <w:r>
        <w:rPr>
          <w:spacing w:val="-53"/>
        </w:rPr>
        <w:t> </w:t>
      </w:r>
      <w:r>
        <w:rPr/>
        <w:t>30%。</w:t>
      </w:r>
    </w:p>
    <w:p>
      <w:pPr>
        <w:spacing w:line="314" w:lineRule="auto" w:before="20"/>
        <w:ind w:left="597" w:right="127" w:firstLine="2"/>
        <w:jc w:val="left"/>
        <w:rPr>
          <w:rFonts w:ascii="宋体" w:hAnsi="宋体" w:cs="宋体" w:eastAsia="宋体" w:hint="default"/>
          <w:sz w:val="21"/>
          <w:szCs w:val="21"/>
        </w:rPr>
      </w:pPr>
      <w:r>
        <w:rPr>
          <w:rFonts w:ascii="宋体" w:hAnsi="宋体" w:cs="宋体" w:eastAsia="宋体" w:hint="default"/>
          <w:b/>
          <w:bCs/>
          <w:sz w:val="21"/>
          <w:szCs w:val="21"/>
        </w:rPr>
        <w:t>4、差异化的现金分红政策</w:t>
      </w:r>
      <w:r>
        <w:rPr>
          <w:rFonts w:ascii="宋体" w:hAnsi="宋体" w:cs="宋体" w:eastAsia="宋体" w:hint="default"/>
          <w:b/>
          <w:bCs/>
          <w:w w:val="99"/>
          <w:sz w:val="21"/>
          <w:szCs w:val="21"/>
        </w:rPr>
        <w:t> </w:t>
      </w:r>
      <w:r>
        <w:rPr>
          <w:rFonts w:ascii="宋体" w:hAnsi="宋体" w:cs="宋体" w:eastAsia="宋体" w:hint="default"/>
          <w:sz w:val="21"/>
          <w:szCs w:val="21"/>
        </w:rPr>
        <w:t>公司董事会综合考虑所处行业特点、发展阶段、自身经营模式、盈利水平以及是否有重大资</w:t>
      </w:r>
    </w:p>
    <w:p>
      <w:pPr>
        <w:pStyle w:val="BodyText"/>
        <w:spacing w:line="240" w:lineRule="auto"/>
        <w:ind w:left="177" w:right="127"/>
        <w:jc w:val="left"/>
      </w:pPr>
      <w:r>
        <w:rPr/>
        <w:t>金支出安排等因素后制定公司利润分配政策。利润分配政策遵循以下原则：</w:t>
      </w:r>
    </w:p>
    <w:p>
      <w:pPr>
        <w:pStyle w:val="BodyText"/>
        <w:spacing w:line="314" w:lineRule="auto" w:before="85"/>
        <w:ind w:left="177" w:right="131" w:firstLine="420"/>
        <w:jc w:val="both"/>
      </w:pPr>
      <w:r>
        <w:rPr>
          <w:spacing w:val="-3"/>
        </w:rPr>
        <w:t>（1）在公司发展阶段属成长期且有重大资金支出安排的，现金分红在本次利润分配中所占比</w:t>
      </w:r>
      <w:r>
        <w:rPr/>
        <w:t> 例最低应达到</w:t>
      </w:r>
      <w:r>
        <w:rPr>
          <w:spacing w:val="-53"/>
        </w:rPr>
        <w:t> </w:t>
      </w:r>
      <w:r>
        <w:rPr/>
        <w:t>20%；</w:t>
      </w:r>
    </w:p>
    <w:p>
      <w:pPr>
        <w:spacing w:after="0" w:line="314" w:lineRule="auto"/>
        <w:jc w:val="both"/>
        <w:sectPr>
          <w:pgSz w:w="11910" w:h="16840"/>
          <w:pgMar w:header="0" w:footer="977" w:top="1120" w:bottom="1160" w:left="162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before="0"/>
        <w:ind w:left="217" w:right="231" w:firstLine="420"/>
        <w:jc w:val="both"/>
      </w:pPr>
      <w:r>
        <w:rPr>
          <w:spacing w:val="-3"/>
        </w:rPr>
        <w:t>（2）在公司发展阶段属成熟期且有重大资金支出安排的，现金分红在本次利润分配中所占比</w:t>
      </w:r>
      <w:r>
        <w:rPr/>
        <w:t> 例最低应达到</w:t>
      </w:r>
      <w:r>
        <w:rPr>
          <w:spacing w:val="-53"/>
        </w:rPr>
        <w:t> </w:t>
      </w:r>
      <w:r>
        <w:rPr/>
        <w:t>40%；</w:t>
      </w:r>
    </w:p>
    <w:p>
      <w:pPr>
        <w:pStyle w:val="BodyText"/>
        <w:spacing w:line="314" w:lineRule="auto"/>
        <w:ind w:left="217" w:right="231" w:firstLine="420"/>
        <w:jc w:val="both"/>
      </w:pPr>
      <w:r>
        <w:rPr>
          <w:spacing w:val="-3"/>
        </w:rPr>
        <w:t>（3）在公司发展阶段属成熟期且无重大资金支出安排的，现金分红在本次利润分配中所占比</w:t>
      </w:r>
      <w:r>
        <w:rPr/>
        <w:t> 例最低应达到</w:t>
      </w:r>
      <w:r>
        <w:rPr>
          <w:spacing w:val="-53"/>
        </w:rPr>
        <w:t> </w:t>
      </w:r>
      <w:r>
        <w:rPr/>
        <w:t>80%。</w:t>
      </w:r>
    </w:p>
    <w:p>
      <w:pPr>
        <w:pStyle w:val="BodyText"/>
        <w:spacing w:line="314" w:lineRule="auto"/>
        <w:ind w:left="217" w:right="234" w:firstLine="420"/>
        <w:jc w:val="both"/>
      </w:pPr>
      <w:r>
        <w:rPr/>
        <w:t>董事会须充分考虑公司目前盈利模式、现金流量状况、发展所处阶段及当期资金需求，制定 年度或中期利润分配方案。</w:t>
      </w:r>
    </w:p>
    <w:p>
      <w:pPr>
        <w:spacing w:line="314" w:lineRule="auto" w:before="20"/>
        <w:ind w:left="637" w:right="222" w:firstLine="2"/>
        <w:jc w:val="left"/>
        <w:rPr>
          <w:rFonts w:ascii="宋体" w:hAnsi="宋体" w:cs="宋体" w:eastAsia="宋体" w:hint="default"/>
          <w:sz w:val="21"/>
          <w:szCs w:val="21"/>
        </w:rPr>
      </w:pPr>
      <w:r>
        <w:rPr>
          <w:rFonts w:ascii="宋体" w:hAnsi="宋体" w:cs="宋体" w:eastAsia="宋体" w:hint="default"/>
          <w:b/>
          <w:bCs/>
          <w:sz w:val="21"/>
          <w:szCs w:val="21"/>
        </w:rPr>
        <w:t>5、利润分配政策的调整</w:t>
      </w:r>
      <w:r>
        <w:rPr>
          <w:rFonts w:ascii="宋体" w:hAnsi="宋体" w:cs="宋体" w:eastAsia="宋体" w:hint="default"/>
          <w:b/>
          <w:bCs/>
          <w:w w:val="99"/>
          <w:sz w:val="21"/>
          <w:szCs w:val="21"/>
        </w:rPr>
        <w:t> </w:t>
      </w:r>
      <w:r>
        <w:rPr>
          <w:rFonts w:ascii="宋体" w:hAnsi="宋体" w:cs="宋体" w:eastAsia="宋体" w:hint="default"/>
          <w:spacing w:val="-5"/>
          <w:sz w:val="21"/>
          <w:szCs w:val="21"/>
        </w:rPr>
        <w:t>公司可根据生产经营情况、投资规划和长期发展的需要，并结合股东（特别是公众投资者）、</w:t>
      </w:r>
    </w:p>
    <w:p>
      <w:pPr>
        <w:pStyle w:val="BodyText"/>
        <w:spacing w:line="314" w:lineRule="auto"/>
        <w:ind w:left="217" w:right="0"/>
        <w:jc w:val="left"/>
      </w:pPr>
      <w:r>
        <w:rPr>
          <w:spacing w:val="-3"/>
        </w:rPr>
        <w:t>独立董事和监事的意见调整利润分配政策。有关利润分配政策调整的议案应详细论证和说明原因，</w:t>
      </w:r>
      <w:r>
        <w:rPr>
          <w:spacing w:val="-69"/>
        </w:rPr>
        <w:t> </w:t>
      </w:r>
      <w:r>
        <w:rPr>
          <w:spacing w:val="-69"/>
        </w:rPr>
      </w:r>
      <w:r>
        <w:rPr/>
        <w:t>并且经董事会审议，全体董事过半数以上表决通过后提交股东大会审议，并经出席股东大会的股</w:t>
      </w:r>
      <w:r>
        <w:rPr>
          <w:spacing w:val="-96"/>
        </w:rPr>
        <w:t> </w:t>
      </w:r>
      <w:r>
        <w:rPr>
          <w:spacing w:val="-96"/>
        </w:rPr>
      </w:r>
      <w:r>
        <w:rPr/>
        <w:t>东所持表决权的</w:t>
      </w:r>
      <w:r>
        <w:rPr>
          <w:spacing w:val="-48"/>
        </w:rPr>
        <w:t> </w:t>
      </w:r>
      <w:r>
        <w:rPr/>
        <w:t>2/3</w:t>
      </w:r>
      <w:r>
        <w:rPr>
          <w:spacing w:val="-47"/>
        </w:rPr>
        <w:t> </w:t>
      </w:r>
      <w:r>
        <w:rPr/>
        <w:t>以上通过。公司应当通过网络投票方式为中小股东参加股东大会提供便利。</w:t>
      </w:r>
      <w:r>
        <w:rPr/>
        <w:t> 独立董事应对股利分配政策调整的议案发表明确意见。公司调整后的利润分配政策不得违反中国</w:t>
      </w:r>
      <w:r>
        <w:rPr>
          <w:spacing w:val="-96"/>
        </w:rPr>
        <w:t> </w:t>
      </w:r>
      <w:r>
        <w:rPr>
          <w:spacing w:val="-96"/>
        </w:rPr>
      </w:r>
      <w:r>
        <w:rPr/>
        <w:t>证监会和证券交易所的有关规定。</w:t>
      </w:r>
    </w:p>
    <w:p>
      <w:pPr>
        <w:pStyle w:val="BodyText"/>
        <w:spacing w:line="314" w:lineRule="auto"/>
        <w:ind w:left="217" w:right="232" w:firstLine="420"/>
        <w:jc w:val="both"/>
      </w:pPr>
      <w:r>
        <w:rPr/>
        <w:t>公司股东分红回报规划着眼于公司的长远和可持续发展，在综合分析公司经营发展实际、股 东要求和意愿、社会资金成本、外部融资环境等因素的基础上，充分考虑公司目前及未来盈利规</w:t>
      </w:r>
      <w:r>
        <w:rPr>
          <w:spacing w:val="-96"/>
        </w:rPr>
        <w:t> </w:t>
      </w:r>
      <w:r>
        <w:rPr>
          <w:spacing w:val="-96"/>
        </w:rPr>
      </w:r>
      <w:r>
        <w:rPr/>
        <w:t>模、现金流量状况、发展所处阶段、项目投资资金需求等情况，建立对投资者持续、稳定、科学</w:t>
      </w:r>
      <w:r>
        <w:rPr>
          <w:spacing w:val="-96"/>
        </w:rPr>
        <w:t> </w:t>
      </w:r>
      <w:r>
        <w:rPr>
          <w:spacing w:val="-96"/>
        </w:rPr>
      </w:r>
      <w:r>
        <w:rPr/>
        <w:t>的回报机制，保持利润分配政策的连续性和稳定性。</w:t>
      </w:r>
    </w:p>
    <w:p>
      <w:pPr>
        <w:spacing w:line="240" w:lineRule="auto" w:before="13"/>
        <w:rPr>
          <w:rFonts w:ascii="宋体" w:hAnsi="宋体" w:cs="宋体" w:eastAsia="宋体" w:hint="default"/>
          <w:sz w:val="20"/>
          <w:szCs w:val="20"/>
        </w:rPr>
      </w:pPr>
    </w:p>
    <w:p>
      <w:pPr>
        <w:pStyle w:val="Heading2"/>
        <w:spacing w:line="240" w:lineRule="auto" w:before="0"/>
        <w:ind w:left="217"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spacing w:line="240" w:lineRule="auto" w:before="2"/>
        <w:rPr>
          <w:rFonts w:ascii="宋体" w:hAnsi="宋体" w:cs="宋体" w:eastAsia="宋体" w:hint="default"/>
          <w:b/>
          <w:bCs/>
          <w:sz w:val="23"/>
          <w:szCs w:val="23"/>
        </w:rPr>
      </w:pPr>
    </w:p>
    <w:p>
      <w:pPr>
        <w:pStyle w:val="BodyText"/>
        <w:tabs>
          <w:tab w:pos="1049" w:val="left" w:leader="none"/>
        </w:tabs>
        <w:spacing w:line="240" w:lineRule="auto" w:before="0"/>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964"/>
        <w:gridCol w:w="1162"/>
        <w:gridCol w:w="1133"/>
        <w:gridCol w:w="1163"/>
        <w:gridCol w:w="1582"/>
        <w:gridCol w:w="1580"/>
        <w:gridCol w:w="1466"/>
      </w:tblGrid>
      <w:tr>
        <w:trPr>
          <w:trHeight w:val="137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66" w:right="265"/>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0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sz w:val="21"/>
                <w:szCs w:val="21"/>
              </w:rPr>
              <w:t> 红股数</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0" w:right="101" w:hanging="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股派</w:t>
            </w:r>
            <w:r>
              <w:rPr>
                <w:rFonts w:ascii="宋体" w:hAnsi="宋体" w:cs="宋体" w:eastAsia="宋体" w:hint="default"/>
                <w:sz w:val="21"/>
                <w:szCs w:val="21"/>
              </w:rPr>
              <w:t> 息数(元)</w:t>
            </w:r>
          </w:p>
          <w:p>
            <w:pPr>
              <w:pStyle w:val="TableParagraph"/>
              <w:spacing w:line="248" w:lineRule="exact"/>
              <w:ind w:left="14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3" w:right="-1" w:firstLine="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w:t>
            </w:r>
            <w:r>
              <w:rPr>
                <w:rFonts w:ascii="宋体" w:hAnsi="宋体" w:cs="宋体" w:eastAsia="宋体" w:hint="default"/>
                <w:sz w:val="21"/>
                <w:szCs w:val="21"/>
              </w:rPr>
              <w:t> 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6" w:right="153"/>
              <w:jc w:val="center"/>
              <w:rPr>
                <w:rFonts w:ascii="宋体" w:hAnsi="宋体" w:cs="宋体" w:eastAsia="宋体" w:hint="default"/>
                <w:sz w:val="21"/>
                <w:szCs w:val="21"/>
              </w:rPr>
            </w:pPr>
            <w:r>
              <w:rPr>
                <w:rFonts w:ascii="宋体" w:hAnsi="宋体" w:cs="宋体" w:eastAsia="宋体" w:hint="default"/>
                <w:sz w:val="21"/>
                <w:szCs w:val="21"/>
              </w:rPr>
              <w:t>现金分红的数 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54" w:right="153"/>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202" w:right="201"/>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p>
        </w:tc>
      </w:tr>
      <w:tr>
        <w:trPr>
          <w:trHeight w:val="407"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1.8</w:t>
            </w:r>
            <w:r>
              <w:rPr>
                <w:rFonts w:ascii="宋体"/>
                <w:sz w:val="21"/>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18,000,000.00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86,886,642.29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20.72%</w:t>
            </w:r>
          </w:p>
        </w:tc>
      </w:tr>
      <w:tr>
        <w:trPr>
          <w:trHeight w:val="407"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r>
      <w:tr>
        <w:trPr>
          <w:trHeight w:val="408"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2"/>
        <w:spacing w:line="290" w:lineRule="auto"/>
        <w:ind w:left="217" w:right="5885"/>
        <w:jc w:val="left"/>
        <w:rPr>
          <w:b w:val="0"/>
          <w:bCs w:val="0"/>
        </w:rPr>
      </w:pPr>
      <w:r>
        <w:rPr/>
        <w:t>五、积极履行社会责任的工作情况</w:t>
      </w:r>
      <w:r>
        <w:rPr>
          <w:spacing w:val="1"/>
          <w:w w:val="99"/>
        </w:rPr>
        <w:t> </w:t>
      </w:r>
      <w:r>
        <w:rPr/>
        <w:t>(一).</w:t>
      </w:r>
      <w:r>
        <w:rPr>
          <w:spacing w:val="8"/>
        </w:rPr>
        <w:t> </w:t>
      </w:r>
      <w:r>
        <w:rPr/>
        <w:t>社会责任工作情况</w:t>
      </w:r>
      <w:r>
        <w:rPr>
          <w:b w:val="0"/>
          <w:bCs w:val="0"/>
        </w:rPr>
      </w:r>
    </w:p>
    <w:p>
      <w:pPr>
        <w:pStyle w:val="BodyText"/>
        <w:spacing w:line="314" w:lineRule="auto" w:before="91"/>
        <w:ind w:left="217" w:right="231" w:firstLine="420"/>
        <w:jc w:val="both"/>
      </w:pPr>
      <w:r>
        <w:rPr/>
        <w:t>在公司董事会的科学领导和经营班子的努力运作下，全体员工紧扣中心，坚守职责，主动履 职，协作推进各项经营管理工作，公司经营业绩稳步增长，资产规模不断扩大，核心竞争力显著</w:t>
      </w:r>
      <w:r>
        <w:rPr>
          <w:spacing w:val="-96"/>
        </w:rPr>
        <w:t> </w:t>
      </w:r>
      <w:r>
        <w:rPr>
          <w:spacing w:val="-96"/>
        </w:rPr>
      </w:r>
      <w:r>
        <w:rPr/>
        <w:t>提高。2014</w:t>
      </w:r>
      <w:r>
        <w:rPr>
          <w:spacing w:val="-88"/>
        </w:rPr>
        <w:t> </w:t>
      </w:r>
      <w:r>
        <w:rPr/>
        <w:t>年实现营收入、净利润、回款金额等主要经营指标再创新高，挂牌上市、启用总部大</w:t>
      </w:r>
      <w:r>
        <w:rPr/>
        <w:t> </w:t>
      </w:r>
      <w:r>
        <w:rPr>
          <w:spacing w:val="-4"/>
        </w:rPr>
        <w:t>楼等百年大计的重点工作全面实现,较好地实现了全年经营管理目标。在社会责任工作方面，公司</w:t>
      </w:r>
      <w:r>
        <w:rPr>
          <w:spacing w:val="-66"/>
        </w:rPr>
        <w:t> </w:t>
      </w:r>
      <w:r>
        <w:rPr>
          <w:spacing w:val="-66"/>
        </w:rPr>
      </w:r>
      <w:r>
        <w:rPr/>
        <w:t>重视对投资者、员工、债权人等的权益，具体的社会责任工作开展情况如下：</w:t>
      </w:r>
    </w:p>
    <w:p>
      <w:pPr>
        <w:spacing w:line="314" w:lineRule="auto" w:before="20"/>
        <w:ind w:left="637" w:right="227" w:firstLine="2"/>
        <w:jc w:val="left"/>
        <w:rPr>
          <w:rFonts w:ascii="宋体" w:hAnsi="宋体" w:cs="宋体" w:eastAsia="宋体" w:hint="default"/>
          <w:sz w:val="21"/>
          <w:szCs w:val="21"/>
        </w:rPr>
      </w:pPr>
      <w:r>
        <w:rPr>
          <w:rFonts w:ascii="宋体" w:hAnsi="宋体" w:cs="宋体" w:eastAsia="宋体" w:hint="default"/>
          <w:b/>
          <w:bCs/>
          <w:sz w:val="21"/>
          <w:szCs w:val="21"/>
        </w:rPr>
        <w:t>1、对投资者的权益保护</w:t>
      </w:r>
      <w:r>
        <w:rPr>
          <w:rFonts w:ascii="宋体" w:hAnsi="宋体" w:cs="宋体" w:eastAsia="宋体" w:hint="default"/>
          <w:b/>
          <w:bCs/>
          <w:w w:val="99"/>
          <w:sz w:val="21"/>
          <w:szCs w:val="21"/>
        </w:rPr>
        <w:t> </w:t>
      </w:r>
      <w:r>
        <w:rPr>
          <w:rFonts w:ascii="宋体" w:hAnsi="宋体" w:cs="宋体" w:eastAsia="宋体" w:hint="default"/>
          <w:sz w:val="21"/>
          <w:szCs w:val="21"/>
        </w:rPr>
        <w:t>公司重视内控体系的建设工作，严格按照《公司法》、《证券法》、《上海证券交易所股票</w:t>
      </w:r>
    </w:p>
    <w:p>
      <w:pPr>
        <w:pStyle w:val="BodyText"/>
        <w:spacing w:line="240" w:lineRule="auto"/>
        <w:ind w:left="217" w:right="203"/>
        <w:jc w:val="left"/>
      </w:pPr>
      <w:r>
        <w:rPr>
          <w:spacing w:val="-5"/>
        </w:rPr>
        <w:t>上市规则》、《上市公司治理准则》等法律规章，制定完善相关制度，严格三会管理，股东大会、</w:t>
      </w:r>
    </w:p>
    <w:p>
      <w:pPr>
        <w:spacing w:after="0" w:line="240" w:lineRule="auto"/>
        <w:jc w:val="left"/>
        <w:sectPr>
          <w:footerReference w:type="default" r:id="rId25"/>
          <w:pgSz w:w="11910" w:h="16840"/>
          <w:pgMar w:footer="977" w:header="0" w:top="1120" w:bottom="1160" w:left="1580" w:right="1040"/>
          <w:pgNumType w:start="25"/>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before="0"/>
        <w:ind w:left="137" w:right="212"/>
        <w:jc w:val="both"/>
      </w:pPr>
      <w:r>
        <w:rPr/>
        <w:t>董事会、监事会“三会”运作规范有序，内控制度不断健全完善，形成了一整套相互制衡、行之</w:t>
      </w:r>
      <w:r>
        <w:rPr>
          <w:spacing w:val="-96"/>
        </w:rPr>
        <w:t> </w:t>
      </w:r>
      <w:r>
        <w:rPr>
          <w:spacing w:val="-96"/>
        </w:rPr>
      </w:r>
      <w:r>
        <w:rPr/>
        <w:t>有效的内控制度体系，并持续深入开展公司治理活动，不断完善治理结构，提升治理水平，提高</w:t>
      </w:r>
      <w:r>
        <w:rPr>
          <w:spacing w:val="-96"/>
        </w:rPr>
        <w:t> </w:t>
      </w:r>
      <w:r>
        <w:rPr>
          <w:spacing w:val="-96"/>
        </w:rPr>
      </w:r>
      <w:r>
        <w:rPr/>
        <w:t>公司资产质量，切实保障全体股东的合法权益。</w:t>
      </w:r>
    </w:p>
    <w:p>
      <w:pPr>
        <w:pStyle w:val="BodyText"/>
        <w:spacing w:line="314" w:lineRule="auto"/>
        <w:ind w:left="137" w:right="211" w:firstLine="420"/>
        <w:jc w:val="both"/>
      </w:pPr>
      <w:r>
        <w:rPr/>
        <w:t>公司通过接听投资者电话、公司网站、“上证</w:t>
      </w:r>
      <w:r>
        <w:rPr>
          <w:spacing w:val="-47"/>
        </w:rPr>
        <w:t> </w:t>
      </w:r>
      <w:r>
        <w:rPr/>
        <w:t>E</w:t>
      </w:r>
      <w:r>
        <w:rPr>
          <w:spacing w:val="-46"/>
        </w:rPr>
        <w:t> </w:t>
      </w:r>
      <w:r>
        <w:rPr/>
        <w:t>互动”等与投资者进行多渠道、多方位的沟</w:t>
      </w:r>
      <w:r>
        <w:rPr/>
        <w:t> 通；提高公司运作的透明度，增进了投资者对公司的了解和认同。</w:t>
      </w:r>
    </w:p>
    <w:p>
      <w:pPr>
        <w:pStyle w:val="BodyText"/>
        <w:spacing w:line="314" w:lineRule="auto"/>
        <w:ind w:left="557" w:right="202"/>
        <w:jc w:val="left"/>
      </w:pPr>
      <w:r>
        <w:rPr>
          <w:spacing w:val="-5"/>
        </w:rPr>
        <w:t>公司在确保平稳运行的同时，重视对投资者的合理回报，严格执行利润分配政策，回报股东。</w:t>
      </w:r>
      <w:r>
        <w:rPr>
          <w:spacing w:val="-98"/>
        </w:rPr>
        <w:t> </w:t>
      </w:r>
      <w:r>
        <w:rPr>
          <w:spacing w:val="-98"/>
        </w:rPr>
      </w:r>
      <w:r>
        <w:rPr>
          <w:rFonts w:ascii="宋体" w:hAnsi="宋体" w:cs="宋体" w:eastAsia="宋体" w:hint="default"/>
          <w:b/>
          <w:bCs/>
        </w:rPr>
        <w:t>2、员工权益保护</w:t>
      </w:r>
      <w:r>
        <w:rPr>
          <w:rFonts w:ascii="宋体" w:hAnsi="宋体" w:cs="宋体" w:eastAsia="宋体" w:hint="default"/>
          <w:b/>
          <w:bCs/>
          <w:spacing w:val="1"/>
          <w:w w:val="99"/>
        </w:rPr>
        <w:t> </w:t>
      </w:r>
      <w:r>
        <w:rPr/>
        <w:t>公司坚持“任人唯贤、人尽其才”的用人理念，以提升队伍职业力和专业力为目标，以开展</w:t>
      </w:r>
    </w:p>
    <w:p>
      <w:pPr>
        <w:pStyle w:val="BodyText"/>
        <w:spacing w:line="314" w:lineRule="auto"/>
        <w:ind w:left="137" w:right="212"/>
        <w:jc w:val="both"/>
      </w:pPr>
      <w:r>
        <w:rPr/>
        <w:t>塑造执行力活动为主线，持续推进“学习型、创新型、专业型、高效型”队伍建设。领导干部带</w:t>
      </w:r>
      <w:r>
        <w:rPr>
          <w:spacing w:val="-96"/>
        </w:rPr>
        <w:t> </w:t>
      </w:r>
      <w:r>
        <w:rPr>
          <w:spacing w:val="-96"/>
        </w:rPr>
      </w:r>
      <w:r>
        <w:rPr/>
        <w:t>头垂范，以“四德八能三勤三绩三廉”为准绳，深入贯彻“传帮带”活动要求，团队合力不断提</w:t>
      </w:r>
      <w:r>
        <w:rPr>
          <w:spacing w:val="-96"/>
        </w:rPr>
        <w:t> </w:t>
      </w:r>
      <w:r>
        <w:rPr>
          <w:spacing w:val="-96"/>
        </w:rPr>
      </w:r>
      <w:r>
        <w:rPr/>
        <w:t>升。公司为员工提供良好的工作环境、福利待遇，尊重职工合法权益，关心职工工作、生活、学</w:t>
      </w:r>
      <w:r>
        <w:rPr>
          <w:spacing w:val="-96"/>
        </w:rPr>
        <w:t> </w:t>
      </w:r>
      <w:r>
        <w:rPr>
          <w:spacing w:val="-96"/>
        </w:rPr>
      </w:r>
      <w:r>
        <w:rPr/>
        <w:t>习，为员工提供一个展示自我、提升自我的平台。深入开展弘扬正能量活动，建立正向能量库，</w:t>
      </w:r>
      <w:r>
        <w:rPr>
          <w:spacing w:val="-96"/>
        </w:rPr>
        <w:t> </w:t>
      </w:r>
      <w:r>
        <w:rPr>
          <w:spacing w:val="-96"/>
        </w:rPr>
      </w:r>
      <w:r>
        <w:rPr/>
        <w:t>收集整理正能量的人、事、言。开展塑造执行力活动，建立决策、执行、监督“三位一体”的工</w:t>
      </w:r>
      <w:r>
        <w:rPr>
          <w:spacing w:val="-96"/>
        </w:rPr>
        <w:t> </w:t>
      </w:r>
      <w:r>
        <w:rPr>
          <w:spacing w:val="-96"/>
        </w:rPr>
      </w:r>
      <w:r>
        <w:rPr/>
        <w:t>作推进机制。利用企业文化展区、楼层电视，展示员工集体活动风采，宣传企业各类中心工作。</w:t>
      </w:r>
      <w:r>
        <w:rPr>
          <w:spacing w:val="-96"/>
        </w:rPr>
        <w:t> </w:t>
      </w:r>
      <w:r>
        <w:rPr>
          <w:spacing w:val="-96"/>
        </w:rPr>
      </w:r>
      <w:r>
        <w:rPr/>
        <w:t>举办趣味运动会和篮球联赛等活动，企业文化建设不断深化。</w:t>
      </w:r>
    </w:p>
    <w:p>
      <w:pPr>
        <w:pStyle w:val="Heading2"/>
        <w:spacing w:line="240" w:lineRule="auto" w:before="20"/>
        <w:ind w:left="559" w:right="2437"/>
        <w:jc w:val="left"/>
        <w:rPr>
          <w:b w:val="0"/>
          <w:bCs w:val="0"/>
        </w:rPr>
      </w:pPr>
      <w:r>
        <w:rPr/>
        <w:t>3、对用户的责任</w:t>
      </w:r>
      <w:r>
        <w:rPr>
          <w:b w:val="0"/>
          <w:bCs w:val="0"/>
        </w:rPr>
      </w:r>
    </w:p>
    <w:p>
      <w:pPr>
        <w:pStyle w:val="BodyText"/>
        <w:spacing w:line="314" w:lineRule="auto" w:before="85"/>
        <w:ind w:left="137" w:right="211" w:firstLine="420"/>
        <w:jc w:val="both"/>
      </w:pPr>
      <w:r>
        <w:rPr>
          <w:spacing w:val="30"/>
        </w:rPr>
        <w:t>公司重视对用户的管理工作，本公司产品或服务质量严格按照国际标准，并获</w:t>
      </w:r>
      <w:r>
        <w:rPr>
          <w:spacing w:val="-72"/>
        </w:rPr>
        <w:t> </w:t>
      </w:r>
      <w:r>
        <w:rPr/>
        <w:t>得</w:t>
      </w:r>
      <w:r>
        <w:rPr/>
        <w:t> ISO9001:2008 质量认证、ISO/IEC27001:2005</w:t>
      </w:r>
      <w:r>
        <w:rPr>
          <w:spacing w:val="-13"/>
        </w:rPr>
        <w:t> </w:t>
      </w:r>
      <w:r>
        <w:rPr/>
        <w:t>信息安全管理体系认证、ISO/IEC20000-1:2011IT</w:t>
      </w:r>
    </w:p>
    <w:p>
      <w:pPr>
        <w:pStyle w:val="BodyText"/>
        <w:spacing w:line="314" w:lineRule="auto"/>
        <w:ind w:left="137" w:right="211"/>
        <w:jc w:val="both"/>
      </w:pPr>
      <w:r>
        <w:rPr/>
        <w:t>服务管理体系认证、国军标质量管理体系认证和</w:t>
      </w:r>
      <w:r>
        <w:rPr>
          <w:spacing w:val="-48"/>
        </w:rPr>
        <w:t> </w:t>
      </w:r>
      <w:r>
        <w:rPr/>
        <w:t>CMMI3</w:t>
      </w:r>
      <w:r>
        <w:rPr>
          <w:spacing w:val="-47"/>
        </w:rPr>
        <w:t> </w:t>
      </w:r>
      <w:r>
        <w:rPr/>
        <w:t>级认证。公司依据这些标准，不断改进过</w:t>
      </w:r>
      <w:r>
        <w:rPr/>
        <w:t> 程控制，形成从项目立项、产品设计、产品开发到产品实施交付、售后服务等全过程的质量控制</w:t>
      </w:r>
      <w:r>
        <w:rPr>
          <w:spacing w:val="-96"/>
        </w:rPr>
        <w:t> </w:t>
      </w:r>
      <w:r>
        <w:rPr>
          <w:spacing w:val="-96"/>
        </w:rPr>
      </w:r>
      <w:r>
        <w:rPr/>
        <w:t>体系。</w:t>
      </w:r>
    </w:p>
    <w:p>
      <w:pPr>
        <w:pStyle w:val="BodyText"/>
        <w:spacing w:line="314" w:lineRule="auto"/>
        <w:ind w:left="137" w:right="211" w:firstLine="420"/>
        <w:jc w:val="both"/>
      </w:pPr>
      <w:r>
        <w:rPr/>
        <w:t>公司一贯重视产品与服务的质量，提供包括</w:t>
      </w:r>
      <w:r>
        <w:rPr>
          <w:spacing w:val="-47"/>
        </w:rPr>
        <w:t> </w:t>
      </w:r>
      <w:r>
        <w:rPr/>
        <w:t>400</w:t>
      </w:r>
      <w:r>
        <w:rPr>
          <w:spacing w:val="-46"/>
        </w:rPr>
        <w:t> </w:t>
      </w:r>
      <w:r>
        <w:rPr/>
        <w:t>热线电话、传真、邮件、即时通讯、网站等</w:t>
      </w:r>
      <w:r>
        <w:rPr/>
        <w:t> 多种受理方式，接受客户的服务请求与投诉。自公司成立以来，未发生重大产品质量纠纷。</w:t>
      </w:r>
    </w:p>
    <w:p>
      <w:pPr>
        <w:pStyle w:val="BodyText"/>
        <w:spacing w:line="314" w:lineRule="auto"/>
        <w:ind w:left="557" w:right="207" w:firstLine="2"/>
        <w:jc w:val="left"/>
      </w:pPr>
      <w:r>
        <w:rPr>
          <w:rFonts w:ascii="宋体" w:hAnsi="宋体" w:cs="宋体" w:eastAsia="宋体" w:hint="default"/>
          <w:b/>
          <w:bCs/>
        </w:rPr>
        <w:t>4、注重节能环保</w:t>
      </w:r>
      <w:r>
        <w:rPr>
          <w:rFonts w:ascii="宋体" w:hAnsi="宋体" w:cs="宋体" w:eastAsia="宋体" w:hint="default"/>
          <w:b/>
          <w:bCs/>
          <w:spacing w:val="1"/>
          <w:w w:val="99"/>
        </w:rPr>
        <w:t> </w:t>
      </w:r>
      <w:r>
        <w:rPr/>
        <w:t>公司在开展主营业务时，严格遵守国家及地方政府有关节能减排、环境保护等方面的法律法</w:t>
      </w:r>
    </w:p>
    <w:p>
      <w:pPr>
        <w:pStyle w:val="BodyText"/>
        <w:spacing w:line="240" w:lineRule="auto"/>
        <w:ind w:left="137" w:right="0"/>
        <w:jc w:val="both"/>
      </w:pPr>
      <w:r>
        <w:rPr/>
        <w:t>规，严把节能环保关，项目实施中认真贯彻落实相关节能、环保要求。</w:t>
      </w:r>
    </w:p>
    <w:p>
      <w:pPr>
        <w:pStyle w:val="BodyText"/>
        <w:spacing w:line="314" w:lineRule="auto" w:before="85"/>
        <w:ind w:left="137" w:right="108" w:firstLine="420"/>
        <w:jc w:val="left"/>
      </w:pPr>
      <w:r>
        <w:rPr/>
        <w:t>2014 年投入使用的南威软件大厦，本着“科技南威 、绿色南威</w:t>
      </w:r>
      <w:r>
        <w:rPr>
          <w:spacing w:val="7"/>
        </w:rPr>
        <w:t> </w:t>
      </w:r>
      <w:r>
        <w:rPr/>
        <w:t>、人文南威”的设计理念，</w:t>
      </w:r>
      <w:r>
        <w:rPr/>
        <w:t> 采用呼吸式幕墙、LO-E</w:t>
      </w:r>
      <w:r>
        <w:rPr>
          <w:spacing w:val="-54"/>
        </w:rPr>
        <w:t> </w:t>
      </w:r>
      <w:r>
        <w:rPr/>
        <w:t>中空玻璃、5A</w:t>
      </w:r>
      <w:r>
        <w:rPr>
          <w:spacing w:val="-53"/>
        </w:rPr>
        <w:t> </w:t>
      </w:r>
      <w:r>
        <w:rPr/>
        <w:t>智能办公系统，采用了综水处理系统以及生态绿化系统。</w:t>
      </w:r>
    </w:p>
    <w:p>
      <w:pPr>
        <w:pStyle w:val="BodyText"/>
        <w:spacing w:line="314" w:lineRule="auto"/>
        <w:ind w:left="137" w:right="211" w:firstLine="420"/>
        <w:jc w:val="both"/>
      </w:pPr>
      <w:r>
        <w:rPr>
          <w:spacing w:val="-2"/>
        </w:rPr>
        <w:t>公司鼓励员工参与各种社会环保活动，2014</w:t>
      </w:r>
      <w:r>
        <w:rPr>
          <w:spacing w:val="-50"/>
        </w:rPr>
        <w:t> </w:t>
      </w:r>
      <w:r>
        <w:rPr>
          <w:spacing w:val="-2"/>
        </w:rPr>
        <w:t>年度公司推出节约办企活动，在工作中倡导勤俭</w:t>
      </w:r>
      <w:r>
        <w:rPr>
          <w:spacing w:val="-1"/>
        </w:rPr>
        <w:t> </w:t>
      </w:r>
      <w:r>
        <w:rPr/>
        <w:t>节约，强化全体员工的节俭意识，提倡减少一次性用品的使用，积极推行无纸化办公把节约办企</w:t>
      </w:r>
      <w:r>
        <w:rPr>
          <w:spacing w:val="-96"/>
        </w:rPr>
        <w:t> </w:t>
      </w:r>
      <w:r>
        <w:rPr>
          <w:spacing w:val="-96"/>
        </w:rPr>
      </w:r>
      <w:r>
        <w:rPr/>
        <w:t>工作纳入员工日常工作考核范围，积极构建绿色办公环境。</w:t>
      </w:r>
    </w:p>
    <w:p>
      <w:pPr>
        <w:spacing w:line="240" w:lineRule="auto" w:before="13"/>
        <w:rPr>
          <w:rFonts w:ascii="宋体" w:hAnsi="宋体" w:cs="宋体" w:eastAsia="宋体" w:hint="default"/>
          <w:sz w:val="20"/>
          <w:szCs w:val="20"/>
        </w:rPr>
      </w:pPr>
    </w:p>
    <w:p>
      <w:pPr>
        <w:pStyle w:val="Heading2"/>
        <w:spacing w:line="290" w:lineRule="auto" w:before="0"/>
        <w:ind w:left="137" w:right="1012"/>
        <w:jc w:val="left"/>
        <w:rPr>
          <w:rFonts w:ascii="宋体" w:hAnsi="宋体" w:cs="宋体" w:eastAsia="宋体" w:hint="default"/>
          <w:b w:val="0"/>
          <w:bCs w:val="0"/>
        </w:rPr>
      </w:pPr>
      <w:r>
        <w:rPr/>
        <w:t>(二).</w:t>
      </w:r>
      <w:r>
        <w:rPr>
          <w:spacing w:val="2"/>
        </w:rPr>
        <w:t> </w:t>
      </w:r>
      <w:r>
        <w:rPr/>
        <w:t>属于国家环境保护部门规定的重污染行业的上市公司及其子公司的环保情况说明</w:t>
      </w:r>
      <w:r>
        <w:rPr>
          <w:w w:val="99"/>
        </w:rPr>
        <w:t> </w:t>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2"/>
        <w:spacing w:line="240" w:lineRule="auto" w:before="0"/>
        <w:ind w:left="137" w:right="0"/>
        <w:jc w:val="both"/>
        <w:rPr>
          <w:b w:val="0"/>
          <w:bCs w:val="0"/>
        </w:rPr>
      </w:pPr>
      <w:r>
        <w:rPr/>
        <w:t>六、其他披露事项</w:t>
      </w:r>
      <w:r>
        <w:rPr>
          <w:b w:val="0"/>
          <w:bCs w:val="0"/>
        </w:rPr>
      </w:r>
    </w:p>
    <w:p>
      <w:pPr>
        <w:pStyle w:val="BodyText"/>
        <w:spacing w:line="314" w:lineRule="auto" w:before="135"/>
        <w:ind w:left="137" w:right="212" w:firstLine="420"/>
        <w:jc w:val="both"/>
      </w:pPr>
      <w:r>
        <w:rPr/>
        <w:t>公司</w:t>
      </w:r>
      <w:r>
        <w:rPr>
          <w:spacing w:val="-56"/>
        </w:rPr>
        <w:t> </w:t>
      </w:r>
      <w:r>
        <w:rPr/>
        <w:t>2015</w:t>
      </w:r>
      <w:r>
        <w:rPr>
          <w:spacing w:val="-56"/>
        </w:rPr>
        <w:t> </w:t>
      </w:r>
      <w:r>
        <w:rPr/>
        <w:t>年</w:t>
      </w:r>
      <w:r>
        <w:rPr>
          <w:spacing w:val="-57"/>
        </w:rPr>
        <w:t> </w:t>
      </w:r>
      <w:r>
        <w:rPr/>
        <w:t>1</w:t>
      </w:r>
      <w:r>
        <w:rPr>
          <w:spacing w:val="-56"/>
        </w:rPr>
        <w:t> </w:t>
      </w:r>
      <w:r>
        <w:rPr/>
        <w:t>月</w:t>
      </w:r>
      <w:r>
        <w:rPr>
          <w:spacing w:val="-57"/>
        </w:rPr>
        <w:t> </w:t>
      </w:r>
      <w:r>
        <w:rPr/>
        <w:t>30</w:t>
      </w:r>
      <w:r>
        <w:rPr>
          <w:spacing w:val="-56"/>
        </w:rPr>
        <w:t> </w:t>
      </w:r>
      <w:r>
        <w:rPr/>
        <w:t>日公告，公司控股股东、实际控制人吴志雄先生应相关部门要求协助调</w:t>
      </w:r>
      <w:r>
        <w:rPr>
          <w:spacing w:val="-1"/>
        </w:rPr>
        <w:t> </w:t>
      </w:r>
      <w:r>
        <w:rPr/>
        <w:t>查，暂不能履行董事长职责。经第二届董事会第十一次会议决议，推选公司董事侯济恭先生暂时</w:t>
      </w:r>
    </w:p>
    <w:p>
      <w:pPr>
        <w:spacing w:after="0" w:line="314" w:lineRule="auto"/>
        <w:jc w:val="both"/>
        <w:sectPr>
          <w:pgSz w:w="11910" w:h="16840"/>
          <w:pgMar w:header="0" w:footer="977" w:top="1120" w:bottom="116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before="0"/>
        <w:ind w:left="137" w:right="127"/>
        <w:jc w:val="left"/>
      </w:pPr>
      <w:r>
        <w:rPr/>
        <w:t>代理行使董事长职责，全面负责公司的经营管理，直至董事长吴志雄先生恢复履行职责，或者董</w:t>
      </w:r>
      <w:r>
        <w:rPr>
          <w:spacing w:val="-96"/>
        </w:rPr>
        <w:t> </w:t>
      </w:r>
      <w:r>
        <w:rPr>
          <w:spacing w:val="-96"/>
        </w:rPr>
      </w:r>
      <w:r>
        <w:rPr/>
        <w:t>事会认为有必要改选董事长并通过改选董事长议案之日。</w:t>
      </w:r>
    </w:p>
    <w:p>
      <w:pPr>
        <w:spacing w:after="0" w:line="314" w:lineRule="auto"/>
        <w:jc w:val="left"/>
        <w:sectPr>
          <w:pgSz w:w="11910" w:h="16840"/>
          <w:pgMar w:header="0" w:footer="977"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362" w:val="left" w:leader="none"/>
        </w:tabs>
        <w:spacing w:line="240" w:lineRule="auto" w:before="164"/>
        <w:ind w:left="102" w:right="0"/>
        <w:jc w:val="center"/>
        <w:rPr>
          <w:b w:val="0"/>
          <w:bCs w:val="0"/>
        </w:rPr>
      </w:pPr>
      <w:bookmarkStart w:name="_TOC_250006" w:id="5"/>
      <w:r>
        <w:rPr>
          <w:w w:val="95"/>
        </w:rPr>
        <w:t>第五节</w:t>
        <w:tab/>
      </w:r>
      <w:r>
        <w:rPr/>
        <w:t>重要事项</w:t>
      </w:r>
      <w:bookmarkEnd w:id="5"/>
      <w:r>
        <w:rPr>
          <w:b w:val="0"/>
          <w:bCs w:val="0"/>
        </w:rPr>
      </w:r>
    </w:p>
    <w:p>
      <w:pPr>
        <w:pStyle w:val="Heading2"/>
        <w:spacing w:line="240" w:lineRule="auto" w:before="249"/>
        <w:ind w:left="237" w:right="0"/>
        <w:jc w:val="left"/>
        <w:rPr>
          <w:b w:val="0"/>
          <w:bCs w:val="0"/>
        </w:rPr>
      </w:pPr>
      <w:r>
        <w:rPr/>
        <w:t>一、重大诉讼、仲裁和媒体普遍质疑的事项</w:t>
      </w:r>
      <w:r>
        <w:rPr>
          <w:b w:val="0"/>
          <w:bCs w:val="0"/>
        </w:rPr>
      </w:r>
    </w:p>
    <w:p>
      <w:pPr>
        <w:pStyle w:val="BodyText"/>
        <w:spacing w:line="240" w:lineRule="auto" w:before="57"/>
        <w:ind w:left="237"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37" w:right="0"/>
        <w:jc w:val="left"/>
        <w:rPr>
          <w:b w:val="0"/>
          <w:bCs w:val="0"/>
        </w:rPr>
      </w:pPr>
      <w:r>
        <w:rPr/>
        <w:t>二、报告期内资金被占用情况及清欠进展情况</w:t>
      </w:r>
      <w:r>
        <w:rPr>
          <w:b w:val="0"/>
          <w:bCs w:val="0"/>
        </w:rPr>
      </w:r>
    </w:p>
    <w:p>
      <w:pPr>
        <w:spacing w:line="290" w:lineRule="auto" w:before="57"/>
        <w:ind w:left="237" w:right="57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三、破产重整相关事项</w:t>
      </w:r>
      <w:r>
        <w:rPr>
          <w:rFonts w:ascii="宋体" w:hAnsi="宋体" w:cs="宋体" w:eastAsia="宋体" w:hint="default"/>
          <w:b/>
          <w:bCs/>
          <w:spacing w:val="1"/>
          <w:w w:val="99"/>
          <w:sz w:val="21"/>
          <w:szCs w:val="21"/>
        </w:rPr>
        <w:t> </w:t>
      </w:r>
      <w:r>
        <w:rPr>
          <w:rFonts w:ascii="宋体" w:hAnsi="宋体" w:cs="宋体" w:eastAsia="宋体" w:hint="default"/>
          <w:sz w:val="21"/>
          <w:szCs w:val="21"/>
        </w:rPr>
        <w:t>本年度公司无破产重整相关事项。</w:t>
      </w:r>
    </w:p>
    <w:p>
      <w:pPr>
        <w:spacing w:line="240" w:lineRule="auto" w:before="11"/>
        <w:rPr>
          <w:rFonts w:ascii="宋体" w:hAnsi="宋体" w:cs="宋体" w:eastAsia="宋体" w:hint="default"/>
          <w:sz w:val="21"/>
          <w:szCs w:val="21"/>
        </w:rPr>
      </w:pPr>
    </w:p>
    <w:p>
      <w:pPr>
        <w:pStyle w:val="Heading2"/>
        <w:spacing w:line="240" w:lineRule="auto" w:before="0"/>
        <w:ind w:left="237" w:right="0"/>
        <w:jc w:val="left"/>
        <w:rPr>
          <w:b w:val="0"/>
          <w:bCs w:val="0"/>
        </w:rPr>
      </w:pPr>
      <w:r>
        <w:rPr/>
        <w:t>四、资产交易、企业合并事项</w:t>
      </w:r>
      <w:r>
        <w:rPr>
          <w:b w:val="0"/>
          <w:bCs w:val="0"/>
        </w:rPr>
      </w:r>
    </w:p>
    <w:p>
      <w:pPr>
        <w:pStyle w:val="BodyText"/>
        <w:spacing w:line="240" w:lineRule="auto" w:before="57"/>
        <w:ind w:left="237" w:right="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237" w:right="0"/>
        <w:jc w:val="left"/>
        <w:rPr>
          <w:b w:val="0"/>
          <w:bCs w:val="0"/>
        </w:rPr>
      </w:pPr>
      <w:r>
        <w:rPr/>
        <w:t>五、公司股权激励情况及其影响</w:t>
      </w:r>
      <w:r>
        <w:rPr>
          <w:b w:val="0"/>
          <w:bCs w:val="0"/>
        </w:rPr>
      </w:r>
    </w:p>
    <w:p>
      <w:pPr>
        <w:pStyle w:val="BodyText"/>
        <w:spacing w:line="240" w:lineRule="auto" w:before="57"/>
        <w:ind w:left="237"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37" w:right="0"/>
        <w:jc w:val="left"/>
        <w:rPr>
          <w:b w:val="0"/>
          <w:bCs w:val="0"/>
        </w:rPr>
      </w:pPr>
      <w:r>
        <w:rPr/>
        <w:t>六、重大关联交易</w:t>
      </w:r>
      <w:r>
        <w:rPr>
          <w:b w:val="0"/>
          <w:bCs w:val="0"/>
        </w:rPr>
      </w:r>
    </w:p>
    <w:p>
      <w:pPr>
        <w:pStyle w:val="BodyText"/>
        <w:spacing w:line="240" w:lineRule="auto" w:before="57"/>
        <w:ind w:left="237"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tabs>
          <w:tab w:pos="657" w:val="left" w:leader="none"/>
        </w:tabs>
        <w:spacing w:line="290" w:lineRule="auto" w:before="0"/>
        <w:ind w:left="237" w:right="6436"/>
        <w:jc w:val="left"/>
        <w:rPr>
          <w:b w:val="0"/>
          <w:bCs w:val="0"/>
        </w:rPr>
      </w:pPr>
      <w:r>
        <w:rPr/>
        <w:t>七、重大合同及其履行情况</w:t>
      </w:r>
      <w:r>
        <w:rPr>
          <w:w w:val="99"/>
        </w:rPr>
        <w:t> </w:t>
      </w:r>
      <w:r>
        <w:rPr>
          <w:w w:val="95"/>
        </w:rPr>
        <w:t>1</w:t>
        <w:tab/>
      </w:r>
      <w:r>
        <w:rPr/>
        <w:t>托管、承包、租赁事项</w:t>
      </w:r>
      <w:r>
        <w:rPr>
          <w:b w:val="0"/>
          <w:bCs w:val="0"/>
        </w:rPr>
      </w:r>
    </w:p>
    <w:p>
      <w:pPr>
        <w:pStyle w:val="BodyText"/>
        <w:spacing w:line="240" w:lineRule="auto" w:before="13"/>
        <w:ind w:left="237"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tabs>
          <w:tab w:pos="657" w:val="left" w:leader="none"/>
        </w:tabs>
        <w:spacing w:line="240" w:lineRule="auto" w:before="0"/>
        <w:ind w:left="237" w:right="0"/>
        <w:jc w:val="left"/>
        <w:rPr>
          <w:b w:val="0"/>
          <w:bCs w:val="0"/>
        </w:rPr>
      </w:pPr>
      <w:r>
        <w:rPr>
          <w:w w:val="95"/>
        </w:rPr>
        <w:t>2</w:t>
        <w:tab/>
      </w:r>
      <w:r>
        <w:rPr/>
        <w:t>担保情况</w:t>
      </w:r>
      <w:r>
        <w:rPr>
          <w:b w:val="0"/>
          <w:bCs w:val="0"/>
        </w:rPr>
      </w:r>
    </w:p>
    <w:p>
      <w:pPr>
        <w:pStyle w:val="BodyText"/>
        <w:spacing w:line="240" w:lineRule="auto" w:before="57"/>
        <w:ind w:left="237"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tabs>
          <w:tab w:pos="657" w:val="left" w:leader="none"/>
        </w:tabs>
        <w:spacing w:line="240" w:lineRule="auto" w:before="0"/>
        <w:ind w:left="237" w:right="0"/>
        <w:jc w:val="left"/>
        <w:rPr>
          <w:b w:val="0"/>
          <w:bCs w:val="0"/>
        </w:rPr>
      </w:pPr>
      <w:r>
        <w:rPr>
          <w:w w:val="95"/>
        </w:rPr>
        <w:t>3</w:t>
        <w:tab/>
      </w:r>
      <w:r>
        <w:rPr/>
        <w:t>其他重大合同</w:t>
      </w:r>
      <w:r>
        <w:rPr>
          <w:b w:val="0"/>
          <w:bCs w:val="0"/>
        </w:rPr>
      </w:r>
    </w:p>
    <w:p>
      <w:pPr>
        <w:pStyle w:val="BodyText"/>
        <w:spacing w:line="240" w:lineRule="auto" w:before="135"/>
        <w:ind w:left="657" w:right="0"/>
        <w:jc w:val="left"/>
      </w:pPr>
      <w:r>
        <w:rPr/>
        <w:t>2014</w:t>
      </w:r>
      <w:r>
        <w:rPr>
          <w:spacing w:val="-62"/>
        </w:rPr>
        <w:t> </w:t>
      </w:r>
      <w:r>
        <w:rPr/>
        <w:t>年</w:t>
      </w:r>
      <w:r>
        <w:rPr>
          <w:spacing w:val="-62"/>
        </w:rPr>
        <w:t> </w:t>
      </w:r>
      <w:r>
        <w:rPr/>
        <w:t>11</w:t>
      </w:r>
      <w:r>
        <w:rPr>
          <w:spacing w:val="-62"/>
        </w:rPr>
        <w:t> </w:t>
      </w:r>
      <w:r>
        <w:rPr/>
        <w:t>月</w:t>
      </w:r>
      <w:r>
        <w:rPr>
          <w:spacing w:val="-62"/>
        </w:rPr>
        <w:t> </w:t>
      </w:r>
      <w:r>
        <w:rPr/>
        <w:t>17</w:t>
      </w:r>
      <w:r>
        <w:rPr>
          <w:spacing w:val="-61"/>
        </w:rPr>
        <w:t> </w:t>
      </w:r>
      <w:r>
        <w:rPr/>
        <w:t>日，公司收到控股子公司福建神威系统集成有限责任公司（以下简称“福建</w:t>
      </w:r>
    </w:p>
    <w:p>
      <w:pPr>
        <w:pStyle w:val="BodyText"/>
        <w:spacing w:line="240" w:lineRule="auto" w:before="85"/>
        <w:ind w:left="237" w:right="0"/>
        <w:jc w:val="left"/>
      </w:pPr>
      <w:r>
        <w:rPr/>
        <w:t>神威”）与福州市城市地铁有限责任公司共同签署的《福州市轨道交通</w:t>
      </w:r>
      <w:r>
        <w:rPr>
          <w:spacing w:val="-47"/>
        </w:rPr>
        <w:t> </w:t>
      </w:r>
      <w:r>
        <w:rPr/>
        <w:t>1</w:t>
      </w:r>
      <w:r>
        <w:rPr>
          <w:spacing w:val="-46"/>
        </w:rPr>
        <w:t> </w:t>
      </w:r>
      <w:r>
        <w:rPr/>
        <w:t>号线工程（一期）自动</w:t>
      </w:r>
    </w:p>
    <w:p>
      <w:pPr>
        <w:pStyle w:val="BodyText"/>
        <w:spacing w:line="240" w:lineRule="auto" w:before="85"/>
        <w:ind w:left="237" w:right="0"/>
        <w:jc w:val="left"/>
      </w:pPr>
      <w:r>
        <w:rPr/>
        <w:t>售检票系统（AFC）项目》合同书，合同金额</w:t>
      </w:r>
      <w:r>
        <w:rPr>
          <w:spacing w:val="-49"/>
        </w:rPr>
        <w:t> </w:t>
      </w:r>
      <w:r>
        <w:rPr/>
        <w:t>83,954,222</w:t>
      </w:r>
      <w:r>
        <w:rPr>
          <w:spacing w:val="-48"/>
        </w:rPr>
        <w:t> </w:t>
      </w:r>
      <w:r>
        <w:rPr/>
        <w:t>元。依照上述合同，福建神威将承担建</w:t>
      </w:r>
    </w:p>
    <w:p>
      <w:pPr>
        <w:pStyle w:val="BodyText"/>
        <w:spacing w:line="240" w:lineRule="auto" w:before="85"/>
        <w:ind w:left="237" w:right="0"/>
        <w:jc w:val="left"/>
      </w:pPr>
      <w:r>
        <w:rPr/>
        <w:t>设福州地铁</w:t>
      </w:r>
      <w:r>
        <w:rPr>
          <w:spacing w:val="-54"/>
        </w:rPr>
        <w:t> </w:t>
      </w:r>
      <w:r>
        <w:rPr/>
        <w:t>1</w:t>
      </w:r>
      <w:r>
        <w:rPr>
          <w:spacing w:val="-53"/>
        </w:rPr>
        <w:t> </w:t>
      </w:r>
      <w:r>
        <w:rPr/>
        <w:t>号线一期工程自动售检票系统。</w:t>
      </w:r>
    </w:p>
    <w:p>
      <w:pPr>
        <w:spacing w:line="240" w:lineRule="auto" w:before="11"/>
        <w:rPr>
          <w:rFonts w:ascii="宋体" w:hAnsi="宋体" w:cs="宋体" w:eastAsia="宋体" w:hint="default"/>
          <w:sz w:val="25"/>
          <w:szCs w:val="25"/>
        </w:rPr>
      </w:pPr>
    </w:p>
    <w:p>
      <w:pPr>
        <w:pStyle w:val="Heading2"/>
        <w:spacing w:line="240" w:lineRule="auto" w:before="0"/>
        <w:ind w:left="237" w:right="0"/>
        <w:jc w:val="left"/>
        <w:rPr>
          <w:b w:val="0"/>
          <w:bCs w:val="0"/>
        </w:rPr>
      </w:pPr>
      <w:r>
        <w:rPr/>
        <w:t>八、承诺事项履行情况</w:t>
      </w:r>
      <w:r>
        <w:rPr>
          <w:b w:val="0"/>
          <w:bCs w:val="0"/>
        </w:rPr>
      </w:r>
    </w:p>
    <w:p>
      <w:pPr>
        <w:pStyle w:val="BodyText"/>
        <w:spacing w:line="240" w:lineRule="auto" w:before="57"/>
        <w:ind w:left="237" w:right="0"/>
        <w:jc w:val="left"/>
      </w:pPr>
      <w:r>
        <w:rPr/>
        <w:t>√适用</w:t>
      </w:r>
      <w:r>
        <w:rPr>
          <w:spacing w:val="-2"/>
        </w:rPr>
        <w:t> </w:t>
      </w:r>
      <w:r>
        <w:rPr/>
        <w:t>□不适用</w:t>
      </w:r>
    </w:p>
    <w:p>
      <w:pPr>
        <w:spacing w:line="240" w:lineRule="auto" w:before="4"/>
        <w:rPr>
          <w:rFonts w:ascii="宋体" w:hAnsi="宋体" w:cs="宋体" w:eastAsia="宋体" w:hint="default"/>
          <w:sz w:val="27"/>
          <w:szCs w:val="27"/>
        </w:rPr>
      </w:pPr>
    </w:p>
    <w:p>
      <w:pPr>
        <w:pStyle w:val="Heading2"/>
        <w:tabs>
          <w:tab w:pos="805" w:val="left" w:leader="none"/>
        </w:tabs>
        <w:spacing w:line="272" w:lineRule="exact" w:before="0"/>
        <w:ind w:left="805" w:right="132"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t>%以上的股东、控股股东及实际控制人在报告期内或持续到报告期内的承</w:t>
      </w:r>
      <w:r>
        <w:rPr>
          <w:w w:val="99"/>
        </w:rPr>
        <w:t> </w:t>
      </w:r>
      <w:r>
        <w:rPr/>
        <w:t>诺事项</w:t>
      </w:r>
      <w:r>
        <w:rPr>
          <w:b w:val="0"/>
          <w:bCs w:val="0"/>
        </w:rPr>
      </w:r>
    </w:p>
    <w:p>
      <w:pPr>
        <w:spacing w:line="240" w:lineRule="auto" w:before="2"/>
        <w:rPr>
          <w:rFonts w:ascii="宋体" w:hAnsi="宋体" w:cs="宋体" w:eastAsia="宋体"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978"/>
        <w:gridCol w:w="708"/>
        <w:gridCol w:w="1112"/>
        <w:gridCol w:w="1133"/>
        <w:gridCol w:w="941"/>
        <w:gridCol w:w="965"/>
        <w:gridCol w:w="948"/>
        <w:gridCol w:w="1111"/>
        <w:gridCol w:w="862"/>
      </w:tblGrid>
      <w:tr>
        <w:trPr>
          <w:trHeight w:val="277" w:hRule="exact"/>
        </w:trPr>
        <w:tc>
          <w:tcPr>
            <w:tcW w:w="97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如未能及</w:t>
            </w:r>
          </w:p>
        </w:tc>
        <w:tc>
          <w:tcPr>
            <w:tcW w:w="86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如未能</w:t>
            </w:r>
          </w:p>
        </w:tc>
      </w:tr>
      <w:tr>
        <w:trPr>
          <w:trHeight w:val="816" w:hRule="exact"/>
        </w:trPr>
        <w:tc>
          <w:tcPr>
            <w:tcW w:w="978"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378" w:right="168"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39" w:right="137"/>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350" w:right="350"/>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72" w:lineRule="exact" w:before="26"/>
              <w:ind w:left="358" w:right="150" w:hanging="210"/>
              <w:jc w:val="left"/>
              <w:rPr>
                <w:rFonts w:ascii="宋体" w:hAnsi="宋体" w:cs="宋体" w:eastAsia="宋体" w:hint="default"/>
                <w:sz w:val="21"/>
                <w:szCs w:val="21"/>
              </w:rPr>
            </w:pPr>
            <w:r>
              <w:rPr>
                <w:rFonts w:ascii="宋体" w:hAnsi="宋体" w:cs="宋体" w:eastAsia="宋体" w:hint="default"/>
                <w:sz w:val="21"/>
                <w:szCs w:val="21"/>
              </w:rPr>
              <w:t>间及期 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62" w:right="0"/>
              <w:jc w:val="left"/>
              <w:rPr>
                <w:rFonts w:ascii="宋体" w:hAnsi="宋体" w:cs="宋体" w:eastAsia="宋体" w:hint="default"/>
                <w:sz w:val="21"/>
                <w:szCs w:val="21"/>
              </w:rPr>
            </w:pPr>
            <w:r>
              <w:rPr>
                <w:rFonts w:ascii="宋体" w:hAnsi="宋体" w:cs="宋体" w:eastAsia="宋体" w:hint="default"/>
                <w:sz w:val="21"/>
                <w:szCs w:val="21"/>
              </w:rPr>
              <w:t>是否有</w:t>
            </w:r>
          </w:p>
          <w:p>
            <w:pPr>
              <w:pStyle w:val="TableParagraph"/>
              <w:spacing w:line="272" w:lineRule="exact" w:before="26"/>
              <w:ind w:left="372" w:right="161" w:hanging="210"/>
              <w:jc w:val="left"/>
              <w:rPr>
                <w:rFonts w:ascii="宋体" w:hAnsi="宋体" w:cs="宋体" w:eastAsia="宋体" w:hint="default"/>
                <w:sz w:val="21"/>
                <w:szCs w:val="21"/>
              </w:rPr>
            </w:pPr>
            <w:r>
              <w:rPr>
                <w:rFonts w:ascii="宋体" w:hAnsi="宋体" w:cs="宋体" w:eastAsia="宋体" w:hint="default"/>
                <w:sz w:val="21"/>
                <w:szCs w:val="21"/>
              </w:rPr>
              <w:t>履行期 限</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是否及</w:t>
            </w:r>
          </w:p>
          <w:p>
            <w:pPr>
              <w:pStyle w:val="TableParagraph"/>
              <w:spacing w:line="272" w:lineRule="exact" w:before="26"/>
              <w:ind w:left="259" w:right="152" w:hanging="106"/>
              <w:jc w:val="left"/>
              <w:rPr>
                <w:rFonts w:ascii="宋体" w:hAnsi="宋体" w:cs="宋体" w:eastAsia="宋体" w:hint="default"/>
                <w:sz w:val="21"/>
                <w:szCs w:val="21"/>
              </w:rPr>
            </w:pPr>
            <w:r>
              <w:rPr>
                <w:rFonts w:ascii="宋体" w:hAnsi="宋体" w:cs="宋体" w:eastAsia="宋体" w:hint="default"/>
                <w:sz w:val="21"/>
                <w:szCs w:val="21"/>
              </w:rPr>
              <w:t>时严格 履行</w:t>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sz w:val="21"/>
                <w:szCs w:val="21"/>
              </w:rPr>
              <w:t>时履行应</w:t>
            </w:r>
          </w:p>
          <w:p>
            <w:pPr>
              <w:pStyle w:val="TableParagraph"/>
              <w:spacing w:line="272" w:lineRule="exact" w:before="26"/>
              <w:ind w:left="130" w:right="128"/>
              <w:jc w:val="left"/>
              <w:rPr>
                <w:rFonts w:ascii="宋体" w:hAnsi="宋体" w:cs="宋体" w:eastAsia="宋体" w:hint="default"/>
                <w:sz w:val="21"/>
                <w:szCs w:val="21"/>
              </w:rPr>
            </w:pPr>
            <w:r>
              <w:rPr>
                <w:rFonts w:ascii="宋体" w:hAnsi="宋体" w:cs="宋体" w:eastAsia="宋体" w:hint="default"/>
                <w:sz w:val="21"/>
                <w:szCs w:val="21"/>
              </w:rPr>
              <w:t>说明未完 成履行的</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及时履</w:t>
            </w:r>
          </w:p>
          <w:p>
            <w:pPr>
              <w:pStyle w:val="TableParagraph"/>
              <w:spacing w:line="272" w:lineRule="exact" w:before="26"/>
              <w:ind w:left="110" w:right="109"/>
              <w:jc w:val="left"/>
              <w:rPr>
                <w:rFonts w:ascii="宋体" w:hAnsi="宋体" w:cs="宋体" w:eastAsia="宋体" w:hint="default"/>
                <w:sz w:val="21"/>
                <w:szCs w:val="21"/>
              </w:rPr>
            </w:pPr>
            <w:r>
              <w:rPr>
                <w:rFonts w:ascii="宋体" w:hAnsi="宋体" w:cs="宋体" w:eastAsia="宋体" w:hint="default"/>
                <w:sz w:val="21"/>
                <w:szCs w:val="21"/>
              </w:rPr>
              <w:t>行应说 明下一</w:t>
            </w:r>
          </w:p>
        </w:tc>
      </w:tr>
      <w:tr>
        <w:trPr>
          <w:trHeight w:val="279" w:hRule="exact"/>
        </w:trPr>
        <w:tc>
          <w:tcPr>
            <w:tcW w:w="97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具体原因</w:t>
            </w:r>
          </w:p>
        </w:tc>
        <w:tc>
          <w:tcPr>
            <w:tcW w:w="86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步计划</w:t>
            </w:r>
          </w:p>
        </w:tc>
      </w:tr>
      <w:tr>
        <w:trPr>
          <w:trHeight w:val="283" w:hRule="exact"/>
        </w:trPr>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与首次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sz w:val="21"/>
                <w:szCs w:val="21"/>
              </w:rPr>
              <w:t>详见注①</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7" w:top="1120" w:bottom="1160" w:left="1560" w:right="11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978"/>
        <w:gridCol w:w="708"/>
        <w:gridCol w:w="1112"/>
        <w:gridCol w:w="1133"/>
        <w:gridCol w:w="941"/>
        <w:gridCol w:w="965"/>
        <w:gridCol w:w="948"/>
        <w:gridCol w:w="1111"/>
        <w:gridCol w:w="862"/>
      </w:tblGrid>
      <w:tr>
        <w:trPr>
          <w:trHeight w:val="827" w:hRule="exact"/>
        </w:trPr>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jc w:val="left"/>
              <w:rPr>
                <w:rFonts w:ascii="宋体" w:hAnsi="宋体" w:cs="宋体" w:eastAsia="宋体" w:hint="default"/>
                <w:sz w:val="21"/>
                <w:szCs w:val="21"/>
              </w:rPr>
            </w:pPr>
            <w:r>
              <w:rPr>
                <w:rFonts w:ascii="宋体" w:hAnsi="宋体" w:cs="宋体" w:eastAsia="宋体" w:hint="default"/>
                <w:sz w:val="21"/>
                <w:szCs w:val="21"/>
              </w:rPr>
              <w:t>公开发</w:t>
            </w:r>
          </w:p>
          <w:p>
            <w:pPr>
              <w:pStyle w:val="TableParagraph"/>
              <w:spacing w:line="272" w:lineRule="exact" w:before="26"/>
              <w:ind w:left="167" w:right="168"/>
              <w:jc w:val="left"/>
              <w:rPr>
                <w:rFonts w:ascii="宋体" w:hAnsi="宋体" w:cs="宋体" w:eastAsia="宋体" w:hint="default"/>
                <w:sz w:val="21"/>
                <w:szCs w:val="21"/>
              </w:rPr>
            </w:pPr>
            <w:r>
              <w:rPr>
                <w:rFonts w:ascii="宋体" w:hAnsi="宋体" w:cs="宋体" w:eastAsia="宋体" w:hint="default"/>
                <w:sz w:val="21"/>
                <w:szCs w:val="21"/>
              </w:rPr>
              <w:t>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限售</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275" w:hRule="exact"/>
        </w:trPr>
        <w:tc>
          <w:tcPr>
            <w:tcW w:w="97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作为南</w:t>
            </w:r>
            <w:r>
              <w:rPr>
                <w:rFonts w:ascii="宋体" w:hAnsi="宋体" w:cs="宋体" w:eastAsia="宋体" w:hint="default"/>
                <w:spacing w:val="-57"/>
                <w:sz w:val="21"/>
                <w:szCs w:val="21"/>
              </w:rPr>
              <w:t> </w:t>
            </w:r>
            <w:r>
              <w:rPr>
                <w:rFonts w:ascii="宋体" w:hAnsi="宋体" w:cs="宋体" w:eastAsia="宋体" w:hint="default"/>
                <w:sz w:val="21"/>
                <w:szCs w:val="21"/>
              </w:rPr>
            </w:r>
          </w:p>
        </w:tc>
        <w:tc>
          <w:tcPr>
            <w:tcW w:w="965"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
        </w:tc>
        <w:tc>
          <w:tcPr>
            <w:tcW w:w="1111"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1362" w:hRule="exact"/>
        </w:trPr>
        <w:tc>
          <w:tcPr>
            <w:tcW w:w="978" w:type="dxa"/>
            <w:tcBorders>
              <w:top w:val="nil" w:sz="6" w:space="0" w:color="auto"/>
              <w:left w:val="single" w:sz="4" w:space="0" w:color="000000"/>
              <w:bottom w:val="nil" w:sz="6" w:space="0" w:color="auto"/>
              <w:right w:val="single" w:sz="4" w:space="0" w:color="000000"/>
            </w:tcBorders>
          </w:tcPr>
          <w:p>
            <w:pPr>
              <w:pStyle w:val="TableParagraph"/>
              <w:spacing w:line="272" w:lineRule="exact" w:before="131"/>
              <w:ind w:left="167" w:right="168"/>
              <w:jc w:val="both"/>
              <w:rPr>
                <w:rFonts w:ascii="宋体" w:hAnsi="宋体" w:cs="宋体" w:eastAsia="宋体" w:hint="default"/>
                <w:sz w:val="21"/>
                <w:szCs w:val="21"/>
              </w:rPr>
            </w:pPr>
            <w:r>
              <w:rPr>
                <w:rFonts w:ascii="宋体" w:hAnsi="宋体" w:cs="宋体" w:eastAsia="宋体" w:hint="default"/>
                <w:sz w:val="21"/>
                <w:szCs w:val="21"/>
              </w:rPr>
              <w:t>与首次 公开发 行相关 的承诺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39" w:right="137"/>
              <w:jc w:val="both"/>
              <w:rPr>
                <w:rFonts w:ascii="宋体" w:hAnsi="宋体" w:cs="宋体" w:eastAsia="宋体" w:hint="default"/>
                <w:sz w:val="21"/>
                <w:szCs w:val="21"/>
              </w:rPr>
            </w:pPr>
            <w:r>
              <w:rPr>
                <w:rFonts w:ascii="宋体" w:hAnsi="宋体" w:cs="宋体" w:eastAsia="宋体" w:hint="default"/>
                <w:sz w:val="21"/>
                <w:szCs w:val="21"/>
              </w:rPr>
              <w:t>解决 同业 竞争</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详见注②</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2"/>
                <w:sz w:val="21"/>
                <w:szCs w:val="21"/>
              </w:rPr>
              <w:t>威软件</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2" w:lineRule="exact" w:before="26"/>
              <w:ind w:left="101" w:right="53"/>
              <w:jc w:val="both"/>
              <w:rPr>
                <w:rFonts w:ascii="宋体" w:hAnsi="宋体" w:cs="宋体" w:eastAsia="宋体" w:hint="default"/>
                <w:sz w:val="21"/>
                <w:szCs w:val="21"/>
              </w:rPr>
            </w:pPr>
            <w:r>
              <w:rPr>
                <w:rFonts w:ascii="宋体" w:hAnsi="宋体" w:cs="宋体" w:eastAsia="宋体" w:hint="default"/>
                <w:spacing w:val="32"/>
                <w:sz w:val="21"/>
                <w:szCs w:val="21"/>
              </w:rPr>
              <w:t>的控股</w:t>
            </w:r>
            <w:r>
              <w:rPr>
                <w:rFonts w:ascii="宋体" w:hAnsi="宋体" w:cs="宋体" w:eastAsia="宋体" w:hint="default"/>
                <w:spacing w:val="-57"/>
                <w:sz w:val="21"/>
                <w:szCs w:val="21"/>
              </w:rPr>
              <w:t> </w:t>
            </w:r>
            <w:r>
              <w:rPr>
                <w:rFonts w:ascii="宋体" w:hAnsi="宋体" w:cs="宋体" w:eastAsia="宋体" w:hint="default"/>
                <w:spacing w:val="32"/>
                <w:sz w:val="21"/>
                <w:szCs w:val="21"/>
              </w:rPr>
              <w:t>股东或</w:t>
            </w:r>
            <w:r>
              <w:rPr>
                <w:rFonts w:ascii="宋体" w:hAnsi="宋体" w:cs="宋体" w:eastAsia="宋体" w:hint="default"/>
                <w:spacing w:val="-57"/>
                <w:sz w:val="21"/>
                <w:szCs w:val="21"/>
              </w:rPr>
              <w:t> </w:t>
            </w:r>
            <w:r>
              <w:rPr>
                <w:rFonts w:ascii="宋体" w:hAnsi="宋体" w:cs="宋体" w:eastAsia="宋体" w:hint="default"/>
                <w:spacing w:val="32"/>
                <w:sz w:val="21"/>
                <w:szCs w:val="21"/>
              </w:rPr>
              <w:t>实际控</w:t>
            </w:r>
            <w:r>
              <w:rPr>
                <w:rFonts w:ascii="宋体" w:hAnsi="宋体" w:cs="宋体" w:eastAsia="宋体" w:hint="default"/>
                <w:spacing w:val="-57"/>
                <w:sz w:val="21"/>
                <w:szCs w:val="21"/>
              </w:rPr>
              <w:t> </w:t>
            </w:r>
            <w:r>
              <w:rPr>
                <w:rFonts w:ascii="宋体" w:hAnsi="宋体" w:cs="宋体" w:eastAsia="宋体" w:hint="default"/>
                <w:spacing w:val="32"/>
                <w:sz w:val="21"/>
                <w:szCs w:val="21"/>
              </w:rPr>
              <w:t>制人期</w:t>
            </w:r>
            <w:r>
              <w:rPr>
                <w:rFonts w:ascii="宋体" w:hAnsi="宋体" w:cs="宋体" w:eastAsia="宋体" w:hint="default"/>
                <w:spacing w:val="-57"/>
                <w:sz w:val="21"/>
                <w:szCs w:val="21"/>
              </w:rPr>
              <w:t> </w:t>
            </w:r>
            <w:r>
              <w:rPr>
                <w:rFonts w:ascii="宋体" w:hAnsi="宋体" w:cs="宋体" w:eastAsia="宋体" w:hint="default"/>
                <w:sz w:val="21"/>
                <w:szCs w:val="21"/>
              </w:rPr>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1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279" w:hRule="exact"/>
        </w:trPr>
        <w:tc>
          <w:tcPr>
            <w:tcW w:w="97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间</w:t>
            </w:r>
          </w:p>
        </w:tc>
        <w:tc>
          <w:tcPr>
            <w:tcW w:w="965"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99" w:hRule="exact"/>
        </w:trPr>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jc w:val="both"/>
              <w:rPr>
                <w:rFonts w:ascii="宋体" w:hAnsi="宋体" w:cs="宋体" w:eastAsia="宋体" w:hint="default"/>
                <w:sz w:val="21"/>
                <w:szCs w:val="21"/>
              </w:rPr>
            </w:pPr>
            <w:r>
              <w:rPr>
                <w:rFonts w:ascii="宋体" w:hAnsi="宋体" w:cs="宋体" w:eastAsia="宋体" w:hint="default"/>
                <w:sz w:val="21"/>
                <w:szCs w:val="21"/>
              </w:rPr>
              <w:t>与首次</w:t>
            </w:r>
          </w:p>
          <w:p>
            <w:pPr>
              <w:pStyle w:val="TableParagraph"/>
              <w:spacing w:line="272" w:lineRule="exact" w:before="26"/>
              <w:ind w:left="167" w:right="168"/>
              <w:jc w:val="both"/>
              <w:rPr>
                <w:rFonts w:ascii="宋体" w:hAnsi="宋体" w:cs="宋体" w:eastAsia="宋体" w:hint="default"/>
                <w:sz w:val="21"/>
                <w:szCs w:val="21"/>
              </w:rPr>
            </w:pPr>
            <w:r>
              <w:rPr>
                <w:rFonts w:ascii="宋体" w:hAnsi="宋体" w:cs="宋体" w:eastAsia="宋体" w:hint="default"/>
                <w:sz w:val="21"/>
                <w:szCs w:val="21"/>
              </w:rPr>
              <w:t>公开发 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9" w:right="137"/>
              <w:jc w:val="both"/>
              <w:rPr>
                <w:rFonts w:ascii="宋体" w:hAnsi="宋体" w:cs="宋体" w:eastAsia="宋体" w:hint="default"/>
                <w:sz w:val="21"/>
                <w:szCs w:val="21"/>
              </w:rPr>
            </w:pPr>
            <w:r>
              <w:rPr>
                <w:rFonts w:ascii="宋体" w:hAnsi="宋体" w:cs="宋体" w:eastAsia="宋体" w:hint="default"/>
                <w:sz w:val="21"/>
                <w:szCs w:val="21"/>
              </w:rPr>
              <w:t>解决 关联 交易</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30" w:right="130" w:firstLine="105"/>
              <w:jc w:val="left"/>
              <w:rPr>
                <w:rFonts w:ascii="宋体" w:hAnsi="宋体" w:cs="宋体" w:eastAsia="宋体" w:hint="default"/>
                <w:sz w:val="21"/>
                <w:szCs w:val="21"/>
              </w:rPr>
            </w:pPr>
            <w:r>
              <w:rPr>
                <w:rFonts w:ascii="宋体" w:hAnsi="宋体" w:cs="宋体" w:eastAsia="宋体" w:hint="default"/>
                <w:sz w:val="21"/>
                <w:szCs w:val="21"/>
              </w:rPr>
              <w:t>吴志雄 凯信金鹏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详见注③</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2"/>
                <w:sz w:val="21"/>
                <w:szCs w:val="21"/>
              </w:rPr>
              <w:t>作为南</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2" w:lineRule="exact" w:before="26"/>
              <w:ind w:left="101" w:right="53"/>
              <w:jc w:val="both"/>
              <w:rPr>
                <w:rFonts w:ascii="宋体" w:hAnsi="宋体" w:cs="宋体" w:eastAsia="宋体" w:hint="default"/>
                <w:sz w:val="21"/>
                <w:szCs w:val="21"/>
              </w:rPr>
            </w:pPr>
            <w:r>
              <w:rPr>
                <w:rFonts w:ascii="宋体" w:hAnsi="宋体" w:cs="宋体" w:eastAsia="宋体" w:hint="default"/>
                <w:spacing w:val="32"/>
                <w:sz w:val="21"/>
                <w:szCs w:val="21"/>
              </w:rPr>
              <w:t>威软件</w:t>
            </w:r>
            <w:r>
              <w:rPr>
                <w:rFonts w:ascii="宋体" w:hAnsi="宋体" w:cs="宋体" w:eastAsia="宋体" w:hint="default"/>
                <w:spacing w:val="-57"/>
                <w:sz w:val="21"/>
                <w:szCs w:val="21"/>
              </w:rPr>
              <w:t> </w:t>
            </w:r>
            <w:r>
              <w:rPr>
                <w:rFonts w:ascii="宋体" w:hAnsi="宋体" w:cs="宋体" w:eastAsia="宋体" w:hint="default"/>
                <w:spacing w:val="32"/>
                <w:sz w:val="21"/>
                <w:szCs w:val="21"/>
              </w:rPr>
              <w:t>关联人</w:t>
            </w:r>
            <w:r>
              <w:rPr>
                <w:rFonts w:ascii="宋体" w:hAnsi="宋体" w:cs="宋体" w:eastAsia="宋体" w:hint="default"/>
                <w:spacing w:val="-57"/>
                <w:sz w:val="21"/>
                <w:szCs w:val="21"/>
              </w:rPr>
              <w:t> </w:t>
            </w:r>
            <w:r>
              <w:rPr>
                <w:rFonts w:ascii="宋体" w:hAnsi="宋体" w:cs="宋体" w:eastAsia="宋体" w:hint="default"/>
                <w:sz w:val="21"/>
                <w:szCs w:val="21"/>
              </w:rPr>
              <w:t>期间</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97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与首次</w:t>
            </w:r>
          </w:p>
        </w:tc>
        <w:tc>
          <w:tcPr>
            <w:tcW w:w="708"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948" w:type="dxa"/>
            <w:vMerge w:val="restart"/>
            <w:tcBorders>
              <w:top w:val="single" w:sz="4" w:space="0" w:color="000000"/>
              <w:left w:val="single" w:sz="4" w:space="0" w:color="000000"/>
              <w:right w:val="single" w:sz="4" w:space="0" w:color="000000"/>
            </w:tcBorders>
          </w:tcPr>
          <w:p>
            <w:pPr/>
          </w:p>
        </w:tc>
        <w:tc>
          <w:tcPr>
            <w:tcW w:w="1111"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544" w:hRule="exact"/>
        </w:trPr>
        <w:tc>
          <w:tcPr>
            <w:tcW w:w="97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hAnsi="宋体" w:cs="宋体" w:eastAsia="宋体" w:hint="default"/>
                <w:sz w:val="21"/>
                <w:szCs w:val="21"/>
              </w:rPr>
              <w:t>公开发</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行相关</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详见注④</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公司存</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续期内</w:t>
            </w:r>
          </w:p>
        </w:tc>
        <w:tc>
          <w:tcPr>
            <w:tcW w:w="965" w:type="dxa"/>
            <w:vMerge/>
            <w:tcBorders>
              <w:left w:val="single" w:sz="4" w:space="0" w:color="000000"/>
              <w:right w:val="single" w:sz="4" w:space="0" w:color="000000"/>
            </w:tcBorders>
          </w:tcPr>
          <w:p>
            <w:pPr/>
          </w:p>
        </w:tc>
        <w:tc>
          <w:tcPr>
            <w:tcW w:w="948" w:type="dxa"/>
            <w:vMerge/>
            <w:tcBorders>
              <w:left w:val="single" w:sz="4" w:space="0" w:color="000000"/>
              <w:right w:val="single" w:sz="4" w:space="0" w:color="000000"/>
            </w:tcBorders>
          </w:tcPr>
          <w:p>
            <w:pPr/>
          </w:p>
        </w:tc>
        <w:tc>
          <w:tcPr>
            <w:tcW w:w="111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279" w:hRule="exact"/>
        </w:trPr>
        <w:tc>
          <w:tcPr>
            <w:tcW w:w="9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的承诺</w:t>
            </w:r>
          </w:p>
        </w:tc>
        <w:tc>
          <w:tcPr>
            <w:tcW w:w="708"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277" w:hRule="exact"/>
        </w:trPr>
        <w:tc>
          <w:tcPr>
            <w:tcW w:w="97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与首次</w:t>
            </w:r>
          </w:p>
        </w:tc>
        <w:tc>
          <w:tcPr>
            <w:tcW w:w="708"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948" w:type="dxa"/>
            <w:vMerge w:val="restart"/>
            <w:tcBorders>
              <w:top w:val="single" w:sz="4" w:space="0" w:color="000000"/>
              <w:left w:val="single" w:sz="4" w:space="0" w:color="000000"/>
              <w:right w:val="single" w:sz="4" w:space="0" w:color="000000"/>
            </w:tcBorders>
          </w:tcPr>
          <w:p>
            <w:pPr/>
          </w:p>
        </w:tc>
        <w:tc>
          <w:tcPr>
            <w:tcW w:w="1111"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545" w:hRule="exact"/>
        </w:trPr>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公开发</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行相关</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详见注⑤</w:t>
            </w:r>
          </w:p>
        </w:tc>
        <w:tc>
          <w:tcPr>
            <w:tcW w:w="941"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8" w:type="dxa"/>
            <w:vMerge/>
            <w:tcBorders>
              <w:left w:val="single" w:sz="4" w:space="0" w:color="000000"/>
              <w:right w:val="single" w:sz="4" w:space="0" w:color="000000"/>
            </w:tcBorders>
          </w:tcPr>
          <w:p>
            <w:pPr/>
          </w:p>
        </w:tc>
        <w:tc>
          <w:tcPr>
            <w:tcW w:w="111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278" w:hRule="exact"/>
        </w:trPr>
        <w:tc>
          <w:tcPr>
            <w:tcW w:w="9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的承诺</w:t>
            </w:r>
          </w:p>
        </w:tc>
        <w:tc>
          <w:tcPr>
            <w:tcW w:w="708"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277" w:hRule="exact"/>
        </w:trPr>
        <w:tc>
          <w:tcPr>
            <w:tcW w:w="97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与首次</w:t>
            </w:r>
          </w:p>
        </w:tc>
        <w:tc>
          <w:tcPr>
            <w:tcW w:w="708"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948" w:type="dxa"/>
            <w:vMerge w:val="restart"/>
            <w:tcBorders>
              <w:top w:val="single" w:sz="4" w:space="0" w:color="000000"/>
              <w:left w:val="single" w:sz="4" w:space="0" w:color="000000"/>
              <w:right w:val="single" w:sz="4" w:space="0" w:color="000000"/>
            </w:tcBorders>
          </w:tcPr>
          <w:p>
            <w:pPr/>
          </w:p>
        </w:tc>
        <w:tc>
          <w:tcPr>
            <w:tcW w:w="1111"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545" w:hRule="exact"/>
        </w:trPr>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公开发</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行相关</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凯信金鹏</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详见注⑥</w:t>
            </w:r>
          </w:p>
        </w:tc>
        <w:tc>
          <w:tcPr>
            <w:tcW w:w="941"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8" w:type="dxa"/>
            <w:vMerge/>
            <w:tcBorders>
              <w:left w:val="single" w:sz="4" w:space="0" w:color="000000"/>
              <w:right w:val="single" w:sz="4" w:space="0" w:color="000000"/>
            </w:tcBorders>
          </w:tcPr>
          <w:p>
            <w:pPr/>
          </w:p>
        </w:tc>
        <w:tc>
          <w:tcPr>
            <w:tcW w:w="111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279" w:hRule="exact"/>
        </w:trPr>
        <w:tc>
          <w:tcPr>
            <w:tcW w:w="9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的承诺</w:t>
            </w:r>
          </w:p>
        </w:tc>
        <w:tc>
          <w:tcPr>
            <w:tcW w:w="708"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bl>
    <w:p>
      <w:pPr>
        <w:pStyle w:val="Heading2"/>
        <w:spacing w:line="240" w:lineRule="exact" w:before="0"/>
        <w:ind w:left="237" w:right="0"/>
        <w:jc w:val="left"/>
        <w:rPr>
          <w:b w:val="0"/>
          <w:bCs w:val="0"/>
        </w:rPr>
      </w:pPr>
      <w:r>
        <w:rPr/>
        <w:t>注：</w:t>
      </w:r>
      <w:r>
        <w:rPr>
          <w:b w:val="0"/>
          <w:bCs w:val="0"/>
        </w:rPr>
      </w:r>
    </w:p>
    <w:p>
      <w:pPr>
        <w:pStyle w:val="BodyText"/>
        <w:spacing w:line="314" w:lineRule="auto" w:before="75"/>
        <w:ind w:left="237" w:right="131" w:firstLine="422"/>
        <w:jc w:val="both"/>
      </w:pPr>
      <w:r>
        <w:rPr>
          <w:rFonts w:ascii="宋体" w:hAnsi="宋体" w:cs="宋体" w:eastAsia="宋体" w:hint="default"/>
          <w:b/>
          <w:bCs/>
          <w:spacing w:val="-3"/>
        </w:rPr>
        <w:t>①公司控股股东吴志雄承诺：</w:t>
      </w:r>
      <w:r>
        <w:rPr>
          <w:spacing w:val="-3"/>
        </w:rPr>
        <w:t>自公司股票上市之日起</w:t>
      </w:r>
      <w:r>
        <w:rPr>
          <w:spacing w:val="-48"/>
        </w:rPr>
        <w:t> </w:t>
      </w:r>
      <w:r>
        <w:rPr/>
        <w:t>36</w:t>
      </w:r>
      <w:r>
        <w:rPr>
          <w:spacing w:val="-47"/>
        </w:rPr>
        <w:t> </w:t>
      </w:r>
      <w:r>
        <w:rPr>
          <w:spacing w:val="-5"/>
        </w:rPr>
        <w:t>个月内，不转让或者委托他人管理本</w:t>
      </w:r>
      <w:r>
        <w:rPr>
          <w:spacing w:val="-1"/>
        </w:rPr>
        <w:t> </w:t>
      </w:r>
      <w:r>
        <w:rPr/>
        <w:t>人直接或间接持有的公司首次公开发行股票前已发行的股份，也不由公司回购直接或间接持有的</w:t>
      </w:r>
      <w:r>
        <w:rPr>
          <w:spacing w:val="-96"/>
        </w:rPr>
        <w:t> </w:t>
      </w:r>
      <w:r>
        <w:rPr>
          <w:spacing w:val="-96"/>
        </w:rPr>
      </w:r>
      <w:r>
        <w:rPr/>
        <w:t>公司首次公开发行股票前已发行的股份。所持股票在锁定期满后两年内减持的，其减持价格不低</w:t>
      </w:r>
      <w:r>
        <w:rPr>
          <w:spacing w:val="-96"/>
        </w:rPr>
        <w:t> </w:t>
      </w:r>
      <w:r>
        <w:rPr>
          <w:spacing w:val="-96"/>
        </w:rPr>
      </w:r>
      <w:r>
        <w:rPr>
          <w:spacing w:val="-6"/>
        </w:rPr>
        <w:t>于发行价；公司上市后</w:t>
      </w:r>
      <w:r>
        <w:rPr>
          <w:spacing w:val="-51"/>
        </w:rPr>
        <w:t> </w:t>
      </w:r>
      <w:r>
        <w:rPr/>
        <w:t>6</w:t>
      </w:r>
      <w:r>
        <w:rPr>
          <w:spacing w:val="-51"/>
        </w:rPr>
        <w:t> </w:t>
      </w:r>
      <w:r>
        <w:rPr/>
        <w:t>个月内如公司股票连续</w:t>
      </w:r>
      <w:r>
        <w:rPr>
          <w:spacing w:val="-51"/>
        </w:rPr>
        <w:t> </w:t>
      </w:r>
      <w:r>
        <w:rPr/>
        <w:t>20</w:t>
      </w:r>
      <w:r>
        <w:rPr>
          <w:spacing w:val="-50"/>
        </w:rPr>
        <w:t> </w:t>
      </w:r>
      <w:r>
        <w:rPr>
          <w:spacing w:val="-4"/>
        </w:rPr>
        <w:t>个交易日的收盘价均低于发行价，或者上市后</w:t>
      </w:r>
      <w:r>
        <w:rPr/>
      </w:r>
    </w:p>
    <w:p>
      <w:pPr>
        <w:pStyle w:val="BodyText"/>
        <w:spacing w:line="314" w:lineRule="auto"/>
        <w:ind w:left="237" w:right="119"/>
        <w:jc w:val="left"/>
      </w:pPr>
      <w:r>
        <w:rPr/>
        <w:t>6</w:t>
      </w:r>
      <w:r>
        <w:rPr>
          <w:spacing w:val="-32"/>
        </w:rPr>
        <w:t> </w:t>
      </w:r>
      <w:r>
        <w:rPr/>
        <w:t>个月期末收盘价低于发行价，持有公司股票的锁定期限自动延长至少</w:t>
      </w:r>
      <w:r>
        <w:rPr>
          <w:spacing w:val="-33"/>
        </w:rPr>
        <w:t> </w:t>
      </w:r>
      <w:r>
        <w:rPr/>
        <w:t>6</w:t>
      </w:r>
      <w:r>
        <w:rPr>
          <w:spacing w:val="-32"/>
        </w:rPr>
        <w:t> </w:t>
      </w:r>
      <w:r>
        <w:rPr/>
        <w:t>个月。上述承诺事项不</w:t>
      </w:r>
      <w:r>
        <w:rPr/>
        <w:t> 因本人职务变更、离职等原因而放弃履行。</w:t>
      </w:r>
    </w:p>
    <w:p>
      <w:pPr>
        <w:pStyle w:val="BodyText"/>
        <w:spacing w:line="314" w:lineRule="auto"/>
        <w:ind w:left="237" w:right="132" w:firstLine="422"/>
        <w:jc w:val="both"/>
      </w:pPr>
      <w:r>
        <w:rPr>
          <w:rFonts w:ascii="宋体" w:hAnsi="宋体" w:cs="宋体" w:eastAsia="宋体" w:hint="default"/>
          <w:b/>
          <w:bCs/>
          <w:w w:val="95"/>
        </w:rPr>
        <w:t>②公司控股股东、实际控制人吴志雄承诺：</w:t>
      </w:r>
      <w:r>
        <w:rPr>
          <w:w w:val="95"/>
        </w:rPr>
        <w:t>在直接或间接控制南威软件期间，本人或本人控</w:t>
      </w:r>
      <w:r>
        <w:rPr/>
        <w:t> 制的其他企业将不从事与南威软件构成竞争或可能构成竞争的业务；如南威软件将来拓展的业务</w:t>
      </w:r>
      <w:r>
        <w:rPr>
          <w:spacing w:val="-96"/>
        </w:rPr>
        <w:t> </w:t>
      </w:r>
      <w:r>
        <w:rPr>
          <w:spacing w:val="-96"/>
        </w:rPr>
      </w:r>
      <w:r>
        <w:rPr/>
        <w:t>范围与本人或本人控制的其他企业构成竞争或可能构成竞争，则本人或本人控制的其他企业将停</w:t>
      </w:r>
      <w:r>
        <w:rPr>
          <w:spacing w:val="-96"/>
        </w:rPr>
        <w:t> </w:t>
      </w:r>
      <w:r>
        <w:rPr>
          <w:spacing w:val="-96"/>
        </w:rPr>
      </w:r>
      <w:r>
        <w:rPr/>
        <w:t>止从事该等业务，或将该等业务纳入南威软件，或将该等业务转让给无关联的第三方；如本人或</w:t>
      </w:r>
      <w:r>
        <w:rPr>
          <w:spacing w:val="-96"/>
        </w:rPr>
        <w:t> </w:t>
      </w:r>
      <w:r>
        <w:rPr>
          <w:spacing w:val="-96"/>
        </w:rPr>
      </w:r>
      <w:r>
        <w:rPr/>
        <w:t>本人控制的其他企业获得与南威软件构成竞争或可能构成竞争的商业机会，则将该商业机会让予</w:t>
      </w:r>
      <w:r>
        <w:rPr>
          <w:spacing w:val="-96"/>
        </w:rPr>
        <w:t> </w:t>
      </w:r>
      <w:r>
        <w:rPr>
          <w:spacing w:val="-96"/>
        </w:rPr>
      </w:r>
      <w:r>
        <w:rPr/>
        <w:t>南威软件。</w:t>
      </w:r>
    </w:p>
    <w:p>
      <w:pPr>
        <w:pStyle w:val="BodyText"/>
        <w:spacing w:line="314" w:lineRule="auto"/>
        <w:ind w:left="237" w:right="132" w:firstLine="422"/>
        <w:jc w:val="both"/>
      </w:pPr>
      <w:r>
        <w:rPr>
          <w:rFonts w:ascii="宋体" w:hAnsi="宋体" w:cs="宋体" w:eastAsia="宋体" w:hint="default"/>
          <w:b/>
          <w:bCs/>
        </w:rPr>
        <w:t>③持股</w:t>
      </w:r>
      <w:r>
        <w:rPr>
          <w:rFonts w:ascii="宋体" w:hAnsi="宋体" w:cs="宋体" w:eastAsia="宋体" w:hint="default"/>
          <w:b/>
          <w:bCs/>
          <w:spacing w:val="-12"/>
        </w:rPr>
        <w:t> </w:t>
      </w:r>
      <w:r>
        <w:rPr>
          <w:rFonts w:ascii="宋体" w:hAnsi="宋体" w:cs="宋体" w:eastAsia="宋体" w:hint="default"/>
          <w:b/>
          <w:bCs/>
        </w:rPr>
        <w:t>5%以上的股东吴志雄和凯信金鹏承诺：</w:t>
      </w:r>
      <w:r>
        <w:rPr/>
        <w:t>将尽可能的避免和减少本人/本合伙企业或本 </w:t>
      </w:r>
      <w:r>
        <w:rPr>
          <w:spacing w:val="-3"/>
        </w:rPr>
        <w:t>人/本合伙企业控制的其他公司、企业或其他组织、机构与公司之间的关联交易；对于无法避免或</w:t>
      </w:r>
      <w:r>
        <w:rPr>
          <w:spacing w:val="-73"/>
        </w:rPr>
        <w:t> </w:t>
      </w:r>
      <w:r>
        <w:rPr>
          <w:spacing w:val="-73"/>
        </w:rPr>
      </w:r>
      <w:r>
        <w:rPr/>
        <w:t>者有合理原因而发生的关联交易，将根据有关法律、法规，遵循平等、自愿、等价和有偿的一般</w:t>
      </w:r>
      <w:r>
        <w:rPr>
          <w:spacing w:val="-96"/>
        </w:rPr>
        <w:t> </w:t>
      </w:r>
      <w:r>
        <w:rPr>
          <w:spacing w:val="-96"/>
        </w:rPr>
      </w:r>
      <w:r>
        <w:rPr/>
        <w:t>商业原则，与公司签订关联交易协议，确保关联交易的价格原则上不偏离市场独立第三方的价格</w:t>
      </w:r>
      <w:r>
        <w:rPr>
          <w:spacing w:val="-96"/>
        </w:rPr>
        <w:t> </w:t>
      </w:r>
      <w:r>
        <w:rPr>
          <w:spacing w:val="-96"/>
        </w:rPr>
      </w:r>
      <w:r>
        <w:rPr/>
        <w:t>或收费的标准，以维护公司及其他股东的利益；不利用在公司中的地位和影响，通过关联交易损</w:t>
      </w:r>
    </w:p>
    <w:p>
      <w:pPr>
        <w:spacing w:after="0" w:line="314" w:lineRule="auto"/>
        <w:jc w:val="both"/>
        <w:sectPr>
          <w:pgSz w:w="11910" w:h="16840"/>
          <w:pgMar w:header="0" w:footer="977" w:top="1120" w:bottom="1160" w:left="15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before="0"/>
        <w:ind w:left="217" w:right="232"/>
        <w:jc w:val="both"/>
      </w:pPr>
      <w:r>
        <w:rPr/>
        <w:t>害股份公司及其他股东的合法权益；本人/本合伙企业或本人/本合伙企业控制的其他企业保证不</w:t>
      </w:r>
      <w:r>
        <w:rPr>
          <w:spacing w:val="-97"/>
        </w:rPr>
        <w:t> </w:t>
      </w:r>
      <w:r>
        <w:rPr>
          <w:spacing w:val="-97"/>
        </w:rPr>
      </w:r>
      <w:r>
        <w:rPr>
          <w:spacing w:val="-3"/>
        </w:rPr>
        <w:t>利用本人/本合伙企业在公司中的地位和影响，违规占用或转移公司的资金、资产及其他资源，或</w:t>
      </w:r>
      <w:r>
        <w:rPr>
          <w:spacing w:val="-72"/>
        </w:rPr>
        <w:t> </w:t>
      </w:r>
      <w:r>
        <w:rPr>
          <w:spacing w:val="-72"/>
        </w:rPr>
      </w:r>
      <w:r>
        <w:rPr/>
        <w:t>要求公司违规提供担保。</w:t>
      </w:r>
    </w:p>
    <w:p>
      <w:pPr>
        <w:pStyle w:val="BodyText"/>
        <w:spacing w:line="314" w:lineRule="auto"/>
        <w:ind w:left="217" w:right="232" w:firstLine="422"/>
        <w:jc w:val="both"/>
      </w:pPr>
      <w:r>
        <w:rPr>
          <w:rFonts w:ascii="宋体" w:hAnsi="宋体" w:cs="宋体" w:eastAsia="宋体" w:hint="default"/>
          <w:b/>
          <w:bCs/>
          <w:w w:val="95"/>
        </w:rPr>
        <w:t>④公司控股股东、实际控制人吴志雄承诺：</w:t>
      </w:r>
      <w:r>
        <w:rPr>
          <w:w w:val="95"/>
        </w:rPr>
        <w:t>如公司存续期内应有权部门要求或决定，公司需</w:t>
      </w:r>
      <w:r>
        <w:rPr/>
        <w:t> 要为公司员工补缴社保、住房公积金或因未缴纳社保、住房公积金而承担罚款或损失，本人不可</w:t>
      </w:r>
      <w:r>
        <w:rPr>
          <w:spacing w:val="-96"/>
        </w:rPr>
        <w:t> </w:t>
      </w:r>
      <w:r>
        <w:rPr>
          <w:spacing w:val="-96"/>
        </w:rPr>
      </w:r>
      <w:r>
        <w:rPr/>
        <w:t>撤销地承诺无条件代公司承担上述所有补缴金额、承担任何相关罚款或损失赔偿的责任，保证公</w:t>
      </w:r>
      <w:r>
        <w:rPr>
          <w:spacing w:val="-96"/>
        </w:rPr>
        <w:t> </w:t>
      </w:r>
      <w:r>
        <w:rPr>
          <w:spacing w:val="-96"/>
        </w:rPr>
      </w:r>
      <w:r>
        <w:rPr/>
        <w:t>司不因此受到损失。</w:t>
      </w:r>
    </w:p>
    <w:p>
      <w:pPr>
        <w:pStyle w:val="BodyText"/>
        <w:spacing w:line="314" w:lineRule="auto"/>
        <w:ind w:left="217" w:right="115" w:firstLine="422"/>
        <w:jc w:val="left"/>
      </w:pPr>
      <w:r>
        <w:rPr>
          <w:rFonts w:ascii="宋体" w:hAnsi="宋体" w:cs="宋体" w:eastAsia="宋体" w:hint="default"/>
          <w:b/>
          <w:bCs/>
        </w:rPr>
        <w:t>⑤公司控股股东、实际控制人吴志雄承诺：</w:t>
      </w:r>
      <w:r>
        <w:rPr/>
        <w:t>在锁定期满后的 12</w:t>
      </w:r>
      <w:r>
        <w:rPr>
          <w:spacing w:val="-19"/>
        </w:rPr>
        <w:t> </w:t>
      </w:r>
      <w:r>
        <w:rPr/>
        <w:t>个月内，在不影响控股地位</w:t>
      </w:r>
      <w:r>
        <w:rPr>
          <w:spacing w:val="-1"/>
        </w:rPr>
        <w:t> </w:t>
      </w:r>
      <w:r>
        <w:rPr/>
        <w:t>的前提下，本人减持股份数量不超过本人持有公司股份总数的</w:t>
      </w:r>
      <w:r>
        <w:rPr>
          <w:spacing w:val="-33"/>
        </w:rPr>
        <w:t> </w:t>
      </w:r>
      <w:r>
        <w:rPr/>
        <w:t>10%；在锁定期满后的</w:t>
      </w:r>
      <w:r>
        <w:rPr>
          <w:spacing w:val="-33"/>
        </w:rPr>
        <w:t> </w:t>
      </w:r>
      <w:r>
        <w:rPr/>
        <w:t>24</w:t>
      </w:r>
      <w:r>
        <w:rPr>
          <w:spacing w:val="-32"/>
        </w:rPr>
        <w:t> </w:t>
      </w:r>
      <w:r>
        <w:rPr/>
        <w:t>个月内，</w:t>
      </w:r>
      <w:r>
        <w:rPr/>
        <w:t> 本人减持股份数量累计不超过本人持有公司股份总数 20%。本人在减持所持有的公司股份前，应</w:t>
      </w:r>
      <w:r>
        <w:rPr>
          <w:spacing w:val="-97"/>
        </w:rPr>
        <w:t> </w:t>
      </w:r>
      <w:r>
        <w:rPr>
          <w:spacing w:val="-97"/>
        </w:rPr>
      </w:r>
      <w:r>
        <w:rPr/>
        <w:t>提前三个交易日予以公告，并于</w:t>
      </w:r>
      <w:r>
        <w:rPr>
          <w:spacing w:val="-47"/>
        </w:rPr>
        <w:t> </w:t>
      </w:r>
      <w:r>
        <w:rPr/>
        <w:t>6</w:t>
      </w:r>
      <w:r>
        <w:rPr>
          <w:spacing w:val="-46"/>
        </w:rPr>
        <w:t> </w:t>
      </w:r>
      <w:r>
        <w:rPr/>
        <w:t>个月内完成，并按照上海证券交易所的规则及时、准确、完整</w:t>
      </w:r>
      <w:r>
        <w:rPr/>
        <w:t> 地履行信息披露义务。</w:t>
      </w:r>
    </w:p>
    <w:p>
      <w:pPr>
        <w:pStyle w:val="BodyText"/>
        <w:spacing w:line="314" w:lineRule="auto"/>
        <w:ind w:left="217" w:right="231" w:firstLine="422"/>
        <w:jc w:val="both"/>
      </w:pPr>
      <w:r>
        <w:rPr>
          <w:rFonts w:ascii="宋体" w:hAnsi="宋体" w:cs="宋体" w:eastAsia="宋体" w:hint="default"/>
          <w:b/>
          <w:bCs/>
        </w:rPr>
        <w:t>⑥持股公司</w:t>
      </w:r>
      <w:r>
        <w:rPr>
          <w:rFonts w:ascii="宋体" w:hAnsi="宋体" w:cs="宋体" w:eastAsia="宋体" w:hint="default"/>
          <w:b/>
          <w:bCs/>
          <w:spacing w:val="-45"/>
        </w:rPr>
        <w:t> </w:t>
      </w:r>
      <w:r>
        <w:rPr>
          <w:rFonts w:ascii="宋体" w:hAnsi="宋体" w:cs="宋体" w:eastAsia="宋体" w:hint="default"/>
          <w:b/>
          <w:bCs/>
        </w:rPr>
        <w:t>5%以上的股东凯信金鹏承诺：</w:t>
      </w:r>
      <w:r>
        <w:rPr/>
        <w:t>在锁定期满后的</w:t>
      </w:r>
      <w:r>
        <w:rPr>
          <w:spacing w:val="-44"/>
        </w:rPr>
        <w:t> </w:t>
      </w:r>
      <w:r>
        <w:rPr/>
        <w:t>12</w:t>
      </w:r>
      <w:r>
        <w:rPr>
          <w:spacing w:val="-43"/>
        </w:rPr>
        <w:t> </w:t>
      </w:r>
      <w:r>
        <w:rPr/>
        <w:t>个月内，本合伙企业减持股份</w:t>
      </w:r>
      <w:r>
        <w:rPr>
          <w:spacing w:val="-1"/>
        </w:rPr>
        <w:t> </w:t>
      </w:r>
      <w:r>
        <w:rPr/>
        <w:t>数量不超过本合伙企业持有公司股份总数的</w:t>
      </w:r>
      <w:r>
        <w:rPr>
          <w:spacing w:val="-56"/>
        </w:rPr>
        <w:t> </w:t>
      </w:r>
      <w:r>
        <w:rPr>
          <w:spacing w:val="-3"/>
        </w:rPr>
        <w:t>30%；在锁定期满后的</w:t>
      </w:r>
      <w:r>
        <w:rPr>
          <w:spacing w:val="-56"/>
        </w:rPr>
        <w:t> </w:t>
      </w:r>
      <w:r>
        <w:rPr/>
        <w:t>24</w:t>
      </w:r>
      <w:r>
        <w:rPr>
          <w:spacing w:val="-55"/>
        </w:rPr>
        <w:t> </w:t>
      </w:r>
      <w:r>
        <w:rPr>
          <w:spacing w:val="-3"/>
        </w:rPr>
        <w:t>个月内，本合伙企业减持股</w:t>
      </w:r>
      <w:r>
        <w:rPr>
          <w:spacing w:val="-1"/>
        </w:rPr>
        <w:t> </w:t>
      </w:r>
      <w:r>
        <w:rPr/>
        <w:t>份数量累计不超过本合伙企业持有公司股份总数</w:t>
      </w:r>
      <w:r>
        <w:rPr>
          <w:spacing w:val="-1"/>
        </w:rPr>
        <w:t> </w:t>
      </w:r>
      <w:r>
        <w:rPr/>
        <w:t>60%。本合伙企业在减持所持有的公司股份前，</w:t>
      </w:r>
    </w:p>
    <w:p>
      <w:pPr>
        <w:pStyle w:val="BodyText"/>
        <w:spacing w:line="247" w:lineRule="auto"/>
        <w:ind w:left="217" w:right="231"/>
        <w:jc w:val="both"/>
      </w:pPr>
      <w:r>
        <w:rPr/>
        <w:t>应提前三个交易日予以公告，并在</w:t>
      </w:r>
      <w:r>
        <w:rPr>
          <w:spacing w:val="-47"/>
        </w:rPr>
        <w:t> </w:t>
      </w:r>
      <w:r>
        <w:rPr/>
        <w:t>6</w:t>
      </w:r>
      <w:r>
        <w:rPr>
          <w:spacing w:val="-46"/>
        </w:rPr>
        <w:t> </w:t>
      </w:r>
      <w:r>
        <w:rPr/>
        <w:t>个月内完成，并按照上海证券交易所的规则及时、准确、完</w:t>
      </w:r>
      <w:r>
        <w:rPr/>
        <w:t> 整地履行信息披露义务。</w:t>
      </w:r>
    </w:p>
    <w:p>
      <w:pPr>
        <w:pStyle w:val="Heading2"/>
        <w:spacing w:line="240" w:lineRule="auto" w:before="51"/>
        <w:ind w:left="217" w:right="0"/>
        <w:jc w:val="both"/>
        <w:rPr>
          <w:b w:val="0"/>
          <w:bCs w:val="0"/>
        </w:rPr>
      </w:pPr>
      <w:r>
        <w:rPr/>
        <w:t>九、任、解聘会计师事务所情况</w:t>
      </w:r>
      <w:r>
        <w:rPr>
          <w:b w:val="0"/>
          <w:bCs w:val="0"/>
        </w:rPr>
      </w:r>
    </w:p>
    <w:p>
      <w:pPr>
        <w:pStyle w:val="BodyText"/>
        <w:tabs>
          <w:tab w:pos="1259" w:val="left" w:leader="none"/>
        </w:tabs>
        <w:spacing w:line="240" w:lineRule="auto" w:before="57"/>
        <w:ind w:left="0" w:right="231"/>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361"/>
        <w:gridCol w:w="4687"/>
      </w:tblGrid>
      <w:tr>
        <w:trPr>
          <w:trHeight w:val="46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64" w:hRule="exact"/>
        </w:trPr>
        <w:tc>
          <w:tcPr>
            <w:tcW w:w="4361" w:type="dxa"/>
            <w:tcBorders>
              <w:top w:val="single" w:sz="4" w:space="0" w:color="000000"/>
              <w:left w:val="single" w:sz="4" w:space="0" w:color="000000"/>
              <w:bottom w:val="single" w:sz="4" w:space="0" w:color="000000"/>
              <w:right w:val="single" w:sz="4" w:space="0" w:color="000000"/>
            </w:tcBorders>
          </w:tcPr>
          <w:p>
            <w:pPr/>
          </w:p>
        </w:tc>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46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福建华兴会计师事务所（特殊普通合伙）</w:t>
            </w:r>
          </w:p>
        </w:tc>
      </w:tr>
      <w:tr>
        <w:trPr>
          <w:trHeight w:val="46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sz w:val="21"/>
              </w:rPr>
              <w:t>60</w:t>
            </w:r>
          </w:p>
        </w:tc>
      </w:tr>
      <w:tr>
        <w:trPr>
          <w:trHeight w:val="46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4</w:t>
            </w:r>
          </w:p>
        </w:tc>
      </w:tr>
    </w:tbl>
    <w:p>
      <w:pPr>
        <w:spacing w:line="240" w:lineRule="auto" w:before="5"/>
        <w:rPr>
          <w:rFonts w:ascii="宋体" w:hAnsi="宋体" w:cs="宋体" w:eastAsia="宋体" w:hint="default"/>
          <w:sz w:val="21"/>
          <w:szCs w:val="21"/>
        </w:rPr>
      </w:pPr>
    </w:p>
    <w:p>
      <w:pPr>
        <w:pStyle w:val="BodyText"/>
        <w:spacing w:line="240" w:lineRule="auto" w:before="35"/>
        <w:ind w:left="217" w:right="227"/>
        <w:jc w:val="left"/>
      </w:pPr>
      <w:r>
        <w:rPr/>
        <w:t>聘任、解聘会计师事务所的情况说明</w:t>
      </w:r>
    </w:p>
    <w:p>
      <w:pPr>
        <w:pStyle w:val="BodyText"/>
        <w:spacing w:line="240" w:lineRule="auto" w:before="85"/>
        <w:ind w:left="637" w:right="227"/>
        <w:jc w:val="left"/>
      </w:pPr>
      <w:r>
        <w:rPr/>
        <w:t>经公司</w:t>
      </w:r>
      <w:r>
        <w:rPr>
          <w:spacing w:val="-48"/>
        </w:rPr>
        <w:t> </w:t>
      </w:r>
      <w:r>
        <w:rPr/>
        <w:t>2013</w:t>
      </w:r>
      <w:r>
        <w:rPr>
          <w:spacing w:val="-48"/>
        </w:rPr>
        <w:t> </w:t>
      </w:r>
      <w:r>
        <w:rPr>
          <w:spacing w:val="-4"/>
        </w:rPr>
        <w:t>年年度股东大会审议批准，聘请福建华兴会计师事务所（特殊普通合伙）为公司</w:t>
      </w:r>
    </w:p>
    <w:p>
      <w:pPr>
        <w:pStyle w:val="BodyText"/>
        <w:spacing w:line="240" w:lineRule="auto" w:before="85"/>
        <w:ind w:left="217" w:right="227"/>
        <w:jc w:val="left"/>
      </w:pPr>
      <w:r>
        <w:rPr/>
        <w:t>2014</w:t>
      </w:r>
      <w:r>
        <w:rPr>
          <w:spacing w:val="-54"/>
        </w:rPr>
        <w:t> </w:t>
      </w:r>
      <w:r>
        <w:rPr/>
        <w:t>年度审计机构，负责本公司年度财务报告及相关专项审计工作。</w:t>
      </w:r>
    </w:p>
    <w:p>
      <w:pPr>
        <w:spacing w:line="240" w:lineRule="auto" w:before="1"/>
        <w:rPr>
          <w:rFonts w:ascii="宋体" w:hAnsi="宋体" w:cs="宋体" w:eastAsia="宋体" w:hint="default"/>
          <w:sz w:val="28"/>
          <w:szCs w:val="28"/>
        </w:rPr>
      </w:pPr>
    </w:p>
    <w:p>
      <w:pPr>
        <w:pStyle w:val="Heading2"/>
        <w:spacing w:line="272" w:lineRule="exact" w:before="0"/>
        <w:ind w:left="637" w:right="221" w:hanging="420"/>
        <w:jc w:val="left"/>
        <w:rPr>
          <w:b w:val="0"/>
          <w:bCs w:val="0"/>
        </w:rPr>
      </w:pPr>
      <w:r>
        <w:rPr>
          <w:spacing w:val="-2"/>
        </w:rPr>
        <w:t>十、上市公司及其董事、监事、高级管理人员、持有</w:t>
      </w:r>
      <w:r>
        <w:rPr>
          <w:spacing w:val="-60"/>
        </w:rPr>
        <w:t> </w:t>
      </w:r>
      <w:r>
        <w:rPr>
          <w:rFonts w:ascii="Arial" w:hAnsi="Arial" w:cs="Arial" w:eastAsia="Arial" w:hint="default"/>
          <w:spacing w:val="-2"/>
        </w:rPr>
        <w:t>5</w:t>
      </w:r>
      <w:r>
        <w:rPr>
          <w:spacing w:val="-2"/>
        </w:rPr>
        <w:t>%以上股份的股东、实际控制人、收购人处</w:t>
      </w:r>
      <w:r>
        <w:rPr>
          <w:w w:val="99"/>
        </w:rPr>
        <w:t> </w:t>
      </w:r>
      <w:r>
        <w:rPr/>
        <w:t>罚及整改情况</w:t>
      </w:r>
      <w:r>
        <w:rPr>
          <w:b w:val="0"/>
          <w:bCs w:val="0"/>
        </w:rPr>
      </w:r>
    </w:p>
    <w:p>
      <w:pPr>
        <w:pStyle w:val="BodyText"/>
        <w:spacing w:line="314" w:lineRule="auto" w:before="110"/>
        <w:ind w:left="217" w:right="225" w:firstLine="420"/>
        <w:jc w:val="left"/>
      </w:pPr>
      <w:r>
        <w:rPr>
          <w:spacing w:val="-2"/>
        </w:rPr>
        <w:t>本年度公司及其董事、监事、高级管理人员、持有</w:t>
      </w:r>
      <w:r>
        <w:rPr>
          <w:spacing w:val="-40"/>
        </w:rPr>
        <w:t> </w:t>
      </w:r>
      <w:r>
        <w:rPr>
          <w:spacing w:val="-1"/>
        </w:rPr>
        <w:t>5%以上股份的股东、实际控制人、收购人</w:t>
      </w:r>
      <w:r>
        <w:rPr/>
        <w:t> 均未受到中国证监会的稽查、行政处罚、通报批评及上海证券交易所的公开谴责。</w:t>
      </w:r>
    </w:p>
    <w:p>
      <w:pPr>
        <w:spacing w:line="240" w:lineRule="auto" w:before="13"/>
        <w:rPr>
          <w:rFonts w:ascii="宋体" w:hAnsi="宋体" w:cs="宋体" w:eastAsia="宋体" w:hint="default"/>
          <w:sz w:val="20"/>
          <w:szCs w:val="20"/>
        </w:rPr>
      </w:pPr>
    </w:p>
    <w:p>
      <w:pPr>
        <w:pStyle w:val="Heading2"/>
        <w:spacing w:line="240" w:lineRule="auto" w:before="0"/>
        <w:ind w:left="217" w:right="227"/>
        <w:jc w:val="left"/>
        <w:rPr>
          <w:b w:val="0"/>
          <w:bCs w:val="0"/>
        </w:rPr>
      </w:pPr>
      <w:r>
        <w:rPr/>
        <w:t>十一、可转换公司债券情况</w:t>
      </w:r>
      <w:r>
        <w:rPr>
          <w:b w:val="0"/>
          <w:bCs w:val="0"/>
        </w:rPr>
      </w:r>
    </w:p>
    <w:p>
      <w:pPr>
        <w:pStyle w:val="BodyText"/>
        <w:spacing w:line="240" w:lineRule="auto" w:before="57"/>
        <w:ind w:left="217" w:right="227"/>
        <w:jc w:val="left"/>
      </w:pPr>
      <w:r>
        <w:rPr/>
        <w:t>□适用</w:t>
      </w:r>
      <w:r>
        <w:rPr>
          <w:spacing w:val="-2"/>
        </w:rPr>
        <w:t> </w:t>
      </w:r>
      <w:r>
        <w:rPr/>
        <w:t>√不适用</w:t>
      </w:r>
    </w:p>
    <w:p>
      <w:pPr>
        <w:spacing w:after="0" w:line="240" w:lineRule="auto"/>
        <w:jc w:val="left"/>
        <w:sectPr>
          <w:footerReference w:type="default" r:id="rId26"/>
          <w:pgSz w:w="11910" w:h="16840"/>
          <w:pgMar w:footer="977" w:header="0" w:top="1120" w:bottom="1160" w:left="1580" w:right="1040"/>
        </w:sectPr>
      </w:pPr>
    </w:p>
    <w:p>
      <w:pPr>
        <w:spacing w:line="240" w:lineRule="auto" w:before="4"/>
        <w:rPr>
          <w:rFonts w:ascii="宋体" w:hAnsi="宋体" w:cs="宋体" w:eastAsia="宋体" w:hint="default"/>
          <w:sz w:val="25"/>
          <w:szCs w:val="25"/>
        </w:rPr>
      </w:pPr>
    </w:p>
    <w:p>
      <w:pPr>
        <w:spacing w:line="290" w:lineRule="auto" w:before="35"/>
        <w:ind w:left="557" w:right="4537" w:hanging="420"/>
        <w:jc w:val="left"/>
        <w:rPr>
          <w:rFonts w:ascii="宋体" w:hAnsi="宋体" w:cs="宋体" w:eastAsia="宋体" w:hint="default"/>
          <w:sz w:val="21"/>
          <w:szCs w:val="21"/>
        </w:rPr>
      </w:pPr>
      <w:r>
        <w:rPr>
          <w:rFonts w:ascii="宋体" w:hAnsi="宋体" w:cs="宋体" w:eastAsia="宋体" w:hint="default"/>
          <w:b/>
          <w:bCs/>
          <w:sz w:val="21"/>
          <w:szCs w:val="21"/>
        </w:rPr>
        <w:t>十二、执行新会计准则对合并财务报表的影响</w:t>
      </w:r>
      <w:r>
        <w:rPr>
          <w:rFonts w:ascii="宋体" w:hAnsi="宋体" w:cs="宋体" w:eastAsia="宋体" w:hint="default"/>
          <w:b/>
          <w:bCs/>
          <w:w w:val="99"/>
          <w:sz w:val="21"/>
          <w:szCs w:val="21"/>
        </w:rPr>
        <w:t> </w:t>
      </w:r>
      <w:r>
        <w:rPr>
          <w:rFonts w:ascii="宋体" w:hAnsi="宋体" w:cs="宋体" w:eastAsia="宋体" w:hint="default"/>
          <w:sz w:val="21"/>
          <w:szCs w:val="21"/>
        </w:rPr>
        <w:t>执行新会计准则对合并财务报表没有影响。</w:t>
      </w:r>
    </w:p>
    <w:p>
      <w:pPr>
        <w:spacing w:line="240" w:lineRule="auto" w:before="11"/>
        <w:rPr>
          <w:rFonts w:ascii="宋体" w:hAnsi="宋体" w:cs="宋体" w:eastAsia="宋体" w:hint="default"/>
          <w:sz w:val="21"/>
          <w:szCs w:val="21"/>
        </w:rPr>
      </w:pPr>
    </w:p>
    <w:p>
      <w:pPr>
        <w:pStyle w:val="Heading2"/>
        <w:spacing w:line="240" w:lineRule="auto" w:before="0"/>
        <w:ind w:left="137" w:right="127"/>
        <w:jc w:val="left"/>
        <w:rPr>
          <w:b w:val="0"/>
          <w:bCs w:val="0"/>
        </w:rPr>
      </w:pPr>
      <w:r>
        <w:rPr/>
        <w:t>十三、其他重大事项的说明</w:t>
      </w:r>
      <w:r>
        <w:rPr>
          <w:b w:val="0"/>
          <w:bCs w:val="0"/>
        </w:rPr>
      </w:r>
    </w:p>
    <w:p>
      <w:pPr>
        <w:pStyle w:val="BodyText"/>
        <w:spacing w:line="240" w:lineRule="auto" w:before="57"/>
        <w:ind w:left="137" w:right="127"/>
        <w:jc w:val="left"/>
      </w:pPr>
      <w:r>
        <w:rPr/>
        <w:t>□适用</w:t>
      </w:r>
      <w:r>
        <w:rPr>
          <w:spacing w:val="-2"/>
        </w:rPr>
        <w:t> </w:t>
      </w:r>
      <w:r>
        <w:rPr/>
        <w:t>√不适用</w:t>
      </w:r>
    </w:p>
    <w:p>
      <w:pPr>
        <w:spacing w:after="0" w:line="240" w:lineRule="auto"/>
        <w:jc w:val="left"/>
        <w:sectPr>
          <w:footerReference w:type="default" r:id="rId27"/>
          <w:pgSz w:w="11910" w:h="16840"/>
          <w:pgMar w:footer="977" w:header="0" w:top="1120" w:bottom="1160" w:left="1660" w:right="1140"/>
        </w:sectPr>
      </w:pPr>
    </w:p>
    <w:p>
      <w:pPr>
        <w:spacing w:before="22"/>
        <w:ind w:left="0" w:right="141"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p>
      <w:pPr>
        <w:spacing w:line="20" w:lineRule="exact"/>
        <w:ind w:left="187" w:right="0" w:firstLine="0"/>
        <w:rPr>
          <w:rFonts w:ascii="宋体" w:hAnsi="宋体" w:cs="宋体" w:eastAsia="宋体" w:hint="default"/>
          <w:sz w:val="2"/>
          <w:szCs w:val="2"/>
        </w:rPr>
      </w:pPr>
      <w:r>
        <w:rPr>
          <w:rFonts w:ascii="宋体" w:hAnsi="宋体" w:cs="宋体" w:eastAsia="宋体" w:hint="default"/>
          <w:sz w:val="2"/>
          <w:szCs w:val="2"/>
        </w:rPr>
        <w:pict>
          <v:group style="width:696.3pt;height:.75pt;mso-position-horizontal-relative:char;mso-position-vertical-relative:line" coordorigin="0,0" coordsize="13926,15">
            <v:group style="position:absolute;left:7;top:7;width:13912;height:2" coordorigin="7,7" coordsize="13912,2">
              <v:shape style="position:absolute;left:7;top:7;width:13912;height:2" coordorigin="7,7" coordsize="13912,0" path="m7,7l13919,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3"/>
          <w:szCs w:val="13"/>
        </w:rPr>
      </w:pPr>
    </w:p>
    <w:p>
      <w:pPr>
        <w:pStyle w:val="Heading1"/>
        <w:tabs>
          <w:tab w:pos="1362" w:val="left" w:leader="none"/>
        </w:tabs>
        <w:spacing w:line="240" w:lineRule="auto"/>
        <w:ind w:left="102" w:right="0"/>
        <w:jc w:val="center"/>
        <w:rPr>
          <w:b w:val="0"/>
          <w:bCs w:val="0"/>
        </w:rPr>
      </w:pPr>
      <w:bookmarkStart w:name="_TOC_250005"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pStyle w:val="Heading2"/>
        <w:spacing w:line="240" w:lineRule="auto"/>
        <w:ind w:left="225" w:right="0"/>
        <w:jc w:val="left"/>
        <w:rPr>
          <w:b w:val="0"/>
          <w:bCs w:val="0"/>
        </w:rPr>
      </w:pPr>
      <w:r>
        <w:rPr/>
        <w:t>一、</w:t>
      </w:r>
      <w:r>
        <w:rPr>
          <w:spacing w:val="-80"/>
        </w:rPr>
        <w:t> </w:t>
      </w:r>
      <w:r>
        <w:rPr/>
        <w:t>股本变动情况</w:t>
      </w:r>
      <w:r>
        <w:rPr>
          <w:b w:val="0"/>
          <w:bCs w:val="0"/>
        </w:rPr>
      </w:r>
    </w:p>
    <w:p>
      <w:pPr>
        <w:pStyle w:val="Heading2"/>
        <w:spacing w:line="240" w:lineRule="auto" w:before="57"/>
        <w:ind w:left="225" w:right="0"/>
        <w:jc w:val="left"/>
        <w:rPr>
          <w:b w:val="0"/>
          <w:bCs w:val="0"/>
        </w:rPr>
      </w:pPr>
      <w:r>
        <w:rPr>
          <w:rFonts w:ascii="Calibri" w:hAnsi="Calibri" w:cs="Calibri" w:eastAsia="Calibri" w:hint="default"/>
        </w:rPr>
        <w:t>1</w:t>
      </w:r>
      <w:r>
        <w:rPr/>
        <w:t>、</w:t>
      </w:r>
      <w:r>
        <w:rPr>
          <w:spacing w:val="-6"/>
        </w:rPr>
        <w:t> </w:t>
      </w:r>
      <w:r>
        <w:rPr/>
        <w:t>股份变动情况股份变动情况表</w:t>
      </w:r>
      <w:r>
        <w:rPr>
          <w:b w:val="0"/>
          <w:bCs w:val="0"/>
        </w:rPr>
      </w:r>
    </w:p>
    <w:p>
      <w:pPr>
        <w:spacing w:line="240" w:lineRule="auto" w:before="11"/>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2944"/>
        <w:gridCol w:w="1276"/>
        <w:gridCol w:w="970"/>
        <w:gridCol w:w="1298"/>
        <w:gridCol w:w="686"/>
        <w:gridCol w:w="1298"/>
        <w:gridCol w:w="764"/>
        <w:gridCol w:w="1384"/>
        <w:gridCol w:w="1396"/>
        <w:gridCol w:w="992"/>
      </w:tblGrid>
      <w:tr>
        <w:trPr>
          <w:trHeight w:val="388" w:hRule="exact"/>
        </w:trPr>
        <w:tc>
          <w:tcPr>
            <w:tcW w:w="2944" w:type="dxa"/>
            <w:vMerge w:val="restart"/>
            <w:tcBorders>
              <w:top w:val="single" w:sz="4" w:space="0" w:color="000000"/>
              <w:left w:val="single" w:sz="4" w:space="0" w:color="000000"/>
              <w:right w:val="single" w:sz="4" w:space="0" w:color="000000"/>
            </w:tcBorders>
          </w:tcPr>
          <w:p>
            <w:pPr/>
          </w:p>
        </w:tc>
        <w:tc>
          <w:tcPr>
            <w:tcW w:w="2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9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4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5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6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282" w:hRule="exact"/>
        </w:trPr>
        <w:tc>
          <w:tcPr>
            <w:tcW w:w="294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
              <w:jc w:val="center"/>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87"/>
                <w:sz w:val="21"/>
                <w:szCs w:val="21"/>
              </w:rPr>
              <w:t>例</w:t>
            </w:r>
            <w:r>
              <w:rPr>
                <w:rFonts w:ascii="宋体" w:hAnsi="宋体" w:cs="宋体" w:eastAsia="宋体" w:hint="default"/>
                <w:sz w:val="21"/>
                <w:szCs w:val="21"/>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小计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
              <w:jc w:val="center"/>
              <w:rPr>
                <w:rFonts w:ascii="宋体" w:hAnsi="宋体" w:cs="宋体" w:eastAsia="宋体" w:hint="default"/>
                <w:sz w:val="21"/>
                <w:szCs w:val="21"/>
              </w:rPr>
            </w:pPr>
            <w:r>
              <w:rPr>
                <w:rFonts w:ascii="宋体" w:hAnsi="宋体" w:cs="宋体" w:eastAsia="宋体" w:hint="default"/>
                <w:spacing w:val="-14"/>
                <w:sz w:val="21"/>
                <w:szCs w:val="21"/>
              </w:rPr>
              <w:t>比例（%）</w:t>
            </w:r>
            <w:r>
              <w:rPr>
                <w:rFonts w:ascii="宋体" w:hAnsi="宋体" w:cs="宋体" w:eastAsia="宋体" w:hint="default"/>
                <w:sz w:val="21"/>
                <w:szCs w:val="21"/>
              </w:rPr>
            </w: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sz w:val="21"/>
              </w:rPr>
              <w:t>75,000,000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4" w:right="0"/>
              <w:jc w:val="center"/>
              <w:rPr>
                <w:rFonts w:ascii="宋体" w:hAnsi="宋体" w:cs="宋体" w:eastAsia="宋体" w:hint="default"/>
                <w:sz w:val="21"/>
                <w:szCs w:val="21"/>
              </w:rPr>
            </w:pPr>
            <w:r>
              <w:rPr>
                <w:rFonts w:ascii="宋体"/>
                <w:sz w:val="21"/>
              </w:rPr>
              <w:t>100.00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75,000,000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2" w:right="0"/>
              <w:jc w:val="center"/>
              <w:rPr>
                <w:rFonts w:ascii="宋体" w:hAnsi="宋体" w:cs="宋体" w:eastAsia="宋体" w:hint="default"/>
                <w:sz w:val="21"/>
                <w:szCs w:val="21"/>
              </w:rPr>
            </w:pPr>
            <w:r>
              <w:rPr>
                <w:rFonts w:ascii="宋体"/>
                <w:sz w:val="21"/>
              </w:rPr>
              <w:t>75.00</w:t>
            </w: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75,000,000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3" w:right="0"/>
              <w:jc w:val="center"/>
              <w:rPr>
                <w:rFonts w:ascii="宋体" w:hAnsi="宋体" w:cs="宋体" w:eastAsia="宋体" w:hint="default"/>
                <w:sz w:val="21"/>
                <w:szCs w:val="21"/>
              </w:rPr>
            </w:pPr>
            <w:r>
              <w:rPr>
                <w:rFonts w:ascii="宋体"/>
                <w:sz w:val="21"/>
              </w:rPr>
              <w:t>100.00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75,000,000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3" w:right="0"/>
              <w:jc w:val="center"/>
              <w:rPr>
                <w:rFonts w:ascii="宋体" w:hAnsi="宋体" w:cs="宋体" w:eastAsia="宋体" w:hint="default"/>
                <w:sz w:val="21"/>
                <w:szCs w:val="21"/>
              </w:rPr>
            </w:pPr>
            <w:r>
              <w:rPr>
                <w:rFonts w:ascii="宋体"/>
                <w:sz w:val="21"/>
              </w:rPr>
              <w:t>75.00</w:t>
            </w: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sz w:val="21"/>
              </w:rPr>
              <w:t>14,948,250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9" w:right="0"/>
              <w:jc w:val="center"/>
              <w:rPr>
                <w:rFonts w:ascii="宋体" w:hAnsi="宋体" w:cs="宋体" w:eastAsia="宋体" w:hint="default"/>
                <w:sz w:val="21"/>
                <w:szCs w:val="21"/>
              </w:rPr>
            </w:pPr>
            <w:r>
              <w:rPr>
                <w:rFonts w:ascii="宋体"/>
                <w:sz w:val="21"/>
              </w:rPr>
              <w:t>19.93</w:t>
            </w: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14,948,250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2" w:right="0"/>
              <w:jc w:val="center"/>
              <w:rPr>
                <w:rFonts w:ascii="宋体" w:hAnsi="宋体" w:cs="宋体" w:eastAsia="宋体" w:hint="default"/>
                <w:sz w:val="21"/>
                <w:szCs w:val="21"/>
              </w:rPr>
            </w:pPr>
            <w:r>
              <w:rPr>
                <w:rFonts w:ascii="宋体"/>
                <w:sz w:val="21"/>
              </w:rPr>
              <w:t>14.95</w:t>
            </w: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sz w:val="21"/>
              </w:rPr>
              <w:t>60,051,750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9" w:right="0"/>
              <w:jc w:val="center"/>
              <w:rPr>
                <w:rFonts w:ascii="宋体" w:hAnsi="宋体" w:cs="宋体" w:eastAsia="宋体" w:hint="default"/>
                <w:sz w:val="21"/>
                <w:szCs w:val="21"/>
              </w:rPr>
            </w:pPr>
            <w:r>
              <w:rPr>
                <w:rFonts w:ascii="宋体"/>
                <w:sz w:val="21"/>
              </w:rPr>
              <w:t>80.07</w:t>
            </w: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60,051,750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2" w:right="0"/>
              <w:jc w:val="center"/>
              <w:rPr>
                <w:rFonts w:ascii="宋体" w:hAnsi="宋体" w:cs="宋体" w:eastAsia="宋体" w:hint="default"/>
                <w:sz w:val="21"/>
                <w:szCs w:val="21"/>
              </w:rPr>
            </w:pPr>
            <w:r>
              <w:rPr>
                <w:rFonts w:ascii="宋体"/>
                <w:sz w:val="21"/>
              </w:rPr>
              <w:t>60.05</w:t>
            </w: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 w:right="0"/>
              <w:jc w:val="center"/>
              <w:rPr>
                <w:rFonts w:ascii="宋体" w:hAnsi="宋体" w:cs="宋体" w:eastAsia="宋体" w:hint="default"/>
                <w:sz w:val="21"/>
                <w:szCs w:val="21"/>
              </w:rPr>
            </w:pPr>
            <w:r>
              <w:rPr>
                <w:rFonts w:ascii="宋体"/>
                <w:sz w:val="21"/>
              </w:rPr>
              <w:t>25,000,000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spacing w:val="-1"/>
                <w:sz w:val="21"/>
              </w:rPr>
              <w:t>25,000,000</w:t>
            </w:r>
            <w:r>
              <w:rPr>
                <w:rFonts w:ascii="宋体"/>
                <w:sz w:val="21"/>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spacing w:val="-1"/>
                <w:sz w:val="21"/>
              </w:rPr>
              <w:t>25,000,000</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1" w:right="0"/>
              <w:jc w:val="center"/>
              <w:rPr>
                <w:rFonts w:ascii="宋体" w:hAnsi="宋体" w:cs="宋体" w:eastAsia="宋体" w:hint="default"/>
                <w:sz w:val="21"/>
                <w:szCs w:val="21"/>
              </w:rPr>
            </w:pPr>
            <w:r>
              <w:rPr>
                <w:rFonts w:ascii="宋体"/>
                <w:sz w:val="21"/>
              </w:rPr>
              <w:t>25.00</w:t>
            </w: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21"/>
                <w:szCs w:val="21"/>
              </w:rPr>
            </w:pPr>
            <w:r>
              <w:rPr>
                <w:rFonts w:ascii="宋体"/>
                <w:sz w:val="21"/>
              </w:rPr>
              <w:t>25,000,000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25,000,000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2" w:right="0"/>
              <w:jc w:val="center"/>
              <w:rPr>
                <w:rFonts w:ascii="宋体" w:hAnsi="宋体" w:cs="宋体" w:eastAsia="宋体" w:hint="default"/>
                <w:sz w:val="21"/>
                <w:szCs w:val="21"/>
              </w:rPr>
            </w:pPr>
            <w:r>
              <w:rPr>
                <w:rFonts w:ascii="宋体"/>
                <w:sz w:val="21"/>
              </w:rPr>
              <w:t>25.00</w:t>
            </w: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2、境内上市的外资股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3、境外上市的外资股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sz w:val="21"/>
              </w:rPr>
              <w:t>75,000,000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5" w:right="0"/>
              <w:jc w:val="center"/>
              <w:rPr>
                <w:rFonts w:ascii="宋体" w:hAnsi="宋体" w:cs="宋体" w:eastAsia="宋体" w:hint="default"/>
                <w:sz w:val="21"/>
                <w:szCs w:val="21"/>
              </w:rPr>
            </w:pPr>
            <w:r>
              <w:rPr>
                <w:rFonts w:ascii="宋体"/>
                <w:sz w:val="21"/>
              </w:rPr>
              <w:t>100.00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 w:right="0"/>
              <w:jc w:val="center"/>
              <w:rPr>
                <w:rFonts w:ascii="宋体" w:hAnsi="宋体" w:cs="宋体" w:eastAsia="宋体" w:hint="default"/>
                <w:sz w:val="21"/>
                <w:szCs w:val="21"/>
              </w:rPr>
            </w:pPr>
            <w:r>
              <w:rPr>
                <w:rFonts w:ascii="宋体"/>
                <w:sz w:val="21"/>
              </w:rPr>
              <w:t>25,000,000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25,000,000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7" w:right="0"/>
              <w:jc w:val="center"/>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63"/>
        <w:ind w:left="102" w:right="0" w:firstLine="0"/>
        <w:jc w:val="center"/>
        <w:rPr>
          <w:rFonts w:ascii="Calibri" w:hAnsi="Calibri" w:cs="Calibri" w:eastAsia="Calibri" w:hint="default"/>
          <w:sz w:val="18"/>
          <w:szCs w:val="18"/>
        </w:rPr>
      </w:pPr>
      <w:r>
        <w:rPr>
          <w:rFonts w:ascii="Calibri"/>
          <w:b/>
          <w:sz w:val="18"/>
        </w:rPr>
        <w:t>32 </w:t>
      </w:r>
      <w:r>
        <w:rPr>
          <w:rFonts w:ascii="Calibri"/>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headerReference w:type="default" r:id="rId28"/>
          <w:footerReference w:type="default" r:id="rId29"/>
          <w:pgSz w:w="16840" w:h="11910" w:orient="landscape"/>
          <w:pgMar w:header="0" w:footer="0" w:top="800" w:bottom="280" w:left="130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2"/>
        <w:spacing w:line="240" w:lineRule="auto" w:before="0"/>
        <w:ind w:left="217" w:right="781"/>
        <w:jc w:val="left"/>
        <w:rPr>
          <w:b w:val="0"/>
          <w:bCs w:val="0"/>
        </w:rPr>
      </w:pPr>
      <w:r>
        <w:rPr>
          <w:rFonts w:ascii="Cambria" w:hAnsi="Cambria" w:cs="Cambria" w:eastAsia="Cambria" w:hint="default"/>
        </w:rPr>
        <w:t>2</w:t>
      </w:r>
      <w:r>
        <w:rPr/>
        <w:t>、</w:t>
      </w:r>
      <w:r>
        <w:rPr>
          <w:spacing w:val="-23"/>
        </w:rPr>
        <w:t> </w:t>
      </w:r>
      <w:r>
        <w:rPr/>
        <w:t>股份变动情况说明</w:t>
      </w:r>
      <w:r>
        <w:rPr>
          <w:b w:val="0"/>
          <w:bCs w:val="0"/>
        </w:rPr>
      </w:r>
    </w:p>
    <w:p>
      <w:pPr>
        <w:pStyle w:val="BodyText"/>
        <w:spacing w:line="314" w:lineRule="auto" w:before="118"/>
        <w:ind w:left="217" w:right="781" w:firstLine="420"/>
        <w:jc w:val="left"/>
      </w:pPr>
      <w:r>
        <w:rPr/>
        <w:t>报告期内，公司股份总数增加</w:t>
      </w:r>
      <w:r>
        <w:rPr>
          <w:spacing w:val="-61"/>
        </w:rPr>
        <w:t> </w:t>
      </w:r>
      <w:r>
        <w:rPr/>
        <w:t>2,500</w:t>
      </w:r>
      <w:r>
        <w:rPr>
          <w:spacing w:val="-61"/>
        </w:rPr>
        <w:t> </w:t>
      </w:r>
      <w:r>
        <w:rPr/>
        <w:t>万股，系无限售条件流通股，股本结构因上述新增股本</w:t>
      </w:r>
      <w:r>
        <w:rPr>
          <w:spacing w:val="-1"/>
        </w:rPr>
        <w:t> </w:t>
      </w:r>
      <w:r>
        <w:rPr/>
        <w:t>而发生变化。</w:t>
      </w:r>
    </w:p>
    <w:p>
      <w:pPr>
        <w:spacing w:line="240" w:lineRule="auto" w:before="9"/>
        <w:rPr>
          <w:rFonts w:ascii="宋体" w:hAnsi="宋体" w:cs="宋体" w:eastAsia="宋体" w:hint="default"/>
          <w:sz w:val="27"/>
          <w:szCs w:val="27"/>
        </w:rPr>
      </w:pPr>
    </w:p>
    <w:p>
      <w:pPr>
        <w:pStyle w:val="Heading2"/>
        <w:spacing w:line="338" w:lineRule="auto" w:before="0"/>
        <w:ind w:left="637" w:right="1606" w:hanging="420"/>
        <w:jc w:val="left"/>
        <w:rPr>
          <w:rFonts w:ascii="宋体" w:hAnsi="宋体" w:cs="宋体" w:eastAsia="宋体" w:hint="default"/>
          <w:b w:val="0"/>
          <w:bCs w:val="0"/>
        </w:rPr>
      </w:pPr>
      <w:r>
        <w:rPr>
          <w:rFonts w:ascii="Cambria" w:hAnsi="Cambria" w:cs="Cambria" w:eastAsia="Cambria" w:hint="default"/>
        </w:rPr>
        <w:t>3</w:t>
      </w:r>
      <w:r>
        <w:rPr/>
        <w:t>、</w:t>
      </w:r>
      <w:r>
        <w:rPr>
          <w:spacing w:val="-30"/>
        </w:rPr>
        <w:t> </w:t>
      </w:r>
      <w:r>
        <w:rPr/>
        <w:t>股份变动对最近一年和最近一期每股收益、每股净资产等财务指标的影响（如有）</w:t>
      </w:r>
      <w:r>
        <w:rPr>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26"/>
          <w:szCs w:val="26"/>
        </w:rPr>
      </w:pPr>
    </w:p>
    <w:p>
      <w:pPr>
        <w:pStyle w:val="Heading2"/>
        <w:spacing w:line="338" w:lineRule="auto" w:before="0"/>
        <w:ind w:left="637" w:right="4555" w:hanging="420"/>
        <w:jc w:val="left"/>
        <w:rPr>
          <w:rFonts w:ascii="宋体" w:hAnsi="宋体" w:cs="宋体" w:eastAsia="宋体" w:hint="default"/>
          <w:b w:val="0"/>
          <w:bCs w:val="0"/>
        </w:rPr>
      </w:pPr>
      <w:r>
        <w:rPr>
          <w:rFonts w:ascii="Cambria" w:hAnsi="Cambria" w:cs="Cambria" w:eastAsia="Cambria" w:hint="default"/>
        </w:rPr>
        <w:t>4</w:t>
      </w:r>
      <w:r>
        <w:rPr/>
        <w:t>、</w:t>
      </w:r>
      <w:r>
        <w:rPr>
          <w:spacing w:val="-27"/>
        </w:rPr>
        <w:t> </w:t>
      </w:r>
      <w:r>
        <w:rPr/>
        <w:t>公司认为必要或证券监管机构要求披露的其他内容</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0"/>
          <w:pgSz w:w="11910" w:h="16840"/>
          <w:pgMar w:footer="977" w:header="0" w:top="1120" w:bottom="1160" w:left="1580" w:right="480"/>
          <w:pgNumType w:start="33"/>
        </w:sectPr>
      </w:pPr>
    </w:p>
    <w:p>
      <w:pPr>
        <w:pStyle w:val="Heading2"/>
        <w:tabs>
          <w:tab w:pos="785" w:val="left" w:leader="none"/>
        </w:tabs>
        <w:spacing w:line="240" w:lineRule="auto"/>
        <w:ind w:left="217" w:right="-2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限售股份变动情况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before="0"/>
        <w:ind w:left="217" w:right="0"/>
        <w:jc w:val="left"/>
      </w:pPr>
      <w:r>
        <w:rPr/>
        <w:t>单位: 股</w:t>
      </w:r>
    </w:p>
    <w:p>
      <w:pPr>
        <w:spacing w:after="0" w:line="240" w:lineRule="auto"/>
        <w:jc w:val="left"/>
        <w:sectPr>
          <w:type w:val="continuous"/>
          <w:pgSz w:w="11910" w:h="16840"/>
          <w:pgMar w:top="1120" w:bottom="1160" w:left="1580" w:right="480"/>
          <w:cols w:num="2" w:equalWidth="0">
            <w:col w:w="2473" w:space="5520"/>
            <w:col w:w="185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02"/>
        <w:gridCol w:w="1580"/>
        <w:gridCol w:w="1112"/>
        <w:gridCol w:w="1070"/>
        <w:gridCol w:w="1622"/>
        <w:gridCol w:w="1134"/>
        <w:gridCol w:w="1985"/>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5"/>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9"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3"/>
              <w:jc w:val="right"/>
              <w:rPr>
                <w:rFonts w:ascii="宋体" w:hAnsi="宋体" w:cs="宋体" w:eastAsia="宋体" w:hint="default"/>
                <w:sz w:val="21"/>
                <w:szCs w:val="21"/>
              </w:rPr>
            </w:pPr>
            <w:r>
              <w:rPr>
                <w:rFonts w:ascii="宋体" w:hAnsi="宋体" w:cs="宋体" w:eastAsia="宋体" w:hint="default"/>
                <w:sz w:val="21"/>
                <w:szCs w:val="21"/>
              </w:rPr>
              <w:t>限售原因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57,404,250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57,404,250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3"/>
              <w:jc w:val="right"/>
              <w:rPr>
                <w:rFonts w:ascii="宋体" w:hAnsi="宋体" w:cs="宋体" w:eastAsia="宋体" w:hint="default"/>
                <w:sz w:val="21"/>
                <w:szCs w:val="21"/>
              </w:rPr>
            </w:pPr>
            <w:r>
              <w:rPr>
                <w:rFonts w:ascii="宋体" w:hAnsi="宋体" w:cs="宋体" w:eastAsia="宋体" w:hint="default"/>
                <w:sz w:val="21"/>
                <w:szCs w:val="21"/>
              </w:rPr>
              <w:t>首发上市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凯信金鹏</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7,448,250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7,448,250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3"/>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德弘嘉业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3,000,000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3,000,000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3"/>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盈科成长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2,250,000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2,250,000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3"/>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东方汇富</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2,250,000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2,250,000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3"/>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潘新瑾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699,000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699,000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279,750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279,750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侯济恭</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210,000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210,000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210,000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210,000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郑金聪</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210,000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210,000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范为民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140,250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黄文峰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140,250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吴延川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140,250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游建友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140,250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140,250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宋体" w:hAnsi="宋体" w:cs="宋体" w:eastAsia="宋体" w:hint="default"/>
                <w:sz w:val="21"/>
                <w:szCs w:val="21"/>
              </w:rPr>
            </w:pPr>
            <w:r>
              <w:rPr>
                <w:rFonts w:ascii="宋体" w:hAnsi="宋体" w:cs="宋体" w:eastAsia="宋体" w:hint="default"/>
                <w:spacing w:val="-1"/>
                <w:w w:val="95"/>
                <w:sz w:val="21"/>
                <w:szCs w:val="21"/>
              </w:rPr>
              <w:t>首发上市</w:t>
            </w:r>
            <w:r>
              <w:rPr>
                <w:rFonts w:ascii="宋体" w:hAnsi="宋体" w:cs="宋体" w:eastAsia="宋体" w:hint="default"/>
                <w:w w:val="95"/>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杜建春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84,000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84,000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3"/>
              <w:jc w:val="right"/>
              <w:rPr>
                <w:rFonts w:ascii="宋体" w:hAnsi="宋体" w:cs="宋体" w:eastAsia="宋体" w:hint="default"/>
                <w:sz w:val="21"/>
                <w:szCs w:val="21"/>
              </w:rPr>
            </w:pPr>
            <w:r>
              <w:rPr>
                <w:rFonts w:ascii="宋体" w:hAnsi="宋体" w:cs="宋体" w:eastAsia="宋体" w:hint="default"/>
                <w:sz w:val="21"/>
                <w:szCs w:val="21"/>
              </w:rPr>
              <w:t>首发上市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高稳仁</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70,500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70,500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3"/>
              <w:jc w:val="right"/>
              <w:rPr>
                <w:rFonts w:ascii="宋体" w:hAnsi="宋体" w:cs="宋体" w:eastAsia="宋体" w:hint="default"/>
                <w:sz w:val="21"/>
                <w:szCs w:val="21"/>
              </w:rPr>
            </w:pPr>
            <w:r>
              <w:rPr>
                <w:rFonts w:ascii="宋体" w:hAnsi="宋体" w:cs="宋体" w:eastAsia="宋体" w:hint="default"/>
                <w:sz w:val="21"/>
                <w:szCs w:val="21"/>
              </w:rPr>
              <w:t>首发上市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吴文宣</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70,500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70,500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3"/>
              <w:jc w:val="right"/>
              <w:rPr>
                <w:rFonts w:ascii="宋体" w:hAnsi="宋体" w:cs="宋体" w:eastAsia="宋体" w:hint="default"/>
                <w:sz w:val="21"/>
                <w:szCs w:val="21"/>
              </w:rPr>
            </w:pPr>
            <w:r>
              <w:rPr>
                <w:rFonts w:ascii="宋体" w:hAnsi="宋体" w:cs="宋体" w:eastAsia="宋体" w:hint="default"/>
                <w:sz w:val="21"/>
                <w:szCs w:val="21"/>
              </w:rPr>
              <w:t>首发上市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赖礼袍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42,000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42,000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3"/>
              <w:jc w:val="right"/>
              <w:rPr>
                <w:rFonts w:ascii="宋体" w:hAnsi="宋体" w:cs="宋体" w:eastAsia="宋体" w:hint="default"/>
                <w:sz w:val="21"/>
                <w:szCs w:val="21"/>
              </w:rPr>
            </w:pPr>
            <w:r>
              <w:rPr>
                <w:rFonts w:ascii="宋体" w:hAnsi="宋体" w:cs="宋体" w:eastAsia="宋体" w:hint="default"/>
                <w:sz w:val="21"/>
                <w:szCs w:val="21"/>
              </w:rPr>
              <w:t>首发上市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刘少军</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42,000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42,000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3"/>
              <w:jc w:val="right"/>
              <w:rPr>
                <w:rFonts w:ascii="宋体" w:hAnsi="宋体" w:cs="宋体" w:eastAsia="宋体" w:hint="default"/>
                <w:sz w:val="21"/>
                <w:szCs w:val="21"/>
              </w:rPr>
            </w:pPr>
            <w:r>
              <w:rPr>
                <w:rFonts w:ascii="宋体" w:hAnsi="宋体" w:cs="宋体" w:eastAsia="宋体" w:hint="default"/>
                <w:sz w:val="21"/>
                <w:szCs w:val="21"/>
              </w:rPr>
              <w:t>首发上市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许辉奇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28,500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28,500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3"/>
              <w:jc w:val="right"/>
              <w:rPr>
                <w:rFonts w:ascii="宋体" w:hAnsi="宋体" w:cs="宋体" w:eastAsia="宋体" w:hint="default"/>
                <w:sz w:val="21"/>
                <w:szCs w:val="21"/>
              </w:rPr>
            </w:pPr>
            <w:r>
              <w:rPr>
                <w:rFonts w:ascii="宋体" w:hAnsi="宋体" w:cs="宋体" w:eastAsia="宋体" w:hint="default"/>
                <w:sz w:val="21"/>
                <w:szCs w:val="21"/>
              </w:rPr>
              <w:t>首发上市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type w:val="continuous"/>
          <w:pgSz w:w="11910" w:h="16840"/>
          <w:pgMar w:top="1120" w:bottom="1160" w:left="1580" w:right="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102"/>
        <w:gridCol w:w="1580"/>
        <w:gridCol w:w="1112"/>
        <w:gridCol w:w="1070"/>
        <w:gridCol w:w="1622"/>
        <w:gridCol w:w="1134"/>
        <w:gridCol w:w="1985"/>
      </w:tblGrid>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18" w:right="0"/>
              <w:jc w:val="left"/>
              <w:rPr>
                <w:rFonts w:ascii="宋体" w:hAnsi="宋体" w:cs="宋体" w:eastAsia="宋体" w:hint="default"/>
                <w:sz w:val="21"/>
                <w:szCs w:val="21"/>
              </w:rPr>
            </w:pPr>
            <w:r>
              <w:rPr>
                <w:rFonts w:ascii="宋体"/>
                <w:sz w:val="21"/>
              </w:rPr>
              <w:t>75,000,000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59" w:right="0"/>
              <w:jc w:val="left"/>
              <w:rPr>
                <w:rFonts w:ascii="宋体" w:hAnsi="宋体" w:cs="宋体" w:eastAsia="宋体" w:hint="default"/>
                <w:sz w:val="21"/>
                <w:szCs w:val="21"/>
              </w:rPr>
            </w:pPr>
            <w:r>
              <w:rPr>
                <w:rFonts w:ascii="宋体"/>
                <w:sz w:val="21"/>
              </w:rPr>
              <w:t>75,000,000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7" w:top="1120" w:bottom="1160" w:left="1580" w:right="480"/>
        </w:sectPr>
      </w:pPr>
    </w:p>
    <w:p>
      <w:pPr>
        <w:pStyle w:val="Heading2"/>
        <w:spacing w:line="240" w:lineRule="auto"/>
        <w:ind w:left="217" w:right="-16"/>
        <w:jc w:val="left"/>
        <w:rPr>
          <w:b w:val="0"/>
          <w:bCs w:val="0"/>
        </w:rPr>
      </w:pPr>
      <w:r>
        <w:rPr/>
        <w:t>二、</w:t>
      </w:r>
      <w:r>
        <w:rPr>
          <w:spacing w:val="-79"/>
        </w:rPr>
        <w:t> </w:t>
      </w:r>
      <w:r>
        <w:rPr/>
        <w:t>证券发行与上市情况</w:t>
      </w:r>
      <w:r>
        <w:rPr>
          <w:b w:val="0"/>
          <w:bCs w:val="0"/>
        </w:rPr>
      </w:r>
    </w:p>
    <w:p>
      <w:pPr>
        <w:pStyle w:val="Heading2"/>
        <w:spacing w:line="240" w:lineRule="auto" w:before="57"/>
        <w:ind w:left="217" w:right="-16"/>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单位：股</w:t>
        <w:tab/>
        <w:t>币种：人民币</w:t>
      </w:r>
    </w:p>
    <w:p>
      <w:pPr>
        <w:spacing w:after="0" w:line="240" w:lineRule="auto"/>
        <w:jc w:val="left"/>
        <w:sectPr>
          <w:type w:val="continuous"/>
          <w:pgSz w:w="11910" w:h="16840"/>
          <w:pgMar w:top="1120" w:bottom="1160" w:left="1580" w:right="480"/>
          <w:cols w:num="2" w:equalWidth="0">
            <w:col w:w="4226" w:space="2297"/>
            <w:col w:w="332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26"/>
        <w:gridCol w:w="1417"/>
        <w:gridCol w:w="1276"/>
        <w:gridCol w:w="1266"/>
        <w:gridCol w:w="1285"/>
        <w:gridCol w:w="1266"/>
        <w:gridCol w:w="859"/>
      </w:tblGrid>
      <w:tr>
        <w:trPr>
          <w:trHeight w:val="6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232" w:right="126" w:hanging="105"/>
              <w:jc w:val="left"/>
              <w:rPr>
                <w:rFonts w:ascii="宋体" w:hAnsi="宋体" w:cs="宋体" w:eastAsia="宋体" w:hint="default"/>
                <w:sz w:val="21"/>
                <w:szCs w:val="21"/>
              </w:rPr>
            </w:pPr>
            <w:r>
              <w:rPr>
                <w:rFonts w:ascii="宋体" w:hAnsi="宋体" w:cs="宋体" w:eastAsia="宋体" w:hint="default"/>
                <w:sz w:val="21"/>
                <w:szCs w:val="21"/>
              </w:rPr>
              <w:t>股票及其衍生 证券的种类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6"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312" w:right="102"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109" w:right="108"/>
              <w:jc w:val="left"/>
              <w:rPr>
                <w:rFonts w:ascii="宋体" w:hAnsi="宋体" w:cs="宋体" w:eastAsia="宋体" w:hint="default"/>
                <w:sz w:val="21"/>
                <w:szCs w:val="21"/>
              </w:rPr>
            </w:pPr>
            <w:r>
              <w:rPr>
                <w:rFonts w:ascii="宋体" w:hAnsi="宋体" w:cs="宋体" w:eastAsia="宋体" w:hint="default"/>
                <w:sz w:val="21"/>
                <w:szCs w:val="21"/>
              </w:rPr>
              <w:t>交易终 止日期</w:t>
            </w:r>
          </w:p>
        </w:tc>
      </w:tr>
      <w:tr>
        <w:trPr>
          <w:trHeight w:val="432" w:hRule="exact"/>
        </w:trPr>
        <w:tc>
          <w:tcPr>
            <w:tcW w:w="88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4" w:right="0"/>
              <w:jc w:val="center"/>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21"/>
                <w:szCs w:val="21"/>
              </w:rPr>
            </w:pPr>
            <w:r>
              <w:rPr>
                <w:rFonts w:ascii="宋体"/>
                <w:sz w:val="21"/>
              </w:rPr>
              <w:t>14.95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25,000,000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 年</w:t>
            </w:r>
            <w:r>
              <w:rPr>
                <w:rFonts w:ascii="宋体" w:hAnsi="宋体" w:cs="宋体" w:eastAsia="宋体" w:hint="default"/>
                <w:spacing w:val="16"/>
                <w:sz w:val="21"/>
                <w:szCs w:val="21"/>
              </w:rPr>
              <w:t> </w:t>
            </w:r>
            <w:r>
              <w:rPr>
                <w:rFonts w:ascii="宋体" w:hAnsi="宋体" w:cs="宋体" w:eastAsia="宋体" w:hint="default"/>
                <w:sz w:val="21"/>
                <w:szCs w:val="21"/>
              </w:rPr>
              <w:t>12</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sz w:val="21"/>
              </w:rPr>
              <w:t>25,000,000</w:t>
            </w: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Heading2"/>
        <w:spacing w:line="240" w:lineRule="auto"/>
        <w:ind w:left="217" w:right="0"/>
        <w:jc w:val="both"/>
        <w:rPr>
          <w:b w:val="0"/>
          <w:bCs w:val="0"/>
        </w:rPr>
      </w:pPr>
      <w:r>
        <w:rPr/>
        <w:t>截至报告期末近</w:t>
      </w:r>
      <w:r>
        <w:rPr>
          <w:spacing w:val="-59"/>
        </w:rPr>
        <w:t> </w:t>
      </w:r>
      <w:r>
        <w:rPr/>
        <w:t>3</w:t>
      </w:r>
      <w:r>
        <w:rPr>
          <w:spacing w:val="-58"/>
        </w:rPr>
        <w:t> </w:t>
      </w:r>
      <w:r>
        <w:rPr/>
        <w:t>年历次证券发行情况的说明（存续期内利率不同的债券，请分别说明）：</w:t>
      </w:r>
      <w:r>
        <w:rPr>
          <w:b w:val="0"/>
          <w:bCs w:val="0"/>
        </w:rPr>
      </w:r>
    </w:p>
    <w:p>
      <w:pPr>
        <w:pStyle w:val="BodyText"/>
        <w:spacing w:line="314" w:lineRule="auto" w:before="75"/>
        <w:ind w:left="217" w:right="790" w:firstLine="420"/>
        <w:jc w:val="both"/>
      </w:pPr>
      <w:r>
        <w:rPr/>
        <w:t>经中国证券监督管理委员会“证监许可〔2014〕1332</w:t>
      </w:r>
      <w:r>
        <w:rPr>
          <w:spacing w:val="-48"/>
        </w:rPr>
        <w:t> </w:t>
      </w:r>
      <w:r>
        <w:rPr/>
        <w:t>号”核准，公司于</w:t>
      </w:r>
      <w:r>
        <w:rPr>
          <w:spacing w:val="-48"/>
        </w:rPr>
        <w:t> </w:t>
      </w:r>
      <w:r>
        <w:rPr/>
        <w:t>2014</w:t>
      </w:r>
      <w:r>
        <w:rPr>
          <w:spacing w:val="-48"/>
        </w:rPr>
        <w:t> </w:t>
      </w:r>
      <w:r>
        <w:rPr/>
        <w:t>年</w:t>
      </w:r>
      <w:r>
        <w:rPr>
          <w:spacing w:val="-49"/>
        </w:rPr>
        <w:t> </w:t>
      </w:r>
      <w:r>
        <w:rPr/>
        <w:t>12</w:t>
      </w:r>
      <w:r>
        <w:rPr>
          <w:spacing w:val="-48"/>
        </w:rPr>
        <w:t> </w:t>
      </w:r>
      <w:r>
        <w:rPr/>
        <w:t>月</w:t>
      </w:r>
      <w:r>
        <w:rPr>
          <w:spacing w:val="-49"/>
        </w:rPr>
        <w:t> </w:t>
      </w:r>
      <w:r>
        <w:rPr/>
        <w:t>22</w:t>
      </w:r>
      <w:r>
        <w:rPr>
          <w:spacing w:val="-48"/>
        </w:rPr>
        <w:t> </w:t>
      </w:r>
      <w:r>
        <w:rPr/>
        <w:t>日</w:t>
      </w:r>
      <w:r>
        <w:rPr/>
        <w:t> </w:t>
      </w:r>
      <w:r>
        <w:rPr>
          <w:spacing w:val="-3"/>
        </w:rPr>
        <w:t>向社会公开发行人民币普通股（A</w:t>
      </w:r>
      <w:r>
        <w:rPr>
          <w:spacing w:val="-49"/>
        </w:rPr>
        <w:t> </w:t>
      </w:r>
      <w:r>
        <w:rPr>
          <w:spacing w:val="-3"/>
        </w:rPr>
        <w:t>股）25,000,000</w:t>
      </w:r>
      <w:r>
        <w:rPr>
          <w:spacing w:val="-49"/>
        </w:rPr>
        <w:t> </w:t>
      </w:r>
      <w:r>
        <w:rPr>
          <w:spacing w:val="-4"/>
        </w:rPr>
        <w:t>股，每股面值人民币</w:t>
      </w:r>
      <w:r>
        <w:rPr>
          <w:spacing w:val="-50"/>
        </w:rPr>
        <w:t> </w:t>
      </w:r>
      <w:r>
        <w:rPr/>
        <w:t>1.00</w:t>
      </w:r>
      <w:r>
        <w:rPr>
          <w:spacing w:val="-49"/>
        </w:rPr>
        <w:t> </w:t>
      </w:r>
      <w:r>
        <w:rPr>
          <w:spacing w:val="-4"/>
        </w:rPr>
        <w:t>元，发行价格为每股</w:t>
      </w:r>
      <w:r>
        <w:rPr>
          <w:spacing w:val="-102"/>
        </w:rPr>
        <w:t> </w:t>
      </w:r>
      <w:r>
        <w:rPr>
          <w:spacing w:val="-102"/>
        </w:rPr>
      </w:r>
      <w:r>
        <w:rPr/>
        <w:t>人民币</w:t>
      </w:r>
      <w:r>
        <w:rPr>
          <w:spacing w:val="-60"/>
        </w:rPr>
        <w:t> </w:t>
      </w:r>
      <w:r>
        <w:rPr/>
        <w:t>14.95</w:t>
      </w:r>
      <w:r>
        <w:rPr>
          <w:spacing w:val="-59"/>
        </w:rPr>
        <w:t> </w:t>
      </w:r>
      <w:r>
        <w:rPr/>
        <w:t>元，发行后公司总股本为</w:t>
      </w:r>
      <w:r>
        <w:rPr>
          <w:spacing w:val="-60"/>
        </w:rPr>
        <w:t> </w:t>
      </w:r>
      <w:r>
        <w:rPr/>
        <w:t>10,000</w:t>
      </w:r>
      <w:r>
        <w:rPr>
          <w:spacing w:val="-59"/>
        </w:rPr>
        <w:t> </w:t>
      </w:r>
      <w:r>
        <w:rPr/>
        <w:t>万股。</w:t>
      </w:r>
    </w:p>
    <w:p>
      <w:pPr>
        <w:pStyle w:val="BodyText"/>
        <w:spacing w:line="240" w:lineRule="auto"/>
        <w:ind w:left="637" w:right="781"/>
        <w:jc w:val="left"/>
      </w:pPr>
      <w:r>
        <w:rPr/>
        <w:t>除上述事项外，截止本报告期末近</w:t>
      </w:r>
      <w:r>
        <w:rPr>
          <w:spacing w:val="-54"/>
        </w:rPr>
        <w:t> </w:t>
      </w:r>
      <w:r>
        <w:rPr/>
        <w:t>3</w:t>
      </w:r>
      <w:r>
        <w:rPr>
          <w:spacing w:val="-53"/>
        </w:rPr>
        <w:t> </w:t>
      </w:r>
      <w:r>
        <w:rPr/>
        <w:t>年，公司无其他证券发行与上市情况。</w:t>
      </w:r>
    </w:p>
    <w:p>
      <w:pPr>
        <w:spacing w:line="240" w:lineRule="auto" w:before="12"/>
        <w:rPr>
          <w:rFonts w:ascii="宋体" w:hAnsi="宋体" w:cs="宋体" w:eastAsia="宋体" w:hint="default"/>
          <w:sz w:val="25"/>
          <w:szCs w:val="25"/>
        </w:rPr>
      </w:pPr>
    </w:p>
    <w:p>
      <w:pPr>
        <w:spacing w:line="326" w:lineRule="auto" w:before="0"/>
        <w:ind w:left="637" w:right="781"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报告期内，因首次公开发行股票</w:t>
      </w:r>
      <w:r>
        <w:rPr>
          <w:rFonts w:ascii="宋体" w:hAnsi="宋体" w:cs="宋体" w:eastAsia="宋体" w:hint="default"/>
          <w:spacing w:val="-51"/>
          <w:sz w:val="21"/>
          <w:szCs w:val="21"/>
        </w:rPr>
        <w:t> </w:t>
      </w:r>
      <w:r>
        <w:rPr>
          <w:rFonts w:ascii="宋体" w:hAnsi="宋体" w:cs="宋体" w:eastAsia="宋体" w:hint="default"/>
          <w:sz w:val="21"/>
          <w:szCs w:val="21"/>
        </w:rPr>
        <w:t>2,500</w:t>
      </w:r>
      <w:r>
        <w:rPr>
          <w:rFonts w:ascii="宋体" w:hAnsi="宋体" w:cs="宋体" w:eastAsia="宋体" w:hint="default"/>
          <w:spacing w:val="-51"/>
          <w:sz w:val="21"/>
          <w:szCs w:val="21"/>
        </w:rPr>
        <w:t> </w:t>
      </w:r>
      <w:r>
        <w:rPr>
          <w:rFonts w:ascii="宋体" w:hAnsi="宋体" w:cs="宋体" w:eastAsia="宋体" w:hint="default"/>
          <w:sz w:val="21"/>
          <w:szCs w:val="21"/>
        </w:rPr>
        <w:t>万股，公司股份总数由期初的</w:t>
      </w:r>
      <w:r>
        <w:rPr>
          <w:rFonts w:ascii="宋体" w:hAnsi="宋体" w:cs="宋体" w:eastAsia="宋体" w:hint="default"/>
          <w:spacing w:val="-51"/>
          <w:sz w:val="21"/>
          <w:szCs w:val="21"/>
        </w:rPr>
        <w:t> </w:t>
      </w:r>
      <w:r>
        <w:rPr>
          <w:rFonts w:ascii="宋体" w:hAnsi="宋体" w:cs="宋体" w:eastAsia="宋体" w:hint="default"/>
          <w:sz w:val="21"/>
          <w:szCs w:val="21"/>
        </w:rPr>
        <w:t>7,500</w:t>
      </w:r>
      <w:r>
        <w:rPr>
          <w:rFonts w:ascii="宋体" w:hAnsi="宋体" w:cs="宋体" w:eastAsia="宋体" w:hint="default"/>
          <w:spacing w:val="-51"/>
          <w:sz w:val="21"/>
          <w:szCs w:val="21"/>
        </w:rPr>
        <w:t> </w:t>
      </w:r>
      <w:r>
        <w:rPr>
          <w:rFonts w:ascii="宋体" w:hAnsi="宋体" w:cs="宋体" w:eastAsia="宋体" w:hint="default"/>
          <w:sz w:val="21"/>
          <w:szCs w:val="21"/>
        </w:rPr>
        <w:t>万股增加为期末</w:t>
      </w:r>
    </w:p>
    <w:p>
      <w:pPr>
        <w:pStyle w:val="BodyText"/>
        <w:spacing w:line="314" w:lineRule="auto" w:before="9"/>
        <w:ind w:left="217" w:right="791"/>
        <w:jc w:val="both"/>
      </w:pPr>
      <w:r>
        <w:rPr/>
        <w:t>的</w:t>
      </w:r>
      <w:r>
        <w:rPr>
          <w:spacing w:val="-59"/>
        </w:rPr>
        <w:t> </w:t>
      </w:r>
      <w:r>
        <w:rPr/>
        <w:t>10,000</w:t>
      </w:r>
      <w:r>
        <w:rPr>
          <w:spacing w:val="-58"/>
        </w:rPr>
        <w:t> </w:t>
      </w:r>
      <w:r>
        <w:rPr/>
        <w:t>万股，公司首次公开发行股票募集资金总额为</w:t>
      </w:r>
      <w:r>
        <w:rPr>
          <w:spacing w:val="-59"/>
        </w:rPr>
        <w:t> </w:t>
      </w:r>
      <w:r>
        <w:rPr/>
        <w:t>37,375</w:t>
      </w:r>
      <w:r>
        <w:rPr>
          <w:spacing w:val="-58"/>
        </w:rPr>
        <w:t> </w:t>
      </w:r>
      <w:r>
        <w:rPr>
          <w:spacing w:val="-4"/>
        </w:rPr>
        <w:t>万元，扣除发行费用</w:t>
      </w:r>
      <w:r>
        <w:rPr>
          <w:spacing w:val="-12"/>
        </w:rPr>
        <w:t> </w:t>
      </w:r>
      <w:r>
        <w:rPr/>
        <w:t>2,467</w:t>
      </w:r>
      <w:r>
        <w:rPr>
          <w:spacing w:val="-58"/>
        </w:rPr>
        <w:t> </w:t>
      </w:r>
      <w:r>
        <w:rPr/>
        <w:t>万元</w:t>
      </w:r>
      <w:r>
        <w:rPr/>
        <w:t> 后，募集资金净额为</w:t>
      </w:r>
      <w:r>
        <w:rPr>
          <w:spacing w:val="-52"/>
        </w:rPr>
        <w:t> </w:t>
      </w:r>
      <w:r>
        <w:rPr/>
        <w:t>34,908</w:t>
      </w:r>
      <w:r>
        <w:rPr>
          <w:spacing w:val="-52"/>
        </w:rPr>
        <w:t> </w:t>
      </w:r>
      <w:r>
        <w:rPr/>
        <w:t>万元。2013</w:t>
      </w:r>
      <w:r>
        <w:rPr>
          <w:spacing w:val="-52"/>
        </w:rPr>
        <w:t> </w:t>
      </w:r>
      <w:r>
        <w:rPr/>
        <w:t>年末公司资产负债率为</w:t>
      </w:r>
      <w:r>
        <w:rPr>
          <w:spacing w:val="-52"/>
        </w:rPr>
        <w:t> </w:t>
      </w:r>
      <w:r>
        <w:rPr/>
        <w:t>36.91%，因首次公开发行股票募</w:t>
      </w:r>
      <w:r>
        <w:rPr/>
        <w:t> 集资金到账等原因，2014</w:t>
      </w:r>
      <w:r>
        <w:rPr>
          <w:spacing w:val="-68"/>
        </w:rPr>
        <w:t> </w:t>
      </w:r>
      <w:r>
        <w:rPr/>
        <w:t>年末公司资产负债率下降为</w:t>
      </w:r>
      <w:r>
        <w:rPr>
          <w:spacing w:val="-69"/>
        </w:rPr>
        <w:t> </w:t>
      </w:r>
      <w:r>
        <w:rPr/>
        <w:t>25.68%。</w:t>
      </w:r>
    </w:p>
    <w:p>
      <w:pPr>
        <w:spacing w:line="240" w:lineRule="auto" w:before="13"/>
        <w:rPr>
          <w:rFonts w:ascii="宋体" w:hAnsi="宋体" w:cs="宋体" w:eastAsia="宋体" w:hint="default"/>
          <w:sz w:val="20"/>
          <w:szCs w:val="20"/>
        </w:rPr>
      </w:pPr>
    </w:p>
    <w:p>
      <w:pPr>
        <w:pStyle w:val="Heading2"/>
        <w:spacing w:line="240" w:lineRule="auto" w:before="0"/>
        <w:ind w:left="217" w:right="0"/>
        <w:jc w:val="both"/>
        <w:rPr>
          <w:b w:val="0"/>
          <w:bCs w:val="0"/>
        </w:rPr>
      </w:pPr>
      <w:r>
        <w:rPr/>
        <w:t>三、</w:t>
      </w:r>
      <w:r>
        <w:rPr>
          <w:spacing w:val="-80"/>
        </w:rPr>
        <w:t> </w:t>
      </w:r>
      <w:r>
        <w:rPr/>
        <w:t>股东和实际控制人情况</w:t>
      </w:r>
      <w:r>
        <w:rPr>
          <w:b w:val="0"/>
          <w:bCs w:val="0"/>
        </w:rPr>
      </w:r>
    </w:p>
    <w:p>
      <w:pPr>
        <w:pStyle w:val="Heading2"/>
        <w:spacing w:line="240" w:lineRule="auto" w:before="57"/>
        <w:ind w:left="217" w:right="0"/>
        <w:jc w:val="both"/>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5"/>
        </w:rPr>
        <w:t> </w:t>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4928"/>
        <w:gridCol w:w="4524"/>
      </w:tblGrid>
      <w:tr>
        <w:trPr>
          <w:trHeight w:val="46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截止报告期末股东总数(户)</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sz w:val="21"/>
              </w:rPr>
              <w:t>18,677</w:t>
            </w:r>
          </w:p>
        </w:tc>
      </w:tr>
      <w:tr>
        <w:trPr>
          <w:trHeight w:val="46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年度报告披露日前第五个交易日末的股东总数(户)</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sz w:val="21"/>
              </w:rPr>
              <w:t>10,244</w:t>
            </w: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type w:val="continuous"/>
          <w:pgSz w:w="11910" w:h="16840"/>
          <w:pgMar w:top="1120" w:bottom="1160" w:left="1580" w:right="480"/>
        </w:sectPr>
      </w:pPr>
    </w:p>
    <w:p>
      <w:pPr>
        <w:pStyle w:val="Heading2"/>
        <w:tabs>
          <w:tab w:pos="785" w:val="left" w:leader="none"/>
        </w:tabs>
        <w:spacing w:line="240" w:lineRule="auto"/>
        <w:ind w:left="217"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before="0"/>
        <w:ind w:left="217" w:right="0"/>
        <w:jc w:val="left"/>
      </w:pPr>
      <w:r>
        <w:rPr/>
        <w:t>单位:股</w:t>
      </w:r>
    </w:p>
    <w:p>
      <w:pPr>
        <w:spacing w:after="0" w:line="240" w:lineRule="auto"/>
        <w:jc w:val="left"/>
        <w:sectPr>
          <w:type w:val="continuous"/>
          <w:pgSz w:w="11910" w:h="16840"/>
          <w:pgMar w:top="1120" w:bottom="1160" w:left="1580" w:right="480"/>
          <w:cols w:num="2" w:equalWidth="0">
            <w:col w:w="7952" w:space="147"/>
            <w:col w:w="175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42"/>
        <w:gridCol w:w="712"/>
        <w:gridCol w:w="1482"/>
        <w:gridCol w:w="784"/>
        <w:gridCol w:w="1274"/>
        <w:gridCol w:w="852"/>
        <w:gridCol w:w="851"/>
        <w:gridCol w:w="1700"/>
      </w:tblGrid>
      <w:tr>
        <w:trPr>
          <w:trHeight w:val="338" w:hRule="exact"/>
        </w:trPr>
        <w:tc>
          <w:tcPr>
            <w:tcW w:w="88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2" w:hRule="exact"/>
        </w:trPr>
        <w:tc>
          <w:tcPr>
            <w:tcW w:w="1242" w:type="dxa"/>
            <w:vMerge w:val="restart"/>
            <w:tcBorders>
              <w:top w:val="single" w:sz="4" w:space="0" w:color="000000"/>
              <w:left w:val="single" w:sz="4" w:space="0" w:color="000000"/>
              <w:right w:val="single" w:sz="4" w:space="0" w:color="000000"/>
            </w:tcBorders>
          </w:tcPr>
          <w:p>
            <w:pPr>
              <w:pStyle w:val="TableParagraph"/>
              <w:spacing w:line="274" w:lineRule="exact" w:before="106"/>
              <w:ind w:left="195"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712" w:type="dxa"/>
            <w:vMerge w:val="restart"/>
            <w:tcBorders>
              <w:top w:val="single" w:sz="4" w:space="0" w:color="000000"/>
              <w:left w:val="single" w:sz="4" w:space="0" w:color="000000"/>
              <w:right w:val="single" w:sz="4" w:space="0" w:color="000000"/>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139" w:right="140"/>
              <w:jc w:val="left"/>
              <w:rPr>
                <w:rFonts w:ascii="宋体" w:hAnsi="宋体" w:cs="宋体" w:eastAsia="宋体" w:hint="default"/>
                <w:sz w:val="21"/>
                <w:szCs w:val="21"/>
              </w:rPr>
            </w:pPr>
            <w:r>
              <w:rPr>
                <w:rFonts w:ascii="宋体" w:hAnsi="宋体" w:cs="宋体" w:eastAsia="宋体" w:hint="default"/>
                <w:sz w:val="21"/>
                <w:szCs w:val="21"/>
              </w:rPr>
              <w:t>期内 增减</w:t>
            </w:r>
          </w:p>
        </w:tc>
        <w:tc>
          <w:tcPr>
            <w:tcW w:w="14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84" w:type="dxa"/>
            <w:vMerge w:val="restart"/>
            <w:tcBorders>
              <w:top w:val="single" w:sz="4" w:space="0" w:color="000000"/>
              <w:left w:val="single" w:sz="4" w:space="0" w:color="000000"/>
              <w:right w:val="single" w:sz="4" w:space="0" w:color="000000"/>
            </w:tcBorders>
          </w:tcPr>
          <w:p>
            <w:pPr>
              <w:pStyle w:val="TableParagraph"/>
              <w:spacing w:line="272" w:lineRule="exact" w:before="134"/>
              <w:ind w:left="229" w:right="175"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1274" w:type="dxa"/>
            <w:vMerge w:val="restart"/>
            <w:tcBorders>
              <w:top w:val="single" w:sz="4" w:space="0" w:color="000000"/>
              <w:left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6"/>
              <w:ind w:left="101" w:right="110"/>
              <w:jc w:val="left"/>
              <w:rPr>
                <w:rFonts w:ascii="宋体" w:hAnsi="宋体" w:cs="宋体" w:eastAsia="宋体" w:hint="default"/>
                <w:sz w:val="21"/>
                <w:szCs w:val="21"/>
              </w:rPr>
            </w:pPr>
            <w:r>
              <w:rPr>
                <w:rFonts w:ascii="宋体" w:hAnsi="宋体" w:cs="宋体" w:eastAsia="宋体" w:hint="default"/>
                <w:sz w:val="21"/>
                <w:szCs w:val="21"/>
              </w:rPr>
              <w:t>条件股份数 量</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700" w:type="dxa"/>
            <w:vMerge w:val="restart"/>
            <w:tcBorders>
              <w:top w:val="single" w:sz="4" w:space="0" w:color="000000"/>
              <w:left w:val="single" w:sz="4" w:space="0" w:color="000000"/>
              <w:right w:val="single" w:sz="4" w:space="0" w:color="000000"/>
            </w:tcBorders>
          </w:tcPr>
          <w:p>
            <w:pPr>
              <w:pStyle w:val="TableParagraph"/>
              <w:spacing w:line="272" w:lineRule="exact" w:before="134"/>
              <w:ind w:left="634" w:right="635"/>
              <w:jc w:val="center"/>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54" w:hRule="exact"/>
        </w:trPr>
        <w:tc>
          <w:tcPr>
            <w:tcW w:w="1242"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148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10"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700" w:type="dxa"/>
            <w:vMerge/>
            <w:tcBorders>
              <w:left w:val="single" w:sz="4" w:space="0" w:color="000000"/>
              <w:bottom w:val="single" w:sz="4" w:space="0" w:color="000000"/>
              <w:right w:val="single" w:sz="4" w:space="0" w:color="000000"/>
            </w:tcBorders>
          </w:tcPr>
          <w:p>
            <w:pPr/>
          </w:p>
        </w:tc>
      </w:tr>
      <w:tr>
        <w:trPr>
          <w:trHeight w:val="40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57,404,250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57.40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57,404,250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40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凯信金鹏</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7,448,250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7.45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7,448,250</w:t>
            </w:r>
            <w:r>
              <w:rPr>
                <w:rFonts w:ascii="宋体"/>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40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德弘嘉业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3,000,000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3,000,000</w:t>
            </w:r>
            <w:r>
              <w:rPr>
                <w:rFonts w:ascii="宋体"/>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40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盈科成长</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2,250,000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2,250,000</w:t>
            </w:r>
            <w:r>
              <w:rPr>
                <w:rFonts w:ascii="宋体"/>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40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东方汇富</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2,250,000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2,250,000</w:t>
            </w:r>
            <w:r>
              <w:rPr>
                <w:rFonts w:ascii="宋体"/>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bl>
    <w:p>
      <w:pPr>
        <w:spacing w:after="0" w:line="240" w:lineRule="auto"/>
        <w:jc w:val="left"/>
        <w:rPr>
          <w:rFonts w:ascii="宋体" w:hAnsi="宋体" w:cs="宋体" w:eastAsia="宋体" w:hint="default"/>
          <w:sz w:val="21"/>
          <w:szCs w:val="21"/>
        </w:rPr>
        <w:sectPr>
          <w:type w:val="continuous"/>
          <w:pgSz w:w="11910" w:h="16840"/>
          <w:pgMar w:top="1120" w:bottom="1160" w:left="1580" w:right="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242"/>
        <w:gridCol w:w="712"/>
        <w:gridCol w:w="1482"/>
        <w:gridCol w:w="784"/>
        <w:gridCol w:w="284"/>
        <w:gridCol w:w="990"/>
        <w:gridCol w:w="710"/>
        <w:gridCol w:w="142"/>
        <w:gridCol w:w="851"/>
        <w:gridCol w:w="566"/>
        <w:gridCol w:w="1134"/>
      </w:tblGrid>
      <w:tr>
        <w:trPr>
          <w:trHeight w:val="40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潘新瑾</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699,000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0.70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6" w:right="0"/>
              <w:jc w:val="left"/>
              <w:rPr>
                <w:rFonts w:ascii="宋体" w:hAnsi="宋体" w:cs="宋体" w:eastAsia="宋体" w:hint="default"/>
                <w:sz w:val="21"/>
                <w:szCs w:val="21"/>
              </w:rPr>
            </w:pPr>
            <w:r>
              <w:rPr>
                <w:rFonts w:ascii="宋体"/>
                <w:sz w:val="21"/>
              </w:rPr>
              <w:t>699,000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40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廖长宝</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279,750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0.28</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6" w:right="0"/>
              <w:jc w:val="left"/>
              <w:rPr>
                <w:rFonts w:ascii="宋体" w:hAnsi="宋体" w:cs="宋体" w:eastAsia="宋体" w:hint="default"/>
                <w:sz w:val="21"/>
                <w:szCs w:val="21"/>
              </w:rPr>
            </w:pPr>
            <w:r>
              <w:rPr>
                <w:rFonts w:ascii="宋体"/>
                <w:sz w:val="21"/>
              </w:rPr>
              <w:t>279,750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40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侯济恭</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0.21</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6" w:right="0"/>
              <w:jc w:val="left"/>
              <w:rPr>
                <w:rFonts w:ascii="宋体" w:hAnsi="宋体" w:cs="宋体" w:eastAsia="宋体" w:hint="default"/>
                <w:sz w:val="21"/>
                <w:szCs w:val="21"/>
              </w:rPr>
            </w:pPr>
            <w:r>
              <w:rPr>
                <w:rFonts w:ascii="宋体"/>
                <w:sz w:val="21"/>
              </w:rPr>
              <w:t>210,000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40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吴丽卿</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210,000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0.21</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6" w:right="0"/>
              <w:jc w:val="left"/>
              <w:rPr>
                <w:rFonts w:ascii="宋体" w:hAnsi="宋体" w:cs="宋体" w:eastAsia="宋体" w:hint="default"/>
                <w:sz w:val="21"/>
                <w:szCs w:val="21"/>
              </w:rPr>
            </w:pPr>
            <w:r>
              <w:rPr>
                <w:rFonts w:ascii="宋体"/>
                <w:sz w:val="21"/>
              </w:rPr>
              <w:t>210,000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40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郑金聪</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21"/>
                <w:szCs w:val="21"/>
              </w:rPr>
            </w:pPr>
            <w:r>
              <w:rPr>
                <w:rFonts w:ascii="宋体"/>
                <w:sz w:val="21"/>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0.21</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6" w:right="0"/>
              <w:jc w:val="left"/>
              <w:rPr>
                <w:rFonts w:ascii="宋体" w:hAnsi="宋体" w:cs="宋体" w:eastAsia="宋体" w:hint="default"/>
                <w:sz w:val="21"/>
                <w:szCs w:val="21"/>
              </w:rPr>
            </w:pPr>
            <w:r>
              <w:rPr>
                <w:rFonts w:ascii="宋体"/>
                <w:sz w:val="21"/>
              </w:rPr>
              <w:t>210,000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0</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79" w:hRule="exact"/>
        </w:trPr>
        <w:tc>
          <w:tcPr>
            <w:tcW w:w="889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407" w:hRule="exact"/>
        </w:trPr>
        <w:tc>
          <w:tcPr>
            <w:tcW w:w="4504" w:type="dxa"/>
            <w:gridSpan w:val="5"/>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00" w:type="dxa"/>
            <w:gridSpan w:val="2"/>
            <w:vMerge w:val="restart"/>
            <w:tcBorders>
              <w:top w:val="single" w:sz="4" w:space="0" w:color="000000"/>
              <w:left w:val="single" w:sz="4" w:space="0" w:color="000000"/>
              <w:right w:val="single" w:sz="4" w:space="0" w:color="000000"/>
            </w:tcBorders>
          </w:tcPr>
          <w:p>
            <w:pPr>
              <w:pStyle w:val="TableParagraph"/>
              <w:spacing w:line="272" w:lineRule="exact" w:before="122"/>
              <w:ind w:left="214" w:right="109" w:hanging="106"/>
              <w:jc w:val="left"/>
              <w:rPr>
                <w:rFonts w:ascii="宋体" w:hAnsi="宋体" w:cs="宋体" w:eastAsia="宋体" w:hint="default"/>
                <w:sz w:val="21"/>
                <w:szCs w:val="21"/>
              </w:rPr>
            </w:pPr>
            <w:r>
              <w:rPr>
                <w:rFonts w:ascii="宋体" w:hAnsi="宋体" w:cs="宋体" w:eastAsia="宋体" w:hint="default"/>
                <w:sz w:val="21"/>
                <w:szCs w:val="21"/>
              </w:rPr>
              <w:t>持有无限售条件 流通股的数量</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0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407" w:hRule="exact"/>
        </w:trPr>
        <w:tc>
          <w:tcPr>
            <w:tcW w:w="4504" w:type="dxa"/>
            <w:gridSpan w:val="5"/>
            <w:vMerge/>
            <w:tcBorders>
              <w:left w:val="single" w:sz="4" w:space="0" w:color="000000"/>
              <w:bottom w:val="single" w:sz="4" w:space="0" w:color="000000"/>
              <w:right w:val="single" w:sz="4" w:space="0" w:color="000000"/>
            </w:tcBorders>
          </w:tcPr>
          <w:p>
            <w:pPr/>
          </w:p>
        </w:tc>
        <w:tc>
          <w:tcPr>
            <w:tcW w:w="1700" w:type="dxa"/>
            <w:gridSpan w:val="2"/>
            <w:vMerge/>
            <w:tcBorders>
              <w:left w:val="single" w:sz="4" w:space="0" w:color="000000"/>
              <w:bottom w:val="single" w:sz="4" w:space="0" w:color="000000"/>
              <w:right w:val="single" w:sz="4" w:space="0" w:color="000000"/>
            </w:tcBorders>
          </w:tcPr>
          <w:p>
            <w:pP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1"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中国工商银行-国联安德盛安心成长混合型开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放式证券投资基金</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1" w:right="0"/>
              <w:jc w:val="left"/>
              <w:rPr>
                <w:rFonts w:ascii="宋体" w:hAnsi="宋体" w:cs="宋体" w:eastAsia="宋体" w:hint="default"/>
                <w:sz w:val="21"/>
                <w:szCs w:val="21"/>
              </w:rPr>
            </w:pPr>
            <w:r>
              <w:rPr>
                <w:rFonts w:ascii="宋体"/>
                <w:sz w:val="21"/>
              </w:rPr>
              <w:t>88,500</w:t>
            </w:r>
          </w:p>
        </w:tc>
      </w:tr>
      <w:tr>
        <w:trPr>
          <w:trHeight w:val="554"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中国工商银行-国联安德盛小盘精选证券投资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1" w:right="0"/>
              <w:jc w:val="left"/>
              <w:rPr>
                <w:rFonts w:ascii="宋体" w:hAnsi="宋体" w:cs="宋体" w:eastAsia="宋体" w:hint="default"/>
                <w:sz w:val="21"/>
                <w:szCs w:val="21"/>
              </w:rPr>
            </w:pPr>
            <w:r>
              <w:rPr>
                <w:rFonts w:ascii="宋体"/>
                <w:sz w:val="21"/>
              </w:rPr>
              <w:t>88,500</w:t>
            </w:r>
          </w:p>
        </w:tc>
      </w:tr>
      <w:tr>
        <w:trPr>
          <w:trHeight w:val="556"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招商银行股份有限公司-中银保本二号混合型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1" w:right="0"/>
              <w:jc w:val="left"/>
              <w:rPr>
                <w:rFonts w:ascii="宋体" w:hAnsi="宋体" w:cs="宋体" w:eastAsia="宋体" w:hint="default"/>
                <w:sz w:val="21"/>
                <w:szCs w:val="21"/>
              </w:rPr>
            </w:pPr>
            <w:r>
              <w:rPr>
                <w:rFonts w:ascii="宋体"/>
                <w:sz w:val="21"/>
              </w:rPr>
              <w:t>88,500</w:t>
            </w:r>
          </w:p>
        </w:tc>
      </w:tr>
      <w:tr>
        <w:trPr>
          <w:trHeight w:val="554"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中国建设银行股份有限公司-中欧成长优先回</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报灵活配置混合型发起式证券投资基金</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1" w:right="0"/>
              <w:jc w:val="left"/>
              <w:rPr>
                <w:rFonts w:ascii="宋体" w:hAnsi="宋体" w:cs="宋体" w:eastAsia="宋体" w:hint="default"/>
                <w:sz w:val="21"/>
                <w:szCs w:val="21"/>
              </w:rPr>
            </w:pPr>
            <w:r>
              <w:rPr>
                <w:rFonts w:ascii="宋体"/>
                <w:sz w:val="21"/>
              </w:rPr>
              <w:t>88,500</w:t>
            </w:r>
          </w:p>
        </w:tc>
      </w:tr>
      <w:tr>
        <w:trPr>
          <w:trHeight w:val="554"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中国建设银行-东方龙混合型开放式证券投资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1" w:right="0"/>
              <w:jc w:val="left"/>
              <w:rPr>
                <w:rFonts w:ascii="宋体" w:hAnsi="宋体" w:cs="宋体" w:eastAsia="宋体" w:hint="default"/>
                <w:sz w:val="21"/>
                <w:szCs w:val="21"/>
              </w:rPr>
            </w:pPr>
            <w:r>
              <w:rPr>
                <w:rFonts w:ascii="宋体"/>
                <w:sz w:val="21"/>
              </w:rPr>
              <w:t>88,500</w:t>
            </w:r>
          </w:p>
        </w:tc>
      </w:tr>
      <w:tr>
        <w:trPr>
          <w:trHeight w:val="554"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招商银行股份有限公司-华安新活力灵活配置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混合型证券投资基金</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1" w:right="0"/>
              <w:jc w:val="left"/>
              <w:rPr>
                <w:rFonts w:ascii="宋体" w:hAnsi="宋体" w:cs="宋体" w:eastAsia="宋体" w:hint="default"/>
                <w:sz w:val="21"/>
                <w:szCs w:val="21"/>
              </w:rPr>
            </w:pPr>
            <w:r>
              <w:rPr>
                <w:rFonts w:ascii="宋体"/>
                <w:sz w:val="21"/>
              </w:rPr>
              <w:t>88,500</w:t>
            </w:r>
          </w:p>
        </w:tc>
      </w:tr>
      <w:tr>
        <w:trPr>
          <w:trHeight w:val="407"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中国工商银行-南方避险增值基金</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1" w:right="0"/>
              <w:jc w:val="left"/>
              <w:rPr>
                <w:rFonts w:ascii="宋体" w:hAnsi="宋体" w:cs="宋体" w:eastAsia="宋体" w:hint="default"/>
                <w:sz w:val="21"/>
                <w:szCs w:val="21"/>
              </w:rPr>
            </w:pPr>
            <w:r>
              <w:rPr>
                <w:rFonts w:ascii="宋体"/>
                <w:sz w:val="21"/>
              </w:rPr>
              <w:t>88,500</w:t>
            </w:r>
          </w:p>
        </w:tc>
      </w:tr>
      <w:tr>
        <w:trPr>
          <w:trHeight w:val="408"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全国社保基金六零二组合</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1" w:right="0"/>
              <w:jc w:val="left"/>
              <w:rPr>
                <w:rFonts w:ascii="宋体" w:hAnsi="宋体" w:cs="宋体" w:eastAsia="宋体" w:hint="default"/>
                <w:sz w:val="21"/>
                <w:szCs w:val="21"/>
              </w:rPr>
            </w:pPr>
            <w:r>
              <w:rPr>
                <w:rFonts w:ascii="宋体"/>
                <w:sz w:val="21"/>
              </w:rPr>
              <w:t>88,500</w:t>
            </w:r>
          </w:p>
        </w:tc>
      </w:tr>
      <w:tr>
        <w:trPr>
          <w:trHeight w:val="407"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全国社保基金五零四组合</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1" w:right="0"/>
              <w:jc w:val="left"/>
              <w:rPr>
                <w:rFonts w:ascii="宋体" w:hAnsi="宋体" w:cs="宋体" w:eastAsia="宋体" w:hint="default"/>
                <w:sz w:val="21"/>
                <w:szCs w:val="21"/>
              </w:rPr>
            </w:pPr>
            <w:r>
              <w:rPr>
                <w:rFonts w:ascii="宋体"/>
                <w:sz w:val="21"/>
              </w:rPr>
              <w:t>88,500</w:t>
            </w:r>
          </w:p>
        </w:tc>
      </w:tr>
      <w:tr>
        <w:trPr>
          <w:trHeight w:val="407"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全国社保基金----四组合</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57" w:right="0"/>
              <w:jc w:val="left"/>
              <w:rPr>
                <w:rFonts w:ascii="宋体" w:hAnsi="宋体" w:cs="宋体" w:eastAsia="宋体" w:hint="default"/>
                <w:sz w:val="21"/>
                <w:szCs w:val="21"/>
              </w:rPr>
            </w:pPr>
            <w:r>
              <w:rPr>
                <w:rFonts w:ascii="宋体"/>
                <w:sz w:val="21"/>
              </w:rPr>
              <w:t>88,500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1" w:right="0"/>
              <w:jc w:val="left"/>
              <w:rPr>
                <w:rFonts w:ascii="宋体" w:hAnsi="宋体" w:cs="宋体" w:eastAsia="宋体" w:hint="default"/>
                <w:sz w:val="21"/>
                <w:szCs w:val="21"/>
              </w:rPr>
            </w:pPr>
            <w:r>
              <w:rPr>
                <w:rFonts w:ascii="宋体"/>
                <w:sz w:val="21"/>
              </w:rPr>
              <w:t>88,500</w:t>
            </w:r>
          </w:p>
        </w:tc>
      </w:tr>
      <w:tr>
        <w:trPr>
          <w:trHeight w:val="554"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3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9"/>
                <w:sz w:val="21"/>
                <w:szCs w:val="21"/>
              </w:rPr>
              <w:t>未发现前十名无限售条件股东存在关联关系</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或一致行动情况。</w:t>
            </w:r>
          </w:p>
        </w:tc>
      </w:tr>
      <w:tr>
        <w:trPr>
          <w:trHeight w:val="408" w:hRule="exact"/>
        </w:trPr>
        <w:tc>
          <w:tcPr>
            <w:tcW w:w="4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3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6"/>
        <w:rPr>
          <w:rFonts w:ascii="宋体" w:hAnsi="宋体" w:cs="宋体" w:eastAsia="宋体" w:hint="default"/>
          <w:sz w:val="15"/>
          <w:szCs w:val="15"/>
        </w:rPr>
      </w:pPr>
    </w:p>
    <w:p>
      <w:pPr>
        <w:pStyle w:val="BodyText"/>
        <w:spacing w:line="274" w:lineRule="exact" w:before="35"/>
        <w:ind w:left="217" w:right="0"/>
        <w:jc w:val="left"/>
      </w:pPr>
      <w:r>
        <w:rPr/>
        <w:t>前十名有限售条件股东持股数量及限售条件</w:t>
      </w:r>
    </w:p>
    <w:p>
      <w:pPr>
        <w:pStyle w:val="BodyText"/>
        <w:spacing w:line="274" w:lineRule="exact" w:before="0"/>
        <w:ind w:left="0" w:right="211"/>
        <w:jc w:val="right"/>
      </w:pPr>
      <w:r>
        <w:rPr/>
        <w:t>单位：股</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47"/>
        <w:gridCol w:w="1870"/>
        <w:gridCol w:w="1417"/>
        <w:gridCol w:w="1986"/>
        <w:gridCol w:w="1559"/>
        <w:gridCol w:w="1560"/>
      </w:tblGrid>
      <w:tr>
        <w:trPr>
          <w:trHeight w:val="644" w:hRule="exact"/>
        </w:trPr>
        <w:tc>
          <w:tcPr>
            <w:tcW w:w="6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8"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8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72" w:lineRule="exact"/>
              <w:ind w:left="508" w:right="403" w:hanging="105"/>
              <w:jc w:val="left"/>
              <w:rPr>
                <w:rFonts w:ascii="宋体" w:hAnsi="宋体" w:cs="宋体" w:eastAsia="宋体" w:hint="default"/>
                <w:sz w:val="21"/>
                <w:szCs w:val="21"/>
              </w:rPr>
            </w:pPr>
            <w:r>
              <w:rPr>
                <w:rFonts w:ascii="宋体" w:hAnsi="宋体" w:cs="宋体" w:eastAsia="宋体" w:hint="default"/>
                <w:sz w:val="21"/>
                <w:szCs w:val="21"/>
              </w:rPr>
              <w:t>有限售条件 股东名称</w:t>
            </w:r>
          </w:p>
        </w:tc>
        <w:tc>
          <w:tcPr>
            <w:tcW w:w="1417" w:type="dxa"/>
            <w:vMerge w:val="restart"/>
            <w:tcBorders>
              <w:top w:val="single" w:sz="4" w:space="0" w:color="000000"/>
              <w:left w:val="single" w:sz="4" w:space="0" w:color="000000"/>
              <w:right w:val="single" w:sz="4" w:space="0" w:color="000000"/>
            </w:tcBorders>
          </w:tcPr>
          <w:p>
            <w:pPr>
              <w:pStyle w:val="TableParagraph"/>
              <w:spacing w:line="272" w:lineRule="exact" w:before="178"/>
              <w:ind w:left="177" w:right="178"/>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9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53"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647" w:type="dxa"/>
            <w:vMerge/>
            <w:tcBorders>
              <w:left w:val="single" w:sz="4" w:space="0" w:color="000000"/>
              <w:bottom w:val="single" w:sz="4" w:space="0" w:color="000000"/>
              <w:right w:val="single" w:sz="4" w:space="0" w:color="000000"/>
            </w:tcBorders>
          </w:tcPr>
          <w:p>
            <w:pPr/>
          </w:p>
        </w:tc>
        <w:tc>
          <w:tcPr>
            <w:tcW w:w="187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1560" w:type="dxa"/>
            <w:vMerge/>
            <w:tcBorders>
              <w:left w:val="single" w:sz="4" w:space="0" w:color="000000"/>
              <w:bottom w:val="single" w:sz="4" w:space="0" w:color="000000"/>
              <w:right w:val="single" w:sz="4" w:space="0" w:color="000000"/>
            </w:tcBorders>
          </w:tcPr>
          <w:p>
            <w:pPr/>
          </w:p>
        </w:tc>
      </w:tr>
      <w:tr>
        <w:trPr>
          <w:trHeight w:val="355"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3"/>
              <w:jc w:val="right"/>
              <w:rPr>
                <w:rFonts w:ascii="宋体" w:hAnsi="宋体" w:cs="宋体" w:eastAsia="宋体" w:hint="default"/>
                <w:sz w:val="21"/>
                <w:szCs w:val="21"/>
              </w:rPr>
            </w:pPr>
            <w:r>
              <w:rPr>
                <w:rFonts w:ascii="宋体"/>
                <w:sz w:val="21"/>
              </w:rPr>
              <w:t>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7"/>
              <w:jc w:val="right"/>
              <w:rPr>
                <w:rFonts w:ascii="宋体" w:hAnsi="宋体" w:cs="宋体" w:eastAsia="宋体" w:hint="default"/>
                <w:sz w:val="21"/>
                <w:szCs w:val="21"/>
              </w:rPr>
            </w:pPr>
            <w:r>
              <w:rPr>
                <w:rFonts w:ascii="宋体"/>
                <w:sz w:val="21"/>
              </w:rPr>
              <w:t>57,404,250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3"/>
              <w:jc w:val="right"/>
              <w:rPr>
                <w:rFonts w:ascii="宋体" w:hAnsi="宋体" w:cs="宋体" w:eastAsia="宋体" w:hint="default"/>
                <w:sz w:val="21"/>
                <w:szCs w:val="21"/>
              </w:rPr>
            </w:pPr>
            <w:r>
              <w:rPr>
                <w:rFonts w:ascii="宋体"/>
                <w:sz w:val="21"/>
              </w:rPr>
              <w:t>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凯信金鹏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1"/>
              <w:jc w:val="right"/>
              <w:rPr>
                <w:rFonts w:ascii="宋体" w:hAnsi="宋体" w:cs="宋体" w:eastAsia="宋体" w:hint="default"/>
                <w:sz w:val="21"/>
                <w:szCs w:val="21"/>
              </w:rPr>
            </w:pPr>
            <w:r>
              <w:rPr>
                <w:rFonts w:ascii="宋体"/>
                <w:spacing w:val="-1"/>
                <w:sz w:val="21"/>
              </w:rPr>
              <w:t>7,448,250</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3"/>
              <w:jc w:val="right"/>
              <w:rPr>
                <w:rFonts w:ascii="宋体" w:hAnsi="宋体" w:cs="宋体" w:eastAsia="宋体" w:hint="default"/>
                <w:sz w:val="21"/>
                <w:szCs w:val="21"/>
              </w:rPr>
            </w:pPr>
            <w:r>
              <w:rPr>
                <w:rFonts w:ascii="宋体"/>
                <w:sz w:val="21"/>
              </w:rPr>
              <w:t>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德弘嘉业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1"/>
              <w:jc w:val="right"/>
              <w:rPr>
                <w:rFonts w:ascii="宋体" w:hAnsi="宋体" w:cs="宋体" w:eastAsia="宋体" w:hint="default"/>
                <w:sz w:val="21"/>
                <w:szCs w:val="21"/>
              </w:rPr>
            </w:pPr>
            <w:r>
              <w:rPr>
                <w:rFonts w:ascii="宋体"/>
                <w:spacing w:val="-1"/>
                <w:sz w:val="21"/>
              </w:rPr>
              <w:t>3,000,000</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63"/>
              <w:jc w:val="right"/>
              <w:rPr>
                <w:rFonts w:ascii="宋体" w:hAnsi="宋体" w:cs="宋体" w:eastAsia="宋体" w:hint="default"/>
                <w:sz w:val="21"/>
                <w:szCs w:val="21"/>
              </w:rPr>
            </w:pPr>
            <w:r>
              <w:rPr>
                <w:rFonts w:ascii="宋体"/>
                <w:sz w:val="21"/>
              </w:rPr>
              <w:t>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盈科成长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1"/>
              <w:jc w:val="right"/>
              <w:rPr>
                <w:rFonts w:ascii="宋体" w:hAnsi="宋体" w:cs="宋体" w:eastAsia="宋体" w:hint="default"/>
                <w:sz w:val="21"/>
                <w:szCs w:val="21"/>
              </w:rPr>
            </w:pPr>
            <w:r>
              <w:rPr>
                <w:rFonts w:ascii="宋体"/>
                <w:spacing w:val="-1"/>
                <w:sz w:val="21"/>
              </w:rPr>
              <w:t>2,250,000</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4"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63"/>
              <w:jc w:val="right"/>
              <w:rPr>
                <w:rFonts w:ascii="宋体" w:hAnsi="宋体" w:cs="宋体" w:eastAsia="宋体" w:hint="default"/>
                <w:sz w:val="21"/>
                <w:szCs w:val="21"/>
              </w:rPr>
            </w:pPr>
            <w:r>
              <w:rPr>
                <w:rFonts w:ascii="宋体"/>
                <w:sz w:val="21"/>
              </w:rPr>
              <w:t>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东方汇富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1"/>
              <w:jc w:val="right"/>
              <w:rPr>
                <w:rFonts w:ascii="宋体" w:hAnsi="宋体" w:cs="宋体" w:eastAsia="宋体" w:hint="default"/>
                <w:sz w:val="21"/>
                <w:szCs w:val="21"/>
              </w:rPr>
            </w:pPr>
            <w:r>
              <w:rPr>
                <w:rFonts w:ascii="宋体"/>
                <w:spacing w:val="-1"/>
                <w:sz w:val="21"/>
              </w:rPr>
              <w:t>2,250,000</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3"/>
              <w:jc w:val="right"/>
              <w:rPr>
                <w:rFonts w:ascii="宋体" w:hAnsi="宋体" w:cs="宋体" w:eastAsia="宋体" w:hint="default"/>
                <w:sz w:val="21"/>
                <w:szCs w:val="21"/>
              </w:rPr>
            </w:pPr>
            <w:r>
              <w:rPr>
                <w:rFonts w:ascii="宋体"/>
                <w:sz w:val="21"/>
              </w:rPr>
              <w:t>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潘新瑾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4" w:right="0"/>
              <w:jc w:val="left"/>
              <w:rPr>
                <w:rFonts w:ascii="宋体" w:hAnsi="宋体" w:cs="宋体" w:eastAsia="宋体" w:hint="default"/>
                <w:sz w:val="21"/>
                <w:szCs w:val="21"/>
              </w:rPr>
            </w:pPr>
            <w:r>
              <w:rPr>
                <w:rFonts w:ascii="宋体"/>
                <w:sz w:val="21"/>
              </w:rPr>
              <w:t>699,000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3"/>
              <w:jc w:val="right"/>
              <w:rPr>
                <w:rFonts w:ascii="宋体" w:hAnsi="宋体" w:cs="宋体" w:eastAsia="宋体" w:hint="default"/>
                <w:sz w:val="21"/>
                <w:szCs w:val="21"/>
              </w:rPr>
            </w:pPr>
            <w:r>
              <w:rPr>
                <w:rFonts w:ascii="宋体"/>
                <w:sz w:val="21"/>
              </w:rPr>
              <w:t>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4" w:right="0"/>
              <w:jc w:val="left"/>
              <w:rPr>
                <w:rFonts w:ascii="宋体" w:hAnsi="宋体" w:cs="宋体" w:eastAsia="宋体" w:hint="default"/>
                <w:sz w:val="21"/>
                <w:szCs w:val="21"/>
              </w:rPr>
            </w:pPr>
            <w:r>
              <w:rPr>
                <w:rFonts w:ascii="宋体"/>
                <w:sz w:val="21"/>
              </w:rPr>
              <w:t>279,750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bl>
    <w:p>
      <w:pPr>
        <w:spacing w:after="0" w:line="240" w:lineRule="auto"/>
        <w:jc w:val="left"/>
        <w:rPr>
          <w:rFonts w:ascii="宋体" w:hAnsi="宋体" w:cs="宋体" w:eastAsia="宋体" w:hint="default"/>
          <w:sz w:val="21"/>
          <w:szCs w:val="21"/>
        </w:rPr>
        <w:sectPr>
          <w:pgSz w:w="11910" w:h="16840"/>
          <w:pgMar w:header="0" w:footer="977" w:top="1120" w:bottom="1160" w:left="158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47"/>
        <w:gridCol w:w="1870"/>
        <w:gridCol w:w="1417"/>
        <w:gridCol w:w="1986"/>
        <w:gridCol w:w="1559"/>
        <w:gridCol w:w="1560"/>
      </w:tblGrid>
      <w:tr>
        <w:trPr>
          <w:trHeight w:val="355"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侯济恭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210,000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2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210,000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2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4"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10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郑金聪</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1"/>
                <w:szCs w:val="21"/>
              </w:rPr>
            </w:pPr>
            <w:r>
              <w:rPr>
                <w:rFonts w:ascii="宋体"/>
                <w:sz w:val="21"/>
              </w:rPr>
              <w:t>210,000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556" w:hRule="exact"/>
        </w:trPr>
        <w:tc>
          <w:tcPr>
            <w:tcW w:w="2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上述股东关联关系或一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致行动的说明</w:t>
            </w:r>
          </w:p>
        </w:tc>
        <w:tc>
          <w:tcPr>
            <w:tcW w:w="6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6" w:right="0"/>
              <w:jc w:val="left"/>
              <w:rPr>
                <w:rFonts w:ascii="宋体" w:hAnsi="宋体" w:cs="宋体" w:eastAsia="宋体" w:hint="default"/>
                <w:sz w:val="21"/>
                <w:szCs w:val="21"/>
              </w:rPr>
            </w:pPr>
            <w:r>
              <w:rPr>
                <w:rFonts w:ascii="宋体" w:hAnsi="宋体" w:cs="宋体" w:eastAsia="宋体" w:hint="default"/>
                <w:sz w:val="21"/>
                <w:szCs w:val="21"/>
              </w:rPr>
              <w:t>未发现前十有限售条件股东存在关联关系或一致行动情况。</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17" w:right="227"/>
        <w:jc w:val="left"/>
        <w:rPr>
          <w:b w:val="0"/>
          <w:bCs w:val="0"/>
        </w:rPr>
      </w:pPr>
      <w:r>
        <w:rPr/>
        <w:t>四、</w:t>
      </w:r>
      <w:r>
        <w:rPr>
          <w:spacing w:val="-81"/>
        </w:rPr>
        <w:t> </w:t>
      </w:r>
      <w:r>
        <w:rPr/>
        <w:t>股股东及实际控制人情况</w:t>
      </w:r>
      <w:r>
        <w:rPr>
          <w:b w:val="0"/>
          <w:bCs w:val="0"/>
        </w:rPr>
      </w:r>
    </w:p>
    <w:p>
      <w:pPr>
        <w:pStyle w:val="Heading2"/>
        <w:spacing w:line="240" w:lineRule="auto" w:before="57"/>
        <w:ind w:left="217"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b w:val="0"/>
          <w:bCs w:val="0"/>
        </w:rPr>
      </w:r>
    </w:p>
    <w:p>
      <w:pPr>
        <w:pStyle w:val="Heading2"/>
        <w:tabs>
          <w:tab w:pos="1347" w:val="left" w:leader="none"/>
        </w:tabs>
        <w:spacing w:line="240" w:lineRule="auto" w:before="30"/>
        <w:ind w:left="928" w:right="227"/>
        <w:jc w:val="left"/>
        <w:rPr>
          <w:b w:val="0"/>
          <w:bCs w:val="0"/>
        </w:rPr>
      </w:pPr>
      <w:r>
        <w:rPr>
          <w:w w:val="95"/>
        </w:rPr>
        <w:t>1</w:t>
        <w:tab/>
      </w:r>
      <w:r>
        <w:rPr/>
        <w:t>自然人</w:t>
      </w:r>
      <w:r>
        <w:rPr>
          <w:b w:val="0"/>
          <w:bCs w:val="0"/>
        </w:rPr>
      </w:r>
    </w:p>
    <w:p>
      <w:pPr>
        <w:spacing w:line="240" w:lineRule="auto" w:before="1"/>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3370"/>
        <w:gridCol w:w="5680"/>
      </w:tblGrid>
      <w:tr>
        <w:trPr>
          <w:trHeight w:val="40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吴志雄</w:t>
            </w:r>
          </w:p>
        </w:tc>
      </w:tr>
      <w:tr>
        <w:trPr>
          <w:trHeight w:val="40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40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2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公司董事长兼总经理、福建新微科技有限公司监事、宁德新</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微投资有限公司监事、新疆新微房地产开发有限公司执行董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事。</w:t>
            </w:r>
          </w:p>
        </w:tc>
      </w:tr>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10 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tabs>
          <w:tab w:pos="642" w:val="left" w:leader="none"/>
        </w:tabs>
        <w:spacing w:line="264" w:lineRule="auto"/>
        <w:ind w:left="217" w:right="717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实际控制人情况</w:t>
      </w:r>
      <w:r>
        <w:rPr>
          <w:w w:val="99"/>
        </w:rPr>
        <w:t> </w:t>
      </w:r>
      <w:r>
        <w:rPr>
          <w:w w:val="95"/>
        </w:rPr>
        <w:t>1</w:t>
        <w:tab/>
      </w:r>
      <w:r>
        <w:rPr/>
        <w:t>自然人</w:t>
      </w:r>
      <w:r>
        <w:rPr>
          <w:b w:val="0"/>
          <w:bCs w:val="0"/>
        </w:rPr>
      </w:r>
    </w:p>
    <w:p>
      <w:pPr>
        <w:spacing w:line="240" w:lineRule="auto" w:before="6"/>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3390"/>
        <w:gridCol w:w="5659"/>
      </w:tblGrid>
      <w:tr>
        <w:trPr>
          <w:trHeight w:val="407"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r>
      <w:tr>
        <w:trPr>
          <w:trHeight w:val="407"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407"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27"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公司董事长兼总经理、福建新微科技有限公司监事、宁德新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
                <w:sz w:val="21"/>
                <w:szCs w:val="21"/>
              </w:rPr>
              <w:t>微投资有限公司监事、新疆新微房地产开发有限公司执行董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事。</w:t>
            </w:r>
          </w:p>
        </w:tc>
      </w:tr>
      <w:tr>
        <w:trPr>
          <w:trHeight w:val="556"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1910" w:h="16840"/>
          <w:pgMar w:header="0" w:footer="977" w:top="1120" w:bottom="1160" w:left="1580" w:right="1040"/>
        </w:sectPr>
      </w:pPr>
    </w:p>
    <w:p>
      <w:pPr>
        <w:spacing w:line="240" w:lineRule="auto" w:before="4"/>
        <w:rPr>
          <w:rFonts w:ascii="宋体" w:hAnsi="宋体" w:cs="宋体" w:eastAsia="宋体" w:hint="default"/>
          <w:b/>
          <w:bCs/>
          <w:sz w:val="25"/>
          <w:szCs w:val="25"/>
        </w:rPr>
      </w:pPr>
    </w:p>
    <w:p>
      <w:pPr>
        <w:pStyle w:val="Heading2"/>
        <w:tabs>
          <w:tab w:pos="562" w:val="left" w:leader="none"/>
        </w:tabs>
        <w:spacing w:line="240" w:lineRule="auto"/>
        <w:ind w:left="137" w:right="127"/>
        <w:jc w:val="left"/>
        <w:rPr>
          <w:b w:val="0"/>
          <w:bCs w:val="0"/>
        </w:rPr>
      </w:pPr>
      <w:r>
        <w:rPr>
          <w:w w:val="95"/>
        </w:rPr>
        <w:t>2</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3555" w:lineRule="exact"/>
        <w:ind w:left="1653"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3630512" cy="2257901"/>
            <wp:effectExtent l="0" t="0" r="0" b="0"/>
            <wp:docPr id="1" name="image10.jpeg" descr=""/>
            <wp:cNvGraphicFramePr>
              <a:graphicFrameLocks noChangeAspect="1"/>
            </wp:cNvGraphicFramePr>
            <a:graphic>
              <a:graphicData uri="http://schemas.openxmlformats.org/drawingml/2006/picture">
                <pic:pic>
                  <pic:nvPicPr>
                    <pic:cNvPr id="2" name="image10.jpeg"/>
                    <pic:cNvPicPr/>
                  </pic:nvPicPr>
                  <pic:blipFill>
                    <a:blip r:embed="rId31" cstate="print"/>
                    <a:stretch>
                      <a:fillRect/>
                    </a:stretch>
                  </pic:blipFill>
                  <pic:spPr>
                    <a:xfrm>
                      <a:off x="0" y="0"/>
                      <a:ext cx="3630512" cy="2257901"/>
                    </a:xfrm>
                    <a:prstGeom prst="rect">
                      <a:avLst/>
                    </a:prstGeom>
                  </pic:spPr>
                </pic:pic>
              </a:graphicData>
            </a:graphic>
          </wp:inline>
        </w:drawing>
      </w:r>
      <w:r>
        <w:rPr>
          <w:rFonts w:ascii="宋体" w:hAnsi="宋体" w:cs="宋体" w:eastAsia="宋体" w:hint="default"/>
          <w:position w:val="-70"/>
          <w:sz w:val="20"/>
          <w:szCs w:val="20"/>
        </w:rPr>
      </w:r>
    </w:p>
    <w:p>
      <w:pPr>
        <w:spacing w:after="0" w:line="3555" w:lineRule="exact"/>
        <w:rPr>
          <w:rFonts w:ascii="宋体" w:hAnsi="宋体" w:cs="宋体" w:eastAsia="宋体" w:hint="default"/>
          <w:sz w:val="20"/>
          <w:szCs w:val="20"/>
        </w:rPr>
        <w:sectPr>
          <w:pgSz w:w="11910" w:h="16840"/>
          <w:pgMar w:header="0" w:footer="977" w:top="1120" w:bottom="1160" w:left="1660" w:right="1140"/>
        </w:sectPr>
      </w:pPr>
    </w:p>
    <w:p>
      <w:pPr>
        <w:spacing w:line="240" w:lineRule="auto" w:before="12"/>
        <w:rPr>
          <w:rFonts w:ascii="宋体" w:hAnsi="宋体" w:cs="宋体" w:eastAsia="宋体" w:hint="default"/>
          <w:b/>
          <w:bCs/>
          <w:sz w:val="27"/>
          <w:szCs w:val="27"/>
        </w:rPr>
      </w:pPr>
    </w:p>
    <w:p>
      <w:pPr>
        <w:pStyle w:val="Heading1"/>
        <w:tabs>
          <w:tab w:pos="5401" w:val="left" w:leader="none"/>
        </w:tabs>
        <w:spacing w:line="240" w:lineRule="auto"/>
        <w:ind w:left="4141"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2"/>
          <w:footerReference w:type="default" r:id="rId33"/>
          <w:pgSz w:w="16840" w:h="11910" w:orient="landscape"/>
          <w:pgMar w:header="882" w:footer="973" w:top="1120" w:bottom="1160" w:left="1300" w:right="980"/>
          <w:pgNumType w:start="38"/>
        </w:sectPr>
      </w:pPr>
    </w:p>
    <w:p>
      <w:pPr>
        <w:pStyle w:val="Heading2"/>
        <w:spacing w:line="240" w:lineRule="auto"/>
        <w:ind w:left="225" w:right="-15"/>
        <w:jc w:val="left"/>
        <w:rPr>
          <w:b w:val="0"/>
          <w:bCs w:val="0"/>
        </w:rPr>
      </w:pPr>
      <w:r>
        <w:rPr/>
        <w:t>一、持股变动情况及报酬情况</w:t>
      </w:r>
      <w:r>
        <w:rPr>
          <w:b w:val="0"/>
          <w:bCs w:val="0"/>
        </w:rPr>
      </w:r>
    </w:p>
    <w:p>
      <w:pPr>
        <w:pStyle w:val="Heading2"/>
        <w:spacing w:line="240" w:lineRule="auto" w:before="57"/>
        <w:ind w:left="225"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5" w:right="0"/>
        <w:jc w:val="left"/>
      </w:pPr>
      <w:r>
        <w:rPr/>
        <w:t>单位：股</w:t>
      </w:r>
    </w:p>
    <w:p>
      <w:pPr>
        <w:spacing w:after="0" w:line="240" w:lineRule="auto"/>
        <w:jc w:val="left"/>
        <w:sectPr>
          <w:type w:val="continuous"/>
          <w:pgSz w:w="16840" w:h="11910" w:orient="landscape"/>
          <w:pgMar w:top="1120" w:bottom="1160" w:left="1300" w:right="980"/>
          <w:cols w:num="2" w:equalWidth="0">
            <w:col w:w="6967" w:space="6066"/>
            <w:col w:w="1527"/>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30"/>
        <w:gridCol w:w="1423"/>
        <w:gridCol w:w="559"/>
        <w:gridCol w:w="559"/>
        <w:gridCol w:w="1908"/>
        <w:gridCol w:w="2041"/>
        <w:gridCol w:w="1266"/>
        <w:gridCol w:w="1266"/>
        <w:gridCol w:w="1134"/>
        <w:gridCol w:w="794"/>
        <w:gridCol w:w="1476"/>
        <w:gridCol w:w="960"/>
      </w:tblGrid>
      <w:tr>
        <w:trPr>
          <w:trHeight w:val="1372"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职务(注)</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9" w:right="168"/>
              <w:jc w:val="left"/>
              <w:rPr>
                <w:rFonts w:ascii="宋体" w:hAnsi="宋体" w:cs="宋体" w:eastAsia="宋体" w:hint="default"/>
                <w:sz w:val="21"/>
                <w:szCs w:val="21"/>
              </w:rPr>
            </w:pPr>
            <w:r>
              <w:rPr>
                <w:rFonts w:ascii="宋体" w:hAnsi="宋体" w:cs="宋体" w:eastAsia="宋体" w:hint="default"/>
                <w:sz w:val="21"/>
                <w:szCs w:val="21"/>
              </w:rPr>
              <w:t>性 别</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8" w:right="169"/>
              <w:jc w:val="left"/>
              <w:rPr>
                <w:rFonts w:ascii="宋体" w:hAnsi="宋体" w:cs="宋体" w:eastAsia="宋体" w:hint="default"/>
                <w:sz w:val="21"/>
                <w:szCs w:val="21"/>
              </w:rPr>
            </w:pPr>
            <w:r>
              <w:rPr>
                <w:rFonts w:ascii="宋体" w:hAnsi="宋体" w:cs="宋体" w:eastAsia="宋体" w:hint="default"/>
                <w:sz w:val="21"/>
                <w:szCs w:val="21"/>
              </w:rPr>
              <w:t>年 龄</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年初持股数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1" w:right="140"/>
              <w:jc w:val="center"/>
              <w:rPr>
                <w:rFonts w:ascii="宋体" w:hAnsi="宋体" w:cs="宋体" w:eastAsia="宋体" w:hint="default"/>
                <w:sz w:val="21"/>
                <w:szCs w:val="21"/>
              </w:rPr>
            </w:pPr>
            <w:r>
              <w:rPr>
                <w:rFonts w:ascii="宋体" w:hAnsi="宋体" w:cs="宋体" w:eastAsia="宋体" w:hint="default"/>
                <w:sz w:val="21"/>
                <w:szCs w:val="21"/>
              </w:rPr>
              <w:t>年度内股 份增减变 动量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2" w:right="180"/>
              <w:jc w:val="both"/>
              <w:rPr>
                <w:rFonts w:ascii="宋体" w:hAnsi="宋体" w:cs="宋体" w:eastAsia="宋体" w:hint="default"/>
                <w:sz w:val="21"/>
                <w:szCs w:val="21"/>
              </w:rPr>
            </w:pPr>
            <w:r>
              <w:rPr>
                <w:rFonts w:ascii="宋体" w:hAnsi="宋体" w:cs="宋体" w:eastAsia="宋体" w:hint="default"/>
                <w:sz w:val="21"/>
                <w:szCs w:val="21"/>
              </w:rPr>
              <w:t>增减 变动 原因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2"/>
              <w:jc w:val="both"/>
              <w:rPr>
                <w:rFonts w:ascii="宋体" w:hAnsi="宋体" w:cs="宋体" w:eastAsia="宋体" w:hint="default"/>
                <w:sz w:val="21"/>
                <w:szCs w:val="21"/>
              </w:rPr>
            </w:pPr>
            <w:r>
              <w:rPr>
                <w:rFonts w:ascii="宋体" w:hAnsi="宋体" w:cs="宋体" w:eastAsia="宋体" w:hint="default"/>
                <w:sz w:val="21"/>
                <w:szCs w:val="21"/>
              </w:rPr>
              <w:t>报告期内从公 司领取的应付 </w:t>
            </w:r>
            <w:r>
              <w:rPr>
                <w:rFonts w:ascii="宋体" w:hAnsi="宋体" w:cs="宋体" w:eastAsia="宋体" w:hint="default"/>
                <w:spacing w:val="-16"/>
                <w:sz w:val="21"/>
                <w:szCs w:val="21"/>
              </w:rPr>
              <w:t>报酬总额（元）</w:t>
            </w:r>
          </w:p>
          <w:p>
            <w:pPr>
              <w:pStyle w:val="TableParagraph"/>
              <w:spacing w:line="248" w:lineRule="exact"/>
              <w:ind w:left="313" w:right="0"/>
              <w:jc w:val="left"/>
              <w:rPr>
                <w:rFonts w:ascii="宋体" w:hAnsi="宋体" w:cs="宋体" w:eastAsia="宋体" w:hint="default"/>
                <w:sz w:val="21"/>
                <w:szCs w:val="21"/>
              </w:rPr>
            </w:pPr>
            <w:r>
              <w:rPr>
                <w:rFonts w:ascii="宋体" w:hAnsi="宋体" w:cs="宋体" w:eastAsia="宋体" w:hint="default"/>
                <w:sz w:val="21"/>
                <w:szCs w:val="21"/>
              </w:rPr>
              <w:t>（税前）</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59" w:right="158"/>
              <w:jc w:val="center"/>
              <w:rPr>
                <w:rFonts w:ascii="宋体" w:hAnsi="宋体" w:cs="宋体" w:eastAsia="宋体" w:hint="default"/>
                <w:sz w:val="21"/>
                <w:szCs w:val="21"/>
              </w:rPr>
            </w:pPr>
            <w:r>
              <w:rPr>
                <w:rFonts w:ascii="宋体" w:hAnsi="宋体" w:cs="宋体" w:eastAsia="宋体" w:hint="default"/>
                <w:sz w:val="21"/>
                <w:szCs w:val="21"/>
              </w:rPr>
              <w:t>在其股 东单位 领薪情 况</w:t>
            </w: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8" w:right="0"/>
              <w:jc w:val="left"/>
              <w:rPr>
                <w:rFonts w:ascii="宋体" w:hAnsi="宋体" w:cs="宋体" w:eastAsia="宋体" w:hint="default"/>
                <w:sz w:val="21"/>
                <w:szCs w:val="21"/>
              </w:rPr>
            </w:pPr>
            <w:r>
              <w:rPr>
                <w:rFonts w:ascii="宋体"/>
                <w:sz w:val="21"/>
              </w:rPr>
              <w:t>44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57,404,250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57,404,250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7"/>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392,490</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侯济恭</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7" w:right="0"/>
              <w:jc w:val="left"/>
              <w:rPr>
                <w:rFonts w:ascii="宋体" w:hAnsi="宋体" w:cs="宋体" w:eastAsia="宋体" w:hint="default"/>
                <w:sz w:val="21"/>
                <w:szCs w:val="21"/>
              </w:rPr>
            </w:pPr>
            <w:r>
              <w:rPr>
                <w:rFonts w:ascii="宋体"/>
                <w:sz w:val="21"/>
              </w:rPr>
              <w:t>66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210,000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210,000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08"/>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206,237</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6" w:right="0"/>
              <w:jc w:val="left"/>
              <w:rPr>
                <w:rFonts w:ascii="宋体" w:hAnsi="宋体" w:cs="宋体" w:eastAsia="宋体" w:hint="default"/>
                <w:sz w:val="21"/>
                <w:szCs w:val="21"/>
              </w:rPr>
            </w:pPr>
            <w:r>
              <w:rPr>
                <w:rFonts w:ascii="宋体"/>
                <w:sz w:val="21"/>
              </w:rPr>
              <w:t>45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279,750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279,750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8"/>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202,805</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7" w:right="0"/>
              <w:jc w:val="left"/>
              <w:rPr>
                <w:rFonts w:ascii="宋体" w:hAnsi="宋体" w:cs="宋体" w:eastAsia="宋体" w:hint="default"/>
                <w:sz w:val="21"/>
                <w:szCs w:val="21"/>
              </w:rPr>
            </w:pPr>
            <w:r>
              <w:rPr>
                <w:rFonts w:ascii="宋体"/>
                <w:sz w:val="21"/>
              </w:rPr>
              <w:t>45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pacing w:val="22"/>
                <w:sz w:val="21"/>
                <w:szCs w:val="21"/>
              </w:rPr>
              <w:t>2014年3月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25"/>
                <w:sz w:val="21"/>
                <w:szCs w:val="21"/>
              </w:rPr>
              <w:t>2017年3月9</w:t>
            </w:r>
            <w:r>
              <w:rPr>
                <w:rFonts w:ascii="宋体" w:hAnsi="宋体" w:cs="宋体" w:eastAsia="宋体" w:hint="default"/>
                <w:spacing w:val="-45"/>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7"/>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8" w:right="0"/>
              <w:jc w:val="left"/>
              <w:rPr>
                <w:rFonts w:ascii="宋体" w:hAnsi="宋体" w:cs="宋体" w:eastAsia="宋体" w:hint="default"/>
                <w:sz w:val="21"/>
                <w:szCs w:val="21"/>
              </w:rPr>
            </w:pPr>
            <w:r>
              <w:rPr>
                <w:rFonts w:ascii="宋体"/>
                <w:sz w:val="21"/>
              </w:rPr>
              <w:t>70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07"/>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60,000</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8" w:right="0"/>
              <w:jc w:val="left"/>
              <w:rPr>
                <w:rFonts w:ascii="宋体" w:hAnsi="宋体" w:cs="宋体" w:eastAsia="宋体" w:hint="default"/>
                <w:sz w:val="21"/>
                <w:szCs w:val="21"/>
              </w:rPr>
            </w:pPr>
            <w:r>
              <w:rPr>
                <w:rFonts w:ascii="宋体"/>
                <w:sz w:val="21"/>
              </w:rPr>
              <w:t>52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7"/>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60,000</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8" w:right="0"/>
              <w:jc w:val="left"/>
              <w:rPr>
                <w:rFonts w:ascii="宋体" w:hAnsi="宋体" w:cs="宋体" w:eastAsia="宋体" w:hint="default"/>
                <w:sz w:val="21"/>
                <w:szCs w:val="21"/>
              </w:rPr>
            </w:pPr>
            <w:r>
              <w:rPr>
                <w:rFonts w:ascii="宋体"/>
                <w:sz w:val="21"/>
              </w:rPr>
              <w:t>47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7"/>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60,000</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黄文峰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7" w:right="0"/>
              <w:jc w:val="left"/>
              <w:rPr>
                <w:rFonts w:ascii="宋体" w:hAnsi="宋体" w:cs="宋体" w:eastAsia="宋体" w:hint="default"/>
                <w:sz w:val="21"/>
                <w:szCs w:val="21"/>
              </w:rPr>
            </w:pPr>
            <w:r>
              <w:rPr>
                <w:rFonts w:ascii="宋体"/>
                <w:sz w:val="21"/>
              </w:rPr>
              <w:t>39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08"/>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202,962</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许辉奇</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6" w:right="0"/>
              <w:jc w:val="left"/>
              <w:rPr>
                <w:rFonts w:ascii="宋体" w:hAnsi="宋体" w:cs="宋体" w:eastAsia="宋体" w:hint="default"/>
                <w:sz w:val="21"/>
                <w:szCs w:val="21"/>
              </w:rPr>
            </w:pPr>
            <w:r>
              <w:rPr>
                <w:rFonts w:ascii="宋体"/>
                <w:sz w:val="21"/>
              </w:rPr>
              <w:t>34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28,500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28,500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8"/>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149,910.7</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6" w:right="0"/>
              <w:jc w:val="left"/>
              <w:rPr>
                <w:rFonts w:ascii="宋体" w:hAnsi="宋体" w:cs="宋体" w:eastAsia="宋体" w:hint="default"/>
                <w:sz w:val="21"/>
                <w:szCs w:val="21"/>
              </w:rPr>
            </w:pPr>
            <w:r>
              <w:rPr>
                <w:rFonts w:ascii="宋体"/>
                <w:sz w:val="21"/>
              </w:rPr>
              <w:t>38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8"/>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116,121.8</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副总经理、董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事会秘书</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9"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7" w:right="0"/>
              <w:jc w:val="left"/>
              <w:rPr>
                <w:rFonts w:ascii="宋体" w:hAnsi="宋体" w:cs="宋体" w:eastAsia="宋体" w:hint="default"/>
                <w:sz w:val="21"/>
                <w:szCs w:val="21"/>
              </w:rPr>
            </w:pPr>
            <w:r>
              <w:rPr>
                <w:rFonts w:ascii="宋体"/>
                <w:sz w:val="21"/>
              </w:rPr>
              <w:t>37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210,000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7"/>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200,642</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郑金聪</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7" w:right="0"/>
              <w:jc w:val="left"/>
              <w:rPr>
                <w:rFonts w:ascii="宋体" w:hAnsi="宋体" w:cs="宋体" w:eastAsia="宋体" w:hint="default"/>
                <w:sz w:val="21"/>
                <w:szCs w:val="21"/>
              </w:rPr>
            </w:pPr>
            <w:r>
              <w:rPr>
                <w:rFonts w:ascii="宋体"/>
                <w:sz w:val="21"/>
              </w:rPr>
              <w:t>49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210,000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210,000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8"/>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146,655</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潘新瑾</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9"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8" w:right="0"/>
              <w:jc w:val="left"/>
              <w:rPr>
                <w:rFonts w:ascii="宋体" w:hAnsi="宋体" w:cs="宋体" w:eastAsia="宋体" w:hint="default"/>
                <w:sz w:val="21"/>
                <w:szCs w:val="21"/>
              </w:rPr>
            </w:pPr>
            <w:r>
              <w:rPr>
                <w:rFonts w:ascii="宋体"/>
                <w:sz w:val="21"/>
              </w:rPr>
              <w:t>53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699,000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699,000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08"/>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327,970</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7" w:right="0"/>
              <w:jc w:val="left"/>
              <w:rPr>
                <w:rFonts w:ascii="宋体" w:hAnsi="宋体" w:cs="宋体" w:eastAsia="宋体" w:hint="default"/>
                <w:sz w:val="21"/>
                <w:szCs w:val="21"/>
              </w:rPr>
            </w:pPr>
            <w:r>
              <w:rPr>
                <w:rFonts w:ascii="宋体"/>
                <w:sz w:val="21"/>
              </w:rPr>
              <w:t>36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140,250</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8"/>
              <w:jc w:val="right"/>
              <w:rPr>
                <w:rFonts w:ascii="宋体" w:hAnsi="宋体" w:cs="宋体" w:eastAsia="宋体" w:hint="default"/>
                <w:sz w:val="21"/>
                <w:szCs w:val="21"/>
              </w:rPr>
            </w:pPr>
            <w:r>
              <w:rPr>
                <w:rFonts w:ascii="宋体"/>
                <w:sz w:val="21"/>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176,752</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1"/>
                <w:szCs w:val="21"/>
              </w:rPr>
            </w:pPr>
            <w:r>
              <w:rPr>
                <w:rFonts w:ascii="宋体"/>
                <w:sz w:val="21"/>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1" w:right="0"/>
              <w:jc w:val="left"/>
              <w:rPr>
                <w:rFonts w:ascii="宋体" w:hAnsi="宋体" w:cs="宋体" w:eastAsia="宋体" w:hint="default"/>
                <w:sz w:val="21"/>
                <w:szCs w:val="21"/>
              </w:rPr>
            </w:pPr>
            <w:r>
              <w:rPr>
                <w:rFonts w:ascii="宋体"/>
                <w:sz w:val="21"/>
              </w:rPr>
              <w:t>/</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59,322,000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59,322,000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2,302,545.50</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before="0"/>
        <w:ind w:left="225" w:right="0"/>
        <w:jc w:val="left"/>
      </w:pPr>
      <w:r>
        <w:rPr/>
        <w:t>注：潘新瑾女士已于</w:t>
      </w:r>
      <w:r>
        <w:rPr>
          <w:spacing w:val="-62"/>
        </w:rPr>
        <w:t> </w:t>
      </w:r>
      <w:r>
        <w:rPr/>
        <w:t>2015</w:t>
      </w:r>
      <w:r>
        <w:rPr>
          <w:spacing w:val="-61"/>
        </w:rPr>
        <w:t> </w:t>
      </w:r>
      <w:r>
        <w:rPr/>
        <w:t>年</w:t>
      </w:r>
      <w:r>
        <w:rPr>
          <w:spacing w:val="-63"/>
        </w:rPr>
        <w:t> </w:t>
      </w:r>
      <w:r>
        <w:rPr/>
        <w:t>1</w:t>
      </w:r>
      <w:r>
        <w:rPr>
          <w:spacing w:val="-61"/>
        </w:rPr>
        <w:t> </w:t>
      </w:r>
      <w:r>
        <w:rPr/>
        <w:t>月</w:t>
      </w:r>
      <w:r>
        <w:rPr>
          <w:spacing w:val="-63"/>
        </w:rPr>
        <w:t> </w:t>
      </w:r>
      <w:r>
        <w:rPr/>
        <w:t>19</w:t>
      </w:r>
      <w:r>
        <w:rPr>
          <w:spacing w:val="-62"/>
        </w:rPr>
        <w:t> </w:t>
      </w:r>
      <w:r>
        <w:rPr/>
        <w:t>日辞去副总经理职务，同日公司召开第二届董事会第十次会议聘任徐春梅女士为副总经理。</w:t>
      </w:r>
    </w:p>
    <w:p>
      <w:pPr>
        <w:spacing w:after="0" w:line="240" w:lineRule="exact"/>
        <w:jc w:val="left"/>
        <w:sectPr>
          <w:type w:val="continuous"/>
          <w:pgSz w:w="16840" w:h="11910" w:orient="landscape"/>
          <w:pgMar w:top="1120" w:bottom="1160" w:left="130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074"/>
        <w:gridCol w:w="13015"/>
      </w:tblGrid>
      <w:tr>
        <w:trPr>
          <w:trHeight w:val="46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b/>
                <w:bCs/>
                <w:sz w:val="21"/>
                <w:szCs w:val="21"/>
              </w:rPr>
              <w:t>最近</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pacing w:val="-55"/>
                <w:sz w:val="21"/>
                <w:szCs w:val="21"/>
              </w:rPr>
              <w:t> </w:t>
            </w:r>
            <w:r>
              <w:rPr>
                <w:rFonts w:ascii="宋体" w:hAnsi="宋体" w:cs="宋体" w:eastAsia="宋体" w:hint="default"/>
                <w:b/>
                <w:bCs/>
                <w:sz w:val="21"/>
                <w:szCs w:val="21"/>
              </w:rPr>
              <w:t>年的主要工作经历</w:t>
            </w:r>
            <w:r>
              <w:rPr>
                <w:rFonts w:ascii="宋体" w:hAnsi="宋体" w:cs="宋体" w:eastAsia="宋体" w:hint="default"/>
                <w:sz w:val="21"/>
                <w:szCs w:val="21"/>
              </w:rPr>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2010 年至今任南威软件董事长兼总经理、福建新微科技有限公司监事、宁德新微投资有限公司监事；2013</w:t>
            </w:r>
            <w:r>
              <w:rPr>
                <w:rFonts w:ascii="宋体" w:hAnsi="宋体" w:cs="宋体" w:eastAsia="宋体" w:hint="default"/>
                <w:spacing w:val="-14"/>
                <w:sz w:val="21"/>
                <w:szCs w:val="21"/>
              </w:rPr>
              <w:t> </w:t>
            </w:r>
            <w:r>
              <w:rPr>
                <w:rFonts w:ascii="宋体" w:hAnsi="宋体" w:cs="宋体" w:eastAsia="宋体" w:hint="default"/>
                <w:sz w:val="21"/>
                <w:szCs w:val="21"/>
              </w:rPr>
              <w:t>年至今任新疆新微房地产开发有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限公司执行董事。</w:t>
            </w:r>
          </w:p>
        </w:tc>
      </w:tr>
      <w:tr>
        <w:trPr>
          <w:trHeight w:val="46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侯济恭</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年-2014</w:t>
            </w:r>
            <w:r>
              <w:rPr>
                <w:rFonts w:ascii="宋体" w:hAnsi="宋体" w:cs="宋体" w:eastAsia="宋体" w:hint="default"/>
                <w:spacing w:val="-54"/>
                <w:sz w:val="21"/>
                <w:szCs w:val="21"/>
              </w:rPr>
              <w:t> </w:t>
            </w:r>
            <w:r>
              <w:rPr>
                <w:rFonts w:ascii="宋体" w:hAnsi="宋体" w:cs="宋体" w:eastAsia="宋体" w:hint="default"/>
                <w:sz w:val="21"/>
                <w:szCs w:val="21"/>
              </w:rPr>
              <w:t>年历任南威软件常务副总经理、董事、技术中心主任；现任南威软件董事、技术委员会主任。</w:t>
            </w:r>
          </w:p>
        </w:tc>
      </w:tr>
      <w:tr>
        <w:trPr>
          <w:trHeight w:val="46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年至今任南威软件副总经理、董事。</w:t>
            </w:r>
          </w:p>
        </w:tc>
      </w:tr>
      <w:tr>
        <w:trPr>
          <w:trHeight w:val="46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年至今任德弘嘉业执行合伙人；现任德弘嘉业执行合伙人、南威软件董事、福建雪人股份有限公司副总经理。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
                <w:sz w:val="21"/>
                <w:szCs w:val="21"/>
              </w:rPr>
              <w:t> 年起曾任北京歌华有线电视网络股份有限公司独立董事，恒宝股份有限公司独立董事；现任南威软件独立董事、万达信息股份有限公司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独立董事、彩虹显示器件股份有限公司独立董事，福建星网锐捷通讯股份有限公司独立董事。</w:t>
            </w:r>
          </w:p>
        </w:tc>
      </w:tr>
      <w:tr>
        <w:trPr>
          <w:trHeight w:val="8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
                <w:sz w:val="21"/>
                <w:szCs w:val="21"/>
              </w:rPr>
              <w:t> </w:t>
            </w:r>
            <w:r>
              <w:rPr>
                <w:rFonts w:ascii="宋体" w:hAnsi="宋体" w:cs="宋体" w:eastAsia="宋体" w:hint="default"/>
                <w:spacing w:val="-2"/>
                <w:sz w:val="21"/>
                <w:szCs w:val="21"/>
              </w:rPr>
              <w:t>年至今历任福州大学计算机系讲师、教授、系主任和副院长；现任南威软件独立董事，福州大学数学与计算机科学学院教授、博士生导</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
                <w:sz w:val="21"/>
                <w:szCs w:val="21"/>
              </w:rPr>
              <w:t>师，福建省信息产业专家委员会委员，福建省计算机学会副理事长，福建博思软件股份有限公司独立董事、福建星网锐捷通讯股份有限公司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独立董事。</w:t>
            </w:r>
          </w:p>
        </w:tc>
      </w:tr>
      <w:tr>
        <w:trPr>
          <w:trHeight w:val="46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年至今历任福建省范厝水电厂计财科会计，华侨大学教授。现任南威软件独立董事，华侨大学会计系主任。</w:t>
            </w:r>
          </w:p>
        </w:tc>
      </w:tr>
      <w:tr>
        <w:trPr>
          <w:trHeight w:val="46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黄文峰</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年至今曾任南威软件政务事业部总经理，现任南威软件监事会主席兼政务事业部总经理。</w:t>
            </w:r>
          </w:p>
        </w:tc>
      </w:tr>
      <w:tr>
        <w:trPr>
          <w:trHeight w:val="46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许辉奇</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年至今曾任南威软件政务事业部副总经理，现任南威软件监事兼重点行业事业部总经理。</w:t>
            </w:r>
          </w:p>
        </w:tc>
      </w:tr>
      <w:tr>
        <w:trPr>
          <w:trHeight w:val="46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年至今曾任南威软件工程师、项目经理等职务，现任南威软件职工代表监事兼项目与质量管理部总经理。</w:t>
            </w:r>
          </w:p>
        </w:tc>
      </w:tr>
      <w:tr>
        <w:trPr>
          <w:trHeight w:val="46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年至今曾任南威软件总经理助理、总经理办公室主任，现任南威软件副总经理兼董事会秘书。</w:t>
            </w:r>
          </w:p>
        </w:tc>
      </w:tr>
      <w:tr>
        <w:trPr>
          <w:trHeight w:val="46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郑金聪</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年至今任南威软件财务总监。</w:t>
            </w:r>
          </w:p>
        </w:tc>
      </w:tr>
      <w:tr>
        <w:trPr>
          <w:trHeight w:val="46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潘新瑾</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年至今曾任南威软件董事、副总经理，</w:t>
            </w:r>
            <w:r>
              <w:rPr>
                <w:rFonts w:ascii="宋体" w:hAnsi="宋体" w:cs="宋体" w:eastAsia="宋体" w:hint="default"/>
                <w:spacing w:val="-2"/>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月辞去副总经理职务。</w:t>
            </w:r>
          </w:p>
        </w:tc>
      </w:tr>
      <w:tr>
        <w:trPr>
          <w:trHeight w:val="46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年至今曾任南威软件技术副总监、项目总监，现任南威软件副总经理、泉州微软技术中心董事长。</w:t>
            </w:r>
          </w:p>
        </w:tc>
      </w:tr>
    </w:tbl>
    <w:p>
      <w:pPr>
        <w:pStyle w:val="BodyText"/>
        <w:spacing w:line="238" w:lineRule="exact" w:before="0"/>
        <w:ind w:left="225" w:right="7985"/>
        <w:jc w:val="left"/>
      </w:pPr>
      <w:r>
        <w:rPr/>
        <w:t>其它情况说明：</w:t>
      </w:r>
    </w:p>
    <w:p>
      <w:pPr>
        <w:pStyle w:val="BodyText"/>
        <w:spacing w:line="274" w:lineRule="exact" w:before="0"/>
        <w:ind w:left="225" w:right="7985"/>
        <w:jc w:val="left"/>
      </w:pPr>
      <w:r>
        <w:rPr/>
        <w:t>无</w:t>
      </w:r>
    </w:p>
    <w:p>
      <w:pPr>
        <w:spacing w:after="0" w:line="274" w:lineRule="exact"/>
        <w:jc w:val="left"/>
        <w:sectPr>
          <w:pgSz w:w="16840" w:h="11910" w:orient="landscape"/>
          <w:pgMar w:header="882" w:footer="973" w:top="1120" w:bottom="1160" w:left="1300" w:right="1220"/>
        </w:sectPr>
      </w:pPr>
    </w:p>
    <w:p>
      <w:pPr>
        <w:pStyle w:val="Heading2"/>
        <w:spacing w:line="240" w:lineRule="auto" w:before="117"/>
        <w:ind w:left="225" w:right="798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Heading2"/>
        <w:spacing w:line="290" w:lineRule="auto" w:before="30"/>
        <w:ind w:left="225" w:right="8165"/>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
        </w:rPr>
        <w:t> </w:t>
      </w:r>
      <w:r>
        <w:rPr>
          <w:w w:val="95"/>
        </w:rPr>
        <w:t>二、现任及报告期内离任董事、监事和高级管理人员的任职情况 </w:t>
      </w:r>
      <w:r>
        <w:rPr>
          <w:spacing w:val="87"/>
          <w:w w:val="95"/>
        </w:rPr>
        <w:t> </w:t>
      </w:r>
      <w:r>
        <w:rPr>
          <w:spacing w:val="87"/>
          <w:w w:val="95"/>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在股东单位任职情况</w:t>
      </w:r>
      <w:r>
        <w:rPr>
          <w:b w:val="0"/>
          <w:bCs w:val="0"/>
        </w:rPr>
      </w:r>
    </w:p>
    <w:p>
      <w:pPr>
        <w:pStyle w:val="BodyText"/>
        <w:spacing w:line="252" w:lineRule="exact" w:before="0"/>
        <w:ind w:left="225" w:right="798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02"/>
        <w:gridCol w:w="3685"/>
        <w:gridCol w:w="2834"/>
        <w:gridCol w:w="2390"/>
        <w:gridCol w:w="2377"/>
      </w:tblGrid>
      <w:tr>
        <w:trPr>
          <w:trHeight w:val="46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46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德弘嘉业</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执行合伙人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77"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pStyle w:val="Heading2"/>
        <w:spacing w:line="240" w:lineRule="auto"/>
        <w:ind w:left="225" w:right="798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t>在其他单位任职情况</w:t>
      </w:r>
      <w:r>
        <w:rPr>
          <w:b w:val="0"/>
          <w:bCs w:val="0"/>
        </w:rPr>
      </w:r>
    </w:p>
    <w:p>
      <w:pPr>
        <w:pStyle w:val="BodyText"/>
        <w:spacing w:line="240" w:lineRule="auto" w:before="30"/>
        <w:ind w:left="225" w:right="798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18"/>
        <w:gridCol w:w="3670"/>
        <w:gridCol w:w="2834"/>
        <w:gridCol w:w="2376"/>
        <w:gridCol w:w="2392"/>
      </w:tblGrid>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51"/>
              <w:jc w:val="righ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59"/>
              <w:jc w:val="righ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7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宁德新微投资有限公司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7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新疆新微房地产开发有限公司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7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周伟贤</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福建雪人股份有限公司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7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周伟贤</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德弘嘉业</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执行合伙人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7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王建章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万达信息股份有限公司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7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84"/>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彩虹显示器件股份有限公司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27"/>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35"/>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46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福建星网锐捷通讯股份有限公司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27"/>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3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福州大学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教授、副院长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28"/>
              <w:jc w:val="righ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6840" w:h="11910" w:orient="landscape"/>
          <w:pgMar w:footer="973" w:header="882" w:top="1120" w:bottom="1160" w:left="1300" w:right="1220"/>
        </w:sectPr>
      </w:pP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818"/>
        <w:gridCol w:w="3670"/>
        <w:gridCol w:w="2834"/>
        <w:gridCol w:w="2376"/>
        <w:gridCol w:w="2392"/>
      </w:tblGrid>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福建省信息产业专家委员会</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委员</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福建省计算机学会</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福建博思软件股份有限公司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福建星网锐捷通讯股份有限公司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曾繁英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华侨大学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教授、会计系主任</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25" w:right="7985"/>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4644"/>
        <w:gridCol w:w="9445"/>
      </w:tblGrid>
      <w:tr>
        <w:trPr>
          <w:trHeight w:val="46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根据公司章程，董事、监事报酬由股东大会确定；高级管理人员报酬由董事会确定。</w:t>
            </w:r>
          </w:p>
        </w:tc>
      </w:tr>
      <w:tr>
        <w:trPr>
          <w:trHeight w:val="46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结合公司所处行业及地区的薪酬水平，根据公司《薪酬管理制度》确定。</w:t>
            </w:r>
          </w:p>
        </w:tc>
      </w:tr>
      <w:tr>
        <w:trPr>
          <w:trHeight w:val="46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董事、监事和高级管理人员报酬的应付报酬情况</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2,302,545.50</w:t>
            </w:r>
            <w:r>
              <w:rPr>
                <w:rFonts w:ascii="宋体" w:hAnsi="宋体" w:cs="宋体" w:eastAsia="宋体" w:hint="default"/>
                <w:spacing w:val="-63"/>
                <w:sz w:val="21"/>
                <w:szCs w:val="21"/>
              </w:rPr>
              <w:t> </w:t>
            </w:r>
            <w:r>
              <w:rPr>
                <w:rFonts w:ascii="宋体" w:hAnsi="宋体" w:cs="宋体" w:eastAsia="宋体" w:hint="default"/>
                <w:sz w:val="21"/>
                <w:szCs w:val="21"/>
              </w:rPr>
              <w:t>元</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得的报酬合计</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2,302,545.50</w:t>
            </w:r>
            <w:r>
              <w:rPr>
                <w:rFonts w:ascii="宋体" w:hAnsi="宋体" w:cs="宋体" w:eastAsia="宋体" w:hint="default"/>
                <w:spacing w:val="-58"/>
                <w:sz w:val="21"/>
                <w:szCs w:val="21"/>
              </w:rPr>
              <w:t> </w:t>
            </w:r>
            <w:r>
              <w:rPr>
                <w:rFonts w:ascii="宋体" w:hAnsi="宋体" w:cs="宋体" w:eastAsia="宋体" w:hint="default"/>
                <w:sz w:val="21"/>
                <w:szCs w:val="21"/>
              </w:rPr>
              <w:t>元</w:t>
            </w:r>
          </w:p>
        </w:tc>
      </w:tr>
    </w:tbl>
    <w:p>
      <w:pPr>
        <w:spacing w:line="240" w:lineRule="auto" w:before="0"/>
        <w:rPr>
          <w:rFonts w:ascii="宋体" w:hAnsi="宋体" w:cs="宋体" w:eastAsia="宋体" w:hint="default"/>
          <w:b/>
          <w:bCs/>
          <w:sz w:val="20"/>
          <w:szCs w:val="20"/>
        </w:rPr>
      </w:pPr>
    </w:p>
    <w:p>
      <w:pPr>
        <w:pStyle w:val="Heading2"/>
        <w:spacing w:line="240" w:lineRule="auto"/>
        <w:ind w:left="225" w:right="7985"/>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3522"/>
        <w:gridCol w:w="3522"/>
        <w:gridCol w:w="3522"/>
        <w:gridCol w:w="3523"/>
      </w:tblGrid>
      <w:tr>
        <w:trPr>
          <w:trHeight w:val="464"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64"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潘新瑾</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0"/>
        <w:rPr>
          <w:rFonts w:ascii="宋体" w:hAnsi="宋体" w:cs="宋体" w:eastAsia="宋体" w:hint="default"/>
          <w:b/>
          <w:bCs/>
          <w:sz w:val="20"/>
          <w:szCs w:val="20"/>
        </w:rPr>
      </w:pPr>
    </w:p>
    <w:p>
      <w:pPr>
        <w:spacing w:line="290" w:lineRule="auto" w:before="35"/>
        <w:ind w:left="645" w:right="7985" w:hanging="42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本报告期内公司核心技术团队和关键技术人员均未发生变化。</w:t>
      </w:r>
    </w:p>
    <w:p>
      <w:pPr>
        <w:spacing w:after="0" w:line="290" w:lineRule="auto"/>
        <w:jc w:val="left"/>
        <w:rPr>
          <w:rFonts w:ascii="宋体" w:hAnsi="宋体" w:cs="宋体" w:eastAsia="宋体" w:hint="default"/>
          <w:sz w:val="21"/>
          <w:szCs w:val="21"/>
        </w:rPr>
        <w:sectPr>
          <w:footerReference w:type="default" r:id="rId35"/>
          <w:pgSz w:w="16840" w:h="11910" w:orient="landscape"/>
          <w:pgMar w:footer="973" w:header="882" w:top="1120" w:bottom="116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9"/>
        <w:ind w:right="0"/>
        <w:jc w:val="left"/>
        <w:rPr>
          <w:b w:val="0"/>
          <w:bCs w:val="0"/>
        </w:rPr>
      </w:pPr>
      <w:r>
        <w:rPr/>
        <w:t>六、母公司和主要子公司的员工情况</w:t>
      </w:r>
      <w:r>
        <w:rPr>
          <w:b w:val="0"/>
          <w:bCs w:val="0"/>
        </w:rPr>
      </w:r>
    </w:p>
    <w:p>
      <w:pPr>
        <w:pStyle w:val="Heading2"/>
        <w:spacing w:line="240" w:lineRule="auto" w:before="5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4981"/>
        <w:gridCol w:w="4572"/>
      </w:tblGrid>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466</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sz w:val="21"/>
              </w:rPr>
              <w:t>249</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715</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sz w:val="21"/>
              </w:rPr>
              <w:t>0</w:t>
            </w:r>
          </w:p>
        </w:tc>
      </w:tr>
      <w:tr>
        <w:trPr>
          <w:trHeight w:val="408" w:hRule="exact"/>
        </w:trPr>
        <w:tc>
          <w:tcPr>
            <w:tcW w:w="9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sz w:val="21"/>
              </w:rPr>
              <w:t>0</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84</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484</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23</w:t>
            </w:r>
          </w:p>
        </w:tc>
      </w:tr>
      <w:tr>
        <w:trPr>
          <w:trHeight w:val="40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124</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715</w:t>
            </w:r>
          </w:p>
        </w:tc>
      </w:tr>
      <w:tr>
        <w:trPr>
          <w:trHeight w:val="407" w:hRule="exact"/>
        </w:trPr>
        <w:tc>
          <w:tcPr>
            <w:tcW w:w="9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本科以上学历</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20</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383</w:t>
            </w:r>
          </w:p>
        </w:tc>
      </w:tr>
      <w:tr>
        <w:trPr>
          <w:trHeight w:val="40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254</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58</w:t>
            </w:r>
          </w:p>
        </w:tc>
      </w:tr>
      <w:tr>
        <w:trPr>
          <w:trHeight w:val="407"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715</w:t>
            </w:r>
          </w:p>
        </w:tc>
      </w:tr>
    </w:tbl>
    <w:p>
      <w:pPr>
        <w:spacing w:line="240" w:lineRule="auto" w:before="0"/>
        <w:rPr>
          <w:rFonts w:ascii="宋体" w:hAnsi="宋体" w:cs="宋体" w:eastAsia="宋体" w:hint="default"/>
          <w:b/>
          <w:bCs/>
          <w:sz w:val="20"/>
          <w:szCs w:val="20"/>
        </w:rPr>
      </w:pP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314" w:lineRule="auto" w:before="108"/>
        <w:ind w:left="221" w:right="631" w:firstLine="420"/>
        <w:jc w:val="both"/>
      </w:pPr>
      <w:r>
        <w:rPr>
          <w:spacing w:val="-3"/>
        </w:rPr>
        <w:t>报告期内，公司不断完善和优化薪酬绩效考核体系，分别建立管理部门、技术部门、业务部门</w:t>
      </w:r>
      <w:r>
        <w:rPr/>
        <w:t> </w:t>
      </w:r>
      <w:r>
        <w:rPr>
          <w:spacing w:val="-3"/>
        </w:rPr>
        <w:t>绩效考核体系，实行技术部门薪资宽带、技术职称评定等措施，激励和提高员工工作积极性、主动</w:t>
      </w:r>
      <w:r>
        <w:rPr>
          <w:spacing w:val="-80"/>
        </w:rPr>
        <w:t> </w:t>
      </w:r>
      <w:r>
        <w:rPr>
          <w:spacing w:val="-80"/>
        </w:rPr>
      </w:r>
      <w:r>
        <w:rPr/>
        <w:t>性，吸引并留住优秀人才，为公司的可持续发展提供人力支撑。</w:t>
      </w:r>
    </w:p>
    <w:p>
      <w:pPr>
        <w:spacing w:line="240" w:lineRule="auto" w:before="13"/>
        <w:rPr>
          <w:rFonts w:ascii="宋体" w:hAnsi="宋体" w:cs="宋体" w:eastAsia="宋体" w:hint="default"/>
          <w:sz w:val="20"/>
          <w:szCs w:val="20"/>
        </w:rPr>
      </w:pPr>
    </w:p>
    <w:p>
      <w:pPr>
        <w:pStyle w:val="Heading2"/>
        <w:spacing w:line="240" w:lineRule="auto" w:before="0"/>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314" w:lineRule="auto" w:before="108"/>
        <w:ind w:left="221" w:right="631" w:firstLine="420"/>
        <w:jc w:val="both"/>
      </w:pPr>
      <w:r>
        <w:rPr>
          <w:spacing w:val="-3"/>
        </w:rPr>
        <w:t>公司制定了科学的人力资源发展规划，通过开展创业沙龙、创新论坛等活动，在员工能力开发</w:t>
      </w:r>
      <w:r>
        <w:rPr/>
        <w:t> </w:t>
      </w:r>
      <w:r>
        <w:rPr>
          <w:spacing w:val="-3"/>
        </w:rPr>
        <w:t>与培训上取得了显著的效果，有力提升全员的执行力、专业力、职业力。在未来的一段时间，公司</w:t>
      </w:r>
      <w:r>
        <w:rPr>
          <w:spacing w:val="-81"/>
        </w:rPr>
        <w:t> </w:t>
      </w:r>
      <w:r>
        <w:rPr>
          <w:spacing w:val="-81"/>
        </w:rPr>
      </w:r>
      <w:r>
        <w:rPr>
          <w:spacing w:val="-3"/>
        </w:rPr>
        <w:t>将继续引进优秀人才，完善人才梯队，不断提升管理和技术团队综合能力，加强内部培训课程开发</w:t>
      </w:r>
      <w:r>
        <w:rPr>
          <w:spacing w:val="-78"/>
        </w:rPr>
        <w:t> </w:t>
      </w:r>
      <w:r>
        <w:rPr>
          <w:spacing w:val="-78"/>
        </w:rPr>
      </w:r>
      <w:r>
        <w:rPr/>
        <w:t>和外部培训学习转化，促进企业软实力持续发展。</w:t>
      </w:r>
    </w:p>
    <w:p>
      <w:pPr>
        <w:spacing w:after="0" w:line="314" w:lineRule="auto"/>
        <w:jc w:val="both"/>
        <w:sectPr>
          <w:headerReference w:type="default" r:id="rId36"/>
          <w:footerReference w:type="default" r:id="rId37"/>
          <w:pgSz w:w="11910" w:h="16840"/>
          <w:pgMar w:header="882" w:footer="977" w:top="1100" w:bottom="1160" w:left="1480" w:right="640"/>
          <w:pgNumType w:start="42"/>
        </w:sectPr>
      </w:pPr>
    </w:p>
    <w:p>
      <w:pPr>
        <w:spacing w:line="240" w:lineRule="auto" w:before="4"/>
        <w:rPr>
          <w:rFonts w:ascii="宋体" w:hAnsi="宋体" w:cs="宋体" w:eastAsia="宋体" w:hint="default"/>
          <w:sz w:val="25"/>
          <w:szCs w:val="25"/>
        </w:rPr>
      </w:pPr>
    </w:p>
    <w:p>
      <w:pPr>
        <w:pStyle w:val="Heading2"/>
        <w:spacing w:line="240" w:lineRule="auto"/>
        <w:ind w:left="141"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4883" w:lineRule="exact"/>
        <w:ind w:left="120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318383" cy="3100768"/>
            <wp:effectExtent l="0" t="0" r="0" b="0"/>
            <wp:docPr id="3" name="image11.jpeg" descr=""/>
            <wp:cNvGraphicFramePr>
              <a:graphicFrameLocks noChangeAspect="1"/>
            </wp:cNvGraphicFramePr>
            <a:graphic>
              <a:graphicData uri="http://schemas.openxmlformats.org/drawingml/2006/picture">
                <pic:pic>
                  <pic:nvPicPr>
                    <pic:cNvPr id="4" name="image11.jpeg"/>
                    <pic:cNvPicPr/>
                  </pic:nvPicPr>
                  <pic:blipFill>
                    <a:blip r:embed="rId38" cstate="print"/>
                    <a:stretch>
                      <a:fillRect/>
                    </a:stretch>
                  </pic:blipFill>
                  <pic:spPr>
                    <a:xfrm>
                      <a:off x="0" y="0"/>
                      <a:ext cx="4318383" cy="3100768"/>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0"/>
          <w:szCs w:val="20"/>
        </w:rPr>
      </w:pPr>
    </w:p>
    <w:p>
      <w:pPr>
        <w:pStyle w:val="Heading2"/>
        <w:spacing w:line="240" w:lineRule="auto" w:before="0"/>
        <w:ind w:left="141"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2"/>
        <w:rPr>
          <w:rFonts w:ascii="宋体" w:hAnsi="宋体" w:cs="宋体" w:eastAsia="宋体" w:hint="default"/>
          <w:b/>
          <w:bCs/>
          <w:sz w:val="5"/>
          <w:szCs w:val="5"/>
        </w:rPr>
      </w:pPr>
    </w:p>
    <w:p>
      <w:pPr>
        <w:spacing w:line="5460" w:lineRule="exact"/>
        <w:ind w:left="1288"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4198795" cy="3467480"/>
            <wp:effectExtent l="0" t="0" r="0" b="0"/>
            <wp:docPr id="5" name="image12.jpeg" descr=""/>
            <wp:cNvGraphicFramePr>
              <a:graphicFrameLocks noChangeAspect="1"/>
            </wp:cNvGraphicFramePr>
            <a:graphic>
              <a:graphicData uri="http://schemas.openxmlformats.org/drawingml/2006/picture">
                <pic:pic>
                  <pic:nvPicPr>
                    <pic:cNvPr id="6" name="image12.jpeg"/>
                    <pic:cNvPicPr/>
                  </pic:nvPicPr>
                  <pic:blipFill>
                    <a:blip r:embed="rId39" cstate="print"/>
                    <a:stretch>
                      <a:fillRect/>
                    </a:stretch>
                  </pic:blipFill>
                  <pic:spPr>
                    <a:xfrm>
                      <a:off x="0" y="0"/>
                      <a:ext cx="4198795" cy="3467480"/>
                    </a:xfrm>
                    <a:prstGeom prst="rect">
                      <a:avLst/>
                    </a:prstGeom>
                  </pic:spPr>
                </pic:pic>
              </a:graphicData>
            </a:graphic>
          </wp:inline>
        </w:drawing>
      </w:r>
      <w:r>
        <w:rPr>
          <w:rFonts w:ascii="宋体" w:hAnsi="宋体" w:cs="宋体" w:eastAsia="宋体" w:hint="default"/>
          <w:position w:val="-108"/>
          <w:sz w:val="20"/>
          <w:szCs w:val="20"/>
        </w:rPr>
      </w:r>
    </w:p>
    <w:p>
      <w:pPr>
        <w:spacing w:after="0" w:line="5460" w:lineRule="exact"/>
        <w:rPr>
          <w:rFonts w:ascii="宋体" w:hAnsi="宋体" w:cs="宋体" w:eastAsia="宋体" w:hint="default"/>
          <w:sz w:val="20"/>
          <w:szCs w:val="20"/>
        </w:rPr>
        <w:sectPr>
          <w:pgSz w:w="11910" w:h="16840"/>
          <w:pgMar w:header="882" w:footer="977" w:top="1120" w:bottom="1160" w:left="1560" w:right="11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6"/>
          <w:szCs w:val="26"/>
        </w:rPr>
      </w:pPr>
    </w:p>
    <w:p>
      <w:pPr>
        <w:pStyle w:val="Heading1"/>
        <w:tabs>
          <w:tab w:pos="1259" w:val="left" w:leader="none"/>
        </w:tabs>
        <w:spacing w:line="240" w:lineRule="auto"/>
        <w:ind w:right="71"/>
        <w:jc w:val="center"/>
        <w:rPr>
          <w:b w:val="0"/>
          <w:bCs w:val="0"/>
        </w:rPr>
      </w:pPr>
      <w:bookmarkStart w:name="_TOC_250003" w:id="8"/>
      <w:r>
        <w:rPr>
          <w:w w:val="95"/>
        </w:rPr>
        <w:t>第八节</w:t>
        <w:tab/>
      </w:r>
      <w:r>
        <w:rPr/>
        <w:t>公司治理</w:t>
      </w:r>
      <w:bookmarkEnd w:id="8"/>
      <w:r>
        <w:rPr>
          <w:b w:val="0"/>
          <w:bCs w:val="0"/>
        </w:rPr>
      </w:r>
    </w:p>
    <w:p>
      <w:pPr>
        <w:pStyle w:val="Heading2"/>
        <w:spacing w:line="240" w:lineRule="auto" w:before="249"/>
        <w:ind w:left="141" w:right="0"/>
        <w:jc w:val="both"/>
        <w:rPr>
          <w:b w:val="0"/>
          <w:bCs w:val="0"/>
        </w:rPr>
      </w:pPr>
      <w:r>
        <w:rPr/>
        <w:t>一、公司治理及内幕知情人登记管理等相关情况说明</w:t>
      </w:r>
      <w:r>
        <w:rPr>
          <w:b w:val="0"/>
          <w:bCs w:val="0"/>
        </w:rPr>
      </w:r>
    </w:p>
    <w:p>
      <w:pPr>
        <w:pStyle w:val="BodyText"/>
        <w:spacing w:line="348" w:lineRule="auto" w:before="168"/>
        <w:ind w:left="561" w:right="203" w:hanging="420"/>
        <w:jc w:val="left"/>
      </w:pPr>
      <w:r>
        <w:rPr>
          <w:rFonts w:ascii="宋体" w:hAnsi="宋体" w:cs="宋体" w:eastAsia="宋体" w:hint="default"/>
          <w:b/>
          <w:bCs/>
        </w:rPr>
        <w:t>（一）</w:t>
      </w:r>
      <w:r>
        <w:rPr>
          <w:rFonts w:ascii="宋体" w:hAnsi="宋体" w:cs="宋体" w:eastAsia="宋体" w:hint="default"/>
          <w:b/>
          <w:bCs/>
          <w:spacing w:val="-19"/>
        </w:rPr>
        <w:t> </w:t>
      </w:r>
      <w:r>
        <w:rPr>
          <w:rFonts w:ascii="宋体" w:hAnsi="宋体" w:cs="宋体" w:eastAsia="宋体" w:hint="default"/>
          <w:b/>
          <w:bCs/>
        </w:rPr>
        <w:t>公司治理</w:t>
      </w:r>
      <w:r>
        <w:rPr>
          <w:rFonts w:ascii="宋体" w:hAnsi="宋体" w:cs="宋体" w:eastAsia="宋体" w:hint="default"/>
          <w:b/>
          <w:bCs/>
          <w:spacing w:val="1"/>
          <w:w w:val="99"/>
        </w:rPr>
        <w:t> </w:t>
      </w:r>
      <w:r>
        <w:rPr>
          <w:spacing w:val="-3"/>
        </w:rPr>
        <w:t>报告期内，公司严格按照《公司法》、《证券法》和中国证监会的相关法律法规和规范性文件</w:t>
      </w:r>
    </w:p>
    <w:p>
      <w:pPr>
        <w:pStyle w:val="BodyText"/>
        <w:spacing w:line="350" w:lineRule="auto" w:before="30"/>
        <w:ind w:right="211"/>
        <w:jc w:val="both"/>
      </w:pPr>
      <w:r>
        <w:rPr>
          <w:spacing w:val="-3"/>
        </w:rPr>
        <w:t>要求，不断完善公司法人治理结构，积极推进内部控制规范建设工作，认真履行信息披露义务，加</w:t>
      </w:r>
      <w:r>
        <w:rPr>
          <w:spacing w:val="-80"/>
        </w:rPr>
        <w:t> </w:t>
      </w:r>
      <w:r>
        <w:rPr>
          <w:spacing w:val="-80"/>
        </w:rPr>
      </w:r>
      <w:r>
        <w:rPr>
          <w:spacing w:val="-3"/>
        </w:rPr>
        <w:t>强投资者关系管理，努力提升公司规范运作水平。本公司已经建立了由股东大会、董事会、监事会</w:t>
      </w:r>
      <w:r>
        <w:rPr>
          <w:spacing w:val="-80"/>
        </w:rPr>
        <w:t> </w:t>
      </w:r>
      <w:r>
        <w:rPr>
          <w:spacing w:val="-80"/>
        </w:rPr>
      </w:r>
      <w:r>
        <w:rPr>
          <w:spacing w:val="-3"/>
        </w:rPr>
        <w:t>和经营管理层组成的公司治理架构，以公司章程为基础制定了多层次的治理规则，并在实践中不断</w:t>
      </w:r>
      <w:r>
        <w:rPr>
          <w:spacing w:val="-78"/>
        </w:rPr>
        <w:t> </w:t>
      </w:r>
      <w:r>
        <w:rPr>
          <w:spacing w:val="-78"/>
        </w:rPr>
      </w:r>
      <w:r>
        <w:rPr>
          <w:spacing w:val="-3"/>
        </w:rPr>
        <w:t>检讨和完善，用以明确各方的职责、权限和行为准则。公司股东大会、董事会、监事会和经营管理</w:t>
      </w:r>
      <w:r>
        <w:rPr>
          <w:spacing w:val="-81"/>
        </w:rPr>
        <w:t> </w:t>
      </w:r>
      <w:r>
        <w:rPr>
          <w:spacing w:val="-81"/>
        </w:rPr>
      </w:r>
      <w:r>
        <w:rPr/>
        <w:t>层责权分明、有效制衡、协调运营，为公司持续、稳定、健康发展奠定了坚实的基础。</w:t>
      </w:r>
    </w:p>
    <w:p>
      <w:pPr>
        <w:pStyle w:val="BodyText"/>
        <w:spacing w:line="348" w:lineRule="auto" w:before="28"/>
        <w:ind w:left="561" w:right="203" w:firstLine="2"/>
        <w:jc w:val="left"/>
      </w:pPr>
      <w:r>
        <w:rPr>
          <w:rFonts w:ascii="宋体" w:hAnsi="宋体" w:cs="宋体" w:eastAsia="宋体" w:hint="default"/>
          <w:b/>
          <w:bCs/>
        </w:rPr>
        <w:t>1、股东与股东大会</w:t>
      </w:r>
      <w:r>
        <w:rPr>
          <w:rFonts w:ascii="宋体" w:hAnsi="宋体" w:cs="宋体" w:eastAsia="宋体" w:hint="default"/>
          <w:b/>
          <w:bCs/>
          <w:spacing w:val="1"/>
          <w:w w:val="99"/>
        </w:rPr>
        <w:t> </w:t>
      </w:r>
      <w:r>
        <w:rPr>
          <w:spacing w:val="-3"/>
        </w:rPr>
        <w:t>公司平等对待所有股东，确保股东特别是中小股东能充分行使权利，保护其合法权益，保证股</w:t>
      </w:r>
    </w:p>
    <w:p>
      <w:pPr>
        <w:pStyle w:val="BodyText"/>
        <w:spacing w:line="350" w:lineRule="auto" w:before="31"/>
        <w:ind w:right="211"/>
        <w:jc w:val="both"/>
      </w:pPr>
      <w:r>
        <w:rPr>
          <w:spacing w:val="-3"/>
        </w:rPr>
        <w:t>东对法律行政法规和公司章程规定的公司重大事项享有知情权和参与权；能够严格按照相关法律法</w:t>
      </w:r>
      <w:r>
        <w:rPr>
          <w:spacing w:val="-77"/>
        </w:rPr>
        <w:t> </w:t>
      </w:r>
      <w:r>
        <w:rPr>
          <w:spacing w:val="-77"/>
        </w:rPr>
      </w:r>
      <w:r>
        <w:rPr>
          <w:spacing w:val="-3"/>
        </w:rPr>
        <w:t>规的要求，规范召集并召开股东大会。公司的治理结构确保了所有股东享有平等的权利，并承担相</w:t>
      </w:r>
      <w:r>
        <w:rPr>
          <w:spacing w:val="-78"/>
        </w:rPr>
        <w:t> </w:t>
      </w:r>
      <w:r>
        <w:rPr>
          <w:spacing w:val="-78"/>
        </w:rPr>
      </w:r>
      <w:r>
        <w:rPr>
          <w:spacing w:val="-3"/>
        </w:rPr>
        <w:t>应的义务。公司召开的股东大会均聘请了律师事务所对股东大会的召集、召开程序、出席会议人员</w:t>
      </w:r>
      <w:r>
        <w:rPr>
          <w:spacing w:val="-78"/>
        </w:rPr>
        <w:t> </w:t>
      </w:r>
      <w:r>
        <w:rPr>
          <w:spacing w:val="-78"/>
        </w:rPr>
      </w:r>
      <w:r>
        <w:rPr>
          <w:spacing w:val="-8"/>
        </w:rPr>
        <w:t>的资格及表决程序和会议所通过的决议进行了见证，均符合《公司法》、《公司章程》以及公司《股</w:t>
      </w:r>
      <w:r>
        <w:rPr>
          <w:spacing w:val="-67"/>
        </w:rPr>
        <w:t> </w:t>
      </w:r>
      <w:r>
        <w:rPr>
          <w:spacing w:val="-67"/>
        </w:rPr>
      </w:r>
      <w:r>
        <w:rPr/>
        <w:t>东大会议事规则》的规定。</w:t>
      </w:r>
    </w:p>
    <w:p>
      <w:pPr>
        <w:pStyle w:val="BodyText"/>
        <w:spacing w:line="350" w:lineRule="auto" w:before="28"/>
        <w:ind w:left="561" w:right="203" w:firstLine="2"/>
        <w:jc w:val="left"/>
      </w:pPr>
      <w:r>
        <w:rPr>
          <w:rFonts w:ascii="宋体" w:hAnsi="宋体" w:cs="宋体" w:eastAsia="宋体" w:hint="default"/>
          <w:b/>
          <w:bCs/>
        </w:rPr>
        <w:t>2、控股股东与公司</w:t>
      </w:r>
      <w:r>
        <w:rPr>
          <w:rFonts w:ascii="宋体" w:hAnsi="宋体" w:cs="宋体" w:eastAsia="宋体" w:hint="default"/>
          <w:b/>
          <w:bCs/>
          <w:spacing w:val="1"/>
          <w:w w:val="99"/>
        </w:rPr>
        <w:t> </w:t>
      </w:r>
      <w:r>
        <w:rPr>
          <w:spacing w:val="-3"/>
        </w:rPr>
        <w:t>公司控股股东认真履行诚信义务，行为合法合规，公司的重大决策由股东大会依法做出，控股</w:t>
      </w:r>
    </w:p>
    <w:p>
      <w:pPr>
        <w:pStyle w:val="BodyText"/>
        <w:spacing w:line="350" w:lineRule="auto" w:before="28"/>
        <w:ind w:right="93"/>
        <w:jc w:val="left"/>
      </w:pPr>
      <w:r>
        <w:rPr/>
        <w:t>股东依法行使股东权利，没有超越公司股东大会直接或者间接干预公司的决策和经营活动的行为。 </w:t>
      </w:r>
      <w:r>
        <w:rPr>
          <w:spacing w:val="-3"/>
        </w:rPr>
        <w:t>控股股东与公司实现了人员、资产、财务、机构、业务的独立，公司独立决策，董事会、监事会和</w:t>
      </w:r>
      <w:r>
        <w:rPr>
          <w:spacing w:val="-81"/>
        </w:rPr>
        <w:t> </w:t>
      </w:r>
      <w:r>
        <w:rPr>
          <w:spacing w:val="-81"/>
        </w:rPr>
      </w:r>
      <w:r>
        <w:rPr>
          <w:spacing w:val="-3"/>
        </w:rPr>
        <w:t>经营层能够独立规范运作，关联交易公平合理，公司对关联交易的定价依据、协议的订立以及履行</w:t>
      </w:r>
      <w:r>
        <w:rPr>
          <w:spacing w:val="-78"/>
        </w:rPr>
        <w:t> </w:t>
      </w:r>
      <w:r>
        <w:rPr>
          <w:spacing w:val="-78"/>
        </w:rPr>
      </w:r>
      <w:r>
        <w:rPr/>
        <w:t>情况均能及时充分的披露。</w:t>
      </w:r>
    </w:p>
    <w:p>
      <w:pPr>
        <w:pStyle w:val="BodyText"/>
        <w:spacing w:line="350" w:lineRule="auto" w:before="28"/>
        <w:ind w:left="561" w:right="203" w:firstLine="2"/>
        <w:jc w:val="left"/>
      </w:pPr>
      <w:r>
        <w:rPr>
          <w:rFonts w:ascii="宋体" w:hAnsi="宋体" w:cs="宋体" w:eastAsia="宋体" w:hint="default"/>
          <w:b/>
          <w:bCs/>
        </w:rPr>
        <w:t>3、董事与董事会</w:t>
      </w:r>
      <w:r>
        <w:rPr>
          <w:rFonts w:ascii="宋体" w:hAnsi="宋体" w:cs="宋体" w:eastAsia="宋体" w:hint="default"/>
          <w:b/>
          <w:bCs/>
          <w:spacing w:val="1"/>
          <w:w w:val="99"/>
        </w:rPr>
        <w:t> </w:t>
      </w:r>
      <w:r>
        <w:rPr>
          <w:spacing w:val="-3"/>
        </w:rPr>
        <w:t>公司严格按照《公司法》、《公司章程》规定的选聘程序选举董事，公司董事会由七名董事组</w:t>
      </w:r>
    </w:p>
    <w:p>
      <w:pPr>
        <w:pStyle w:val="BodyText"/>
        <w:spacing w:line="350" w:lineRule="auto" w:before="28"/>
        <w:ind w:right="211"/>
        <w:jc w:val="both"/>
      </w:pPr>
      <w:r>
        <w:rPr>
          <w:spacing w:val="-3"/>
        </w:rPr>
        <w:t>成，其中独立董事为三名。董事会下设战略、提名、审计、薪酬与考核四个专门委员会，并制定了</w:t>
      </w:r>
      <w:r>
        <w:rPr>
          <w:spacing w:val="-78"/>
        </w:rPr>
        <w:t> </w:t>
      </w:r>
      <w:r>
        <w:rPr>
          <w:spacing w:val="-78"/>
        </w:rPr>
      </w:r>
      <w:r>
        <w:rPr>
          <w:spacing w:val="-3"/>
        </w:rPr>
        <w:t>相应的议事规则。公司各位董事能够积极参加有关培训，熟悉有关的法律法规，了解作为董事的权</w:t>
      </w:r>
      <w:r>
        <w:rPr>
          <w:spacing w:val="-78"/>
        </w:rPr>
        <w:t> </w:t>
      </w:r>
      <w:r>
        <w:rPr>
          <w:spacing w:val="-78"/>
        </w:rPr>
      </w:r>
      <w:r>
        <w:rPr>
          <w:spacing w:val="-3"/>
        </w:rPr>
        <w:t>利、义务和责任，认真阅读董事会和股东大会的各项议案，以认真负责的态度出席或授权委托参加</w:t>
      </w:r>
      <w:r>
        <w:rPr>
          <w:spacing w:val="-78"/>
        </w:rPr>
        <w:t> </w:t>
      </w:r>
      <w:r>
        <w:rPr>
          <w:spacing w:val="-78"/>
        </w:rPr>
      </w:r>
      <w:r>
        <w:rPr/>
        <w:t>董事会和股东大会，对董事会科学决策和公司健康发展起积极作用。</w:t>
      </w:r>
    </w:p>
    <w:p>
      <w:pPr>
        <w:pStyle w:val="BodyText"/>
        <w:spacing w:line="350" w:lineRule="auto" w:before="28"/>
        <w:ind w:left="561" w:right="203" w:firstLine="2"/>
        <w:jc w:val="left"/>
      </w:pPr>
      <w:r>
        <w:rPr>
          <w:rFonts w:ascii="宋体" w:hAnsi="宋体" w:cs="宋体" w:eastAsia="宋体" w:hint="default"/>
          <w:b/>
          <w:bCs/>
        </w:rPr>
        <w:t>4、监事与监事会</w:t>
      </w:r>
      <w:r>
        <w:rPr>
          <w:rFonts w:ascii="宋体" w:hAnsi="宋体" w:cs="宋体" w:eastAsia="宋体" w:hint="default"/>
          <w:b/>
          <w:bCs/>
          <w:spacing w:val="1"/>
          <w:w w:val="99"/>
        </w:rPr>
        <w:t> </w:t>
      </w:r>
      <w:r>
        <w:rPr>
          <w:spacing w:val="-3"/>
        </w:rPr>
        <w:t>公司监事会由三名监事组成，其中职工代表监事一名。根据《监事会议事规则》，各位监事能</w:t>
      </w:r>
    </w:p>
    <w:p>
      <w:pPr>
        <w:pStyle w:val="BodyText"/>
        <w:spacing w:line="348" w:lineRule="auto" w:before="28"/>
        <w:ind w:right="211"/>
        <w:jc w:val="both"/>
      </w:pPr>
      <w:r>
        <w:rPr>
          <w:spacing w:val="-3"/>
        </w:rPr>
        <w:t>够本着对股东负责的精神，严格按照法律法规以及公司章程的规定，认真履行监事职责，促进监事</w:t>
      </w:r>
      <w:r>
        <w:rPr>
          <w:spacing w:val="-78"/>
        </w:rPr>
        <w:t> </w:t>
      </w:r>
      <w:r>
        <w:rPr>
          <w:spacing w:val="-78"/>
        </w:rPr>
      </w:r>
      <w:r>
        <w:rPr/>
        <w:t>会规范运作，对公司财务以及公司董事、高级管理人员履行职责的合法合规性进行监督。</w:t>
      </w:r>
    </w:p>
    <w:p>
      <w:pPr>
        <w:pStyle w:val="Heading2"/>
        <w:spacing w:line="240" w:lineRule="auto" w:before="31"/>
        <w:ind w:left="564" w:right="227"/>
        <w:jc w:val="left"/>
        <w:rPr>
          <w:b w:val="0"/>
          <w:bCs w:val="0"/>
        </w:rPr>
      </w:pPr>
      <w:r>
        <w:rPr/>
        <w:t>5、信息披露工作</w:t>
      </w:r>
      <w:r>
        <w:rPr>
          <w:b w:val="0"/>
          <w:bCs w:val="0"/>
        </w:rPr>
      </w:r>
    </w:p>
    <w:p>
      <w:pPr>
        <w:spacing w:after="0" w:line="240" w:lineRule="auto"/>
        <w:jc w:val="left"/>
        <w:sectPr>
          <w:pgSz w:w="11910" w:h="16840"/>
          <w:pgMar w:header="882" w:footer="977" w:top="1120" w:bottom="1160" w:left="1560" w:right="106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350" w:lineRule="auto" w:before="35"/>
        <w:ind w:left="221" w:right="210" w:firstLine="420"/>
        <w:jc w:val="both"/>
      </w:pPr>
      <w:r>
        <w:rPr>
          <w:spacing w:val="-8"/>
        </w:rPr>
        <w:t>公司按照《上海证券交易所股票上市规则》、《公司章程》以及《信息披露管理制度》的规定，</w:t>
      </w:r>
      <w:r>
        <w:rPr/>
        <w:t> </w:t>
      </w:r>
      <w:r>
        <w:rPr>
          <w:spacing w:val="-3"/>
        </w:rPr>
        <w:t>依法履行信息披露义务。公司指定董事会秘书负责信息披露工作，依法履行信息披露义务、回答咨</w:t>
      </w:r>
      <w:r>
        <w:rPr>
          <w:spacing w:val="-78"/>
        </w:rPr>
        <w:t> </w:t>
      </w:r>
      <w:r>
        <w:rPr>
          <w:spacing w:val="-78"/>
        </w:rPr>
      </w:r>
      <w:r>
        <w:rPr>
          <w:spacing w:val="-3"/>
        </w:rPr>
        <w:t>询等，严格按照《公司章程》、《信息管理与披露制度》等法律法规真实、准确、完整、及时地披</w:t>
      </w:r>
      <w:r>
        <w:rPr>
          <w:spacing w:val="-78"/>
        </w:rPr>
        <w:t> </w:t>
      </w:r>
      <w:r>
        <w:rPr>
          <w:spacing w:val="-78"/>
        </w:rPr>
      </w:r>
      <w:r>
        <w:rPr/>
        <w:t>露有关信息，确保所有股东平等获得信息。</w:t>
      </w:r>
    </w:p>
    <w:p>
      <w:pPr>
        <w:pStyle w:val="BodyText"/>
        <w:spacing w:line="350" w:lineRule="auto" w:before="28"/>
        <w:ind w:left="641" w:right="0" w:firstLine="2"/>
        <w:jc w:val="left"/>
      </w:pPr>
      <w:r>
        <w:rPr>
          <w:rFonts w:ascii="宋体" w:hAnsi="宋体" w:cs="宋体" w:eastAsia="宋体" w:hint="default"/>
          <w:b/>
          <w:bCs/>
        </w:rPr>
        <w:t>6、投资者关系管理</w:t>
      </w:r>
      <w:r>
        <w:rPr>
          <w:rFonts w:ascii="宋体" w:hAnsi="宋体" w:cs="宋体" w:eastAsia="宋体" w:hint="default"/>
          <w:b/>
          <w:bCs/>
          <w:spacing w:val="1"/>
          <w:w w:val="99"/>
        </w:rPr>
        <w:t> </w:t>
      </w:r>
      <w:r>
        <w:rPr>
          <w:spacing w:val="-3"/>
        </w:rPr>
        <w:t>公司重视投资者关系的沟通与交流，董事会指定专门的部门和工作人员负责信息披露和投资者</w:t>
      </w:r>
    </w:p>
    <w:p>
      <w:pPr>
        <w:pStyle w:val="BodyText"/>
        <w:spacing w:line="348" w:lineRule="auto" w:before="28"/>
        <w:ind w:left="221" w:right="0"/>
        <w:jc w:val="left"/>
      </w:pPr>
      <w:r>
        <w:rPr>
          <w:spacing w:val="-3"/>
        </w:rPr>
        <w:t>关系管理工作，加强与中小股东的沟通，认真听取各方对公司发展的建议和意见，及时反馈给董事</w:t>
      </w:r>
      <w:r>
        <w:rPr>
          <w:spacing w:val="-78"/>
        </w:rPr>
        <w:t> </w:t>
      </w:r>
      <w:r>
        <w:rPr>
          <w:spacing w:val="-78"/>
        </w:rPr>
      </w:r>
      <w:r>
        <w:rPr/>
        <w:t>会，切实保证中小股东的合法权益。</w:t>
      </w:r>
    </w:p>
    <w:p>
      <w:pPr>
        <w:spacing w:line="348" w:lineRule="auto" w:before="31"/>
        <w:ind w:left="641" w:right="0" w:hanging="42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9"/>
          <w:sz w:val="21"/>
          <w:szCs w:val="21"/>
        </w:rPr>
        <w:t> </w:t>
      </w:r>
      <w:r>
        <w:rPr>
          <w:rFonts w:ascii="宋体" w:hAnsi="宋体" w:cs="宋体" w:eastAsia="宋体" w:hint="default"/>
          <w:b/>
          <w:bCs/>
          <w:sz w:val="21"/>
          <w:szCs w:val="21"/>
        </w:rPr>
        <w:t>内幕知情人登记管理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报告期内，公司根据有关法律、法规和《公司章程》、《公司信息披露管理制度》的规定，结</w:t>
      </w:r>
    </w:p>
    <w:p>
      <w:pPr>
        <w:pStyle w:val="BodyText"/>
        <w:spacing w:line="240" w:lineRule="auto" w:before="30"/>
        <w:ind w:left="221" w:right="0"/>
        <w:jc w:val="left"/>
      </w:pPr>
      <w:r>
        <w:rPr/>
        <w:t>合公司实际情况，制定了《内幕信息知情人登记制度》，并经第二届董事会第十次会议审议通过。</w:t>
      </w:r>
    </w:p>
    <w:p>
      <w:pPr>
        <w:pStyle w:val="BodyText"/>
        <w:spacing w:line="252" w:lineRule="auto" w:before="126"/>
        <w:ind w:left="641" w:right="1143" w:hanging="420"/>
        <w:jc w:val="left"/>
      </w:pPr>
      <w:r>
        <w:rPr/>
        <w:t>通过严格执行《内幕信息知情人登记管理制度》，确保信息披露的公平、公正、公开。 公司治理与《公司法》和中国证监会相关规定的要求不存在差异。</w:t>
      </w:r>
    </w:p>
    <w:p>
      <w:pPr>
        <w:spacing w:line="240" w:lineRule="auto" w:before="5"/>
        <w:rPr>
          <w:rFonts w:ascii="宋体" w:hAnsi="宋体" w:cs="宋体" w:eastAsia="宋体" w:hint="default"/>
          <w:sz w:val="24"/>
          <w:szCs w:val="24"/>
        </w:rPr>
      </w:pPr>
    </w:p>
    <w:p>
      <w:pPr>
        <w:pStyle w:val="Heading2"/>
        <w:spacing w:line="240" w:lineRule="auto" w:before="0"/>
        <w:ind w:right="0"/>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40"/>
        <w:gridCol w:w="1295"/>
        <w:gridCol w:w="3769"/>
        <w:gridCol w:w="715"/>
        <w:gridCol w:w="894"/>
        <w:gridCol w:w="689"/>
      </w:tblGrid>
      <w:tr>
        <w:trPr>
          <w:trHeight w:val="276" w:hRule="exact"/>
        </w:trPr>
        <w:tc>
          <w:tcPr>
            <w:tcW w:w="154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3769"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89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决议刊</w:t>
            </w:r>
            <w:r>
              <w:rPr>
                <w:rFonts w:ascii="宋体" w:hAnsi="宋体" w:cs="宋体" w:eastAsia="宋体" w:hint="default"/>
                <w:spacing w:val="-81"/>
                <w:sz w:val="21"/>
                <w:szCs w:val="21"/>
              </w:rPr>
              <w:t> </w:t>
            </w:r>
            <w:r>
              <w:rPr>
                <w:rFonts w:ascii="宋体" w:hAnsi="宋体" w:cs="宋体" w:eastAsia="宋体" w:hint="default"/>
                <w:sz w:val="21"/>
                <w:szCs w:val="21"/>
              </w:rPr>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决议</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817" w:hRule="exact"/>
        </w:trPr>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22"/>
              <w:jc w:val="right"/>
              <w:rPr>
                <w:rFonts w:ascii="宋体" w:hAnsi="宋体" w:cs="宋体" w:eastAsia="宋体" w:hint="default"/>
                <w:sz w:val="21"/>
                <w:szCs w:val="21"/>
              </w:rPr>
            </w:pPr>
            <w:r>
              <w:rPr>
                <w:rFonts w:ascii="宋体" w:hAnsi="宋体" w:cs="宋体" w:eastAsia="宋体" w:hint="default"/>
                <w:sz w:val="21"/>
                <w:szCs w:val="21"/>
              </w:rPr>
              <w:t>召开日期</w:t>
            </w: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248"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41" w:right="143"/>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89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登的指</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3" w:right="77"/>
              <w:jc w:val="left"/>
              <w:rPr>
                <w:rFonts w:ascii="宋体" w:hAnsi="宋体" w:cs="宋体" w:eastAsia="宋体" w:hint="default"/>
                <w:sz w:val="21"/>
                <w:szCs w:val="21"/>
              </w:rPr>
            </w:pPr>
            <w:r>
              <w:rPr>
                <w:rFonts w:ascii="宋体" w:hAnsi="宋体" w:cs="宋体" w:eastAsia="宋体" w:hint="default"/>
                <w:spacing w:val="16"/>
                <w:sz w:val="21"/>
                <w:szCs w:val="21"/>
              </w:rPr>
              <w:t>定网站</w:t>
            </w:r>
            <w:r>
              <w:rPr>
                <w:rFonts w:ascii="宋体" w:hAnsi="宋体" w:cs="宋体" w:eastAsia="宋体" w:hint="default"/>
                <w:spacing w:val="-81"/>
                <w:sz w:val="21"/>
                <w:szCs w:val="21"/>
              </w:rPr>
              <w:t> </w:t>
            </w:r>
            <w:r>
              <w:rPr>
                <w:rFonts w:ascii="宋体" w:hAnsi="宋体" w:cs="宋体" w:eastAsia="宋体" w:hint="default"/>
                <w:spacing w:val="16"/>
                <w:sz w:val="21"/>
                <w:szCs w:val="21"/>
              </w:rPr>
              <w:t>的查询</w:t>
            </w:r>
            <w:r>
              <w:rPr>
                <w:rFonts w:ascii="宋体" w:hAnsi="宋体" w:cs="宋体" w:eastAsia="宋体" w:hint="default"/>
                <w:spacing w:val="-81"/>
                <w:sz w:val="21"/>
                <w:szCs w:val="21"/>
              </w:rPr>
              <w:t> </w:t>
            </w:r>
            <w:r>
              <w:rPr>
                <w:rFonts w:ascii="宋体" w:hAnsi="宋体" w:cs="宋体" w:eastAsia="宋体" w:hint="default"/>
                <w:sz w:val="21"/>
                <w:szCs w:val="21"/>
              </w:rPr>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刊登</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2" w:lineRule="exact" w:before="26"/>
              <w:ind w:left="103" w:right="48"/>
              <w:jc w:val="left"/>
              <w:rPr>
                <w:rFonts w:ascii="宋体" w:hAnsi="宋体" w:cs="宋体" w:eastAsia="宋体" w:hint="default"/>
                <w:sz w:val="21"/>
                <w:szCs w:val="21"/>
              </w:rPr>
            </w:pPr>
            <w:r>
              <w:rPr>
                <w:rFonts w:ascii="宋体" w:hAnsi="宋体" w:cs="宋体" w:eastAsia="宋体" w:hint="default"/>
                <w:spacing w:val="26"/>
                <w:sz w:val="21"/>
                <w:szCs w:val="21"/>
              </w:rPr>
              <w:t>的披</w:t>
            </w:r>
            <w:r>
              <w:rPr>
                <w:rFonts w:ascii="宋体" w:hAnsi="宋体" w:cs="宋体" w:eastAsia="宋体" w:hint="default"/>
                <w:spacing w:val="-53"/>
                <w:sz w:val="21"/>
                <w:szCs w:val="21"/>
              </w:rPr>
              <w:t> </w:t>
            </w:r>
            <w:r>
              <w:rPr>
                <w:rFonts w:ascii="宋体" w:hAnsi="宋体" w:cs="宋体" w:eastAsia="宋体" w:hint="default"/>
                <w:spacing w:val="26"/>
                <w:sz w:val="21"/>
                <w:szCs w:val="21"/>
              </w:rPr>
              <w:t>露日</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279" w:hRule="exact"/>
        </w:trPr>
        <w:tc>
          <w:tcPr>
            <w:tcW w:w="154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3769"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89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索引</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w:t>
            </w:r>
          </w:p>
        </w:tc>
      </w:tr>
      <w:tr>
        <w:trPr>
          <w:trHeight w:val="397" w:hRule="exact"/>
        </w:trPr>
        <w:tc>
          <w:tcPr>
            <w:tcW w:w="154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37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1、《关于修订&lt;申请首次公开发行人民</w:t>
            </w:r>
          </w:p>
        </w:tc>
        <w:tc>
          <w:tcPr>
            <w:tcW w:w="715" w:type="dxa"/>
            <w:tcBorders>
              <w:top w:val="single" w:sz="4" w:space="0" w:color="000000"/>
              <w:left w:val="single" w:sz="4" w:space="0" w:color="000000"/>
              <w:bottom w:val="nil" w:sz="6" w:space="0" w:color="auto"/>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币普通股（A</w:t>
            </w:r>
            <w:r>
              <w:rPr>
                <w:rFonts w:ascii="宋体" w:hAnsi="宋体" w:cs="宋体" w:eastAsia="宋体" w:hint="default"/>
                <w:spacing w:val="-68"/>
                <w:sz w:val="21"/>
                <w:szCs w:val="21"/>
              </w:rPr>
              <w:t> </w:t>
            </w:r>
            <w:r>
              <w:rPr>
                <w:rFonts w:ascii="宋体" w:hAnsi="宋体" w:cs="宋体" w:eastAsia="宋体" w:hint="default"/>
                <w:sz w:val="21"/>
                <w:szCs w:val="21"/>
              </w:rPr>
              <w:t>股）并上市&gt;的议案》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4"/>
                <w:sz w:val="21"/>
                <w:szCs w:val="21"/>
              </w:rPr>
              <w:t>2、《关于授权董事会办理本次发行上</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市事宜的议案》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3、《关于制定&lt;公司股票上市后三年内</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公司股价稳定预案&gt;的议案》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1"/>
              <w:jc w:val="left"/>
              <w:rPr>
                <w:rFonts w:ascii="宋体" w:hAnsi="宋体" w:cs="宋体" w:eastAsia="宋体" w:hint="default"/>
                <w:sz w:val="21"/>
                <w:szCs w:val="21"/>
              </w:rPr>
            </w:pPr>
            <w:r>
              <w:rPr>
                <w:rFonts w:ascii="宋体" w:hAnsi="宋体" w:cs="宋体" w:eastAsia="宋体" w:hint="default"/>
                <w:spacing w:val="-2"/>
                <w:sz w:val="21"/>
                <w:szCs w:val="21"/>
              </w:rPr>
              <w:t>4、《关于公司董事会换届选举的议案》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409"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1"/>
              <w:jc w:val="left"/>
              <w:rPr>
                <w:rFonts w:ascii="宋体" w:hAnsi="宋体" w:cs="宋体" w:eastAsia="宋体" w:hint="default"/>
                <w:sz w:val="21"/>
                <w:szCs w:val="21"/>
              </w:rPr>
            </w:pPr>
            <w:r>
              <w:rPr>
                <w:rFonts w:ascii="宋体" w:hAnsi="宋体" w:cs="宋体" w:eastAsia="宋体" w:hint="default"/>
                <w:spacing w:val="-2"/>
                <w:sz w:val="21"/>
                <w:szCs w:val="21"/>
              </w:rPr>
              <w:t>5、《关于公司监事会换届选举的议案》</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2" w:right="0"/>
              <w:jc w:val="left"/>
              <w:rPr>
                <w:rFonts w:ascii="宋体" w:hAnsi="宋体" w:cs="宋体" w:eastAsia="宋体" w:hint="default"/>
                <w:sz w:val="21"/>
                <w:szCs w:val="21"/>
              </w:rPr>
            </w:pPr>
            <w:r>
              <w:rPr>
                <w:rFonts w:ascii="宋体" w:hAnsi="宋体" w:cs="宋体" w:eastAsia="宋体" w:hint="default"/>
                <w:spacing w:val="40"/>
                <w:sz w:val="21"/>
                <w:szCs w:val="21"/>
              </w:rPr>
              <w:t>审议</w:t>
            </w:r>
            <w:r>
              <w:rPr>
                <w:rFonts w:ascii="宋体" w:hAnsi="宋体" w:cs="宋体" w:eastAsia="宋体" w:hint="default"/>
                <w:spacing w:val="-25"/>
                <w:sz w:val="21"/>
                <w:szCs w:val="21"/>
              </w:rPr>
              <w:t> </w:t>
            </w:r>
            <w:r>
              <w:rPr>
                <w:rFonts w:ascii="宋体" w:hAnsi="宋体" w:cs="宋体" w:eastAsia="宋体" w:hint="default"/>
                <w:sz w:val="21"/>
                <w:szCs w:val="21"/>
              </w:rPr>
            </w: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031" w:hRule="exact"/>
        </w:trPr>
        <w:tc>
          <w:tcPr>
            <w:tcW w:w="154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年第一次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236"/>
              <w:jc w:val="right"/>
              <w:rPr>
                <w:rFonts w:ascii="宋体" w:hAnsi="宋体" w:cs="宋体" w:eastAsia="宋体" w:hint="default"/>
                <w:sz w:val="21"/>
                <w:szCs w:val="21"/>
              </w:rPr>
            </w:pPr>
            <w:r>
              <w:rPr>
                <w:rFonts w:ascii="宋体"/>
                <w:spacing w:val="-1"/>
                <w:sz w:val="21"/>
              </w:rPr>
              <w:t>2014-2-25</w:t>
            </w: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6、《关于公司就首次公开发行股票并</w:t>
            </w:r>
          </w:p>
          <w:p>
            <w:pPr>
              <w:pStyle w:val="TableParagraph"/>
              <w:spacing w:line="314" w:lineRule="auto" w:before="85"/>
              <w:ind w:left="101" w:right="102"/>
              <w:jc w:val="left"/>
              <w:rPr>
                <w:rFonts w:ascii="宋体" w:hAnsi="宋体" w:cs="宋体" w:eastAsia="宋体" w:hint="default"/>
                <w:sz w:val="21"/>
                <w:szCs w:val="21"/>
              </w:rPr>
            </w:pPr>
            <w:r>
              <w:rPr>
                <w:rFonts w:ascii="宋体" w:hAnsi="宋体" w:cs="宋体" w:eastAsia="宋体" w:hint="default"/>
                <w:sz w:val="21"/>
                <w:szCs w:val="21"/>
              </w:rPr>
              <w:t>上市相关事项出具有关承诺的议案》 </w:t>
            </w:r>
            <w:r>
              <w:rPr>
                <w:rFonts w:ascii="宋体" w:hAnsi="宋体" w:cs="宋体" w:eastAsia="宋体" w:hint="default"/>
                <w:spacing w:val="4"/>
                <w:sz w:val="21"/>
                <w:szCs w:val="21"/>
              </w:rPr>
              <w:t>7、《关于制定股东未来分红回报规划</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2" w:right="0"/>
              <w:jc w:val="left"/>
              <w:rPr>
                <w:rFonts w:ascii="宋体" w:hAnsi="宋体" w:cs="宋体" w:eastAsia="宋体" w:hint="default"/>
                <w:sz w:val="21"/>
                <w:szCs w:val="21"/>
              </w:rPr>
            </w:pPr>
            <w:r>
              <w:rPr>
                <w:rFonts w:ascii="宋体" w:hAnsi="宋体" w:cs="宋体" w:eastAsia="宋体" w:hint="default"/>
                <w:spacing w:val="40"/>
                <w:sz w:val="21"/>
                <w:szCs w:val="21"/>
              </w:rPr>
              <w:t>通过</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2" w:right="20"/>
              <w:jc w:val="left"/>
              <w:rPr>
                <w:rFonts w:ascii="宋体" w:hAnsi="宋体" w:cs="宋体" w:eastAsia="宋体" w:hint="default"/>
                <w:sz w:val="21"/>
                <w:szCs w:val="21"/>
              </w:rPr>
            </w:pPr>
            <w:r>
              <w:rPr>
                <w:rFonts w:ascii="宋体" w:hAnsi="宋体" w:cs="宋体" w:eastAsia="宋体" w:hint="default"/>
                <w:spacing w:val="40"/>
                <w:sz w:val="21"/>
                <w:szCs w:val="21"/>
              </w:rPr>
              <w:t>全部</w:t>
            </w:r>
            <w:r>
              <w:rPr>
                <w:rFonts w:ascii="宋体" w:hAnsi="宋体" w:cs="宋体" w:eastAsia="宋体" w:hint="default"/>
                <w:spacing w:val="-25"/>
                <w:sz w:val="21"/>
                <w:szCs w:val="21"/>
              </w:rPr>
              <w:t> </w:t>
            </w:r>
            <w:r>
              <w:rPr>
                <w:rFonts w:ascii="宋体" w:hAnsi="宋体" w:cs="宋体" w:eastAsia="宋体" w:hint="default"/>
                <w:sz w:val="21"/>
                <w:szCs w:val="21"/>
              </w:rPr>
              <w:t>议案</w:t>
            </w: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2014-2016</w:t>
            </w:r>
            <w:r>
              <w:rPr>
                <w:rFonts w:ascii="宋体" w:hAnsi="宋体" w:cs="宋体" w:eastAsia="宋体" w:hint="default"/>
                <w:spacing w:val="-53"/>
                <w:sz w:val="21"/>
                <w:szCs w:val="21"/>
              </w:rPr>
              <w:t> </w:t>
            </w:r>
            <w:r>
              <w:rPr>
                <w:rFonts w:ascii="宋体" w:hAnsi="宋体" w:cs="宋体" w:eastAsia="宋体" w:hint="default"/>
                <w:sz w:val="21"/>
                <w:szCs w:val="21"/>
              </w:rPr>
              <w:t>年）的议案》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4"/>
                <w:sz w:val="21"/>
                <w:szCs w:val="21"/>
              </w:rPr>
              <w:t>8、《关于修订《公司章程（草案）》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并于上市后生效的议案》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4"/>
                <w:sz w:val="21"/>
                <w:szCs w:val="21"/>
              </w:rPr>
              <w:t>9、《关于调整本次公开发行股票募集</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资金投资项目的议案》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10、《关于独立董事津贴的议案》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2" w:hRule="exact"/>
        </w:trPr>
        <w:tc>
          <w:tcPr>
            <w:tcW w:w="154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3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4"/>
                <w:sz w:val="21"/>
                <w:szCs w:val="21"/>
              </w:rPr>
              <w:t>11、《关于变更公司住所并相应修改&lt;</w:t>
            </w:r>
            <w:r>
              <w:rPr>
                <w:rFonts w:ascii="宋体" w:hAnsi="宋体" w:cs="宋体" w:eastAsia="宋体" w:hint="default"/>
                <w:sz w:val="21"/>
                <w:szCs w:val="21"/>
              </w:rPr>
            </w:r>
          </w:p>
        </w:tc>
        <w:tc>
          <w:tcPr>
            <w:tcW w:w="715" w:type="dxa"/>
            <w:tcBorders>
              <w:top w:val="nil" w:sz="6" w:space="0" w:color="auto"/>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977" w:top="1120" w:bottom="1160" w:left="1480" w:right="106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8" w:type="dxa"/>
        <w:tblLayout w:type="fixed"/>
        <w:tblCellMar>
          <w:top w:w="0" w:type="dxa"/>
          <w:left w:w="0" w:type="dxa"/>
          <w:bottom w:w="0" w:type="dxa"/>
          <w:right w:w="0" w:type="dxa"/>
        </w:tblCellMar>
        <w:tblLook w:val="01E0"/>
      </w:tblPr>
      <w:tblGrid>
        <w:gridCol w:w="1540"/>
        <w:gridCol w:w="1295"/>
        <w:gridCol w:w="3769"/>
        <w:gridCol w:w="715"/>
        <w:gridCol w:w="894"/>
        <w:gridCol w:w="689"/>
      </w:tblGrid>
      <w:tr>
        <w:trPr>
          <w:trHeight w:val="730"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1"/>
                <w:szCs w:val="21"/>
              </w:rPr>
            </w:pPr>
            <w:r>
              <w:rPr>
                <w:rFonts w:ascii="宋体" w:hAnsi="宋体" w:cs="宋体" w:eastAsia="宋体" w:hint="default"/>
                <w:sz w:val="21"/>
                <w:szCs w:val="21"/>
              </w:rPr>
              <w:t>公司章程&gt;的议案》</w:t>
            </w:r>
          </w:p>
          <w:p>
            <w:pPr>
              <w:pStyle w:val="TableParagraph"/>
              <w:spacing w:line="240" w:lineRule="auto" w:before="85"/>
              <w:ind w:left="102" w:right="0"/>
              <w:jc w:val="left"/>
              <w:rPr>
                <w:rFonts w:ascii="宋体" w:hAnsi="宋体" w:cs="宋体" w:eastAsia="宋体" w:hint="default"/>
                <w:sz w:val="21"/>
                <w:szCs w:val="21"/>
              </w:rPr>
            </w:pPr>
            <w:r>
              <w:rPr>
                <w:rFonts w:ascii="宋体" w:hAnsi="宋体" w:cs="宋体" w:eastAsia="宋体" w:hint="default"/>
                <w:sz w:val="21"/>
                <w:szCs w:val="21"/>
              </w:rPr>
              <w:t>12、《2013</w:t>
            </w:r>
            <w:r>
              <w:rPr>
                <w:rFonts w:ascii="宋体" w:hAnsi="宋体" w:cs="宋体" w:eastAsia="宋体" w:hint="default"/>
                <w:spacing w:val="-55"/>
                <w:sz w:val="21"/>
                <w:szCs w:val="21"/>
              </w:rPr>
              <w:t> </w:t>
            </w:r>
            <w:r>
              <w:rPr>
                <w:rFonts w:ascii="宋体" w:hAnsi="宋体" w:cs="宋体" w:eastAsia="宋体" w:hint="default"/>
                <w:sz w:val="21"/>
                <w:szCs w:val="21"/>
              </w:rPr>
              <w:t>年度利润分配预案》</w:t>
            </w:r>
          </w:p>
        </w:tc>
        <w:tc>
          <w:tcPr>
            <w:tcW w:w="715"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4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37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101" w:right="0"/>
              <w:jc w:val="left"/>
              <w:rPr>
                <w:rFonts w:ascii="宋体" w:hAnsi="宋体" w:cs="宋体" w:eastAsia="宋体" w:hint="default"/>
                <w:sz w:val="21"/>
                <w:szCs w:val="21"/>
              </w:rPr>
            </w:pPr>
            <w:r>
              <w:rPr>
                <w:rFonts w:ascii="宋体" w:hAnsi="宋体" w:cs="宋体" w:eastAsia="宋体" w:hint="default"/>
                <w:spacing w:val="4"/>
                <w:sz w:val="21"/>
                <w:szCs w:val="21"/>
              </w:rPr>
              <w:t>1、《关于变更公司经营范围并修改公</w:t>
            </w:r>
          </w:p>
        </w:tc>
        <w:tc>
          <w:tcPr>
            <w:tcW w:w="715" w:type="dxa"/>
            <w:tcBorders>
              <w:top w:val="single" w:sz="4" w:space="0" w:color="000000"/>
              <w:left w:val="single" w:sz="4" w:space="0" w:color="000000"/>
              <w:bottom w:val="nil" w:sz="6" w:space="0" w:color="auto"/>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司章程的议案》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4"/>
                <w:sz w:val="21"/>
                <w:szCs w:val="21"/>
              </w:rPr>
              <w:t>2、《关于确认修订公司首次公开发行</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19"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股票并上市相关事项的议案》</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812" w:hRule="exact"/>
        </w:trPr>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5"/>
                <w:sz w:val="21"/>
                <w:szCs w:val="21"/>
              </w:rPr>
              <w:t> </w:t>
            </w:r>
            <w:r>
              <w:rPr>
                <w:rFonts w:ascii="宋体" w:hAnsi="宋体" w:cs="宋体" w:eastAsia="宋体" w:hint="default"/>
                <w:sz w:val="21"/>
                <w:szCs w:val="21"/>
              </w:rPr>
              <w:t>年年度股</w:t>
            </w:r>
            <w:r>
              <w:rPr>
                <w:rFonts w:ascii="宋体" w:hAnsi="宋体" w:cs="宋体" w:eastAsia="宋体" w:hint="default"/>
                <w:sz w:val="21"/>
                <w:szCs w:val="21"/>
              </w:rPr>
              <w:t> 东大会</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sz w:val="21"/>
              </w:rPr>
              <w:t>2014-6-27</w:t>
            </w: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314" w:lineRule="auto" w:before="51"/>
              <w:ind w:left="101" w:right="102"/>
              <w:jc w:val="left"/>
              <w:rPr>
                <w:rFonts w:ascii="宋体" w:hAnsi="宋体" w:cs="宋体" w:eastAsia="宋体" w:hint="default"/>
                <w:sz w:val="21"/>
                <w:szCs w:val="21"/>
              </w:rPr>
            </w:pPr>
            <w:r>
              <w:rPr>
                <w:rFonts w:ascii="宋体" w:hAnsi="宋体" w:cs="宋体" w:eastAsia="宋体" w:hint="default"/>
                <w:spacing w:val="4"/>
                <w:sz w:val="21"/>
                <w:szCs w:val="21"/>
              </w:rPr>
              <w:t>3、《关于修订公司章程（草案）并于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上市后生效的议案》</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pacing w:val="40"/>
                <w:sz w:val="21"/>
                <w:szCs w:val="21"/>
              </w:rPr>
              <w:t>审议</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2" w:right="20"/>
              <w:jc w:val="left"/>
              <w:rPr>
                <w:rFonts w:ascii="宋体" w:hAnsi="宋体" w:cs="宋体" w:eastAsia="宋体" w:hint="default"/>
                <w:sz w:val="21"/>
                <w:szCs w:val="21"/>
              </w:rPr>
            </w:pPr>
            <w:r>
              <w:rPr>
                <w:rFonts w:ascii="宋体" w:hAnsi="宋体" w:cs="宋体" w:eastAsia="宋体" w:hint="default"/>
                <w:spacing w:val="40"/>
                <w:sz w:val="21"/>
                <w:szCs w:val="21"/>
              </w:rPr>
              <w:t>通过</w:t>
            </w:r>
            <w:r>
              <w:rPr>
                <w:rFonts w:ascii="宋体" w:hAnsi="宋体" w:cs="宋体" w:eastAsia="宋体" w:hint="default"/>
                <w:spacing w:val="-25"/>
                <w:sz w:val="21"/>
                <w:szCs w:val="21"/>
              </w:rPr>
              <w:t> </w:t>
            </w:r>
            <w:r>
              <w:rPr>
                <w:rFonts w:ascii="宋体" w:hAnsi="宋体" w:cs="宋体" w:eastAsia="宋体" w:hint="default"/>
                <w:spacing w:val="40"/>
                <w:sz w:val="21"/>
                <w:szCs w:val="21"/>
              </w:rPr>
              <w:t>全部</w:t>
            </w:r>
            <w:r>
              <w:rPr>
                <w:rFonts w:ascii="宋体" w:hAnsi="宋体" w:cs="宋体" w:eastAsia="宋体" w:hint="default"/>
                <w:spacing w:val="-25"/>
                <w:sz w:val="21"/>
                <w:szCs w:val="21"/>
              </w:rPr>
              <w:t> </w:t>
            </w:r>
            <w:r>
              <w:rPr>
                <w:rFonts w:ascii="宋体" w:hAnsi="宋体" w:cs="宋体" w:eastAsia="宋体" w:hint="default"/>
                <w:sz w:val="21"/>
                <w:szCs w:val="21"/>
              </w:rPr>
            </w: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16"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1" w:right="0"/>
              <w:jc w:val="left"/>
              <w:rPr>
                <w:rFonts w:ascii="宋体" w:hAnsi="宋体" w:cs="宋体" w:eastAsia="宋体" w:hint="default"/>
                <w:sz w:val="21"/>
                <w:szCs w:val="21"/>
              </w:rPr>
            </w:pPr>
            <w:r>
              <w:rPr>
                <w:rFonts w:ascii="宋体" w:hAnsi="宋体" w:cs="宋体" w:eastAsia="宋体" w:hint="default"/>
                <w:sz w:val="21"/>
                <w:szCs w:val="21"/>
              </w:rPr>
              <w:t>4、《2013</w:t>
            </w:r>
            <w:r>
              <w:rPr>
                <w:rFonts w:ascii="宋体" w:hAnsi="宋体" w:cs="宋体" w:eastAsia="宋体" w:hint="default"/>
                <w:spacing w:val="-18"/>
                <w:sz w:val="21"/>
                <w:szCs w:val="21"/>
              </w:rPr>
              <w:t> </w:t>
            </w:r>
            <w:r>
              <w:rPr>
                <w:rFonts w:ascii="宋体" w:hAnsi="宋体" w:cs="宋体" w:eastAsia="宋体" w:hint="default"/>
                <w:sz w:val="21"/>
                <w:szCs w:val="21"/>
              </w:rPr>
              <w:t>年度董事会工作报告》（听</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2"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53"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1" w:right="0"/>
              <w:jc w:val="left"/>
              <w:rPr>
                <w:rFonts w:ascii="宋体" w:hAnsi="宋体" w:cs="宋体" w:eastAsia="宋体" w:hint="default"/>
                <w:sz w:val="21"/>
                <w:szCs w:val="21"/>
              </w:rPr>
            </w:pPr>
            <w:r>
              <w:rPr>
                <w:rFonts w:ascii="宋体" w:hAnsi="宋体" w:cs="宋体" w:eastAsia="宋体" w:hint="default"/>
                <w:sz w:val="21"/>
                <w:szCs w:val="21"/>
              </w:rPr>
              <w:t>取独立董事述职）</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5、《2013</w:t>
            </w:r>
            <w:r>
              <w:rPr>
                <w:rFonts w:ascii="宋体" w:hAnsi="宋体" w:cs="宋体" w:eastAsia="宋体" w:hint="default"/>
                <w:spacing w:val="-54"/>
                <w:sz w:val="21"/>
                <w:szCs w:val="21"/>
              </w:rPr>
              <w:t> </w:t>
            </w:r>
            <w:r>
              <w:rPr>
                <w:rFonts w:ascii="宋体" w:hAnsi="宋体" w:cs="宋体" w:eastAsia="宋体" w:hint="default"/>
                <w:sz w:val="21"/>
                <w:szCs w:val="21"/>
              </w:rPr>
              <w:t>年度监事会工作报告》</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60" w:hRule="exact"/>
        </w:trPr>
        <w:tc>
          <w:tcPr>
            <w:tcW w:w="154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3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6、《2013</w:t>
            </w:r>
            <w:r>
              <w:rPr>
                <w:rFonts w:ascii="宋体" w:hAnsi="宋体" w:cs="宋体" w:eastAsia="宋体" w:hint="default"/>
                <w:spacing w:val="-54"/>
                <w:sz w:val="21"/>
                <w:szCs w:val="21"/>
              </w:rPr>
              <w:t> </w:t>
            </w:r>
            <w:r>
              <w:rPr>
                <w:rFonts w:ascii="宋体" w:hAnsi="宋体" w:cs="宋体" w:eastAsia="宋体" w:hint="default"/>
                <w:sz w:val="21"/>
                <w:szCs w:val="21"/>
              </w:rPr>
              <w:t>年度财务决算报告》</w:t>
            </w:r>
          </w:p>
        </w:tc>
        <w:tc>
          <w:tcPr>
            <w:tcW w:w="715" w:type="dxa"/>
            <w:tcBorders>
              <w:top w:val="nil" w:sz="6" w:space="0" w:color="auto"/>
              <w:left w:val="single" w:sz="4" w:space="0" w:color="000000"/>
              <w:bottom w:val="nil" w:sz="6" w:space="0" w:color="auto"/>
              <w:right w:val="single" w:sz="4" w:space="0" w:color="000000"/>
            </w:tcBorders>
          </w:tcPr>
          <w:p>
            <w:pPr/>
          </w:p>
        </w:tc>
        <w:tc>
          <w:tcPr>
            <w:tcW w:w="894"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2" w:hRule="exact"/>
        </w:trPr>
        <w:tc>
          <w:tcPr>
            <w:tcW w:w="154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3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7、《关于续聘会计师事务所的议案》</w:t>
            </w:r>
          </w:p>
        </w:tc>
        <w:tc>
          <w:tcPr>
            <w:tcW w:w="715" w:type="dxa"/>
            <w:tcBorders>
              <w:top w:val="nil" w:sz="6" w:space="0" w:color="auto"/>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84"/>
        <w:jc w:val="left"/>
        <w:rPr>
          <w:b w:val="0"/>
          <w:bCs w:val="0"/>
        </w:rPr>
      </w:pPr>
      <w:r>
        <w:rPr/>
        <w:t>三、董事履行职责情况</w:t>
      </w:r>
      <w:r>
        <w:rPr>
          <w:b w:val="0"/>
          <w:bCs w:val="0"/>
        </w:rPr>
      </w:r>
    </w:p>
    <w:p>
      <w:pPr>
        <w:pStyle w:val="Heading2"/>
        <w:spacing w:line="240" w:lineRule="auto" w:before="57"/>
        <w:ind w:right="8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990"/>
        <w:gridCol w:w="856"/>
        <w:gridCol w:w="1110"/>
        <w:gridCol w:w="860"/>
        <w:gridCol w:w="979"/>
        <w:gridCol w:w="914"/>
        <w:gridCol w:w="854"/>
        <w:gridCol w:w="1306"/>
        <w:gridCol w:w="1276"/>
      </w:tblGrid>
      <w:tr>
        <w:trPr>
          <w:trHeight w:val="570" w:hRule="exact"/>
        </w:trPr>
        <w:tc>
          <w:tcPr>
            <w:tcW w:w="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279" w:right="278"/>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106" w:right="107"/>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316" w:right="107" w:hanging="210"/>
              <w:jc w:val="left"/>
              <w:rPr>
                <w:rFonts w:ascii="宋体" w:hAnsi="宋体" w:cs="宋体" w:eastAsia="宋体" w:hint="default"/>
                <w:sz w:val="21"/>
                <w:szCs w:val="21"/>
              </w:rPr>
            </w:pPr>
            <w:r>
              <w:rPr>
                <w:rFonts w:ascii="宋体" w:hAnsi="宋体" w:cs="宋体" w:eastAsia="宋体" w:hint="default"/>
                <w:sz w:val="21"/>
                <w:szCs w:val="21"/>
              </w:rPr>
              <w:t>参加股东大 会情况</w:t>
            </w:r>
          </w:p>
        </w:tc>
      </w:tr>
      <w:tr>
        <w:trPr>
          <w:trHeight w:val="828" w:hRule="exact"/>
        </w:trPr>
        <w:tc>
          <w:tcPr>
            <w:tcW w:w="990" w:type="dxa"/>
            <w:vMerge/>
            <w:tcBorders>
              <w:left w:val="single" w:sz="4" w:space="0" w:color="000000"/>
              <w:bottom w:val="single" w:sz="4" w:space="0" w:color="000000"/>
              <w:right w:val="single" w:sz="4" w:space="0" w:color="000000"/>
            </w:tcBorders>
          </w:tcPr>
          <w:p>
            <w:pPr/>
          </w:p>
        </w:tc>
        <w:tc>
          <w:tcPr>
            <w:tcW w:w="856" w:type="dxa"/>
            <w:vMerge/>
            <w:tcBorders>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8"/>
                <w:sz w:val="21"/>
                <w:szCs w:val="21"/>
              </w:rPr>
              <w:t>本年应参</w:t>
            </w:r>
            <w:r>
              <w:rPr>
                <w:rFonts w:ascii="宋体" w:hAnsi="宋体" w:cs="宋体" w:eastAsia="宋体" w:hint="default"/>
                <w:sz w:val="21"/>
                <w:szCs w:val="21"/>
              </w:rPr>
            </w:r>
          </w:p>
          <w:p>
            <w:pPr>
              <w:pStyle w:val="TableParagraph"/>
              <w:spacing w:line="272" w:lineRule="exact" w:before="26"/>
              <w:ind w:left="102" w:right="84"/>
              <w:jc w:val="left"/>
              <w:rPr>
                <w:rFonts w:ascii="宋体" w:hAnsi="宋体" w:cs="宋体" w:eastAsia="宋体" w:hint="default"/>
                <w:sz w:val="21"/>
                <w:szCs w:val="21"/>
              </w:rPr>
            </w:pPr>
            <w:r>
              <w:rPr>
                <w:rFonts w:ascii="宋体" w:hAnsi="宋体" w:cs="宋体" w:eastAsia="宋体" w:hint="default"/>
                <w:spacing w:val="18"/>
                <w:sz w:val="21"/>
                <w:szCs w:val="21"/>
              </w:rPr>
              <w:t>加董事会 </w:t>
            </w:r>
            <w:r>
              <w:rPr>
                <w:rFonts w:ascii="宋体" w:hAnsi="宋体" w:cs="宋体" w:eastAsia="宋体" w:hint="default"/>
                <w:sz w:val="21"/>
                <w:szCs w:val="21"/>
              </w:rPr>
              <w:t>次数</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95"/>
              <w:jc w:val="left"/>
              <w:rPr>
                <w:rFonts w:ascii="宋体" w:hAnsi="宋体" w:cs="宋体" w:eastAsia="宋体" w:hint="default"/>
                <w:sz w:val="21"/>
                <w:szCs w:val="21"/>
              </w:rPr>
            </w:pPr>
            <w:r>
              <w:rPr>
                <w:rFonts w:ascii="宋体" w:hAnsi="宋体" w:cs="宋体" w:eastAsia="宋体" w:hint="default"/>
                <w:spacing w:val="7"/>
                <w:sz w:val="21"/>
                <w:szCs w:val="21"/>
              </w:rPr>
              <w:t>亲自出 </w:t>
            </w:r>
            <w:r>
              <w:rPr>
                <w:rFonts w:ascii="宋体" w:hAnsi="宋体" w:cs="宋体" w:eastAsia="宋体" w:hint="default"/>
                <w:sz w:val="21"/>
                <w:szCs w:val="21"/>
              </w:rPr>
              <w:t>席次数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4"/>
                <w:sz w:val="21"/>
                <w:szCs w:val="21"/>
              </w:rPr>
              <w:t>以通讯</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2" w:lineRule="exact" w:before="26"/>
              <w:ind w:left="101" w:right="37"/>
              <w:jc w:val="left"/>
              <w:rPr>
                <w:rFonts w:ascii="宋体" w:hAnsi="宋体" w:cs="宋体" w:eastAsia="宋体" w:hint="default"/>
                <w:sz w:val="21"/>
                <w:szCs w:val="21"/>
              </w:rPr>
            </w:pPr>
            <w:r>
              <w:rPr>
                <w:rFonts w:ascii="宋体" w:hAnsi="宋体" w:cs="宋体" w:eastAsia="宋体" w:hint="default"/>
                <w:spacing w:val="44"/>
                <w:sz w:val="21"/>
                <w:szCs w:val="21"/>
              </w:rPr>
              <w:t>方式参</w:t>
            </w:r>
            <w:r>
              <w:rPr>
                <w:rFonts w:ascii="宋体" w:hAnsi="宋体" w:cs="宋体" w:eastAsia="宋体" w:hint="default"/>
                <w:spacing w:val="-39"/>
                <w:sz w:val="21"/>
                <w:szCs w:val="21"/>
              </w:rPr>
              <w:t> </w:t>
            </w:r>
            <w:r>
              <w:rPr>
                <w:rFonts w:ascii="宋体" w:hAnsi="宋体" w:cs="宋体" w:eastAsia="宋体" w:hint="default"/>
                <w:sz w:val="21"/>
                <w:szCs w:val="21"/>
              </w:rPr>
              <w:t>加次数</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66"/>
              <w:jc w:val="left"/>
              <w:rPr>
                <w:rFonts w:ascii="宋体" w:hAnsi="宋体" w:cs="宋体" w:eastAsia="宋体" w:hint="default"/>
                <w:sz w:val="21"/>
                <w:szCs w:val="21"/>
              </w:rPr>
            </w:pPr>
            <w:r>
              <w:rPr>
                <w:rFonts w:ascii="宋体" w:hAnsi="宋体" w:cs="宋体" w:eastAsia="宋体" w:hint="default"/>
                <w:spacing w:val="22"/>
                <w:sz w:val="21"/>
                <w:szCs w:val="21"/>
              </w:rPr>
              <w:t>委托出</w:t>
            </w:r>
            <w:r>
              <w:rPr>
                <w:rFonts w:ascii="宋体" w:hAnsi="宋体" w:cs="宋体" w:eastAsia="宋体" w:hint="default"/>
                <w:spacing w:val="-71"/>
                <w:sz w:val="21"/>
                <w:szCs w:val="21"/>
              </w:rPr>
              <w:t> </w:t>
            </w:r>
            <w:r>
              <w:rPr>
                <w:rFonts w:ascii="宋体" w:hAnsi="宋体" w:cs="宋体" w:eastAsia="宋体" w:hint="default"/>
                <w:sz w:val="21"/>
                <w:szCs w:val="21"/>
              </w:rPr>
              <w:t>席次数</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319"/>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是否连续两</w:t>
            </w:r>
            <w:r>
              <w:rPr>
                <w:rFonts w:ascii="宋体" w:hAnsi="宋体" w:cs="宋体" w:eastAsia="宋体" w:hint="default"/>
                <w:sz w:val="21"/>
                <w:szCs w:val="21"/>
              </w:rPr>
            </w:r>
          </w:p>
          <w:p>
            <w:pPr>
              <w:pStyle w:val="TableParagraph"/>
              <w:spacing w:line="272" w:lineRule="exact" w:before="26"/>
              <w:ind w:left="103" w:right="92"/>
              <w:jc w:val="left"/>
              <w:rPr>
                <w:rFonts w:ascii="宋体" w:hAnsi="宋体" w:cs="宋体" w:eastAsia="宋体" w:hint="default"/>
                <w:sz w:val="21"/>
                <w:szCs w:val="21"/>
              </w:rPr>
            </w:pPr>
            <w:r>
              <w:rPr>
                <w:rFonts w:ascii="宋体" w:hAnsi="宋体" w:cs="宋体" w:eastAsia="宋体" w:hint="default"/>
                <w:spacing w:val="9"/>
                <w:sz w:val="21"/>
                <w:szCs w:val="21"/>
              </w:rPr>
              <w:t>次未亲自参 </w:t>
            </w:r>
            <w:r>
              <w:rPr>
                <w:rFonts w:ascii="宋体" w:hAnsi="宋体" w:cs="宋体" w:eastAsia="宋体" w:hint="default"/>
                <w:sz w:val="21"/>
                <w:szCs w:val="21"/>
              </w:rPr>
              <w:t>加会议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8"/>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96"/>
                <w:sz w:val="21"/>
                <w:szCs w:val="21"/>
              </w:rPr>
              <w:t> </w:t>
            </w:r>
            <w:r>
              <w:rPr>
                <w:rFonts w:ascii="宋体" w:hAnsi="宋体" w:cs="宋体" w:eastAsia="宋体" w:hint="default"/>
                <w:sz w:val="21"/>
                <w:szCs w:val="21"/>
              </w:rPr>
              <w:t>会的次数</w:t>
            </w:r>
          </w:p>
        </w:tc>
      </w:tr>
      <w:tr>
        <w:trPr>
          <w:trHeight w:val="40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9" w:right="0"/>
              <w:jc w:val="left"/>
              <w:rPr>
                <w:rFonts w:ascii="宋体" w:hAnsi="宋体" w:cs="宋体" w:eastAsia="宋体" w:hint="default"/>
                <w:sz w:val="21"/>
                <w:szCs w:val="21"/>
              </w:rPr>
            </w:pPr>
            <w:r>
              <w:rPr>
                <w:rFonts w:ascii="宋体"/>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0"/>
              <w:jc w:val="right"/>
              <w:rPr>
                <w:rFonts w:ascii="宋体" w:hAnsi="宋体" w:cs="宋体" w:eastAsia="宋体" w:hint="default"/>
                <w:sz w:val="21"/>
                <w:szCs w:val="21"/>
              </w:rPr>
            </w:pPr>
            <w:r>
              <w:rPr>
                <w:rFonts w:ascii="宋体"/>
                <w:sz w:val="21"/>
              </w:rPr>
              <w:t>2</w:t>
            </w:r>
          </w:p>
        </w:tc>
      </w:tr>
      <w:tr>
        <w:trPr>
          <w:trHeight w:val="40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侯济恭</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9" w:right="0"/>
              <w:jc w:val="left"/>
              <w:rPr>
                <w:rFonts w:ascii="宋体" w:hAnsi="宋体" w:cs="宋体" w:eastAsia="宋体" w:hint="default"/>
                <w:sz w:val="21"/>
                <w:szCs w:val="21"/>
              </w:rPr>
            </w:pPr>
            <w:r>
              <w:rPr>
                <w:rFonts w:ascii="宋体"/>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0"/>
              <w:jc w:val="right"/>
              <w:rPr>
                <w:rFonts w:ascii="宋体" w:hAnsi="宋体" w:cs="宋体" w:eastAsia="宋体" w:hint="default"/>
                <w:sz w:val="21"/>
                <w:szCs w:val="21"/>
              </w:rPr>
            </w:pPr>
            <w:r>
              <w:rPr>
                <w:rFonts w:ascii="宋体"/>
                <w:sz w:val="21"/>
              </w:rPr>
              <w:t>1</w:t>
            </w:r>
          </w:p>
        </w:tc>
      </w:tr>
      <w:tr>
        <w:trPr>
          <w:trHeight w:val="40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9" w:right="0"/>
              <w:jc w:val="left"/>
              <w:rPr>
                <w:rFonts w:ascii="宋体" w:hAnsi="宋体" w:cs="宋体" w:eastAsia="宋体" w:hint="default"/>
                <w:sz w:val="21"/>
                <w:szCs w:val="21"/>
              </w:rPr>
            </w:pPr>
            <w:r>
              <w:rPr>
                <w:rFonts w:ascii="宋体"/>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0"/>
              <w:jc w:val="right"/>
              <w:rPr>
                <w:rFonts w:ascii="宋体" w:hAnsi="宋体" w:cs="宋体" w:eastAsia="宋体" w:hint="default"/>
                <w:sz w:val="21"/>
                <w:szCs w:val="21"/>
              </w:rPr>
            </w:pPr>
            <w:r>
              <w:rPr>
                <w:rFonts w:ascii="宋体"/>
                <w:sz w:val="21"/>
              </w:rPr>
              <w:t>2</w:t>
            </w:r>
          </w:p>
        </w:tc>
      </w:tr>
      <w:tr>
        <w:trPr>
          <w:trHeight w:val="40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9" w:right="0"/>
              <w:jc w:val="left"/>
              <w:rPr>
                <w:rFonts w:ascii="宋体" w:hAnsi="宋体" w:cs="宋体" w:eastAsia="宋体" w:hint="default"/>
                <w:sz w:val="21"/>
                <w:szCs w:val="21"/>
              </w:rPr>
            </w:pPr>
            <w:r>
              <w:rPr>
                <w:rFonts w:ascii="宋体"/>
                <w:sz w:val="21"/>
              </w:rPr>
              <w:t>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0"/>
              <w:jc w:val="right"/>
              <w:rPr>
                <w:rFonts w:ascii="宋体" w:hAnsi="宋体" w:cs="宋体" w:eastAsia="宋体" w:hint="default"/>
                <w:sz w:val="21"/>
                <w:szCs w:val="21"/>
              </w:rPr>
            </w:pPr>
            <w:r>
              <w:rPr>
                <w:rFonts w:ascii="宋体"/>
                <w:sz w:val="21"/>
              </w:rPr>
              <w:t>2</w:t>
            </w:r>
          </w:p>
        </w:tc>
      </w:tr>
      <w:tr>
        <w:trPr>
          <w:trHeight w:val="408"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sz w:val="21"/>
              </w:rPr>
              <w:t>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sz w:val="21"/>
              </w:rPr>
              <w:t>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9" w:right="0"/>
              <w:jc w:val="left"/>
              <w:rPr>
                <w:rFonts w:ascii="宋体" w:hAnsi="宋体" w:cs="宋体" w:eastAsia="宋体" w:hint="default"/>
                <w:sz w:val="21"/>
                <w:szCs w:val="21"/>
              </w:rPr>
            </w:pPr>
            <w:r>
              <w:rPr>
                <w:rFonts w:ascii="宋体"/>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0"/>
              <w:jc w:val="right"/>
              <w:rPr>
                <w:rFonts w:ascii="宋体" w:hAnsi="宋体" w:cs="宋体" w:eastAsia="宋体" w:hint="default"/>
                <w:sz w:val="21"/>
                <w:szCs w:val="21"/>
              </w:rPr>
            </w:pPr>
            <w:r>
              <w:rPr>
                <w:rFonts w:ascii="宋体"/>
                <w:sz w:val="21"/>
              </w:rPr>
              <w:t>2</w:t>
            </w:r>
          </w:p>
        </w:tc>
      </w:tr>
      <w:tr>
        <w:trPr>
          <w:trHeight w:val="40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9" w:right="0"/>
              <w:jc w:val="left"/>
              <w:rPr>
                <w:rFonts w:ascii="宋体" w:hAnsi="宋体" w:cs="宋体" w:eastAsia="宋体" w:hint="default"/>
                <w:sz w:val="21"/>
                <w:szCs w:val="21"/>
              </w:rPr>
            </w:pPr>
            <w:r>
              <w:rPr>
                <w:rFonts w:ascii="宋体"/>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0"/>
              <w:jc w:val="right"/>
              <w:rPr>
                <w:rFonts w:ascii="宋体" w:hAnsi="宋体" w:cs="宋体" w:eastAsia="宋体" w:hint="default"/>
                <w:sz w:val="21"/>
                <w:szCs w:val="21"/>
              </w:rPr>
            </w:pPr>
            <w:r>
              <w:rPr>
                <w:rFonts w:ascii="宋体"/>
                <w:sz w:val="21"/>
              </w:rPr>
              <w:t>2</w:t>
            </w:r>
          </w:p>
        </w:tc>
      </w:tr>
      <w:tr>
        <w:trPr>
          <w:trHeight w:val="40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否①</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9" w:right="0"/>
              <w:jc w:val="left"/>
              <w:rPr>
                <w:rFonts w:ascii="宋体" w:hAnsi="宋体" w:cs="宋体" w:eastAsia="宋体" w:hint="default"/>
                <w:sz w:val="21"/>
                <w:szCs w:val="21"/>
              </w:rPr>
            </w:pPr>
            <w:r>
              <w:rPr>
                <w:rFonts w:ascii="宋体"/>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0"/>
              <w:jc w:val="right"/>
              <w:rPr>
                <w:rFonts w:ascii="宋体" w:hAnsi="宋体" w:cs="宋体" w:eastAsia="宋体" w:hint="default"/>
                <w:sz w:val="21"/>
                <w:szCs w:val="21"/>
              </w:rPr>
            </w:pPr>
            <w:r>
              <w:rPr>
                <w:rFonts w:ascii="宋体"/>
                <w:sz w:val="21"/>
              </w:rPr>
              <w:t>2</w:t>
            </w:r>
          </w:p>
        </w:tc>
      </w:tr>
      <w:tr>
        <w:trPr>
          <w:trHeight w:val="40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潘新瑾</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否②</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sz w:val="21"/>
              </w:rPr>
              <w:t>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9" w:right="0"/>
              <w:jc w:val="left"/>
              <w:rPr>
                <w:rFonts w:ascii="宋体" w:hAnsi="宋体" w:cs="宋体" w:eastAsia="宋体" w:hint="default"/>
                <w:sz w:val="21"/>
                <w:szCs w:val="21"/>
              </w:rPr>
            </w:pPr>
            <w:r>
              <w:rPr>
                <w:rFonts w:ascii="宋体"/>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0"/>
              <w:jc w:val="right"/>
              <w:rPr>
                <w:rFonts w:ascii="宋体" w:hAnsi="宋体" w:cs="宋体" w:eastAsia="宋体" w:hint="default"/>
                <w:sz w:val="21"/>
                <w:szCs w:val="21"/>
              </w:rPr>
            </w:pPr>
            <w:r>
              <w:rPr>
                <w:rFonts w:ascii="宋体"/>
                <w:sz w:val="21"/>
              </w:rPr>
              <w:t>1</w:t>
            </w:r>
          </w:p>
        </w:tc>
      </w:tr>
    </w:tbl>
    <w:p>
      <w:pPr>
        <w:pStyle w:val="BodyText"/>
        <w:spacing w:line="354" w:lineRule="exact" w:before="0"/>
        <w:ind w:left="327" w:right="84"/>
        <w:jc w:val="left"/>
      </w:pPr>
      <w:r>
        <w:rPr>
          <w:spacing w:val="-208"/>
          <w:w w:val="99"/>
          <w:position w:val="-3"/>
          <w:sz w:val="31"/>
          <w:szCs w:val="31"/>
        </w:rPr>
        <w:t>○</w:t>
      </w:r>
      <w:r>
        <w:rPr/>
        <w:t>1</w:t>
      </w:r>
      <w:r>
        <w:rPr>
          <w:spacing w:val="-3"/>
        </w:rPr>
        <w:t> </w:t>
      </w:r>
      <w:r>
        <w:rPr>
          <w:spacing w:val="-1"/>
        </w:rPr>
        <w:t>廖长宝的任期</w:t>
      </w:r>
      <w:r>
        <w:rPr/>
        <w:t>自</w:t>
      </w:r>
      <w:r>
        <w:rPr>
          <w:spacing w:val="-53"/>
        </w:rPr>
        <w:t> </w:t>
      </w:r>
      <w:r>
        <w:rPr>
          <w:spacing w:val="-1"/>
        </w:rPr>
        <w:t>201</w:t>
      </w:r>
      <w:r>
        <w:rPr/>
        <w:t>4</w:t>
      </w:r>
      <w:r>
        <w:rPr>
          <w:spacing w:val="-52"/>
        </w:rPr>
        <w:t> </w:t>
      </w:r>
      <w:r>
        <w:rPr/>
        <w:t>年</w:t>
      </w:r>
      <w:r>
        <w:rPr>
          <w:spacing w:val="-54"/>
        </w:rPr>
        <w:t> </w:t>
      </w:r>
      <w:r>
        <w:rPr/>
        <w:t>3</w:t>
      </w:r>
      <w:r>
        <w:rPr>
          <w:spacing w:val="-52"/>
        </w:rPr>
        <w:t> </w:t>
      </w:r>
      <w:r>
        <w:rPr/>
        <w:t>月</w:t>
      </w:r>
      <w:r>
        <w:rPr>
          <w:spacing w:val="-54"/>
        </w:rPr>
        <w:t> </w:t>
      </w:r>
      <w:r>
        <w:rPr/>
        <w:t>10</w:t>
      </w:r>
      <w:r>
        <w:rPr>
          <w:spacing w:val="-52"/>
        </w:rPr>
        <w:t> </w:t>
      </w:r>
      <w:r>
        <w:rPr>
          <w:spacing w:val="-2"/>
        </w:rPr>
        <w:t>日</w:t>
      </w:r>
      <w:r>
        <w:rPr/>
        <w:t>至</w:t>
      </w:r>
      <w:r>
        <w:rPr>
          <w:spacing w:val="-54"/>
        </w:rPr>
        <w:t> </w:t>
      </w:r>
      <w:r>
        <w:rPr/>
        <w:t>2</w:t>
      </w:r>
      <w:r>
        <w:rPr>
          <w:spacing w:val="-1"/>
        </w:rPr>
        <w:t>01</w:t>
      </w:r>
      <w:r>
        <w:rPr/>
        <w:t>7</w:t>
      </w:r>
      <w:r>
        <w:rPr>
          <w:spacing w:val="-53"/>
        </w:rPr>
        <w:t> </w:t>
      </w:r>
      <w:r>
        <w:rPr/>
        <w:t>年</w:t>
      </w:r>
      <w:r>
        <w:rPr>
          <w:spacing w:val="-53"/>
        </w:rPr>
        <w:t> </w:t>
      </w:r>
      <w:r>
        <w:rPr/>
        <w:t>3</w:t>
      </w:r>
      <w:r>
        <w:rPr>
          <w:spacing w:val="-53"/>
        </w:rPr>
        <w:t> </w:t>
      </w:r>
      <w:r>
        <w:rPr/>
        <w:t>月</w:t>
      </w:r>
      <w:r>
        <w:rPr>
          <w:spacing w:val="-54"/>
        </w:rPr>
        <w:t> </w:t>
      </w:r>
      <w:r>
        <w:rPr/>
        <w:t>9</w:t>
      </w:r>
      <w:r>
        <w:rPr>
          <w:spacing w:val="-52"/>
        </w:rPr>
        <w:t> </w:t>
      </w:r>
      <w:r>
        <w:rPr/>
        <w:t>日。</w:t>
      </w:r>
    </w:p>
    <w:p>
      <w:pPr>
        <w:pStyle w:val="BodyText"/>
        <w:spacing w:line="247" w:lineRule="auto" w:before="0"/>
        <w:ind w:left="641" w:right="84" w:hanging="316"/>
        <w:jc w:val="left"/>
      </w:pPr>
      <w:r>
        <w:rPr>
          <w:spacing w:val="-105"/>
          <w:w w:val="99"/>
          <w:position w:val="-3"/>
          <w:sz w:val="31"/>
          <w:szCs w:val="31"/>
        </w:rPr>
        <w:t>○</w:t>
      </w:r>
      <w:r>
        <w:rPr>
          <w:spacing w:val="-105"/>
          <w:w w:val="99"/>
        </w:rPr>
        <w:t>2</w:t>
      </w:r>
      <w:r>
        <w:rPr>
          <w:spacing w:val="-2"/>
          <w:w w:val="99"/>
        </w:rPr>
        <w:t> </w:t>
      </w:r>
      <w:r>
        <w:rPr>
          <w:spacing w:val="-1"/>
        </w:rPr>
        <w:t>潘新瑾的任期自</w:t>
      </w:r>
      <w:r>
        <w:rPr>
          <w:spacing w:val="-53"/>
        </w:rPr>
        <w:t> </w:t>
      </w:r>
      <w:r>
        <w:rPr>
          <w:spacing w:val="-1"/>
        </w:rPr>
        <w:t>2011</w:t>
      </w:r>
      <w:r>
        <w:rPr>
          <w:spacing w:val="-52"/>
        </w:rPr>
        <w:t> </w:t>
      </w:r>
      <w:r>
        <w:rPr/>
        <w:t>年</w:t>
      </w:r>
      <w:r>
        <w:rPr>
          <w:spacing w:val="-54"/>
        </w:rPr>
        <w:t> </w:t>
      </w:r>
      <w:r>
        <w:rPr/>
        <w:t>3</w:t>
      </w:r>
      <w:r>
        <w:rPr>
          <w:spacing w:val="-52"/>
        </w:rPr>
        <w:t> </w:t>
      </w:r>
      <w:r>
        <w:rPr/>
        <w:t>月</w:t>
      </w:r>
      <w:r>
        <w:rPr>
          <w:spacing w:val="-54"/>
        </w:rPr>
        <w:t> </w:t>
      </w:r>
      <w:r>
        <w:rPr/>
        <w:t>9</w:t>
      </w:r>
      <w:r>
        <w:rPr>
          <w:spacing w:val="-52"/>
        </w:rPr>
        <w:t> </w:t>
      </w:r>
      <w:r>
        <w:rPr>
          <w:spacing w:val="-1"/>
        </w:rPr>
        <w:t>日至</w:t>
      </w:r>
      <w:r>
        <w:rPr>
          <w:spacing w:val="-54"/>
        </w:rPr>
        <w:t> </w:t>
      </w:r>
      <w:r>
        <w:rPr>
          <w:spacing w:val="-1"/>
        </w:rPr>
        <w:t>2014</w:t>
      </w:r>
      <w:r>
        <w:rPr>
          <w:spacing w:val="-52"/>
        </w:rPr>
        <w:t> </w:t>
      </w:r>
      <w:r>
        <w:rPr/>
        <w:t>年</w:t>
      </w:r>
      <w:r>
        <w:rPr>
          <w:spacing w:val="-54"/>
        </w:rPr>
        <w:t> </w:t>
      </w:r>
      <w:r>
        <w:rPr/>
        <w:t>3</w:t>
      </w:r>
      <w:r>
        <w:rPr>
          <w:spacing w:val="-52"/>
        </w:rPr>
        <w:t> </w:t>
      </w:r>
      <w:r>
        <w:rPr/>
        <w:t>月</w:t>
      </w:r>
      <w:r>
        <w:rPr>
          <w:spacing w:val="-54"/>
        </w:rPr>
        <w:t> </w:t>
      </w:r>
      <w:r>
        <w:rPr>
          <w:spacing w:val="-1"/>
        </w:rPr>
        <w:t>10</w:t>
      </w:r>
      <w:r>
        <w:rPr>
          <w:spacing w:val="-52"/>
        </w:rPr>
        <w:t> </w:t>
      </w:r>
      <w:r>
        <w:rPr/>
        <w:t>日。</w:t>
      </w:r>
      <w:r>
        <w:rPr/>
        <w:t> 连续两次未亲自出席董事会会议的说明</w:t>
      </w:r>
    </w:p>
    <w:p>
      <w:pPr>
        <w:pStyle w:val="BodyText"/>
        <w:spacing w:line="266" w:lineRule="exact" w:before="0"/>
        <w:ind w:left="641" w:right="84"/>
        <w:jc w:val="left"/>
      </w:pPr>
      <w:r>
        <w:rPr/>
        <w:t>无。</w:t>
      </w:r>
    </w:p>
    <w:p>
      <w:pPr>
        <w:spacing w:line="240" w:lineRule="auto" w:before="4"/>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4524"/>
        <w:gridCol w:w="4525"/>
      </w:tblGrid>
      <w:tr>
        <w:trPr>
          <w:trHeight w:val="46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10</w:t>
            </w:r>
          </w:p>
        </w:tc>
      </w:tr>
      <w:tr>
        <w:trPr>
          <w:trHeight w:val="46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sz w:val="21"/>
              </w:rPr>
              <w:t>6</w:t>
            </w:r>
          </w:p>
        </w:tc>
      </w:tr>
      <w:tr>
        <w:trPr>
          <w:trHeight w:val="46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sz w:val="21"/>
              </w:rPr>
              <w:t>0</w:t>
            </w:r>
          </w:p>
        </w:tc>
      </w:tr>
    </w:tbl>
    <w:p>
      <w:pPr>
        <w:spacing w:after="0" w:line="240" w:lineRule="auto"/>
        <w:jc w:val="center"/>
        <w:rPr>
          <w:rFonts w:ascii="宋体" w:hAnsi="宋体" w:cs="宋体" w:eastAsia="宋体" w:hint="default"/>
          <w:sz w:val="21"/>
          <w:szCs w:val="21"/>
        </w:rPr>
        <w:sectPr>
          <w:pgSz w:w="11910" w:h="16840"/>
          <w:pgMar w:header="882" w:footer="977" w:top="1120" w:bottom="1160" w:left="14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483" w:lineRule="exact"/>
        <w:ind w:left="104"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53.45pt;height:24.2pt;mso-position-horizontal-relative:char;mso-position-vertical-relative:line" coordorigin="0,0" coordsize="9069,484">
            <v:group style="position:absolute;left:5;top:10;width:9059;height:2" coordorigin="5,10" coordsize="9059,2">
              <v:shape style="position:absolute;left:5;top:10;width:9059;height:2" coordorigin="5,10" coordsize="9059,0" path="m5,10l9064,10e" filled="false" stroked="true" strokeweight=".47998pt" strokecolor="#000000">
                <v:path arrowok="t"/>
              </v:shape>
            </v:group>
            <v:group style="position:absolute;left:10;top:5;width:2;height:474" coordorigin="10,5" coordsize="2,474">
              <v:shape style="position:absolute;left:10;top:5;width:2;height:474" coordorigin="10,5" coordsize="0,474" path="m10,5l10,479e" filled="false" stroked="true" strokeweight=".48pt" strokecolor="#000000">
                <v:path arrowok="t"/>
              </v:shape>
            </v:group>
            <v:group style="position:absolute;left:5;top:474;width:4524;height:2" coordorigin="5,474" coordsize="4524,2">
              <v:shape style="position:absolute;left:5;top:474;width:4524;height:2" coordorigin="5,474" coordsize="4524,0" path="m5,474l4529,474e" filled="false" stroked="true" strokeweight=".47998pt" strokecolor="#000000">
                <v:path arrowok="t"/>
              </v:shape>
            </v:group>
            <v:group style="position:absolute;left:4534;top:14;width:2;height:465" coordorigin="4534,14" coordsize="2,465">
              <v:shape style="position:absolute;left:4534;top:14;width:2;height:465" coordorigin="4534,14" coordsize="0,465" path="m4534,14l4534,479e" filled="false" stroked="true" strokeweight=".47998pt" strokecolor="#000000">
                <v:path arrowok="t"/>
              </v:shape>
            </v:group>
            <v:group style="position:absolute;left:4538;top:474;width:4516;height:2" coordorigin="4538,474" coordsize="4516,2">
              <v:shape style="position:absolute;left:4538;top:474;width:4516;height:2" coordorigin="4538,474" coordsize="4516,0" path="m4538,474l9054,474e" filled="false" stroked="true" strokeweight=".47998pt" strokecolor="#000000">
                <v:path arrowok="t"/>
              </v:shape>
            </v:group>
            <v:group style="position:absolute;left:9059;top:5;width:2;height:474" coordorigin="9059,5" coordsize="2,474">
              <v:shape style="position:absolute;left:9059;top:5;width:2;height:474" coordorigin="9059,5" coordsize="0,474" path="m9059,5l9059,479e" filled="false" stroked="true" strokeweight=".47998pt" strokecolor="#000000">
                <v:path arrowok="t"/>
              </v:shape>
              <v:shape style="position:absolute;left:10;top:10;width:4524;height:465" type="#_x0000_t202" filled="false" stroked="false">
                <v:textbox inset="0,0,0,0">
                  <w:txbxContent>
                    <w:p>
                      <w:pPr>
                        <w:spacing w:before="60"/>
                        <w:ind w:left="107" w:right="0" w:firstLine="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xbxContent>
                </v:textbox>
                <w10:wrap type="none"/>
              </v:shape>
              <v:shape style="position:absolute;left:6743;top:135;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4</w:t>
                      </w:r>
                    </w:p>
                  </w:txbxContent>
                </v:textbox>
                <w10:wrap type="none"/>
              </v:shape>
            </v:group>
          </v:group>
        </w:pict>
      </w:r>
      <w:r>
        <w:rPr>
          <w:rFonts w:ascii="宋体" w:hAnsi="宋体" w:cs="宋体" w:eastAsia="宋体" w:hint="default"/>
          <w:position w:val="-9"/>
          <w:sz w:val="20"/>
          <w:szCs w:val="20"/>
        </w:rPr>
      </w:r>
    </w:p>
    <w:p>
      <w:pPr>
        <w:spacing w:line="240" w:lineRule="auto" w:before="9"/>
        <w:rPr>
          <w:rFonts w:ascii="宋体" w:hAnsi="宋体" w:cs="宋体" w:eastAsia="宋体" w:hint="default"/>
          <w:sz w:val="19"/>
          <w:szCs w:val="19"/>
        </w:rPr>
      </w:pPr>
    </w:p>
    <w:p>
      <w:pPr>
        <w:spacing w:line="357" w:lineRule="auto" w:before="35"/>
        <w:ind w:left="641" w:right="0" w:hanging="421"/>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pacing w:val="-8"/>
          <w:sz w:val="21"/>
          <w:szCs w:val="21"/>
        </w:rPr>
        <w:t>公司董事会下设战略委员会、审计委员会、提名委员会、薪酬与考核委员会等四个专门委员会，</w:t>
      </w:r>
    </w:p>
    <w:p>
      <w:pPr>
        <w:pStyle w:val="BodyText"/>
        <w:spacing w:line="257" w:lineRule="exact" w:before="0"/>
        <w:ind w:left="221" w:right="0"/>
        <w:jc w:val="left"/>
      </w:pPr>
      <w:r>
        <w:rPr>
          <w:spacing w:val="-3"/>
        </w:rPr>
        <w:t>并建立了董事会各专门委员会实施细则。各专门委员会在报告期内严格按照《公司章程》、《董事</w:t>
      </w:r>
    </w:p>
    <w:p>
      <w:pPr>
        <w:pStyle w:val="BodyText"/>
        <w:spacing w:line="314" w:lineRule="auto" w:before="85"/>
        <w:ind w:left="221" w:right="211"/>
        <w:jc w:val="both"/>
      </w:pPr>
      <w:r>
        <w:rPr>
          <w:spacing w:val="-3"/>
        </w:rPr>
        <w:t>会议事规则》及各专门委员会工作细则履行职责，依法合规运作，分别对公司财务报告、内部审计</w:t>
      </w:r>
      <w:r>
        <w:rPr>
          <w:spacing w:val="-80"/>
        </w:rPr>
        <w:t> </w:t>
      </w:r>
      <w:r>
        <w:rPr>
          <w:spacing w:val="-80"/>
        </w:rPr>
      </w:r>
      <w:r>
        <w:rPr>
          <w:spacing w:val="-3"/>
        </w:rPr>
        <w:t>工作、监督及评估公司外部审计机构工作、提名董事和高级管理人员人选、董事及高级管理人员的</w:t>
      </w:r>
      <w:r>
        <w:rPr>
          <w:spacing w:val="-78"/>
        </w:rPr>
        <w:t> </w:t>
      </w:r>
      <w:r>
        <w:rPr>
          <w:spacing w:val="-78"/>
        </w:rPr>
      </w:r>
      <w:r>
        <w:rPr/>
        <w:t>薪酬等工作提出意见与建议，为董事会的科学决策提供了支持。</w:t>
      </w:r>
    </w:p>
    <w:p>
      <w:pPr>
        <w:spacing w:line="240" w:lineRule="auto" w:before="13"/>
        <w:rPr>
          <w:rFonts w:ascii="宋体" w:hAnsi="宋体" w:cs="宋体" w:eastAsia="宋体" w:hint="default"/>
          <w:sz w:val="20"/>
          <w:szCs w:val="20"/>
        </w:rPr>
      </w:pPr>
    </w:p>
    <w:p>
      <w:pPr>
        <w:spacing w:line="357" w:lineRule="auto" w:before="0"/>
        <w:ind w:left="641" w:right="196"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公司监事会根据《公司法》、《公司章程》所赋予的监督权，对公司的定期报告</w:t>
      </w:r>
      <w:r>
        <w:rPr>
          <w:rFonts w:ascii="宋体" w:hAnsi="宋体" w:cs="宋体" w:eastAsia="宋体" w:hint="default"/>
          <w:spacing w:val="32"/>
          <w:sz w:val="21"/>
          <w:szCs w:val="21"/>
        </w:rPr>
        <w:t> </w:t>
      </w:r>
      <w:r>
        <w:rPr>
          <w:rFonts w:ascii="宋体" w:hAnsi="宋体" w:cs="宋体" w:eastAsia="宋体" w:hint="default"/>
          <w:spacing w:val="-5"/>
          <w:sz w:val="21"/>
          <w:szCs w:val="21"/>
        </w:rPr>
        <w:t>、财务报告、</w:t>
      </w:r>
    </w:p>
    <w:p>
      <w:pPr>
        <w:pStyle w:val="BodyText"/>
        <w:spacing w:line="257" w:lineRule="exact" w:before="0"/>
        <w:ind w:left="221" w:right="0"/>
        <w:jc w:val="left"/>
      </w:pPr>
      <w:r>
        <w:rPr>
          <w:spacing w:val="-3"/>
        </w:rPr>
        <w:t>信息披露、董事与高级管理人员履职情况、募集资金使用等工作履行了监督职责。公司董事和高管</w:t>
      </w:r>
    </w:p>
    <w:p>
      <w:pPr>
        <w:pStyle w:val="BodyText"/>
        <w:spacing w:line="314" w:lineRule="auto" w:before="85"/>
        <w:ind w:left="221" w:right="210"/>
        <w:jc w:val="both"/>
      </w:pPr>
      <w:r>
        <w:rPr>
          <w:spacing w:val="-3"/>
        </w:rPr>
        <w:t>人员勤勉履职，积极配合监事会履行监督与检查职责，不存在违反法律法规、《公司章程》及损害</w:t>
      </w:r>
      <w:r>
        <w:rPr>
          <w:spacing w:val="-80"/>
        </w:rPr>
        <w:t> </w:t>
      </w:r>
      <w:r>
        <w:rPr>
          <w:spacing w:val="-80"/>
        </w:rPr>
      </w:r>
      <w:r>
        <w:rPr/>
        <w:t>股东和公司利益的行为，监事会上述监督事项无异议。</w:t>
      </w:r>
    </w:p>
    <w:p>
      <w:pPr>
        <w:spacing w:line="240" w:lineRule="auto" w:before="1"/>
        <w:rPr>
          <w:rFonts w:ascii="宋体" w:hAnsi="宋体" w:cs="宋体" w:eastAsia="宋体" w:hint="default"/>
          <w:sz w:val="23"/>
          <w:szCs w:val="23"/>
        </w:rPr>
      </w:pPr>
    </w:p>
    <w:p>
      <w:pPr>
        <w:pStyle w:val="Heading2"/>
        <w:spacing w:line="272" w:lineRule="exact" w:before="0"/>
        <w:ind w:left="646" w:right="0" w:hanging="425"/>
        <w:jc w:val="left"/>
        <w:rPr>
          <w:b w:val="0"/>
          <w:bCs w:val="0"/>
        </w:rPr>
      </w:pPr>
      <w:r>
        <w:rPr>
          <w:spacing w:val="2"/>
          <w:w w:val="95"/>
        </w:rPr>
        <w:t>六、公司就其与控股股东在业务、人员、资产、机构、财务等方面存在的不能保证独立性、不能</w:t>
      </w:r>
      <w:r>
        <w:rPr>
          <w:spacing w:val="7"/>
          <w:w w:val="95"/>
        </w:rPr>
        <w:t> </w:t>
      </w:r>
      <w:r>
        <w:rPr>
          <w:spacing w:val="7"/>
          <w:w w:val="95"/>
        </w:rPr>
      </w:r>
      <w:r>
        <w:rPr/>
        <w:t>保持自主经营能力的情况说明</w:t>
      </w:r>
      <w:r>
        <w:rPr>
          <w:b w:val="0"/>
          <w:bCs w:val="0"/>
        </w:rPr>
      </w:r>
    </w:p>
    <w:p>
      <w:pPr>
        <w:pStyle w:val="BodyText"/>
        <w:spacing w:line="240" w:lineRule="auto" w:before="32"/>
        <w:ind w:left="641" w:right="0"/>
        <w:jc w:val="left"/>
      </w:pPr>
      <w:r>
        <w:rPr/>
        <w:t>不存在</w:t>
      </w:r>
    </w:p>
    <w:p>
      <w:pPr>
        <w:spacing w:line="240" w:lineRule="auto" w:before="7"/>
        <w:rPr>
          <w:rFonts w:ascii="宋体" w:hAnsi="宋体" w:cs="宋体" w:eastAsia="宋体" w:hint="default"/>
          <w:sz w:val="26"/>
          <w:szCs w:val="26"/>
        </w:rPr>
      </w:pPr>
    </w:p>
    <w:p>
      <w:pPr>
        <w:pStyle w:val="BodyText"/>
        <w:spacing w:line="314" w:lineRule="auto" w:before="0"/>
        <w:ind w:left="221" w:right="0" w:firstLine="419"/>
        <w:jc w:val="left"/>
      </w:pPr>
      <w:r>
        <w:rPr>
          <w:spacing w:val="-8"/>
        </w:rPr>
        <w:t>因股份化改造、行业特点、国家政策、收购兼并等原因存在同业竞争的，公司相应的解决措施、</w:t>
      </w:r>
      <w:r>
        <w:rPr/>
        <w:t> 工作进度及后续工作计划</w:t>
      </w:r>
    </w:p>
    <w:p>
      <w:pPr>
        <w:pStyle w:val="BodyText"/>
        <w:spacing w:line="240" w:lineRule="auto"/>
        <w:ind w:left="641" w:right="0"/>
        <w:jc w:val="left"/>
      </w:pPr>
      <w:r>
        <w:rPr/>
        <w:t>不存在。</w:t>
      </w:r>
    </w:p>
    <w:p>
      <w:pPr>
        <w:spacing w:line="240" w:lineRule="auto" w:before="12"/>
        <w:rPr>
          <w:rFonts w:ascii="宋体" w:hAnsi="宋体" w:cs="宋体" w:eastAsia="宋体" w:hint="default"/>
          <w:sz w:val="25"/>
          <w:szCs w:val="25"/>
        </w:rPr>
      </w:pPr>
    </w:p>
    <w:p>
      <w:pPr>
        <w:spacing w:line="357" w:lineRule="auto" w:before="0"/>
        <w:ind w:left="641" w:right="0" w:hanging="421"/>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pacing w:val="-3"/>
          <w:sz w:val="21"/>
          <w:szCs w:val="21"/>
        </w:rPr>
        <w:t>为规范公司高级管理人员的薪酬考评和管理、完善公司激励机制，有效调动高管人员的积极性</w:t>
      </w:r>
    </w:p>
    <w:p>
      <w:pPr>
        <w:pStyle w:val="BodyText"/>
        <w:spacing w:line="257" w:lineRule="exact" w:before="0"/>
        <w:ind w:left="221" w:right="0"/>
        <w:jc w:val="left"/>
      </w:pPr>
      <w:r>
        <w:rPr>
          <w:spacing w:val="-3"/>
        </w:rPr>
        <w:t>和创造力，公司严格执行有关法律法规的规定，建立了全面的绩效考评制度，并在实际工作中切实</w:t>
      </w:r>
    </w:p>
    <w:p>
      <w:pPr>
        <w:pStyle w:val="BodyText"/>
        <w:spacing w:line="314" w:lineRule="auto" w:before="85"/>
        <w:ind w:left="221" w:right="93"/>
        <w:jc w:val="left"/>
      </w:pPr>
      <w:r>
        <w:rPr>
          <w:spacing w:val="-3"/>
        </w:rPr>
        <w:t>贯彻实施。公司在董事会下设薪酬与考核委员会，并建立了相应的工作细则，强化了对高级管理人</w:t>
      </w:r>
      <w:r>
        <w:rPr>
          <w:spacing w:val="-78"/>
        </w:rPr>
        <w:t> </w:t>
      </w:r>
      <w:r>
        <w:rPr>
          <w:spacing w:val="-78"/>
        </w:rPr>
      </w:r>
      <w:r>
        <w:rPr/>
        <w:t>员的考评激励作用与责任目标约束，不断提高公司高级管理人员的进取、务实的精神和责任意识。</w:t>
      </w:r>
    </w:p>
    <w:p>
      <w:pPr>
        <w:spacing w:after="0" w:line="314" w:lineRule="auto"/>
        <w:jc w:val="left"/>
        <w:sectPr>
          <w:pgSz w:w="11910" w:h="16840"/>
          <w:pgMar w:header="882" w:footer="977" w:top="1120" w:bottom="1160" w:left="14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75"/>
        <w:ind w:right="71"/>
        <w:jc w:val="center"/>
        <w:rPr>
          <w:b w:val="0"/>
          <w:bCs w:val="0"/>
        </w:rPr>
      </w:pPr>
      <w:bookmarkStart w:name="_TOC_250002" w:id="9"/>
      <w:r>
        <w:rPr>
          <w:w w:val="95"/>
        </w:rPr>
        <w:t>第九节</w:t>
        <w:tab/>
      </w:r>
      <w:r>
        <w:rPr/>
        <w:t>内部控制</w:t>
      </w:r>
      <w:bookmarkEnd w:id="9"/>
      <w:r>
        <w:rPr>
          <w:b w:val="0"/>
          <w:bCs w:val="0"/>
        </w:rPr>
      </w:r>
    </w:p>
    <w:p>
      <w:pPr>
        <w:spacing w:line="357" w:lineRule="auto" w:before="249"/>
        <w:ind w:left="561" w:right="203" w:hanging="421"/>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根据《企业内部控制基本规范》及其配套指引、《上海证券交易所上市公司内部控制指引》的</w:t>
      </w:r>
    </w:p>
    <w:p>
      <w:pPr>
        <w:pStyle w:val="BodyText"/>
        <w:spacing w:line="257" w:lineRule="exact" w:before="0"/>
        <w:ind w:right="0" w:hanging="1"/>
        <w:jc w:val="both"/>
      </w:pPr>
      <w:r>
        <w:rPr>
          <w:spacing w:val="-8"/>
        </w:rPr>
        <w:t>规定和其他内部控制监管要求（以下简称企业内部控制规范体系），结合南威软件股份有限公司（以</w:t>
      </w:r>
    </w:p>
    <w:p>
      <w:pPr>
        <w:pStyle w:val="BodyText"/>
        <w:spacing w:line="314" w:lineRule="auto" w:before="85"/>
        <w:ind w:right="211" w:hanging="1"/>
        <w:jc w:val="both"/>
      </w:pPr>
      <w:r>
        <w:rPr>
          <w:spacing w:val="-7"/>
        </w:rPr>
        <w:t>下简称公司）内部控制制度和评价办法，在内部控制日常监督和专项监督的基础上，我们对公司2014</w:t>
      </w:r>
      <w:r>
        <w:rPr>
          <w:spacing w:val="-1"/>
        </w:rPr>
        <w:t> </w:t>
      </w:r>
      <w:r>
        <w:rPr/>
        <w:t>年12月31日（内部控制评价报告基准日）的内部控制有效性进行了评价。</w:t>
      </w:r>
    </w:p>
    <w:p>
      <w:pPr>
        <w:pStyle w:val="BodyText"/>
        <w:spacing w:line="314" w:lineRule="auto"/>
        <w:ind w:left="561" w:right="203" w:firstLine="2"/>
        <w:jc w:val="left"/>
      </w:pPr>
      <w:r>
        <w:rPr>
          <w:rFonts w:ascii="宋体" w:hAnsi="宋体" w:cs="宋体" w:eastAsia="宋体" w:hint="default"/>
          <w:b/>
          <w:bCs/>
        </w:rPr>
        <w:t>（一）重要声明</w:t>
      </w:r>
      <w:r>
        <w:rPr>
          <w:rFonts w:ascii="宋体" w:hAnsi="宋体" w:cs="宋体" w:eastAsia="宋体" w:hint="default"/>
          <w:b/>
          <w:bCs/>
          <w:w w:val="99"/>
        </w:rPr>
        <w:t> </w:t>
      </w:r>
      <w:r>
        <w:rPr>
          <w:spacing w:val="-3"/>
        </w:rPr>
        <w:t>按照企业内部控制规范体系的规定，建立健全和有效实施内部控制，评价其有效性，并如实披</w:t>
      </w:r>
    </w:p>
    <w:p>
      <w:pPr>
        <w:pStyle w:val="BodyText"/>
        <w:spacing w:line="314" w:lineRule="auto"/>
        <w:ind w:right="211"/>
        <w:jc w:val="both"/>
      </w:pPr>
      <w:r>
        <w:rPr>
          <w:spacing w:val="-3"/>
        </w:rPr>
        <w:t>露内部控制评价报告是公司董事会的责任。监事会对董事会建立和实施内部控制进行监督。经理层</w:t>
      </w:r>
      <w:r>
        <w:rPr>
          <w:spacing w:val="-78"/>
        </w:rPr>
        <w:t> </w:t>
      </w:r>
      <w:r>
        <w:rPr>
          <w:spacing w:val="-78"/>
        </w:rPr>
      </w:r>
      <w:r>
        <w:rPr>
          <w:spacing w:val="-3"/>
        </w:rPr>
        <w:t>负责组织领导企业内部控制的日常运行。公司董事会、监事会及董事、监事、高级管理人员保证本</w:t>
      </w:r>
      <w:r>
        <w:rPr>
          <w:spacing w:val="-80"/>
        </w:rPr>
        <w:t> </w:t>
      </w:r>
      <w:r>
        <w:rPr>
          <w:spacing w:val="-80"/>
        </w:rPr>
      </w:r>
      <w:r>
        <w:rPr>
          <w:spacing w:val="-3"/>
        </w:rPr>
        <w:t>报告内容不存在任何虚假记载、误导性陈述或重大遗漏，并对报告内容的真实性、准确性和完整性</w:t>
      </w:r>
      <w:r>
        <w:rPr>
          <w:spacing w:val="-78"/>
        </w:rPr>
        <w:t> </w:t>
      </w:r>
      <w:r>
        <w:rPr>
          <w:spacing w:val="-78"/>
        </w:rPr>
      </w:r>
      <w:r>
        <w:rPr/>
        <w:t>承担个别及连带法律责任。</w:t>
      </w:r>
    </w:p>
    <w:p>
      <w:pPr>
        <w:pStyle w:val="BodyText"/>
        <w:spacing w:line="314" w:lineRule="auto"/>
        <w:ind w:right="94" w:firstLine="419"/>
        <w:jc w:val="left"/>
      </w:pPr>
      <w:r>
        <w:rPr>
          <w:spacing w:val="-5"/>
        </w:rPr>
        <w:t>公司内部控制的目标是合理保证经营管理合法合规、资产安全、财务报告及相关信息真实完整，</w:t>
      </w:r>
      <w:r>
        <w:rPr/>
        <w:t> </w:t>
      </w:r>
      <w:r>
        <w:rPr>
          <w:spacing w:val="-3"/>
        </w:rPr>
        <w:t>提高经营效率和效果，促进实现发展战略。由于内部控制存在的固有局限性，故仅能为实现上述目</w:t>
      </w:r>
      <w:r>
        <w:rPr>
          <w:spacing w:val="-78"/>
        </w:rPr>
        <w:t> </w:t>
      </w:r>
      <w:r>
        <w:rPr>
          <w:spacing w:val="-78"/>
        </w:rPr>
      </w:r>
      <w:r>
        <w:rPr>
          <w:spacing w:val="-3"/>
        </w:rPr>
        <w:t>标提供合理保证。此外，由于情况的变化可能导致内部控制变得不恰当，或对控制政策和程序遵循</w:t>
      </w:r>
      <w:r>
        <w:rPr>
          <w:spacing w:val="-78"/>
        </w:rPr>
        <w:t> </w:t>
      </w:r>
      <w:r>
        <w:rPr>
          <w:spacing w:val="-78"/>
        </w:rPr>
      </w:r>
      <w:r>
        <w:rPr/>
        <w:t>的程度降低，根据内部控制评价结果推测未来内部控制的有效性具有一定的风险。</w:t>
      </w:r>
    </w:p>
    <w:p>
      <w:pPr>
        <w:spacing w:line="314" w:lineRule="auto" w:before="20"/>
        <w:ind w:left="561" w:right="203" w:firstLine="2"/>
        <w:jc w:val="left"/>
        <w:rPr>
          <w:rFonts w:ascii="宋体" w:hAnsi="宋体" w:cs="宋体" w:eastAsia="宋体" w:hint="default"/>
          <w:sz w:val="21"/>
          <w:szCs w:val="21"/>
        </w:rPr>
      </w:pPr>
      <w:r>
        <w:rPr>
          <w:rFonts w:ascii="宋体" w:hAnsi="宋体" w:cs="宋体" w:eastAsia="宋体" w:hint="default"/>
          <w:b/>
          <w:bCs/>
          <w:sz w:val="21"/>
          <w:szCs w:val="21"/>
        </w:rPr>
        <w:t>（二）内部控制评价结论</w:t>
      </w:r>
      <w:r>
        <w:rPr>
          <w:rFonts w:ascii="宋体" w:hAnsi="宋体" w:cs="宋体" w:eastAsia="宋体" w:hint="default"/>
          <w:b/>
          <w:bCs/>
          <w:w w:val="99"/>
          <w:sz w:val="21"/>
          <w:szCs w:val="21"/>
        </w:rPr>
        <w:t> </w:t>
      </w:r>
      <w:r>
        <w:rPr>
          <w:rFonts w:ascii="宋体" w:hAnsi="宋体" w:cs="宋体" w:eastAsia="宋体" w:hint="default"/>
          <w:spacing w:val="-3"/>
          <w:sz w:val="21"/>
          <w:szCs w:val="21"/>
        </w:rPr>
        <w:t>根据公司财务报告内部控制重大缺陷的认定情况，于内部控制评价报告基准日，不存在财务报</w:t>
      </w:r>
    </w:p>
    <w:p>
      <w:pPr>
        <w:pStyle w:val="BodyText"/>
        <w:spacing w:line="314" w:lineRule="auto"/>
        <w:ind w:right="211"/>
        <w:jc w:val="both"/>
      </w:pPr>
      <w:r>
        <w:rPr>
          <w:spacing w:val="-3"/>
        </w:rPr>
        <w:t>告内部控制重大缺陷。董事会认为，公司已按照企业内部控制规范体系和相关规定的要求在所有重</w:t>
      </w:r>
      <w:r>
        <w:rPr>
          <w:spacing w:val="-78"/>
        </w:rPr>
        <w:t> </w:t>
      </w:r>
      <w:r>
        <w:rPr>
          <w:spacing w:val="-78"/>
        </w:rPr>
      </w:r>
      <w:r>
        <w:rPr/>
        <w:t>大方面保持了有效的财务报告内部控制。</w:t>
      </w:r>
    </w:p>
    <w:p>
      <w:pPr>
        <w:pStyle w:val="BodyText"/>
        <w:spacing w:line="314" w:lineRule="auto"/>
        <w:ind w:right="203" w:firstLine="420"/>
        <w:jc w:val="left"/>
      </w:pPr>
      <w:r>
        <w:rPr>
          <w:spacing w:val="-3"/>
        </w:rPr>
        <w:t>根据公司非财务报告内部控制重大缺陷认定情况，于内部控制评价报告基准日，公司未发现非</w:t>
      </w:r>
      <w:r>
        <w:rPr/>
        <w:t> 财务报告内部控制重大缺陷。</w:t>
      </w:r>
    </w:p>
    <w:p>
      <w:pPr>
        <w:pStyle w:val="BodyText"/>
        <w:spacing w:line="314" w:lineRule="auto"/>
        <w:ind w:right="203" w:firstLine="420"/>
        <w:jc w:val="left"/>
      </w:pPr>
      <w:r>
        <w:rPr>
          <w:spacing w:val="2"/>
        </w:rPr>
        <w:t>自内部控制评价报告基准日至内部控制评价报告发出日之间未发生影响内部控制有效性评价</w:t>
      </w:r>
      <w:r>
        <w:rPr/>
        <w:t> 结论的因素。</w:t>
      </w:r>
    </w:p>
    <w:p>
      <w:pPr>
        <w:pStyle w:val="Heading2"/>
        <w:spacing w:line="314" w:lineRule="auto" w:before="20"/>
        <w:ind w:left="564" w:right="3324"/>
        <w:jc w:val="left"/>
        <w:rPr>
          <w:b w:val="0"/>
          <w:bCs w:val="0"/>
        </w:rPr>
      </w:pPr>
      <w:r>
        <w:rPr/>
        <w:t>（三）内部控制评价工作情况</w:t>
      </w:r>
      <w:r>
        <w:rPr>
          <w:spacing w:val="1"/>
          <w:w w:val="99"/>
        </w:rPr>
        <w:t> </w:t>
      </w:r>
      <w:r>
        <w:rPr/>
        <w:t>1、公司与财务报表相关的内部控制制度设置和执行情况。</w:t>
      </w:r>
      <w:r>
        <w:rPr>
          <w:b w:val="0"/>
          <w:bCs w:val="0"/>
        </w:rPr>
      </w:r>
    </w:p>
    <w:p>
      <w:pPr>
        <w:pStyle w:val="BodyText"/>
        <w:spacing w:line="240" w:lineRule="auto"/>
        <w:ind w:left="561" w:right="227"/>
        <w:jc w:val="left"/>
      </w:pPr>
      <w:r>
        <w:rPr/>
        <w:t>（1）内部环境</w:t>
      </w:r>
    </w:p>
    <w:p>
      <w:pPr>
        <w:pStyle w:val="BodyText"/>
        <w:spacing w:line="314" w:lineRule="auto" w:before="85"/>
        <w:ind w:left="561" w:right="203"/>
        <w:jc w:val="left"/>
      </w:pPr>
      <w:r>
        <w:rPr/>
        <w:t>①公司治理结构 </w:t>
      </w:r>
      <w:r>
        <w:rPr>
          <w:spacing w:val="-3"/>
        </w:rPr>
        <w:t>公司严格按照《公司法》、《证券法》和有关监管要求及公司章程的规定，建立健全了与企业</w:t>
      </w:r>
    </w:p>
    <w:p>
      <w:pPr>
        <w:pStyle w:val="BodyText"/>
        <w:spacing w:line="314" w:lineRule="auto"/>
        <w:ind w:right="211"/>
        <w:jc w:val="both"/>
      </w:pPr>
      <w:r>
        <w:rPr>
          <w:spacing w:val="-3"/>
        </w:rPr>
        <w:t>发展相适应的治理结构，股东大会，董事会、监事会、经营管理层之间权责分明，相互制衡，运作</w:t>
      </w:r>
      <w:r>
        <w:rPr>
          <w:spacing w:val="-78"/>
        </w:rPr>
        <w:t> </w:t>
      </w:r>
      <w:r>
        <w:rPr>
          <w:spacing w:val="-78"/>
        </w:rPr>
      </w:r>
      <w:r>
        <w:rPr>
          <w:spacing w:val="-3"/>
        </w:rPr>
        <w:t>良好，形成了一套合理、完整、有效的经营管理框架，为公司的长远发展打下坚实的基础；公司董</w:t>
      </w:r>
      <w:r>
        <w:rPr>
          <w:spacing w:val="-81"/>
        </w:rPr>
        <w:t> </w:t>
      </w:r>
      <w:r>
        <w:rPr>
          <w:spacing w:val="-81"/>
        </w:rPr>
      </w:r>
      <w:r>
        <w:rPr/>
        <w:t>事会由7名成员组成，其中独立董事3名，独立董事中有1名为会计专家。公司董事会下设薪酬与考</w:t>
      </w:r>
      <w:r>
        <w:rPr/>
        <w:t> 核委员会、提名委员会、战略委员会和审计委员会四个专业委员会。</w:t>
      </w:r>
    </w:p>
    <w:p>
      <w:pPr>
        <w:pStyle w:val="BodyText"/>
        <w:spacing w:line="314" w:lineRule="auto"/>
        <w:ind w:right="93" w:firstLine="420"/>
        <w:jc w:val="left"/>
      </w:pPr>
      <w:r>
        <w:rPr>
          <w:spacing w:val="-3"/>
        </w:rPr>
        <w:t>公司建立了《股东大会议事规则》、《董事会议事规则》、《监事会议事规则》、《独立董事</w:t>
      </w:r>
      <w:r>
        <w:rPr/>
        <w:t> 工作制度》、《总经理工作细则》、《董事会秘书工作细则》、《董事会审计委员会工作细则》、</w:t>
      </w:r>
    </w:p>
    <w:p>
      <w:pPr>
        <w:pStyle w:val="BodyText"/>
        <w:spacing w:line="240" w:lineRule="auto"/>
        <w:ind w:right="0"/>
        <w:jc w:val="both"/>
      </w:pPr>
      <w:r>
        <w:rPr>
          <w:spacing w:val="-3"/>
        </w:rPr>
        <w:t>《董事会提名委员会工作细则》、《董事会战略委员会工作细则》、《董事会薪酬与考核委员会工</w:t>
      </w:r>
    </w:p>
    <w:p>
      <w:pPr>
        <w:spacing w:after="0" w:line="240" w:lineRule="auto"/>
        <w:jc w:val="both"/>
        <w:sectPr>
          <w:pgSz w:w="11910" w:h="16840"/>
          <w:pgMar w:header="882" w:footer="977" w:top="1120" w:bottom="1160" w:left="15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before="0"/>
        <w:ind w:right="203"/>
        <w:jc w:val="left"/>
      </w:pPr>
      <w:r>
        <w:rPr>
          <w:spacing w:val="-3"/>
        </w:rPr>
        <w:t>作细则》、《重大经营决策制度》、《子公司管理办法》、《分级授权管理制度》等制度，对公司</w:t>
      </w:r>
      <w:r>
        <w:rPr>
          <w:spacing w:val="-81"/>
        </w:rPr>
        <w:t> </w:t>
      </w:r>
      <w:r>
        <w:rPr>
          <w:spacing w:val="-81"/>
        </w:rPr>
      </w:r>
      <w:r>
        <w:rPr/>
        <w:t>规范运作起着良好的作用。</w:t>
      </w:r>
    </w:p>
    <w:p>
      <w:pPr>
        <w:pStyle w:val="BodyText"/>
        <w:spacing w:line="314" w:lineRule="auto"/>
        <w:ind w:left="561" w:right="203"/>
        <w:jc w:val="left"/>
      </w:pPr>
      <w:r>
        <w:rPr/>
        <w:t>②组织结构 </w:t>
      </w:r>
      <w:r>
        <w:rPr>
          <w:spacing w:val="-3"/>
        </w:rPr>
        <w:t>公司按照业务、管理与内部控制的需要明确了各部门权限、职责，并制订了与部门职责相应的</w:t>
      </w:r>
    </w:p>
    <w:p>
      <w:pPr>
        <w:pStyle w:val="BodyText"/>
        <w:spacing w:line="314" w:lineRule="auto"/>
        <w:ind w:right="203"/>
        <w:jc w:val="left"/>
      </w:pPr>
      <w:r>
        <w:rPr>
          <w:spacing w:val="-3"/>
        </w:rPr>
        <w:t>管理制度。各职能部门各司其职、各负其责、相互配合、相互制约、环环相扣，保证了公司生产经</w:t>
      </w:r>
      <w:r>
        <w:rPr>
          <w:spacing w:val="-78"/>
        </w:rPr>
        <w:t> </w:t>
      </w:r>
      <w:r>
        <w:rPr>
          <w:spacing w:val="-78"/>
        </w:rPr>
      </w:r>
      <w:r>
        <w:rPr/>
        <w:t>营活动的正常有序进行。</w:t>
      </w:r>
    </w:p>
    <w:p>
      <w:pPr>
        <w:pStyle w:val="BodyText"/>
        <w:spacing w:line="314" w:lineRule="auto"/>
        <w:ind w:right="211" w:firstLine="420"/>
        <w:jc w:val="both"/>
      </w:pPr>
      <w:r>
        <w:rPr/>
        <w:t>2014年6月5日公司成立了全资子公司南平南威软件有限公司，注册资本500万元，主营业务为 技术咨询、软件开发与技术服务等。2014年8月11日公司成立了全资子公司海南科特尔科技有限公 司，注册资本100万元，主营业务为计算机软件开发，智能化系统集成服务，安防工程的设计与施 工，信息技术咨询服务、销售，计算机软硬件及辅助设备、数字电视设备、广播电视设备等。</w:t>
      </w:r>
    </w:p>
    <w:p>
      <w:pPr>
        <w:pStyle w:val="BodyText"/>
        <w:spacing w:line="314" w:lineRule="auto"/>
        <w:ind w:left="561" w:right="203"/>
        <w:jc w:val="left"/>
      </w:pPr>
      <w:r>
        <w:rPr/>
        <w:t>③内部审计 </w:t>
      </w:r>
      <w:r>
        <w:rPr>
          <w:spacing w:val="-3"/>
        </w:rPr>
        <w:t>审计部隶属董事会下设的审计委员会，在公司董事会的监督与指导下，独立开展工作。审计部</w:t>
      </w:r>
    </w:p>
    <w:p>
      <w:pPr>
        <w:pStyle w:val="BodyText"/>
        <w:spacing w:line="314" w:lineRule="auto"/>
        <w:ind w:right="93"/>
        <w:jc w:val="left"/>
      </w:pPr>
      <w:r>
        <w:rPr>
          <w:spacing w:val="-3"/>
        </w:rPr>
        <w:t>门负责公司内部审计、督查工作。公司已经建立了内部审计管理体系，对内部审计工作做了明确的</w:t>
      </w:r>
      <w:r>
        <w:rPr>
          <w:spacing w:val="-78"/>
        </w:rPr>
        <w:t> </w:t>
      </w:r>
      <w:r>
        <w:rPr>
          <w:spacing w:val="-78"/>
        </w:rPr>
      </w:r>
      <w:r>
        <w:rPr/>
        <w:t>规定，完善了内部审计工作规范。通过内部审计活动，公司切实保障了公司规章制度的贯彻执行，</w:t>
      </w:r>
      <w:r>
        <w:rPr/>
        <w:t> 降低了公司经营风险，强化了内部控制，优化了公司资源配置，完善了公司的经营管理工作。</w:t>
      </w:r>
    </w:p>
    <w:p>
      <w:pPr>
        <w:pStyle w:val="BodyText"/>
        <w:spacing w:line="314" w:lineRule="auto"/>
        <w:ind w:left="561" w:right="203"/>
        <w:jc w:val="left"/>
      </w:pPr>
      <w:r>
        <w:rPr/>
        <w:t>④管理制度 </w:t>
      </w:r>
      <w:r>
        <w:rPr>
          <w:spacing w:val="-3"/>
        </w:rPr>
        <w:t>公司已建立较为科学合理的决策机制，包括组织管理、营销管理、财务管理、工程管理、预算</w:t>
      </w:r>
    </w:p>
    <w:p>
      <w:pPr>
        <w:pStyle w:val="BodyText"/>
        <w:spacing w:line="314" w:lineRule="auto"/>
        <w:ind w:right="93"/>
        <w:jc w:val="left"/>
      </w:pPr>
      <w:r>
        <w:rPr>
          <w:spacing w:val="-3"/>
        </w:rPr>
        <w:t>管理等一系列日常管理制度。同时，根据本公司财务会计制度的要求，建立了完备的财务内部控制</w:t>
      </w:r>
      <w:r>
        <w:rPr>
          <w:spacing w:val="-78"/>
        </w:rPr>
        <w:t> </w:t>
      </w:r>
      <w:r>
        <w:rPr>
          <w:spacing w:val="-78"/>
        </w:rPr>
      </w:r>
      <w:r>
        <w:rPr/>
        <w:t>制度，如资金管理制度、资产管理制度、财务管理制度等，加强了公司财务控制管理，能较正确、</w:t>
      </w:r>
      <w:r>
        <w:rPr/>
        <w:t> 及时、有效地对待和控制经营风险及财务风险，保证会计信息的准确性。</w:t>
      </w:r>
    </w:p>
    <w:p>
      <w:pPr>
        <w:pStyle w:val="BodyText"/>
        <w:spacing w:line="314" w:lineRule="auto"/>
        <w:ind w:left="561" w:right="203"/>
        <w:jc w:val="left"/>
      </w:pPr>
      <w:r>
        <w:rPr/>
        <w:t>⑤人力资源管理 </w:t>
      </w:r>
      <w:r>
        <w:rPr>
          <w:spacing w:val="-3"/>
        </w:rPr>
        <w:t>公司设立人力资源部，负责公司人力资源的管理。为加强公司的人力资源管理，公司依据《劳</w:t>
      </w:r>
    </w:p>
    <w:p>
      <w:pPr>
        <w:pStyle w:val="BodyText"/>
        <w:spacing w:line="240" w:lineRule="auto"/>
        <w:ind w:right="0"/>
        <w:jc w:val="left"/>
      </w:pPr>
      <w:r>
        <w:rPr/>
        <w:t>动合同法》及有关法律法规，制定了包括《公司组织编制及权限管理制度》、《招聘管理制度》、</w:t>
      </w:r>
    </w:p>
    <w:p>
      <w:pPr>
        <w:pStyle w:val="BodyText"/>
        <w:spacing w:line="314" w:lineRule="auto" w:before="85"/>
        <w:ind w:right="93"/>
        <w:jc w:val="left"/>
      </w:pPr>
      <w:r>
        <w:rPr/>
        <w:t>《培训管理制度》、《新员工导师制度》、《薪酬管理制度》、《员工激励制度》与《福利制度》 </w:t>
      </w:r>
      <w:r>
        <w:rPr>
          <w:spacing w:val="-3"/>
        </w:rPr>
        <w:t>等一系列科学的管理制度，对公司组织编制与审批权限、招聘、培训、薪酬、考核、激励等人事工</w:t>
      </w:r>
      <w:r>
        <w:rPr>
          <w:spacing w:val="-78"/>
        </w:rPr>
        <w:t> </w:t>
      </w:r>
      <w:r>
        <w:rPr>
          <w:spacing w:val="-78"/>
        </w:rPr>
      </w:r>
      <w:r>
        <w:rPr/>
        <w:t>作进行了有效的规定并切实贯彻执行，保证了员工队伍的稳定性及人才培养的持续性。</w:t>
      </w:r>
    </w:p>
    <w:p>
      <w:pPr>
        <w:pStyle w:val="BodyText"/>
        <w:spacing w:line="314" w:lineRule="auto"/>
        <w:ind w:left="561" w:right="93" w:firstLine="2"/>
        <w:jc w:val="left"/>
      </w:pPr>
      <w:r>
        <w:rPr>
          <w:rFonts w:ascii="宋体" w:hAnsi="宋体" w:cs="宋体" w:eastAsia="宋体" w:hint="default"/>
          <w:b/>
          <w:bCs/>
        </w:rPr>
        <w:t>2、风险评估控制</w:t>
      </w:r>
      <w:r>
        <w:rPr>
          <w:rFonts w:ascii="宋体" w:hAnsi="宋体" w:cs="宋体" w:eastAsia="宋体" w:hint="default"/>
          <w:b/>
          <w:bCs/>
          <w:spacing w:val="1"/>
          <w:w w:val="99"/>
        </w:rPr>
        <w:t> </w:t>
      </w:r>
      <w:r>
        <w:rPr/>
        <w:t>公司制定长远的战略规划和目标，并以具体的策略和业务流程计划将企业经营目标加以分解，</w:t>
      </w:r>
    </w:p>
    <w:p>
      <w:pPr>
        <w:pStyle w:val="BodyText"/>
        <w:spacing w:line="314" w:lineRule="auto"/>
        <w:ind w:right="211"/>
        <w:jc w:val="both"/>
      </w:pPr>
      <w:r>
        <w:rPr>
          <w:spacing w:val="-3"/>
        </w:rPr>
        <w:t>落实到具体岗位，并将其明确传达到每位员工。公司结合自身特点制定了《风险管理制度》，启动</w:t>
      </w:r>
      <w:r>
        <w:rPr>
          <w:spacing w:val="-81"/>
        </w:rPr>
        <w:t> </w:t>
      </w:r>
      <w:r>
        <w:rPr>
          <w:spacing w:val="-81"/>
        </w:rPr>
      </w:r>
      <w:r>
        <w:rPr>
          <w:spacing w:val="-3"/>
        </w:rPr>
        <w:t>了风险管理机制。公司下设各部门根据公司的《风险管理制度》结合部门实际情况制订了部门风险</w:t>
      </w:r>
      <w:r>
        <w:rPr>
          <w:spacing w:val="-78"/>
        </w:rPr>
        <w:t> </w:t>
      </w:r>
      <w:r>
        <w:rPr>
          <w:spacing w:val="-78"/>
        </w:rPr>
      </w:r>
      <w:r>
        <w:rPr>
          <w:spacing w:val="-3"/>
        </w:rPr>
        <w:t>管理制度，确定了部门风险管理目标、原则，建立了部门风险管理组织架构及职责，通过对部门风</w:t>
      </w:r>
      <w:r>
        <w:rPr>
          <w:spacing w:val="-80"/>
        </w:rPr>
        <w:t> </w:t>
      </w:r>
      <w:r>
        <w:rPr>
          <w:spacing w:val="-80"/>
        </w:rPr>
      </w:r>
      <w:r>
        <w:rPr>
          <w:spacing w:val="-3"/>
        </w:rPr>
        <w:t>险识别、分析，制定风险应对措施，形成了部门风险事件库。公司在战略风险、市场风险、运营风</w:t>
      </w:r>
      <w:r>
        <w:rPr>
          <w:spacing w:val="-78"/>
        </w:rPr>
        <w:t> </w:t>
      </w:r>
      <w:r>
        <w:rPr>
          <w:spacing w:val="-78"/>
        </w:rPr>
      </w:r>
      <w:r>
        <w:rPr>
          <w:spacing w:val="-3"/>
        </w:rPr>
        <w:t>险、财务风险与法律风险等方面，从实际出发收集与公司风险和风险管理相关的内部、外部的风险</w:t>
      </w:r>
      <w:r>
        <w:rPr>
          <w:spacing w:val="-78"/>
        </w:rPr>
        <w:t> </w:t>
      </w:r>
      <w:r>
        <w:rPr>
          <w:spacing w:val="-78"/>
        </w:rPr>
      </w:r>
      <w:r>
        <w:rPr>
          <w:spacing w:val="-3"/>
        </w:rPr>
        <w:t>管理信息，建立风险事件库。针对风险发生的可能性制定了应对策略，并定期进行风险监视和排查</w:t>
      </w:r>
      <w:r>
        <w:rPr>
          <w:spacing w:val="-78"/>
        </w:rPr>
        <w:t> </w:t>
      </w:r>
      <w:r>
        <w:rPr>
          <w:spacing w:val="-78"/>
        </w:rPr>
      </w:r>
      <w:r>
        <w:rPr/>
        <w:t>工作。</w:t>
      </w:r>
    </w:p>
    <w:p>
      <w:pPr>
        <w:pStyle w:val="Heading2"/>
        <w:spacing w:line="240" w:lineRule="auto" w:before="20"/>
        <w:ind w:left="563" w:right="227"/>
        <w:jc w:val="left"/>
        <w:rPr>
          <w:b w:val="0"/>
          <w:bCs w:val="0"/>
        </w:rPr>
      </w:pPr>
      <w:r>
        <w:rPr/>
        <w:t>3、控制活动</w:t>
      </w:r>
      <w:r>
        <w:rPr>
          <w:b w:val="0"/>
          <w:bCs w:val="0"/>
        </w:rPr>
      </w:r>
    </w:p>
    <w:p>
      <w:pPr>
        <w:spacing w:after="0" w:line="240" w:lineRule="auto"/>
        <w:jc w:val="left"/>
        <w:sectPr>
          <w:pgSz w:w="11910" w:h="16840"/>
          <w:pgMar w:header="882" w:footer="977" w:top="1120" w:bottom="1160" w:left="1560" w:right="106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BodyText"/>
        <w:spacing w:line="314" w:lineRule="auto" w:before="0"/>
        <w:ind w:right="211" w:firstLine="420"/>
        <w:jc w:val="both"/>
      </w:pPr>
      <w:r>
        <w:rPr>
          <w:spacing w:val="-3"/>
        </w:rPr>
        <w:t>公司为了保证控制目标的实现，针对主要经营活动建立了必要的控制制度和程序。主要包含授</w:t>
      </w:r>
      <w:r>
        <w:rPr/>
        <w:t> </w:t>
      </w:r>
      <w:r>
        <w:rPr>
          <w:spacing w:val="-3"/>
        </w:rPr>
        <w:t>权审批控制、职责分工控制、会计系统控制、凭证与记录控制、资产接触与记录使用控制、电子信</w:t>
      </w:r>
      <w:r>
        <w:rPr>
          <w:spacing w:val="-81"/>
        </w:rPr>
        <w:t> </w:t>
      </w:r>
      <w:r>
        <w:rPr>
          <w:spacing w:val="-81"/>
        </w:rPr>
      </w:r>
      <w:r>
        <w:rPr/>
        <w:t>息系统控制等方面。具体如下：</w:t>
      </w:r>
    </w:p>
    <w:p>
      <w:pPr>
        <w:pStyle w:val="BodyText"/>
        <w:spacing w:line="314" w:lineRule="auto"/>
        <w:ind w:left="561" w:right="203"/>
        <w:jc w:val="left"/>
      </w:pPr>
      <w:r>
        <w:rPr/>
        <w:t>（1）授权审批控制 </w:t>
      </w:r>
      <w:r>
        <w:rPr>
          <w:spacing w:val="-3"/>
        </w:rPr>
        <w:t>明确授权审批的范围、权限、程序、责任等相关内容。单位内部各级管理层在其授权的范围内</w:t>
      </w:r>
    </w:p>
    <w:p>
      <w:pPr>
        <w:pStyle w:val="BodyText"/>
        <w:spacing w:line="314" w:lineRule="auto"/>
        <w:ind w:right="203"/>
        <w:jc w:val="left"/>
      </w:pPr>
      <w:r>
        <w:rPr>
          <w:spacing w:val="-3"/>
        </w:rPr>
        <w:t>行使相应的职权，经办人员必须在授权范围内办理有关经济业务，任何部门和个人不得超越授权范</w:t>
      </w:r>
      <w:r>
        <w:rPr>
          <w:spacing w:val="-78"/>
        </w:rPr>
        <w:t> </w:t>
      </w:r>
      <w:r>
        <w:rPr>
          <w:spacing w:val="-78"/>
        </w:rPr>
      </w:r>
      <w:r>
        <w:rPr/>
        <w:t>围。</w:t>
      </w:r>
    </w:p>
    <w:p>
      <w:pPr>
        <w:pStyle w:val="BodyText"/>
        <w:spacing w:line="314" w:lineRule="auto"/>
        <w:ind w:left="561" w:right="203"/>
        <w:jc w:val="left"/>
      </w:pPr>
      <w:r>
        <w:rPr/>
        <w:t>（2）职责分工控制 </w:t>
      </w:r>
      <w:r>
        <w:rPr>
          <w:spacing w:val="-3"/>
        </w:rPr>
        <w:t>合理设置分工，科学划分职责权限，贯彻不相容职务相分离及每一个岗位工作能自动检查另一</w:t>
      </w:r>
    </w:p>
    <w:p>
      <w:pPr>
        <w:pStyle w:val="BodyText"/>
        <w:spacing w:line="314" w:lineRule="auto"/>
        <w:ind w:right="211"/>
        <w:jc w:val="both"/>
      </w:pPr>
      <w:r>
        <w:rPr>
          <w:spacing w:val="-3"/>
        </w:rPr>
        <w:t>人或多人工作的原则，形成相互制衡机制，做到经济活动不得由一个部门或人员负责全过程。不相</w:t>
      </w:r>
      <w:r>
        <w:rPr>
          <w:spacing w:val="-78"/>
        </w:rPr>
        <w:t> </w:t>
      </w:r>
      <w:r>
        <w:rPr>
          <w:spacing w:val="-78"/>
        </w:rPr>
      </w:r>
      <w:r>
        <w:rPr>
          <w:spacing w:val="-3"/>
        </w:rPr>
        <w:t>容职务主要包括：授权审批与业务经办、业务经办与会计记录、会计记录与财产保管、业务经办与</w:t>
      </w:r>
      <w:r>
        <w:rPr>
          <w:spacing w:val="-80"/>
        </w:rPr>
        <w:t> </w:t>
      </w:r>
      <w:r>
        <w:rPr>
          <w:spacing w:val="-80"/>
        </w:rPr>
      </w:r>
      <w:r>
        <w:rPr/>
        <w:t>业务稽核、授权审批与监督检查等。</w:t>
      </w:r>
    </w:p>
    <w:p>
      <w:pPr>
        <w:pStyle w:val="BodyText"/>
        <w:spacing w:line="314" w:lineRule="auto"/>
        <w:ind w:left="561" w:right="212"/>
        <w:jc w:val="left"/>
      </w:pPr>
      <w:r>
        <w:rPr/>
        <w:t>（3）会计系统控制 公司按照《中华人民共和国会计法》、《企业会计准则》、《内部控制规范-基本规范》等法</w:t>
      </w:r>
    </w:p>
    <w:p>
      <w:pPr>
        <w:pStyle w:val="BodyText"/>
        <w:spacing w:line="314" w:lineRule="auto"/>
        <w:ind w:right="93"/>
        <w:jc w:val="left"/>
      </w:pPr>
      <w:r>
        <w:rPr/>
        <w:t>律法规文件的要求，结合公司实际状况，制定适合公司发展的《会计核算制度》、《财务制度》。 </w:t>
      </w:r>
      <w:r>
        <w:rPr>
          <w:spacing w:val="-3"/>
        </w:rPr>
        <w:t>公司通过明确规定财务工作流程，实行会计人员岗位责任制。各岗位能够起到互相牵制的作用，批</w:t>
      </w:r>
      <w:r>
        <w:rPr>
          <w:spacing w:val="-78"/>
        </w:rPr>
        <w:t> </w:t>
      </w:r>
      <w:r>
        <w:rPr>
          <w:spacing w:val="-78"/>
        </w:rPr>
      </w:r>
      <w:r>
        <w:rPr/>
        <w:t>准、执行和记录职能分开，保证公司的财务会计管理达到下列要求：</w:t>
      </w:r>
    </w:p>
    <w:p>
      <w:pPr>
        <w:pStyle w:val="BodyText"/>
        <w:spacing w:line="240" w:lineRule="auto"/>
        <w:ind w:left="561" w:right="227"/>
        <w:jc w:val="left"/>
      </w:pPr>
      <w:r>
        <w:rPr/>
        <w:t>①保证业务活动在授权的范围内实行；</w:t>
      </w:r>
    </w:p>
    <w:p>
      <w:pPr>
        <w:pStyle w:val="BodyText"/>
        <w:spacing w:line="240" w:lineRule="auto" w:before="85"/>
        <w:ind w:left="561" w:right="227"/>
        <w:jc w:val="left"/>
      </w:pPr>
      <w:r>
        <w:rPr/>
        <w:t>②保证对资产的接触、记录和处理在适当的授权下实行；</w:t>
      </w:r>
    </w:p>
    <w:p>
      <w:pPr>
        <w:pStyle w:val="BodyText"/>
        <w:spacing w:line="314" w:lineRule="auto" w:before="85"/>
        <w:ind w:right="211" w:firstLine="420"/>
        <w:jc w:val="both"/>
      </w:pPr>
      <w:r>
        <w:rPr>
          <w:spacing w:val="-3"/>
        </w:rPr>
        <w:t>③保证经营管理活动交易内容和事项能以恰当的分类、正确的金额，在规定的会计期间，及时</w:t>
      </w:r>
      <w:r>
        <w:rPr/>
        <w:t> </w:t>
      </w:r>
      <w:r>
        <w:rPr>
          <w:spacing w:val="-3"/>
        </w:rPr>
        <w:t>记录于适当的账户和科目，并在会计报表表述交易和披露相关事项，使得会计报表符合国家相关政</w:t>
      </w:r>
      <w:r>
        <w:rPr>
          <w:spacing w:val="-78"/>
        </w:rPr>
        <w:t> </w:t>
      </w:r>
      <w:r>
        <w:rPr>
          <w:spacing w:val="-78"/>
        </w:rPr>
      </w:r>
      <w:r>
        <w:rPr/>
        <w:t>策制度的规定。</w:t>
      </w:r>
    </w:p>
    <w:p>
      <w:pPr>
        <w:pStyle w:val="BodyText"/>
        <w:spacing w:line="314" w:lineRule="auto"/>
        <w:ind w:left="561" w:right="203"/>
        <w:jc w:val="left"/>
      </w:pPr>
      <w:r>
        <w:rPr/>
        <w:t>（4）凭证与记录控制 </w:t>
      </w:r>
      <w:r>
        <w:rPr>
          <w:spacing w:val="-3"/>
        </w:rPr>
        <w:t>合理制定凭证流转程序和相关审批手续要求，经办人员在执行经济活动时能及时编制有关会计</w:t>
      </w:r>
    </w:p>
    <w:p>
      <w:pPr>
        <w:pStyle w:val="BodyText"/>
        <w:spacing w:line="314" w:lineRule="auto"/>
        <w:ind w:right="203"/>
        <w:jc w:val="left"/>
      </w:pPr>
      <w:r>
        <w:rPr>
          <w:spacing w:val="-3"/>
        </w:rPr>
        <w:t>凭证，编制完毕的会计凭证及时记录，已登记凭证按有关规定依序归档。按照规定将反映经济活动</w:t>
      </w:r>
      <w:r>
        <w:rPr>
          <w:spacing w:val="-78"/>
        </w:rPr>
        <w:t> </w:t>
      </w:r>
      <w:r>
        <w:rPr>
          <w:spacing w:val="-78"/>
        </w:rPr>
      </w:r>
      <w:r>
        <w:rPr/>
        <w:t>交易内容资料（如发票、收据等）附于会计凭证后，并作相关的记录。</w:t>
      </w:r>
    </w:p>
    <w:p>
      <w:pPr>
        <w:pStyle w:val="BodyText"/>
        <w:spacing w:line="314" w:lineRule="auto"/>
        <w:ind w:left="561" w:right="203"/>
        <w:jc w:val="left"/>
      </w:pPr>
      <w:r>
        <w:rPr/>
        <w:t>（5）资产接触与记录使用控制 </w:t>
      </w:r>
      <w:r>
        <w:rPr>
          <w:spacing w:val="-8"/>
        </w:rPr>
        <w:t>公司建立《存货管理制度》、《固定资产管理制度》、《仓库管理制度》等各项资产管理制度，</w:t>
      </w:r>
    </w:p>
    <w:p>
      <w:pPr>
        <w:pStyle w:val="BodyText"/>
        <w:spacing w:line="314" w:lineRule="auto"/>
        <w:ind w:right="203"/>
        <w:jc w:val="left"/>
      </w:pPr>
      <w:r>
        <w:rPr>
          <w:spacing w:val="-3"/>
        </w:rPr>
        <w:t>规定资产的购入、保管、使用、维护、处置、检查等一系列程序和规程，严格限制未经授权人员对</w:t>
      </w:r>
      <w:r>
        <w:rPr>
          <w:spacing w:val="-78"/>
        </w:rPr>
        <w:t> </w:t>
      </w:r>
      <w:r>
        <w:rPr>
          <w:spacing w:val="-78"/>
        </w:rPr>
      </w:r>
      <w:r>
        <w:rPr/>
        <w:t>财产直接接触，有效保证公司财产安全完整。</w:t>
      </w:r>
    </w:p>
    <w:p>
      <w:pPr>
        <w:pStyle w:val="BodyText"/>
        <w:spacing w:line="314" w:lineRule="auto"/>
        <w:ind w:left="561" w:right="203"/>
        <w:jc w:val="left"/>
      </w:pPr>
      <w:r>
        <w:rPr/>
        <w:t>（6）电子信息系统控制 </w:t>
      </w:r>
      <w:r>
        <w:rPr>
          <w:spacing w:val="-3"/>
        </w:rPr>
        <w:t>公司制定了《信息中心管理规范》、《内部支撑系统管理办法》等制度，切实加强对信息系统</w:t>
      </w:r>
    </w:p>
    <w:p>
      <w:pPr>
        <w:pStyle w:val="BodyText"/>
        <w:spacing w:line="314" w:lineRule="auto"/>
        <w:ind w:right="203"/>
        <w:jc w:val="left"/>
      </w:pPr>
      <w:r>
        <w:rPr>
          <w:spacing w:val="-3"/>
        </w:rPr>
        <w:t>功能开发、使用权限、运行维护、数据输入与输出、文件储存与保管、计算机病毒防治等方面的管</w:t>
      </w:r>
      <w:r>
        <w:rPr>
          <w:spacing w:val="-81"/>
        </w:rPr>
        <w:t> </w:t>
      </w:r>
      <w:r>
        <w:rPr>
          <w:spacing w:val="-81"/>
        </w:rPr>
      </w:r>
      <w:r>
        <w:rPr/>
        <w:t>理，形成技术与制度相统一的电子信息系统控制体系。</w:t>
      </w:r>
    </w:p>
    <w:p>
      <w:pPr>
        <w:pStyle w:val="BodyText"/>
        <w:spacing w:line="314" w:lineRule="auto"/>
        <w:ind w:left="561" w:right="203" w:firstLine="2"/>
        <w:jc w:val="left"/>
      </w:pPr>
      <w:r>
        <w:rPr>
          <w:rFonts w:ascii="宋体" w:hAnsi="宋体" w:cs="宋体" w:eastAsia="宋体" w:hint="default"/>
          <w:b/>
          <w:bCs/>
        </w:rPr>
        <w:t>4、信息与沟通</w:t>
      </w:r>
      <w:r>
        <w:rPr>
          <w:rFonts w:ascii="宋体" w:hAnsi="宋体" w:cs="宋体" w:eastAsia="宋体" w:hint="default"/>
          <w:b/>
          <w:bCs/>
          <w:w w:val="99"/>
        </w:rPr>
        <w:t> </w:t>
      </w:r>
      <w:r>
        <w:rPr>
          <w:spacing w:val="-3"/>
        </w:rPr>
        <w:t>公司建立了信息与沟通机制，明确内部控制相关信息的收集、处理和传递程序及范围。公司进</w:t>
      </w:r>
    </w:p>
    <w:p>
      <w:pPr>
        <w:pStyle w:val="BodyText"/>
        <w:spacing w:line="314" w:lineRule="auto"/>
        <w:ind w:right="93"/>
        <w:jc w:val="left"/>
      </w:pPr>
      <w:r>
        <w:rPr/>
        <w:t>一步升级内部管理支撑平台，完善平台在销售管理、项目管理、财务管理、行政管理、人力资源、 公共服务等主要领域的应用，使平台成为经营管理的重要手段。</w:t>
      </w:r>
    </w:p>
    <w:p>
      <w:pPr>
        <w:spacing w:after="0" w:line="314" w:lineRule="auto"/>
        <w:jc w:val="left"/>
        <w:sectPr>
          <w:footerReference w:type="default" r:id="rId40"/>
          <w:pgSz w:w="11910" w:h="16840"/>
          <w:pgMar w:footer="977" w:header="882" w:top="1120" w:bottom="1160" w:left="15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0"/>
        <w:ind w:left="561" w:right="0"/>
        <w:jc w:val="left"/>
      </w:pPr>
      <w:r>
        <w:rPr/>
        <w:t>公司建立</w:t>
      </w:r>
      <w:r>
        <w:rPr>
          <w:spacing w:val="-65"/>
        </w:rPr>
        <w:t>了</w:t>
      </w:r>
      <w:r>
        <w:rPr/>
        <w:t>《信息披露管理办法</w:t>
      </w:r>
      <w:r>
        <w:rPr>
          <w:spacing w:val="-65"/>
        </w:rPr>
        <w:t>》</w:t>
      </w:r>
      <w:r>
        <w:rPr>
          <w:spacing w:val="-130"/>
        </w:rPr>
        <w:t>、</w:t>
      </w:r>
      <w:r>
        <w:rPr>
          <w:spacing w:val="-2"/>
        </w:rPr>
        <w:t>《</w:t>
      </w:r>
      <w:r>
        <w:rPr/>
        <w:t>重大信息内部报告制度</w:t>
      </w:r>
      <w:r>
        <w:rPr>
          <w:spacing w:val="-65"/>
        </w:rPr>
        <w:t>》</w:t>
      </w:r>
      <w:r>
        <w:rPr>
          <w:spacing w:val="-130"/>
        </w:rPr>
        <w:t>、</w:t>
      </w:r>
      <w:r>
        <w:rPr/>
        <w:t>《内幕信</w:t>
      </w:r>
      <w:r>
        <w:rPr>
          <w:spacing w:val="-2"/>
        </w:rPr>
        <w:t>息</w:t>
      </w:r>
      <w:r>
        <w:rPr/>
        <w:t>知情人登记制度</w:t>
      </w:r>
      <w:r>
        <w:rPr>
          <w:spacing w:val="-65"/>
        </w:rPr>
        <w:t>》</w:t>
      </w:r>
      <w:r>
        <w:rPr/>
        <w:t>、</w:t>
      </w:r>
    </w:p>
    <w:p>
      <w:pPr>
        <w:pStyle w:val="BodyText"/>
        <w:spacing w:line="314" w:lineRule="auto" w:before="85"/>
        <w:ind w:right="211"/>
        <w:jc w:val="both"/>
      </w:pPr>
      <w:r>
        <w:rPr>
          <w:spacing w:val="-3"/>
        </w:rPr>
        <w:t>《外部单位报送信息管理制度》等信息管理制度，这些制度规范信息披露的内容和标准，明确信息</w:t>
      </w:r>
      <w:r>
        <w:rPr>
          <w:spacing w:val="-78"/>
        </w:rPr>
        <w:t> </w:t>
      </w:r>
      <w:r>
        <w:rPr>
          <w:spacing w:val="-78"/>
        </w:rPr>
      </w:r>
      <w:r>
        <w:rPr>
          <w:spacing w:val="-3"/>
        </w:rPr>
        <w:t>披露的程序和责任，制订了保密措施，保证公司真实、准确、完整、及时地披露信息，不存在虚假</w:t>
      </w:r>
      <w:r>
        <w:rPr>
          <w:spacing w:val="-78"/>
        </w:rPr>
        <w:t> </w:t>
      </w:r>
      <w:r>
        <w:rPr>
          <w:spacing w:val="-78"/>
        </w:rPr>
      </w:r>
      <w:r>
        <w:rPr/>
        <w:t>记载、误导性陈述或者重大遗漏。</w:t>
      </w:r>
    </w:p>
    <w:p>
      <w:pPr>
        <w:pStyle w:val="BodyText"/>
        <w:spacing w:line="240" w:lineRule="auto"/>
        <w:ind w:left="561" w:right="0"/>
        <w:jc w:val="left"/>
      </w:pPr>
      <w:r>
        <w:rPr>
          <w:spacing w:val="-3"/>
        </w:rPr>
        <w:t>公司各管理层与员工间实现全方位沟通，及时、有效地控制和解决发现的问题。公司还制定了</w:t>
      </w:r>
    </w:p>
    <w:p>
      <w:pPr>
        <w:pStyle w:val="BodyText"/>
        <w:spacing w:line="314" w:lineRule="auto" w:before="85"/>
        <w:ind w:left="561" w:right="93" w:hanging="420"/>
        <w:jc w:val="left"/>
      </w:pPr>
      <w:r>
        <w:rPr/>
        <w:t>《反舞弊与举报投诉制度》，对舞弊案件的举报、调查、处理、报告和补救程序等做了明确规定。</w:t>
      </w:r>
      <w:r>
        <w:rPr>
          <w:spacing w:val="-101"/>
        </w:rPr>
        <w:t> </w:t>
      </w:r>
      <w:r>
        <w:rPr>
          <w:spacing w:val="-101"/>
        </w:rPr>
      </w:r>
      <w:r>
        <w:rPr>
          <w:rFonts w:ascii="宋体" w:hAnsi="宋体" w:cs="宋体" w:eastAsia="宋体" w:hint="default"/>
          <w:b/>
          <w:bCs/>
        </w:rPr>
        <w:t>5、内部监督</w:t>
      </w:r>
      <w:r>
        <w:rPr>
          <w:rFonts w:ascii="宋体" w:hAnsi="宋体" w:cs="宋体" w:eastAsia="宋体" w:hint="default"/>
          <w:b/>
          <w:bCs/>
          <w:spacing w:val="1"/>
          <w:w w:val="99"/>
        </w:rPr>
        <w:t> </w:t>
      </w:r>
      <w:r>
        <w:rPr>
          <w:spacing w:val="-3"/>
        </w:rPr>
        <w:t>公司根据《企业内部控制基本规范》及其配套方法建立内部监督机制。公司董事会下设审计委</w:t>
      </w:r>
    </w:p>
    <w:p>
      <w:pPr>
        <w:pStyle w:val="BodyText"/>
        <w:spacing w:line="314" w:lineRule="auto"/>
        <w:ind w:right="211"/>
        <w:jc w:val="both"/>
      </w:pPr>
      <w:r>
        <w:rPr>
          <w:spacing w:val="-3"/>
        </w:rPr>
        <w:t>员会，按相关制度要求设立了内部审计部门。审计部负责公司的内部审计工作；负责对公司及下属</w:t>
      </w:r>
      <w:r>
        <w:rPr>
          <w:spacing w:val="-78"/>
        </w:rPr>
        <w:t> </w:t>
      </w:r>
      <w:r>
        <w:rPr>
          <w:spacing w:val="-78"/>
        </w:rPr>
      </w:r>
      <w:r>
        <w:rPr/>
        <w:t>公司内部控制制度的健全、有效及执行情况进行审计监督等工作。</w:t>
      </w:r>
    </w:p>
    <w:p>
      <w:pPr>
        <w:pStyle w:val="BodyText"/>
        <w:spacing w:line="314" w:lineRule="auto"/>
        <w:ind w:right="211" w:firstLine="420"/>
        <w:jc w:val="both"/>
      </w:pPr>
      <w:r>
        <w:rPr>
          <w:spacing w:val="-3"/>
        </w:rPr>
        <w:t>公司每年定期开展内部控制自查工作，并由董事会审计委员会指导审计部对内部控制的执行效</w:t>
      </w:r>
      <w:r>
        <w:rPr/>
        <w:t> 果进行考核。公司董事会审计委员会负责审查公司内部控制的执行情况并向董事会汇报。</w:t>
      </w:r>
    </w:p>
    <w:p>
      <w:pPr>
        <w:pStyle w:val="BodyText"/>
        <w:spacing w:line="314" w:lineRule="auto"/>
        <w:ind w:right="212" w:firstLine="420"/>
        <w:jc w:val="both"/>
      </w:pPr>
      <w:r>
        <w:rPr/>
        <w:t>公司成立了监事会，建立了监事会议事规则，要求监事会应当每6个月至少召开一次会议，监 事会促使监事和监事会有效地履行监督职责。</w:t>
      </w:r>
    </w:p>
    <w:p>
      <w:pPr>
        <w:pStyle w:val="BodyText"/>
        <w:spacing w:line="314" w:lineRule="auto"/>
        <w:ind w:right="211" w:firstLine="420"/>
        <w:jc w:val="both"/>
      </w:pPr>
      <w:r>
        <w:rPr>
          <w:spacing w:val="-3"/>
        </w:rPr>
        <w:t>通过审计委员会、内部审计部和监事会等三个机构的有效运作，公司的内部监督工作得到了全</w:t>
      </w:r>
      <w:r>
        <w:rPr/>
        <w:t> 面的落实和执行，进一步降低了公司的经营风险。</w:t>
      </w:r>
    </w:p>
    <w:p>
      <w:pPr>
        <w:spacing w:line="314" w:lineRule="auto" w:before="20"/>
        <w:ind w:left="561" w:right="203" w:firstLine="2"/>
        <w:jc w:val="left"/>
        <w:rPr>
          <w:rFonts w:ascii="宋体" w:hAnsi="宋体" w:cs="宋体" w:eastAsia="宋体" w:hint="default"/>
          <w:sz w:val="21"/>
          <w:szCs w:val="21"/>
        </w:rPr>
      </w:pPr>
      <w:r>
        <w:rPr>
          <w:rFonts w:ascii="宋体" w:hAnsi="宋体" w:cs="宋体" w:eastAsia="宋体" w:hint="default"/>
          <w:b/>
          <w:bCs/>
          <w:sz w:val="21"/>
          <w:szCs w:val="21"/>
        </w:rPr>
        <w:t>（四）内部控制评价范围</w:t>
      </w:r>
      <w:r>
        <w:rPr>
          <w:rFonts w:ascii="宋体" w:hAnsi="宋体" w:cs="宋体" w:eastAsia="宋体" w:hint="default"/>
          <w:b/>
          <w:bCs/>
          <w:w w:val="99"/>
          <w:sz w:val="21"/>
          <w:szCs w:val="21"/>
        </w:rPr>
        <w:t> </w:t>
      </w:r>
      <w:r>
        <w:rPr>
          <w:rFonts w:ascii="宋体" w:hAnsi="宋体" w:cs="宋体" w:eastAsia="宋体" w:hint="default"/>
          <w:spacing w:val="-3"/>
          <w:sz w:val="21"/>
          <w:szCs w:val="21"/>
        </w:rPr>
        <w:t>公司按照风险导向原则确定纳入评价范围的主要单位、业务和事项以及高风险领域。纳入评价</w:t>
      </w:r>
    </w:p>
    <w:p>
      <w:pPr>
        <w:pStyle w:val="BodyText"/>
        <w:spacing w:line="314" w:lineRule="auto"/>
        <w:ind w:right="211"/>
        <w:jc w:val="both"/>
      </w:pPr>
      <w:r>
        <w:rPr>
          <w:spacing w:val="-3"/>
        </w:rPr>
        <w:t>范围的单位为母公司、全资和控股子公司，具体包括北京南威科技有限公司、宁德南威软件有限公</w:t>
      </w:r>
      <w:r>
        <w:rPr>
          <w:spacing w:val="-78"/>
        </w:rPr>
        <w:t> </w:t>
      </w:r>
      <w:r>
        <w:rPr>
          <w:spacing w:val="-78"/>
        </w:rPr>
      </w:r>
      <w:r>
        <w:rPr>
          <w:spacing w:val="-3"/>
        </w:rPr>
        <w:t>司、厦门市南威软件科技有限公司、福建南威软件有限公司、西安南威信息科技有限责任公司、成</w:t>
      </w:r>
      <w:r>
        <w:rPr>
          <w:spacing w:val="-80"/>
        </w:rPr>
        <w:t> </w:t>
      </w:r>
      <w:r>
        <w:rPr>
          <w:spacing w:val="-80"/>
        </w:rPr>
      </w:r>
      <w:r>
        <w:rPr>
          <w:spacing w:val="-3"/>
        </w:rPr>
        <w:t>都南威软件有限公司、福建神威系统集成有限责任公司、昌吉州南威软件有限公司、江西南威软件</w:t>
      </w:r>
      <w:r>
        <w:rPr>
          <w:spacing w:val="-78"/>
        </w:rPr>
        <w:t> </w:t>
      </w:r>
      <w:r>
        <w:rPr>
          <w:spacing w:val="-78"/>
        </w:rPr>
      </w:r>
      <w:r>
        <w:rPr/>
        <w:t>有限公司、南平南威软件有限公司、海南科特尔科技有限公司。</w:t>
      </w:r>
    </w:p>
    <w:p>
      <w:pPr>
        <w:pStyle w:val="BodyText"/>
        <w:spacing w:line="314" w:lineRule="auto"/>
        <w:ind w:right="211" w:firstLine="420"/>
        <w:jc w:val="both"/>
      </w:pPr>
      <w:r>
        <w:rPr/>
        <w:t>纳入评价范围单位资产总额占公司合并财务报表资产总额的 100%，营业收入合计占公司合并 财务报表营业收入总额的100%；纳入评价范围的主要业务和事项包括:控制环境、风险评估、控制 </w:t>
      </w:r>
      <w:r>
        <w:rPr>
          <w:spacing w:val="2"/>
        </w:rPr>
        <w:t>活动、信息沟通、监督等五项基本要素，涵盖了财务会计、产品研发、销售组织、行政后勤、IT</w:t>
      </w:r>
      <w:r>
        <w:rPr>
          <w:spacing w:val="-102"/>
        </w:rPr>
        <w:t> </w:t>
      </w:r>
      <w:r>
        <w:rPr>
          <w:spacing w:val="-102"/>
        </w:rPr>
      </w:r>
      <w:r>
        <w:rPr>
          <w:spacing w:val="-3"/>
        </w:rPr>
        <w:t>环境、人力资源、企业规划等诸多方面的运营管理、组织管理内容；重点关注的高风险领域主要包</w:t>
      </w:r>
      <w:r>
        <w:rPr>
          <w:spacing w:val="-80"/>
        </w:rPr>
        <w:t> </w:t>
      </w:r>
      <w:r>
        <w:rPr>
          <w:spacing w:val="-80"/>
        </w:rPr>
      </w:r>
      <w:r>
        <w:rPr>
          <w:spacing w:val="-3"/>
        </w:rPr>
        <w:t>括：货币资金管理、主营业务收入及应收账款管理、采购及应付账款管理、存货及成本管理、项目</w:t>
      </w:r>
      <w:r>
        <w:rPr>
          <w:spacing w:val="-81"/>
        </w:rPr>
        <w:t> </w:t>
      </w:r>
      <w:r>
        <w:rPr>
          <w:spacing w:val="-81"/>
        </w:rPr>
      </w:r>
      <w:r>
        <w:rPr/>
        <w:t>管理、重要资产购建及处置管理、募集资金管理、投资管理、子公司管理等。</w:t>
      </w:r>
    </w:p>
    <w:p>
      <w:pPr>
        <w:pStyle w:val="BodyText"/>
        <w:spacing w:line="314" w:lineRule="auto"/>
        <w:ind w:right="211" w:firstLine="420"/>
        <w:jc w:val="both"/>
      </w:pPr>
      <w:r>
        <w:rPr>
          <w:spacing w:val="-3"/>
        </w:rPr>
        <w:t>上述纳入评价范围的单位、业务和事项以及高风险领域涵盖了公司经营管理的主要方面，不存</w:t>
      </w:r>
      <w:r>
        <w:rPr/>
        <w:t> 在重大遗漏。</w:t>
      </w:r>
    </w:p>
    <w:p>
      <w:pPr>
        <w:spacing w:line="314" w:lineRule="auto" w:before="20"/>
        <w:ind w:left="561" w:right="203" w:firstLine="2"/>
        <w:jc w:val="left"/>
        <w:rPr>
          <w:rFonts w:ascii="宋体" w:hAnsi="宋体" w:cs="宋体" w:eastAsia="宋体" w:hint="default"/>
          <w:sz w:val="21"/>
          <w:szCs w:val="21"/>
        </w:rPr>
      </w:pPr>
      <w:r>
        <w:rPr>
          <w:rFonts w:ascii="宋体" w:hAnsi="宋体" w:cs="宋体" w:eastAsia="宋体" w:hint="default"/>
          <w:b/>
          <w:bCs/>
          <w:sz w:val="21"/>
          <w:szCs w:val="21"/>
        </w:rPr>
        <w:t>（五）内部控制评价工作依据及内部控制缺陷认定标准</w:t>
      </w:r>
      <w:r>
        <w:rPr>
          <w:rFonts w:ascii="宋体" w:hAnsi="宋体" w:cs="宋体" w:eastAsia="宋体" w:hint="default"/>
          <w:b/>
          <w:bCs/>
          <w:spacing w:val="1"/>
          <w:w w:val="99"/>
          <w:sz w:val="21"/>
          <w:szCs w:val="21"/>
        </w:rPr>
        <w:t> </w:t>
      </w:r>
      <w:r>
        <w:rPr>
          <w:rFonts w:ascii="宋体" w:hAnsi="宋体" w:cs="宋体" w:eastAsia="宋体" w:hint="default"/>
          <w:spacing w:val="-8"/>
          <w:sz w:val="21"/>
          <w:szCs w:val="21"/>
        </w:rPr>
        <w:t>公司依据《公司法》、《证券法》及内部控制规范体系等相关法律、法规和规范性文件的要求，</w:t>
      </w:r>
    </w:p>
    <w:p>
      <w:pPr>
        <w:pStyle w:val="BodyText"/>
        <w:spacing w:line="240" w:lineRule="auto"/>
        <w:ind w:right="0"/>
        <w:jc w:val="both"/>
      </w:pPr>
      <w:r>
        <w:rPr/>
        <w:t>结合公司章程,以及各项公司内控制度（主要包括《股东大会议事规则》、《董事会议事规则》、</w:t>
      </w:r>
    </w:p>
    <w:p>
      <w:pPr>
        <w:pStyle w:val="BodyText"/>
        <w:spacing w:line="314" w:lineRule="auto" w:before="85"/>
        <w:ind w:right="211"/>
        <w:jc w:val="both"/>
      </w:pPr>
      <w:r>
        <w:rPr>
          <w:spacing w:val="-3"/>
        </w:rPr>
        <w:t>《监事会议事规则》、《独立董事工作制度》、《对外担保制度》、《信息披露管理制度》、《关</w:t>
      </w:r>
      <w:r>
        <w:rPr>
          <w:spacing w:val="-80"/>
        </w:rPr>
        <w:t> </w:t>
      </w:r>
      <w:r>
        <w:rPr>
          <w:spacing w:val="-80"/>
        </w:rPr>
      </w:r>
      <w:r>
        <w:rPr>
          <w:spacing w:val="-3"/>
        </w:rPr>
        <w:t>联交易制度》、《募集资金管理办法》、《子公司管理办法》、《集体决策审批管理制度》等）组</w:t>
      </w:r>
      <w:r>
        <w:rPr>
          <w:spacing w:val="-83"/>
        </w:rPr>
        <w:t> </w:t>
      </w:r>
      <w:r>
        <w:rPr>
          <w:spacing w:val="-83"/>
        </w:rPr>
      </w:r>
      <w:r>
        <w:rPr/>
        <w:t>织开展内部控制评价工作。</w:t>
      </w:r>
    </w:p>
    <w:p>
      <w:pPr>
        <w:pStyle w:val="BodyText"/>
        <w:spacing w:line="314" w:lineRule="auto"/>
        <w:ind w:right="210" w:firstLine="420"/>
        <w:jc w:val="both"/>
      </w:pPr>
      <w:r>
        <w:rPr>
          <w:spacing w:val="-3"/>
        </w:rPr>
        <w:t>公司董事会根据企业内部控制规范体系对重大缺陷、重要缺陷和一般缺陷的认定要求，结合公</w:t>
      </w:r>
      <w:r>
        <w:rPr/>
        <w:t> </w:t>
      </w:r>
      <w:r>
        <w:rPr>
          <w:spacing w:val="-8"/>
        </w:rPr>
        <w:t>司规模、行业特征、风险偏好和风险承受度等因素，区分财务报告内部控制和非财务报告内部控制，</w:t>
      </w:r>
    </w:p>
    <w:p>
      <w:pPr>
        <w:spacing w:after="0" w:line="314" w:lineRule="auto"/>
        <w:jc w:val="both"/>
        <w:sectPr>
          <w:footerReference w:type="default" r:id="rId41"/>
          <w:pgSz w:w="11910" w:h="16840"/>
          <w:pgMar w:footer="977" w:header="882" w:top="1120" w:bottom="1160" w:left="1560" w:right="1060"/>
          <w:pgNumType w:start="5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before="0"/>
        <w:ind w:right="0"/>
        <w:jc w:val="left"/>
      </w:pPr>
      <w:r>
        <w:rPr>
          <w:spacing w:val="-3"/>
        </w:rPr>
        <w:t>研究确定了适用于本公司的内部控制缺陷具体认定标准，并与以前年度保持一致。公司确定的内部</w:t>
      </w:r>
      <w:r>
        <w:rPr>
          <w:spacing w:val="-78"/>
        </w:rPr>
        <w:t> </w:t>
      </w:r>
      <w:r>
        <w:rPr>
          <w:spacing w:val="-78"/>
        </w:rPr>
      </w:r>
      <w:r>
        <w:rPr/>
        <w:t>控制缺陷认定标准如下：</w:t>
      </w:r>
    </w:p>
    <w:p>
      <w:pPr>
        <w:pStyle w:val="BodyText"/>
        <w:spacing w:line="314" w:lineRule="auto"/>
        <w:ind w:left="561" w:right="0"/>
        <w:jc w:val="left"/>
      </w:pPr>
      <w:r>
        <w:rPr/>
        <w:t>1、财务报告内部控制缺陷认定标准 </w:t>
      </w:r>
      <w:r>
        <w:rPr>
          <w:spacing w:val="-3"/>
        </w:rPr>
        <w:t>将财务报告内部控制的缺陷划分为重大缺陷、重要缺陷和一般缺陷，所采用的认定标准直接取</w:t>
      </w:r>
    </w:p>
    <w:p>
      <w:pPr>
        <w:pStyle w:val="BodyText"/>
        <w:spacing w:line="314" w:lineRule="auto"/>
        <w:ind w:right="0"/>
        <w:jc w:val="left"/>
      </w:pPr>
      <w:r>
        <w:rPr>
          <w:spacing w:val="-3"/>
        </w:rPr>
        <w:t>决于由于该内部控制缺陷的存在可能导致的财务报告潜在错报的重要程度。这种重要程度主要取决</w:t>
      </w:r>
      <w:r>
        <w:rPr>
          <w:spacing w:val="-77"/>
        </w:rPr>
        <w:t> </w:t>
      </w:r>
      <w:r>
        <w:rPr>
          <w:spacing w:val="-77"/>
        </w:rPr>
      </w:r>
      <w:r>
        <w:rPr/>
        <w:t>于两个方面的因素：</w:t>
      </w:r>
    </w:p>
    <w:p>
      <w:pPr>
        <w:pStyle w:val="BodyText"/>
        <w:spacing w:line="314" w:lineRule="auto"/>
        <w:ind w:right="118" w:firstLine="420"/>
        <w:jc w:val="left"/>
      </w:pPr>
      <w:r>
        <w:rPr/>
        <w:t>（1）该缺陷是否具备合理可能性导致公司的内部控制不能及时防止或发现纠正财务报表潜在 错报。</w:t>
      </w:r>
    </w:p>
    <w:p>
      <w:pPr>
        <w:pStyle w:val="BodyText"/>
        <w:spacing w:line="314" w:lineRule="auto"/>
        <w:ind w:left="561" w:right="2428"/>
        <w:jc w:val="left"/>
      </w:pPr>
      <w:r>
        <w:rPr/>
        <w:t>（2）该缺陷单独或连同其他缺陷可能导致的潜在错报金额的大小。 公司确定的财务报告内部控制缺陷评价的定量标准如下：</w:t>
      </w:r>
    </w:p>
    <w:p>
      <w:pPr>
        <w:spacing w:line="240" w:lineRule="auto" w:before="8"/>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1668"/>
        <w:gridCol w:w="2302"/>
        <w:gridCol w:w="2834"/>
        <w:gridCol w:w="1985"/>
      </w:tblGrid>
      <w:tr>
        <w:trPr>
          <w:trHeight w:val="54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重要程度</w:t>
            </w:r>
            <w:r>
              <w:rPr>
                <w:rFonts w:ascii="宋体" w:hAnsi="宋体" w:cs="宋体" w:eastAsia="宋体" w:hint="default"/>
                <w:sz w:val="21"/>
                <w:szCs w:val="21"/>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722" w:right="0"/>
              <w:jc w:val="left"/>
              <w:rPr>
                <w:rFonts w:ascii="宋体" w:hAnsi="宋体" w:cs="宋体" w:eastAsia="宋体" w:hint="default"/>
                <w:sz w:val="21"/>
                <w:szCs w:val="21"/>
              </w:rPr>
            </w:pPr>
            <w:r>
              <w:rPr>
                <w:rFonts w:ascii="宋体" w:hAnsi="宋体" w:cs="宋体" w:eastAsia="宋体" w:hint="default"/>
                <w:b/>
                <w:bCs/>
                <w:sz w:val="21"/>
                <w:szCs w:val="21"/>
              </w:rPr>
              <w:t>一般缺陷</w:t>
            </w:r>
            <w:r>
              <w:rPr>
                <w:rFonts w:ascii="宋体" w:hAnsi="宋体" w:cs="宋体" w:eastAsia="宋体" w:hint="default"/>
                <w:sz w:val="21"/>
                <w:szCs w:val="21"/>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重要缺陷</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63" w:right="0"/>
              <w:jc w:val="left"/>
              <w:rPr>
                <w:rFonts w:ascii="宋体" w:hAnsi="宋体" w:cs="宋体" w:eastAsia="宋体" w:hint="default"/>
                <w:sz w:val="21"/>
                <w:szCs w:val="21"/>
              </w:rPr>
            </w:pPr>
            <w:r>
              <w:rPr>
                <w:rFonts w:ascii="宋体" w:hAnsi="宋体" w:cs="宋体" w:eastAsia="宋体" w:hint="default"/>
                <w:b/>
                <w:bCs/>
                <w:sz w:val="21"/>
                <w:szCs w:val="21"/>
              </w:rPr>
              <w:t>重大缺陷</w:t>
            </w:r>
            <w:r>
              <w:rPr>
                <w:rFonts w:ascii="宋体" w:hAnsi="宋体" w:cs="宋体" w:eastAsia="宋体" w:hint="default"/>
                <w:sz w:val="21"/>
                <w:szCs w:val="21"/>
              </w:rPr>
            </w:r>
          </w:p>
        </w:tc>
      </w:tr>
      <w:tr>
        <w:trPr>
          <w:trHeight w:val="109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1" w:right="95"/>
              <w:jc w:val="left"/>
              <w:rPr>
                <w:rFonts w:ascii="宋体" w:hAnsi="宋体" w:cs="宋体" w:eastAsia="宋体" w:hint="default"/>
                <w:sz w:val="21"/>
                <w:szCs w:val="21"/>
              </w:rPr>
            </w:pPr>
            <w:r>
              <w:rPr>
                <w:rFonts w:ascii="宋体" w:hAnsi="宋体" w:cs="宋体" w:eastAsia="宋体" w:hint="default"/>
                <w:spacing w:val="9"/>
                <w:sz w:val="21"/>
                <w:szCs w:val="21"/>
              </w:rPr>
              <w:t>错报金额&lt;合并会计报 </w:t>
            </w:r>
            <w:r>
              <w:rPr>
                <w:rFonts w:ascii="宋体" w:hAnsi="宋体" w:cs="宋体" w:eastAsia="宋体" w:hint="default"/>
                <w:sz w:val="21"/>
                <w:szCs w:val="21"/>
              </w:rPr>
              <w:t>表资产总额的0.25%</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1" w:right="101"/>
              <w:jc w:val="both"/>
              <w:rPr>
                <w:rFonts w:ascii="宋体" w:hAnsi="宋体" w:cs="宋体" w:eastAsia="宋体" w:hint="default"/>
                <w:sz w:val="21"/>
                <w:szCs w:val="21"/>
              </w:rPr>
            </w:pPr>
            <w:r>
              <w:rPr>
                <w:rFonts w:ascii="宋体" w:hAnsi="宋体" w:cs="宋体" w:eastAsia="宋体" w:hint="default"/>
                <w:spacing w:val="24"/>
                <w:sz w:val="21"/>
                <w:szCs w:val="21"/>
              </w:rPr>
              <w:t>合并会计报</w:t>
            </w:r>
            <w:r>
              <w:rPr>
                <w:rFonts w:ascii="宋体" w:hAnsi="宋体" w:cs="宋体" w:eastAsia="宋体" w:hint="default"/>
                <w:spacing w:val="-72"/>
                <w:sz w:val="21"/>
                <w:szCs w:val="21"/>
              </w:rPr>
              <w:t> </w:t>
            </w:r>
            <w:r>
              <w:rPr>
                <w:rFonts w:ascii="宋体" w:hAnsi="宋体" w:cs="宋体" w:eastAsia="宋体" w:hint="default"/>
                <w:spacing w:val="24"/>
                <w:sz w:val="21"/>
                <w:szCs w:val="21"/>
              </w:rPr>
              <w:t>表资产总额</w:t>
            </w:r>
            <w:r>
              <w:rPr>
                <w:rFonts w:ascii="宋体" w:hAnsi="宋体" w:cs="宋体" w:eastAsia="宋体" w:hint="default"/>
                <w:spacing w:val="-72"/>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宋体" w:hAnsi="宋体" w:cs="宋体" w:eastAsia="宋体" w:hint="default"/>
                <w:spacing w:val="6"/>
                <w:sz w:val="21"/>
                <w:szCs w:val="21"/>
              </w:rPr>
              <w:t>0.25%≤错报金额&lt;合并会计</w:t>
            </w:r>
            <w:r>
              <w:rPr>
                <w:rFonts w:ascii="宋体" w:hAnsi="宋体" w:cs="宋体" w:eastAsia="宋体" w:hint="default"/>
                <w:sz w:val="21"/>
                <w:szCs w:val="21"/>
              </w:rPr>
              <w:t> 报表资产总额的0.5%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1" w:right="87"/>
              <w:jc w:val="both"/>
              <w:rPr>
                <w:rFonts w:ascii="宋体" w:hAnsi="宋体" w:cs="宋体" w:eastAsia="宋体" w:hint="default"/>
                <w:sz w:val="21"/>
                <w:szCs w:val="21"/>
              </w:rPr>
            </w:pPr>
            <w:r>
              <w:rPr>
                <w:rFonts w:ascii="宋体" w:hAnsi="宋体" w:cs="宋体" w:eastAsia="宋体" w:hint="default"/>
                <w:spacing w:val="12"/>
                <w:sz w:val="21"/>
                <w:szCs w:val="21"/>
              </w:rPr>
              <w:t>合并会计报表资产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总额的0.5%≤错报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r>
      <w:tr>
        <w:trPr>
          <w:trHeight w:val="397" w:hRule="exact"/>
        </w:trPr>
        <w:tc>
          <w:tcPr>
            <w:tcW w:w="1668" w:type="dxa"/>
            <w:tcBorders>
              <w:top w:val="single" w:sz="4" w:space="0" w:color="000000"/>
              <w:left w:val="single" w:sz="4" w:space="0" w:color="000000"/>
              <w:bottom w:val="nil" w:sz="6" w:space="0" w:color="auto"/>
              <w:right w:val="single" w:sz="4" w:space="0" w:color="000000"/>
            </w:tcBorders>
          </w:tcPr>
          <w:p>
            <w:pPr/>
          </w:p>
        </w:tc>
        <w:tc>
          <w:tcPr>
            <w:tcW w:w="23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pacing w:val="9"/>
                <w:sz w:val="21"/>
                <w:szCs w:val="21"/>
              </w:rPr>
              <w:t>错报金额&lt;合并会计报</w:t>
            </w:r>
            <w:r>
              <w:rPr>
                <w:rFonts w:ascii="宋体" w:hAnsi="宋体" w:cs="宋体" w:eastAsia="宋体" w:hint="default"/>
                <w:sz w:val="21"/>
                <w:szCs w:val="21"/>
              </w:rPr>
            </w:r>
          </w:p>
        </w:tc>
        <w:tc>
          <w:tcPr>
            <w:tcW w:w="28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pacing w:val="24"/>
                <w:sz w:val="21"/>
                <w:szCs w:val="21"/>
              </w:rPr>
              <w:t>合并会计报</w:t>
            </w:r>
            <w:r>
              <w:rPr>
                <w:rFonts w:ascii="宋体" w:hAnsi="宋体" w:cs="宋体" w:eastAsia="宋体" w:hint="default"/>
                <w:spacing w:val="-71"/>
                <w:sz w:val="21"/>
                <w:szCs w:val="21"/>
              </w:rPr>
              <w:t> </w:t>
            </w:r>
            <w:r>
              <w:rPr>
                <w:rFonts w:ascii="宋体" w:hAnsi="宋体" w:cs="宋体" w:eastAsia="宋体" w:hint="default"/>
                <w:spacing w:val="24"/>
                <w:sz w:val="21"/>
                <w:szCs w:val="21"/>
              </w:rPr>
              <w:t>表营业收入</w:t>
            </w:r>
            <w:r>
              <w:rPr>
                <w:rFonts w:ascii="宋体" w:hAnsi="宋体" w:cs="宋体" w:eastAsia="宋体" w:hint="default"/>
                <w:spacing w:val="-71"/>
                <w:sz w:val="21"/>
                <w:szCs w:val="21"/>
              </w:rPr>
              <w:t> </w:t>
            </w:r>
            <w:r>
              <w:rPr>
                <w:rFonts w:ascii="宋体" w:hAnsi="宋体" w:cs="宋体" w:eastAsia="宋体" w:hint="default"/>
                <w:sz w:val="21"/>
                <w:szCs w:val="21"/>
              </w:rPr>
              <w:t>的</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pacing w:val="12"/>
                <w:sz w:val="21"/>
                <w:szCs w:val="21"/>
              </w:rPr>
              <w:t>合并会计报表营业</w:t>
            </w:r>
            <w:r>
              <w:rPr>
                <w:rFonts w:ascii="宋体" w:hAnsi="宋体" w:cs="宋体" w:eastAsia="宋体" w:hint="default"/>
                <w:sz w:val="21"/>
                <w:szCs w:val="21"/>
              </w:rPr>
            </w:r>
          </w:p>
        </w:tc>
      </w:tr>
      <w:tr>
        <w:trPr>
          <w:trHeight w:val="360" w:hRule="exact"/>
        </w:trPr>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42"/>
                <w:sz w:val="21"/>
                <w:szCs w:val="21"/>
              </w:rPr>
              <w:t>表审计营</w:t>
            </w:r>
            <w:r>
              <w:rPr>
                <w:rFonts w:ascii="宋体" w:hAnsi="宋体" w:cs="宋体" w:eastAsia="宋体" w:hint="default"/>
                <w:spacing w:val="-42"/>
                <w:sz w:val="21"/>
                <w:szCs w:val="21"/>
              </w:rPr>
              <w:t> </w:t>
            </w:r>
            <w:r>
              <w:rPr>
                <w:rFonts w:ascii="宋体" w:hAnsi="宋体" w:cs="宋体" w:eastAsia="宋体" w:hint="default"/>
                <w:spacing w:val="42"/>
                <w:sz w:val="21"/>
                <w:szCs w:val="21"/>
              </w:rPr>
              <w:t>业收入的</w:t>
            </w:r>
            <w:r>
              <w:rPr>
                <w:rFonts w:ascii="宋体" w:hAnsi="宋体" w:cs="宋体" w:eastAsia="宋体" w:hint="default"/>
                <w:spacing w:val="-48"/>
                <w:sz w:val="21"/>
                <w:szCs w:val="21"/>
              </w:rPr>
              <w:t> </w:t>
            </w:r>
            <w:r>
              <w:rPr>
                <w:rFonts w:ascii="宋体" w:hAnsi="宋体" w:cs="宋体" w:eastAsia="宋体" w:hint="default"/>
                <w:sz w:val="21"/>
                <w:szCs w:val="21"/>
              </w:rPr>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77"/>
                <w:sz w:val="21"/>
                <w:szCs w:val="21"/>
              </w:rPr>
              <w:t> </w:t>
            </w:r>
            <w:r>
              <w:rPr>
                <w:rFonts w:ascii="宋体" w:hAnsi="宋体" w:cs="宋体" w:eastAsia="宋体" w:hint="default"/>
                <w:spacing w:val="17"/>
                <w:sz w:val="21"/>
                <w:szCs w:val="21"/>
              </w:rPr>
              <w:t>≤错报金额&lt;合并会计</w:t>
            </w:r>
            <w:r>
              <w:rPr>
                <w:rFonts w:ascii="宋体" w:hAnsi="宋体" w:cs="宋体" w:eastAsia="宋体" w:hint="default"/>
                <w:spacing w:val="-85"/>
                <w:sz w:val="21"/>
                <w:szCs w:val="21"/>
              </w:rPr>
              <w:t> </w:t>
            </w:r>
            <w:r>
              <w:rPr>
                <w:rFonts w:ascii="宋体" w:hAnsi="宋体" w:cs="宋体" w:eastAsia="宋体" w:hint="default"/>
                <w:sz w:val="21"/>
                <w:szCs w:val="21"/>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11"/>
                <w:sz w:val="21"/>
                <w:szCs w:val="21"/>
              </w:rPr>
              <w:t>收入的1%≤错报金</w:t>
            </w:r>
            <w:r>
              <w:rPr>
                <w:rFonts w:ascii="宋体" w:hAnsi="宋体" w:cs="宋体" w:eastAsia="宋体" w:hint="default"/>
                <w:sz w:val="21"/>
                <w:szCs w:val="21"/>
              </w:rPr>
            </w:r>
          </w:p>
        </w:tc>
      </w:tr>
      <w:tr>
        <w:trPr>
          <w:trHeight w:val="332" w:hRule="exact"/>
        </w:trPr>
        <w:tc>
          <w:tcPr>
            <w:tcW w:w="1668" w:type="dxa"/>
            <w:tcBorders>
              <w:top w:val="nil" w:sz="6" w:space="0" w:color="auto"/>
              <w:left w:val="single" w:sz="4" w:space="0" w:color="000000"/>
              <w:bottom w:val="single" w:sz="4" w:space="0" w:color="000000"/>
              <w:right w:val="single" w:sz="4" w:space="0" w:color="000000"/>
            </w:tcBorders>
          </w:tcPr>
          <w:p>
            <w:pPr/>
          </w:p>
        </w:tc>
        <w:tc>
          <w:tcPr>
            <w:tcW w:w="23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sz w:val="21"/>
              </w:rPr>
              <w:t>0.5%</w:t>
            </w:r>
          </w:p>
        </w:tc>
        <w:tc>
          <w:tcPr>
            <w:tcW w:w="28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报表营业收入的1%</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额</w:t>
            </w:r>
          </w:p>
        </w:tc>
      </w:tr>
      <w:tr>
        <w:trPr>
          <w:trHeight w:val="399" w:hRule="exact"/>
        </w:trPr>
        <w:tc>
          <w:tcPr>
            <w:tcW w:w="1668" w:type="dxa"/>
            <w:tcBorders>
              <w:top w:val="single" w:sz="4" w:space="0" w:color="000000"/>
              <w:left w:val="single" w:sz="4" w:space="0" w:color="000000"/>
              <w:bottom w:val="nil" w:sz="6" w:space="0" w:color="auto"/>
              <w:right w:val="single" w:sz="4" w:space="0" w:color="000000"/>
            </w:tcBorders>
          </w:tcPr>
          <w:p>
            <w:pPr/>
          </w:p>
        </w:tc>
        <w:tc>
          <w:tcPr>
            <w:tcW w:w="23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101" w:right="0"/>
              <w:jc w:val="left"/>
              <w:rPr>
                <w:rFonts w:ascii="宋体" w:hAnsi="宋体" w:cs="宋体" w:eastAsia="宋体" w:hint="default"/>
                <w:sz w:val="21"/>
                <w:szCs w:val="21"/>
              </w:rPr>
            </w:pPr>
            <w:r>
              <w:rPr>
                <w:rFonts w:ascii="宋体" w:hAnsi="宋体" w:cs="宋体" w:eastAsia="宋体" w:hint="default"/>
                <w:spacing w:val="9"/>
                <w:sz w:val="21"/>
                <w:szCs w:val="21"/>
              </w:rPr>
              <w:t>错报金额&lt;合并会计报</w:t>
            </w:r>
            <w:r>
              <w:rPr>
                <w:rFonts w:ascii="宋体" w:hAnsi="宋体" w:cs="宋体" w:eastAsia="宋体" w:hint="default"/>
                <w:sz w:val="21"/>
                <w:szCs w:val="21"/>
              </w:rPr>
            </w:r>
          </w:p>
        </w:tc>
        <w:tc>
          <w:tcPr>
            <w:tcW w:w="28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101" w:right="0"/>
              <w:jc w:val="left"/>
              <w:rPr>
                <w:rFonts w:ascii="宋体" w:hAnsi="宋体" w:cs="宋体" w:eastAsia="宋体" w:hint="default"/>
                <w:sz w:val="21"/>
                <w:szCs w:val="21"/>
              </w:rPr>
            </w:pPr>
            <w:r>
              <w:rPr>
                <w:rFonts w:ascii="宋体" w:hAnsi="宋体" w:cs="宋体" w:eastAsia="宋体" w:hint="default"/>
                <w:spacing w:val="24"/>
                <w:sz w:val="21"/>
                <w:szCs w:val="21"/>
              </w:rPr>
              <w:t>合并会计报</w:t>
            </w:r>
            <w:r>
              <w:rPr>
                <w:rFonts w:ascii="宋体" w:hAnsi="宋体" w:cs="宋体" w:eastAsia="宋体" w:hint="default"/>
                <w:spacing w:val="-71"/>
                <w:sz w:val="21"/>
                <w:szCs w:val="21"/>
              </w:rPr>
              <w:t> </w:t>
            </w:r>
            <w:r>
              <w:rPr>
                <w:rFonts w:ascii="宋体" w:hAnsi="宋体" w:cs="宋体" w:eastAsia="宋体" w:hint="default"/>
                <w:spacing w:val="24"/>
                <w:sz w:val="21"/>
                <w:szCs w:val="21"/>
              </w:rPr>
              <w:t>表利润总额</w:t>
            </w:r>
            <w:r>
              <w:rPr>
                <w:rFonts w:ascii="宋体" w:hAnsi="宋体" w:cs="宋体" w:eastAsia="宋体" w:hint="default"/>
                <w:spacing w:val="-71"/>
                <w:sz w:val="21"/>
                <w:szCs w:val="21"/>
              </w:rPr>
              <w:t> </w:t>
            </w:r>
            <w:r>
              <w:rPr>
                <w:rFonts w:ascii="宋体" w:hAnsi="宋体" w:cs="宋体" w:eastAsia="宋体" w:hint="default"/>
                <w:sz w:val="21"/>
                <w:szCs w:val="21"/>
              </w:rPr>
              <w:t>的</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101" w:right="0"/>
              <w:jc w:val="left"/>
              <w:rPr>
                <w:rFonts w:ascii="宋体" w:hAnsi="宋体" w:cs="宋体" w:eastAsia="宋体" w:hint="default"/>
                <w:sz w:val="21"/>
                <w:szCs w:val="21"/>
              </w:rPr>
            </w:pPr>
            <w:r>
              <w:rPr>
                <w:rFonts w:ascii="宋体" w:hAnsi="宋体" w:cs="宋体" w:eastAsia="宋体" w:hint="default"/>
                <w:spacing w:val="12"/>
                <w:sz w:val="21"/>
                <w:szCs w:val="21"/>
              </w:rPr>
              <w:t>合并会计报表利润</w:t>
            </w:r>
            <w:r>
              <w:rPr>
                <w:rFonts w:ascii="宋体" w:hAnsi="宋体" w:cs="宋体" w:eastAsia="宋体" w:hint="default"/>
                <w:sz w:val="21"/>
                <w:szCs w:val="21"/>
              </w:rPr>
            </w:r>
          </w:p>
        </w:tc>
      </w:tr>
      <w:tr>
        <w:trPr>
          <w:trHeight w:val="360" w:hRule="exact"/>
        </w:trPr>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3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42"/>
                <w:sz w:val="21"/>
                <w:szCs w:val="21"/>
              </w:rPr>
              <w:t>表审计利</w:t>
            </w:r>
            <w:r>
              <w:rPr>
                <w:rFonts w:ascii="宋体" w:hAnsi="宋体" w:cs="宋体" w:eastAsia="宋体" w:hint="default"/>
                <w:spacing w:val="-42"/>
                <w:sz w:val="21"/>
                <w:szCs w:val="21"/>
              </w:rPr>
              <w:t> </w:t>
            </w:r>
            <w:r>
              <w:rPr>
                <w:rFonts w:ascii="宋体" w:hAnsi="宋体" w:cs="宋体" w:eastAsia="宋体" w:hint="default"/>
                <w:spacing w:val="42"/>
                <w:sz w:val="21"/>
                <w:szCs w:val="21"/>
              </w:rPr>
              <w:t>润总额的</w:t>
            </w:r>
            <w:r>
              <w:rPr>
                <w:rFonts w:ascii="宋体" w:hAnsi="宋体" w:cs="宋体" w:eastAsia="宋体" w:hint="default"/>
                <w:spacing w:val="-48"/>
                <w:sz w:val="21"/>
                <w:szCs w:val="21"/>
              </w:rPr>
              <w:t> </w:t>
            </w:r>
            <w:r>
              <w:rPr>
                <w:rFonts w:ascii="宋体" w:hAnsi="宋体" w:cs="宋体" w:eastAsia="宋体" w:hint="default"/>
                <w:sz w:val="21"/>
                <w:szCs w:val="21"/>
              </w:rPr>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77"/>
                <w:sz w:val="21"/>
                <w:szCs w:val="21"/>
              </w:rPr>
              <w:t> </w:t>
            </w:r>
            <w:r>
              <w:rPr>
                <w:rFonts w:ascii="宋体" w:hAnsi="宋体" w:cs="宋体" w:eastAsia="宋体" w:hint="default"/>
                <w:spacing w:val="17"/>
                <w:sz w:val="21"/>
                <w:szCs w:val="21"/>
              </w:rPr>
              <w:t>≤错报金额&lt;合并会计</w:t>
            </w:r>
            <w:r>
              <w:rPr>
                <w:rFonts w:ascii="宋体" w:hAnsi="宋体" w:cs="宋体" w:eastAsia="宋体" w:hint="default"/>
                <w:spacing w:val="-85"/>
                <w:sz w:val="21"/>
                <w:szCs w:val="21"/>
              </w:rPr>
              <w:t> </w:t>
            </w:r>
            <w:r>
              <w:rPr>
                <w:rFonts w:ascii="宋体" w:hAnsi="宋体" w:cs="宋体" w:eastAsia="宋体" w:hint="default"/>
                <w:sz w:val="21"/>
                <w:szCs w:val="21"/>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pacing w:val="11"/>
                <w:sz w:val="21"/>
                <w:szCs w:val="21"/>
              </w:rPr>
              <w:t>总额的5%≤错报金</w:t>
            </w:r>
            <w:r>
              <w:rPr>
                <w:rFonts w:ascii="宋体" w:hAnsi="宋体" w:cs="宋体" w:eastAsia="宋体" w:hint="default"/>
                <w:sz w:val="21"/>
                <w:szCs w:val="21"/>
              </w:rPr>
            </w:r>
          </w:p>
        </w:tc>
      </w:tr>
      <w:tr>
        <w:trPr>
          <w:trHeight w:val="332" w:hRule="exact"/>
        </w:trPr>
        <w:tc>
          <w:tcPr>
            <w:tcW w:w="1668" w:type="dxa"/>
            <w:tcBorders>
              <w:top w:val="nil" w:sz="6" w:space="0" w:color="auto"/>
              <w:left w:val="single" w:sz="4" w:space="0" w:color="000000"/>
              <w:bottom w:val="single" w:sz="4" w:space="0" w:color="000000"/>
              <w:right w:val="single" w:sz="4" w:space="0" w:color="000000"/>
            </w:tcBorders>
          </w:tcPr>
          <w:p>
            <w:pPr/>
          </w:p>
        </w:tc>
        <w:tc>
          <w:tcPr>
            <w:tcW w:w="23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sz w:val="21"/>
              </w:rPr>
              <w:t>2.5%</w:t>
            </w:r>
          </w:p>
        </w:tc>
        <w:tc>
          <w:tcPr>
            <w:tcW w:w="28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报表利润总额的5%</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额</w:t>
            </w:r>
          </w:p>
        </w:tc>
      </w:tr>
    </w:tbl>
    <w:p>
      <w:pPr>
        <w:pStyle w:val="BodyText"/>
        <w:spacing w:line="240" w:lineRule="auto" w:before="42"/>
        <w:ind w:left="561" w:right="0"/>
        <w:jc w:val="left"/>
      </w:pPr>
      <w:r>
        <w:rPr/>
        <w:t>公司确定的财务报告内部控制缺陷评价的定性标准如下：</w:t>
      </w:r>
    </w:p>
    <w:p>
      <w:pPr>
        <w:pStyle w:val="BodyText"/>
        <w:spacing w:line="240" w:lineRule="auto" w:before="85"/>
        <w:ind w:left="561" w:right="0"/>
        <w:jc w:val="left"/>
      </w:pPr>
      <w:r>
        <w:rPr/>
        <w:t>（1）如果发现的缺陷符合以下任何一条，应当认定为财务报告内部控制重大缺陷：</w:t>
      </w:r>
    </w:p>
    <w:p>
      <w:pPr>
        <w:pStyle w:val="BodyText"/>
        <w:spacing w:line="240" w:lineRule="auto" w:before="85"/>
        <w:ind w:left="561" w:right="0"/>
        <w:jc w:val="left"/>
      </w:pPr>
      <w:r>
        <w:rPr/>
        <w:t>①该缺陷涉及董事、监事及高级管理人员的任何舞弊；</w:t>
      </w:r>
    </w:p>
    <w:p>
      <w:pPr>
        <w:pStyle w:val="BodyText"/>
        <w:spacing w:line="240" w:lineRule="auto" w:before="85"/>
        <w:ind w:left="561" w:right="0"/>
        <w:jc w:val="left"/>
      </w:pPr>
      <w:r>
        <w:rPr/>
        <w:t>②该缺陷表明未设立内部监督机构或内部监督机构未履行基本职能；</w:t>
      </w:r>
    </w:p>
    <w:p>
      <w:pPr>
        <w:pStyle w:val="BodyText"/>
        <w:spacing w:line="314" w:lineRule="auto" w:before="85"/>
        <w:ind w:right="0" w:firstLine="420"/>
        <w:jc w:val="left"/>
      </w:pPr>
      <w:r>
        <w:rPr>
          <w:spacing w:val="-3"/>
        </w:rPr>
        <w:t>③当期财务报告存在依据定量标准认定的重大错报，控制活动未能识别该错报，或需要更正已</w:t>
      </w:r>
      <w:r>
        <w:rPr/>
        <w:t> 公布的财务报告。</w:t>
      </w:r>
    </w:p>
    <w:p>
      <w:pPr>
        <w:pStyle w:val="BodyText"/>
        <w:spacing w:line="240" w:lineRule="auto"/>
        <w:ind w:left="561" w:right="0"/>
        <w:jc w:val="left"/>
      </w:pPr>
      <w:r>
        <w:rPr/>
        <w:t>（2）如果发现的缺陷符合以下任何一条，应当认定为财务报告内部控制重要缺陷：</w:t>
      </w:r>
    </w:p>
    <w:p>
      <w:pPr>
        <w:pStyle w:val="BodyText"/>
        <w:spacing w:line="314" w:lineRule="auto" w:before="85"/>
        <w:ind w:right="0" w:firstLine="420"/>
        <w:jc w:val="left"/>
      </w:pPr>
      <w:r>
        <w:rPr>
          <w:spacing w:val="-3"/>
        </w:rPr>
        <w:t>①当期财务报告存在依据定量标准认定的重要错报，控制活动未能识别该错报，或需要更正已</w:t>
      </w:r>
      <w:r>
        <w:rPr/>
        <w:t> 公布的财务报告；</w:t>
      </w:r>
    </w:p>
    <w:p>
      <w:pPr>
        <w:pStyle w:val="BodyText"/>
        <w:spacing w:line="240" w:lineRule="auto"/>
        <w:ind w:left="561" w:right="0"/>
        <w:jc w:val="left"/>
      </w:pPr>
      <w:r>
        <w:rPr/>
        <w:t>②虽然未达到和超过该重要性水平，但从性质上看，仍应引起董事会和管理层重视的错报。</w:t>
      </w:r>
    </w:p>
    <w:p>
      <w:pPr>
        <w:pStyle w:val="BodyText"/>
        <w:spacing w:line="314" w:lineRule="auto" w:before="85"/>
        <w:ind w:left="561" w:right="538"/>
        <w:jc w:val="left"/>
      </w:pPr>
      <w:r>
        <w:rPr/>
        <w:t>（3）除上述两种情况规定的缺陷外的其他财务报告内部控制缺陷应当认定为一般缺陷。 2、非财务报告内部控制缺陷认定标准 公司确定的非财务报告内部控制缺陷评价的定量标准如下：</w:t>
      </w:r>
    </w:p>
    <w:p>
      <w:pPr>
        <w:spacing w:after="0" w:line="314" w:lineRule="auto"/>
        <w:jc w:val="left"/>
        <w:sectPr>
          <w:pgSz w:w="11910" w:h="16840"/>
          <w:pgMar w:header="882" w:footer="977" w:top="1120" w:bottom="1160" w:left="15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78" w:type="dxa"/>
        <w:tblLayout w:type="fixed"/>
        <w:tblCellMar>
          <w:top w:w="0" w:type="dxa"/>
          <w:left w:w="0" w:type="dxa"/>
          <w:bottom w:w="0" w:type="dxa"/>
          <w:right w:w="0" w:type="dxa"/>
        </w:tblCellMar>
        <w:tblLook w:val="01E0"/>
      </w:tblPr>
      <w:tblGrid>
        <w:gridCol w:w="1951"/>
        <w:gridCol w:w="3719"/>
        <w:gridCol w:w="3120"/>
      </w:tblGrid>
      <w:tr>
        <w:trPr>
          <w:trHeight w:val="37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缺陷认定等级</w:t>
            </w:r>
          </w:p>
        </w:tc>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直接财产损失占公司利润总额的比率</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重大负责影响</w:t>
            </w:r>
          </w:p>
        </w:tc>
      </w:tr>
      <w:tr>
        <w:trPr>
          <w:trHeight w:val="109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一般缺陷</w:t>
            </w:r>
          </w:p>
        </w:tc>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损失金额占利润总额2.5%以下</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103" w:right="87"/>
              <w:jc w:val="both"/>
              <w:rPr>
                <w:rFonts w:ascii="宋体" w:hAnsi="宋体" w:cs="宋体" w:eastAsia="宋体" w:hint="default"/>
                <w:sz w:val="21"/>
                <w:szCs w:val="21"/>
              </w:rPr>
            </w:pPr>
            <w:r>
              <w:rPr>
                <w:rFonts w:ascii="宋体" w:hAnsi="宋体" w:cs="宋体" w:eastAsia="宋体" w:hint="default"/>
                <w:spacing w:val="-3"/>
                <w:sz w:val="21"/>
                <w:szCs w:val="21"/>
              </w:rPr>
              <w:t>受到省级（含）省级以下政府部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4"/>
                <w:sz w:val="21"/>
                <w:szCs w:val="21"/>
              </w:rPr>
              <w:t>门处罚但对公司定期报告披露</w:t>
            </w:r>
            <w:r>
              <w:rPr>
                <w:rFonts w:ascii="宋体" w:hAnsi="宋体" w:cs="宋体" w:eastAsia="宋体" w:hint="default"/>
                <w:spacing w:val="14"/>
                <w:sz w:val="21"/>
                <w:szCs w:val="21"/>
              </w:rPr>
              <w:t> </w:t>
            </w:r>
            <w:r>
              <w:rPr>
                <w:rFonts w:ascii="宋体" w:hAnsi="宋体" w:cs="宋体" w:eastAsia="宋体" w:hint="default"/>
                <w:sz w:val="21"/>
                <w:szCs w:val="21"/>
              </w:rPr>
              <w:t>未造成负面影响</w:t>
            </w:r>
          </w:p>
        </w:tc>
      </w:tr>
      <w:tr>
        <w:trPr>
          <w:trHeight w:val="109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重要缺陷</w:t>
            </w:r>
          </w:p>
        </w:tc>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101"/>
              <w:jc w:val="left"/>
              <w:rPr>
                <w:rFonts w:ascii="宋体" w:hAnsi="宋体" w:cs="宋体" w:eastAsia="宋体" w:hint="default"/>
                <w:sz w:val="21"/>
                <w:szCs w:val="21"/>
              </w:rPr>
            </w:pPr>
            <w:r>
              <w:rPr>
                <w:rFonts w:ascii="宋体" w:hAnsi="宋体" w:cs="宋体" w:eastAsia="宋体" w:hint="default"/>
                <w:spacing w:val="-4"/>
                <w:sz w:val="21"/>
                <w:szCs w:val="21"/>
              </w:rPr>
              <w:t>损失金额占利润总额2.5%（含2.5%）以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上5%以下</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7"/>
              <w:jc w:val="both"/>
              <w:rPr>
                <w:rFonts w:ascii="宋体" w:hAnsi="宋体" w:cs="宋体" w:eastAsia="宋体" w:hint="default"/>
                <w:sz w:val="21"/>
                <w:szCs w:val="21"/>
              </w:rPr>
            </w:pPr>
            <w:r>
              <w:rPr>
                <w:rFonts w:ascii="宋体" w:hAnsi="宋体" w:cs="宋体" w:eastAsia="宋体" w:hint="default"/>
                <w:spacing w:val="14"/>
                <w:sz w:val="21"/>
                <w:szCs w:val="21"/>
              </w:rPr>
              <w:t>受到国家政府部门处罚但对公 司定期报告披露未造成负面影 </w:t>
            </w:r>
            <w:r>
              <w:rPr>
                <w:rFonts w:ascii="宋体" w:hAnsi="宋体" w:cs="宋体" w:eastAsia="宋体" w:hint="default"/>
                <w:sz w:val="21"/>
                <w:szCs w:val="21"/>
              </w:rPr>
              <w:t>响</w:t>
            </w:r>
          </w:p>
        </w:tc>
      </w:tr>
      <w:tr>
        <w:trPr>
          <w:trHeight w:val="73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重大缺陷</w:t>
            </w:r>
          </w:p>
        </w:tc>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损失金额占利润总额5%（含5%）以上</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7"/>
              <w:jc w:val="left"/>
              <w:rPr>
                <w:rFonts w:ascii="宋体" w:hAnsi="宋体" w:cs="宋体" w:eastAsia="宋体" w:hint="default"/>
                <w:sz w:val="21"/>
                <w:szCs w:val="21"/>
              </w:rPr>
            </w:pPr>
            <w:r>
              <w:rPr>
                <w:rFonts w:ascii="宋体" w:hAnsi="宋体" w:cs="宋体" w:eastAsia="宋体" w:hint="default"/>
                <w:spacing w:val="14"/>
                <w:sz w:val="21"/>
                <w:szCs w:val="21"/>
              </w:rPr>
              <w:t>已经对外正式披露并对公司定 </w:t>
            </w:r>
            <w:r>
              <w:rPr>
                <w:rFonts w:ascii="宋体" w:hAnsi="宋体" w:cs="宋体" w:eastAsia="宋体" w:hint="default"/>
                <w:sz w:val="21"/>
                <w:szCs w:val="21"/>
              </w:rPr>
              <w:t>期报告披露造成负面影响</w:t>
            </w:r>
          </w:p>
        </w:tc>
      </w:tr>
    </w:tbl>
    <w:p>
      <w:pPr>
        <w:pStyle w:val="BodyText"/>
        <w:spacing w:line="314" w:lineRule="auto" w:before="42"/>
        <w:ind w:left="561" w:right="84"/>
        <w:jc w:val="left"/>
      </w:pPr>
      <w:r>
        <w:rPr/>
        <w:t>公司确定的非财务报告内部控制缺陷评价的定性标准如下： </w:t>
      </w:r>
      <w:r>
        <w:rPr>
          <w:spacing w:val="-3"/>
        </w:rPr>
        <w:t>重大缺陷，是指一个或多个控制缺陷的组合，可能导致企业严重偏离控制目标。具体到非财务</w:t>
      </w:r>
    </w:p>
    <w:p>
      <w:pPr>
        <w:pStyle w:val="BodyText"/>
        <w:spacing w:line="314" w:lineRule="auto"/>
        <w:ind w:right="84"/>
        <w:jc w:val="left"/>
      </w:pPr>
      <w:r>
        <w:rPr>
          <w:spacing w:val="-3"/>
        </w:rPr>
        <w:t>报告内部控制上，就是内部控制中存在的、可能导致不能及时防止或发现并纠正企业财务报表以外</w:t>
      </w:r>
      <w:r>
        <w:rPr>
          <w:spacing w:val="-78"/>
        </w:rPr>
        <w:t> </w:t>
      </w:r>
      <w:r>
        <w:rPr>
          <w:spacing w:val="-78"/>
        </w:rPr>
      </w:r>
      <w:r>
        <w:rPr/>
        <w:t>的经营管理控制目标实现的一个或多个控制缺陷的组合。</w:t>
      </w:r>
    </w:p>
    <w:p>
      <w:pPr>
        <w:pStyle w:val="BodyText"/>
        <w:spacing w:line="314" w:lineRule="auto"/>
        <w:ind w:right="311" w:firstLine="420"/>
        <w:jc w:val="both"/>
      </w:pPr>
      <w:r>
        <w:rPr>
          <w:spacing w:val="-3"/>
        </w:rPr>
        <w:t>重要缺陷，是指一个或多个控制缺陷的组合，其严重程度和经济后果低于重大缺陷，但仍有可</w:t>
      </w:r>
      <w:r>
        <w:rPr/>
        <w:t> </w:t>
      </w:r>
      <w:r>
        <w:rPr>
          <w:spacing w:val="-3"/>
        </w:rPr>
        <w:t>能导致企业偏离控制目标。具体就是内部控制中存在的、其严重程度不如重大缺陷、但足以引起企</w:t>
      </w:r>
      <w:r>
        <w:rPr>
          <w:spacing w:val="-78"/>
        </w:rPr>
        <w:t> </w:t>
      </w:r>
      <w:r>
        <w:rPr>
          <w:spacing w:val="-78"/>
        </w:rPr>
      </w:r>
      <w:r>
        <w:rPr/>
        <w:t>业管理人员、监督人员关注的一个或多个控制缺陷的组合。</w:t>
      </w:r>
    </w:p>
    <w:p>
      <w:pPr>
        <w:pStyle w:val="BodyText"/>
        <w:spacing w:line="240" w:lineRule="auto"/>
        <w:ind w:left="561" w:right="84"/>
        <w:jc w:val="left"/>
      </w:pPr>
      <w:r>
        <w:rPr/>
        <w:t>一般缺陷，是指除重大缺陷、重要缺陷之外的其他缺陷。</w:t>
      </w:r>
    </w:p>
    <w:p>
      <w:pPr>
        <w:spacing w:line="314" w:lineRule="auto" w:before="85"/>
        <w:ind w:left="561" w:right="5023" w:firstLine="2"/>
        <w:jc w:val="left"/>
        <w:rPr>
          <w:rFonts w:ascii="宋体" w:hAnsi="宋体" w:cs="宋体" w:eastAsia="宋体" w:hint="default"/>
          <w:sz w:val="21"/>
          <w:szCs w:val="21"/>
        </w:rPr>
      </w:pPr>
      <w:r>
        <w:rPr>
          <w:rFonts w:ascii="宋体" w:hAnsi="宋体" w:cs="宋体" w:eastAsia="宋体" w:hint="default"/>
          <w:b/>
          <w:bCs/>
          <w:sz w:val="21"/>
          <w:szCs w:val="21"/>
        </w:rPr>
        <w:t>（六）内部控制缺陷认定及整改情况</w:t>
      </w:r>
      <w:r>
        <w:rPr>
          <w:rFonts w:ascii="宋体" w:hAnsi="宋体" w:cs="宋体" w:eastAsia="宋体" w:hint="default"/>
          <w:b/>
          <w:bCs/>
          <w:w w:val="99"/>
          <w:sz w:val="21"/>
          <w:szCs w:val="21"/>
        </w:rPr>
        <w:t> </w:t>
      </w:r>
      <w:r>
        <w:rPr>
          <w:rFonts w:ascii="宋体" w:hAnsi="宋体" w:cs="宋体" w:eastAsia="宋体" w:hint="default"/>
          <w:sz w:val="21"/>
          <w:szCs w:val="21"/>
        </w:rPr>
        <w:t>1.财务报告内部控制缺陷认定及整改情况</w:t>
      </w:r>
    </w:p>
    <w:p>
      <w:pPr>
        <w:pStyle w:val="BodyText"/>
        <w:spacing w:line="314" w:lineRule="auto"/>
        <w:ind w:right="84" w:firstLine="420"/>
        <w:jc w:val="left"/>
      </w:pPr>
      <w:r>
        <w:rPr>
          <w:spacing w:val="-3"/>
        </w:rPr>
        <w:t>根据上述财务报告内部控制缺陷的认定标准，报告期内公司不存在财务报告内部控制重大缺陷、</w:t>
      </w:r>
      <w:r>
        <w:rPr/>
        <w:t> 重要缺陷。</w:t>
      </w:r>
    </w:p>
    <w:p>
      <w:pPr>
        <w:pStyle w:val="BodyText"/>
        <w:spacing w:line="314" w:lineRule="auto"/>
        <w:ind w:left="561" w:right="84"/>
        <w:jc w:val="left"/>
      </w:pPr>
      <w:r>
        <w:rPr/>
        <w:t>2.非财务报告内部控制缺陷认定及整改情况 </w:t>
      </w:r>
      <w:r>
        <w:rPr>
          <w:spacing w:val="-3"/>
        </w:rPr>
        <w:t>根据上述非财务报告内部控制缺陷的认定标准，报告期内未发现公司非财务报告内部控制重大</w:t>
      </w:r>
    </w:p>
    <w:p>
      <w:pPr>
        <w:pStyle w:val="BodyText"/>
        <w:spacing w:line="240" w:lineRule="auto"/>
        <w:ind w:right="84"/>
        <w:jc w:val="left"/>
      </w:pPr>
      <w:r>
        <w:rPr/>
        <w:t>缺陷、重要缺陷。</w:t>
      </w:r>
    </w:p>
    <w:p>
      <w:pPr>
        <w:pStyle w:val="Heading2"/>
        <w:spacing w:line="240" w:lineRule="auto" w:before="85"/>
        <w:ind w:left="563" w:right="84"/>
        <w:jc w:val="left"/>
        <w:rPr>
          <w:b w:val="0"/>
          <w:bCs w:val="0"/>
        </w:rPr>
      </w:pPr>
      <w:r>
        <w:rPr/>
        <w:t>（七）其他内部控制相关重大事项说明</w:t>
      </w:r>
      <w:r>
        <w:rPr>
          <w:b w:val="0"/>
          <w:bCs w:val="0"/>
        </w:rPr>
      </w:r>
    </w:p>
    <w:p>
      <w:pPr>
        <w:pStyle w:val="BodyText"/>
        <w:spacing w:line="247" w:lineRule="auto" w:before="85"/>
        <w:ind w:left="561" w:right="5443"/>
        <w:jc w:val="left"/>
      </w:pPr>
      <w:r>
        <w:rPr/>
        <w:t>无。 是否披露内部控制自我评价报告：是</w:t>
      </w:r>
    </w:p>
    <w:p>
      <w:pPr>
        <w:spacing w:line="240" w:lineRule="auto" w:before="8"/>
        <w:rPr>
          <w:rFonts w:ascii="宋体" w:hAnsi="宋体" w:cs="宋体" w:eastAsia="宋体" w:hint="default"/>
          <w:sz w:val="24"/>
          <w:szCs w:val="24"/>
        </w:rPr>
      </w:pPr>
    </w:p>
    <w:p>
      <w:pPr>
        <w:spacing w:line="357" w:lineRule="auto" w:before="0"/>
        <w:ind w:left="561" w:right="305" w:hanging="42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pacing w:val="-7"/>
          <w:sz w:val="21"/>
          <w:szCs w:val="21"/>
        </w:rPr>
        <w:t>根据《关于2012年主板上市公司分类分批实施企业内部控制规范体系的通知》（财办会〔2012〕</w:t>
      </w:r>
    </w:p>
    <w:p>
      <w:pPr>
        <w:pStyle w:val="BodyText"/>
        <w:spacing w:line="257" w:lineRule="exact" w:before="0"/>
        <w:ind w:right="84"/>
        <w:jc w:val="left"/>
      </w:pPr>
      <w:r>
        <w:rPr/>
        <w:t>30号）的规定，2014年度公司无需进行内部控制审计。</w:t>
      </w:r>
    </w:p>
    <w:p>
      <w:pPr>
        <w:pStyle w:val="BodyText"/>
        <w:spacing w:line="240" w:lineRule="auto" w:before="85"/>
        <w:ind w:left="561" w:right="84"/>
        <w:jc w:val="left"/>
      </w:pPr>
      <w:r>
        <w:rPr/>
        <w:t>是否披露内部控制审计报告：否</w:t>
      </w:r>
    </w:p>
    <w:p>
      <w:pPr>
        <w:spacing w:line="240" w:lineRule="auto" w:before="12"/>
        <w:rPr>
          <w:rFonts w:ascii="宋体" w:hAnsi="宋体" w:cs="宋体" w:eastAsia="宋体" w:hint="default"/>
          <w:sz w:val="25"/>
          <w:szCs w:val="25"/>
        </w:rPr>
      </w:pPr>
    </w:p>
    <w:p>
      <w:pPr>
        <w:spacing w:line="357" w:lineRule="auto" w:before="0"/>
        <w:ind w:left="561" w:right="84"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报告期内，公司未制定《公司年报信息披露重大差错责任追究制度》，2015年4月9日第二届董</w:t>
      </w:r>
    </w:p>
    <w:p>
      <w:pPr>
        <w:pStyle w:val="BodyText"/>
        <w:spacing w:line="257" w:lineRule="exact" w:before="0"/>
        <w:ind w:right="84"/>
        <w:jc w:val="left"/>
      </w:pPr>
      <w:r>
        <w:rPr>
          <w:spacing w:val="-3"/>
        </w:rPr>
        <w:t>事会第十二次会议已审议通过此制度。该制度对年报信息披露工作中发生重大差错，对公司造成重</w:t>
      </w:r>
    </w:p>
    <w:p>
      <w:pPr>
        <w:pStyle w:val="BodyText"/>
        <w:spacing w:line="314" w:lineRule="auto" w:before="85"/>
        <w:ind w:left="561" w:right="2293" w:hanging="420"/>
        <w:jc w:val="left"/>
      </w:pPr>
      <w:r>
        <w:rPr/>
        <w:t>大经济损失或造成重大不良影响时的责任追究与处理制度做出了详细规定。 报告期内，公司未出现年报信息披露的重大差错。</w:t>
      </w:r>
    </w:p>
    <w:p>
      <w:pPr>
        <w:spacing w:after="0" w:line="314" w:lineRule="auto"/>
        <w:jc w:val="left"/>
        <w:sectPr>
          <w:pgSz w:w="11910" w:h="16840"/>
          <w:pgMar w:header="882" w:footer="977" w:top="1120" w:bottom="116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tabs>
          <w:tab w:pos="1259" w:val="left" w:leader="none"/>
        </w:tabs>
        <w:spacing w:line="240" w:lineRule="auto"/>
        <w:ind w:right="50"/>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2" w:footer="977" w:top="1120" w:bottom="1160" w:left="1560" w:right="1080"/>
        </w:sectPr>
      </w:pPr>
    </w:p>
    <w:p>
      <w:pPr>
        <w:pStyle w:val="Heading2"/>
        <w:spacing w:line="240" w:lineRule="auto"/>
        <w:ind w:left="141" w:right="-15"/>
        <w:jc w:val="left"/>
        <w:rPr>
          <w:b w:val="0"/>
          <w:bCs w:val="0"/>
        </w:rPr>
      </w:pPr>
      <w:r>
        <w:rPr/>
        <w:t>一、审计报告</w:t>
      </w:r>
      <w:r>
        <w:rPr>
          <w:b w:val="0"/>
          <w:bCs w:val="0"/>
        </w:rPr>
      </w:r>
    </w:p>
    <w:p>
      <w:pPr>
        <w:spacing w:line="240" w:lineRule="auto" w:before="1"/>
        <w:rPr>
          <w:rFonts w:ascii="宋体" w:hAnsi="宋体" w:cs="宋体" w:eastAsia="宋体" w:hint="default"/>
          <w:b/>
          <w:bCs/>
          <w:sz w:val="36"/>
          <w:szCs w:val="36"/>
        </w:rPr>
      </w:pPr>
      <w:r>
        <w:rPr/>
        <w:br w:type="column"/>
      </w:r>
      <w:r>
        <w:rPr>
          <w:rFonts w:ascii="宋体"/>
          <w:b/>
          <w:sz w:val="36"/>
        </w:rPr>
      </w:r>
    </w:p>
    <w:p>
      <w:pPr>
        <w:tabs>
          <w:tab w:pos="562" w:val="left" w:leader="none"/>
          <w:tab w:pos="1124" w:val="left" w:leader="none"/>
          <w:tab w:pos="1687" w:val="left" w:leader="none"/>
        </w:tabs>
        <w:spacing w:before="0"/>
        <w:ind w:left="0" w:right="2830" w:firstLine="0"/>
        <w:jc w:val="center"/>
        <w:rPr>
          <w:rFonts w:ascii="宋体" w:hAnsi="宋体" w:cs="宋体" w:eastAsia="宋体" w:hint="default"/>
          <w:sz w:val="28"/>
          <w:szCs w:val="28"/>
        </w:rPr>
      </w:pPr>
      <w:r>
        <w:rPr>
          <w:rFonts w:ascii="宋体" w:hAnsi="宋体" w:cs="宋体" w:eastAsia="宋体" w:hint="default"/>
          <w:b/>
          <w:bCs/>
          <w:w w:val="95"/>
          <w:sz w:val="28"/>
          <w:szCs w:val="28"/>
        </w:rPr>
        <w:t>审</w:t>
        <w:tab/>
        <w:t>计</w:t>
        <w:tab/>
        <w:t>报</w:t>
        <w:tab/>
      </w:r>
      <w:r>
        <w:rPr>
          <w:rFonts w:ascii="宋体" w:hAnsi="宋体" w:cs="宋体" w:eastAsia="宋体" w:hint="default"/>
          <w:b/>
          <w:bCs/>
          <w:sz w:val="28"/>
          <w:szCs w:val="28"/>
        </w:rPr>
        <w:t>告</w:t>
      </w:r>
      <w:r>
        <w:rPr>
          <w:rFonts w:ascii="宋体" w:hAnsi="宋体" w:cs="宋体" w:eastAsia="宋体" w:hint="default"/>
          <w:sz w:val="28"/>
          <w:szCs w:val="28"/>
        </w:rPr>
      </w:r>
    </w:p>
    <w:p>
      <w:pPr>
        <w:pStyle w:val="Heading2"/>
        <w:spacing w:line="240" w:lineRule="auto" w:before="135"/>
        <w:ind w:left="0" w:right="2827"/>
        <w:jc w:val="center"/>
        <w:rPr>
          <w:b w:val="0"/>
          <w:bCs w:val="0"/>
        </w:rPr>
      </w:pPr>
      <w:r>
        <w:rPr/>
        <w:t>闽华兴所（2015）审字</w:t>
      </w:r>
      <w:r>
        <w:rPr>
          <w:spacing w:val="-60"/>
        </w:rPr>
        <w:t> </w:t>
      </w:r>
      <w:r>
        <w:rPr/>
        <w:t>B-059</w:t>
      </w:r>
      <w:r>
        <w:rPr>
          <w:spacing w:val="-60"/>
        </w:rPr>
        <w:t> </w:t>
      </w:r>
      <w:r>
        <w:rPr/>
        <w:t>号</w:t>
      </w:r>
      <w:r>
        <w:rPr>
          <w:b w:val="0"/>
          <w:bCs w:val="0"/>
        </w:rPr>
      </w:r>
    </w:p>
    <w:p>
      <w:pPr>
        <w:spacing w:after="0" w:line="240" w:lineRule="auto"/>
        <w:jc w:val="center"/>
        <w:sectPr>
          <w:type w:val="continuous"/>
          <w:pgSz w:w="11910" w:h="16840"/>
          <w:pgMar w:top="1120" w:bottom="1160" w:left="1560" w:right="1080"/>
          <w:cols w:num="2" w:equalWidth="0">
            <w:col w:w="1412" w:space="1786"/>
            <w:col w:w="6072"/>
          </w:cols>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pStyle w:val="Heading2"/>
        <w:spacing w:line="240" w:lineRule="auto"/>
        <w:ind w:left="141" w:right="5667"/>
        <w:jc w:val="left"/>
        <w:rPr>
          <w:b w:val="0"/>
          <w:bCs w:val="0"/>
        </w:rPr>
      </w:pPr>
      <w:r>
        <w:rPr/>
        <w:t>南威软件股份有限公司全体股东：</w:t>
      </w:r>
      <w:r>
        <w:rPr>
          <w:b w:val="0"/>
          <w:bCs w:val="0"/>
        </w:rPr>
      </w:r>
    </w:p>
    <w:p>
      <w:pPr>
        <w:spacing w:line="240" w:lineRule="auto" w:before="9"/>
        <w:rPr>
          <w:rFonts w:ascii="宋体" w:hAnsi="宋体" w:cs="宋体" w:eastAsia="宋体" w:hint="default"/>
          <w:b/>
          <w:bCs/>
          <w:sz w:val="18"/>
          <w:szCs w:val="18"/>
        </w:rPr>
      </w:pPr>
    </w:p>
    <w:p>
      <w:pPr>
        <w:pStyle w:val="BodyText"/>
        <w:spacing w:line="350" w:lineRule="auto" w:before="0"/>
        <w:ind w:right="191" w:firstLine="411"/>
        <w:jc w:val="both"/>
      </w:pPr>
      <w:r>
        <w:rPr>
          <w:spacing w:val="-5"/>
        </w:rPr>
        <w:t>我们审计了后附的南威软件股份有限公司(以下简称“南威软件”)财务报表，包括 </w:t>
      </w:r>
      <w:r>
        <w:rPr/>
        <w:t>2014 年</w:t>
      </w:r>
      <w:r>
        <w:rPr>
          <w:spacing w:val="-23"/>
        </w:rPr>
        <w:t> </w:t>
      </w:r>
      <w:r>
        <w:rPr/>
        <w:t>12</w:t>
      </w:r>
      <w:r>
        <w:rPr/>
        <w:t> 月</w:t>
      </w:r>
      <w:r>
        <w:rPr>
          <w:spacing w:val="-50"/>
        </w:rPr>
        <w:t> </w:t>
      </w:r>
      <w:r>
        <w:rPr/>
        <w:t>31</w:t>
      </w:r>
      <w:r>
        <w:rPr>
          <w:spacing w:val="-46"/>
        </w:rPr>
        <w:t> </w:t>
      </w:r>
      <w:r>
        <w:rPr>
          <w:spacing w:val="-7"/>
        </w:rPr>
        <w:t>日的合并及母公司资产负债表，2014</w:t>
      </w:r>
      <w:r>
        <w:rPr>
          <w:spacing w:val="-46"/>
        </w:rPr>
        <w:t> </w:t>
      </w:r>
      <w:r>
        <w:rPr>
          <w:spacing w:val="-7"/>
        </w:rPr>
        <w:t>年度的合并及母公司利润表、合并及母公司现金流量表和</w:t>
      </w:r>
      <w:r>
        <w:rPr>
          <w:spacing w:val="-99"/>
        </w:rPr>
        <w:t> </w:t>
      </w:r>
      <w:r>
        <w:rPr>
          <w:spacing w:val="-99"/>
        </w:rPr>
      </w:r>
      <w:r>
        <w:rPr>
          <w:spacing w:val="-5"/>
        </w:rPr>
        <w:t>合并及母公司所有者权益变动表以及财务报表附注。</w:t>
      </w:r>
      <w:r>
        <w:rPr/>
      </w:r>
    </w:p>
    <w:p>
      <w:pPr>
        <w:pStyle w:val="Heading2"/>
        <w:spacing w:line="240" w:lineRule="auto" w:before="148"/>
        <w:ind w:left="564" w:right="5667"/>
        <w:jc w:val="left"/>
        <w:rPr>
          <w:b w:val="0"/>
          <w:bCs w:val="0"/>
        </w:rPr>
      </w:pPr>
      <w:r>
        <w:rPr/>
        <w:t>一、管理层对财务报表的责任</w:t>
      </w:r>
      <w:r>
        <w:rPr>
          <w:b w:val="0"/>
          <w:bCs w:val="0"/>
        </w:rPr>
      </w:r>
    </w:p>
    <w:p>
      <w:pPr>
        <w:spacing w:line="240" w:lineRule="auto" w:before="9"/>
        <w:rPr>
          <w:rFonts w:ascii="宋体" w:hAnsi="宋体" w:cs="宋体" w:eastAsia="宋体" w:hint="default"/>
          <w:b/>
          <w:bCs/>
          <w:sz w:val="18"/>
          <w:szCs w:val="18"/>
        </w:rPr>
      </w:pPr>
    </w:p>
    <w:p>
      <w:pPr>
        <w:pStyle w:val="BodyText"/>
        <w:spacing w:line="350" w:lineRule="auto" w:before="0"/>
        <w:ind w:right="192" w:firstLine="420"/>
        <w:jc w:val="both"/>
      </w:pPr>
      <w:r>
        <w:rPr/>
        <w:t>编制和公允列报财务报表是南威软件管理层的责任，这种责任包括：（1）按照企业会计准则 的规定编制财务报表，并使其实现公允反映；（2）设计、执行和维护必要的内部控制，以使财务 报表不存在由于舞弊或错误导致的重大错报。</w:t>
      </w:r>
    </w:p>
    <w:p>
      <w:pPr>
        <w:pStyle w:val="Heading2"/>
        <w:spacing w:line="240" w:lineRule="auto" w:before="148"/>
        <w:ind w:left="564" w:right="5667"/>
        <w:jc w:val="left"/>
        <w:rPr>
          <w:b w:val="0"/>
          <w:bCs w:val="0"/>
        </w:rPr>
      </w:pPr>
      <w:r>
        <w:rPr/>
        <w:t>二、注册会计师的责任</w:t>
      </w:r>
      <w:r>
        <w:rPr>
          <w:b w:val="0"/>
          <w:bCs w:val="0"/>
        </w:rPr>
      </w:r>
    </w:p>
    <w:p>
      <w:pPr>
        <w:spacing w:line="240" w:lineRule="auto" w:before="10"/>
        <w:rPr>
          <w:rFonts w:ascii="宋体" w:hAnsi="宋体" w:cs="宋体" w:eastAsia="宋体" w:hint="default"/>
          <w:b/>
          <w:bCs/>
          <w:sz w:val="18"/>
          <w:szCs w:val="18"/>
        </w:rPr>
      </w:pPr>
    </w:p>
    <w:p>
      <w:pPr>
        <w:pStyle w:val="BodyText"/>
        <w:spacing w:line="348" w:lineRule="auto" w:before="0"/>
        <w:ind w:right="191" w:firstLine="420"/>
        <w:jc w:val="both"/>
      </w:pPr>
      <w:r>
        <w:rPr>
          <w:spacing w:val="-3"/>
        </w:rPr>
        <w:t>我们的责任是在执行审计工作的基础上对财务报表发表审计意见。我们按照中国注册会计师审</w:t>
      </w:r>
      <w:r>
        <w:rPr/>
        <w:t> </w:t>
      </w:r>
      <w:r>
        <w:rPr>
          <w:spacing w:val="-3"/>
        </w:rPr>
        <w:t>计准则的规定执行了审计工作。中国注册会计师审计准则要求我们遵守中国注册会计师职业道德守</w:t>
      </w:r>
      <w:r>
        <w:rPr>
          <w:spacing w:val="-77"/>
        </w:rPr>
        <w:t> </w:t>
      </w:r>
      <w:r>
        <w:rPr>
          <w:spacing w:val="-77"/>
        </w:rPr>
      </w:r>
      <w:r>
        <w:rPr/>
        <w:t>则，计划和执行审计工作以对财务报表是否不存在重大错报获取合理保证。</w:t>
      </w:r>
    </w:p>
    <w:p>
      <w:pPr>
        <w:pStyle w:val="BodyText"/>
        <w:spacing w:line="350" w:lineRule="auto" w:before="151"/>
        <w:ind w:right="191" w:firstLine="420"/>
        <w:jc w:val="both"/>
      </w:pPr>
      <w:r>
        <w:rPr>
          <w:spacing w:val="-3"/>
        </w:rPr>
        <w:t>审计工作涉及实施审计程序，以获取有关财务报表金额和披露的审计证据。选择的审计程序取</w:t>
      </w:r>
      <w:r>
        <w:rPr/>
        <w:t> </w:t>
      </w:r>
      <w:r>
        <w:rPr>
          <w:spacing w:val="-3"/>
        </w:rPr>
        <w:t>决于注册会计师的判断，包括对由于舞弊或错误导致的财务报表重大错报风险的评估。在进行风险</w:t>
      </w:r>
      <w:r>
        <w:rPr>
          <w:spacing w:val="-78"/>
        </w:rPr>
        <w:t> </w:t>
      </w:r>
      <w:r>
        <w:rPr>
          <w:spacing w:val="-78"/>
        </w:rPr>
      </w:r>
      <w:r>
        <w:rPr>
          <w:spacing w:val="-3"/>
        </w:rPr>
        <w:t>评估时，注册会计师考虑与财务报表编制和公允列报相关的内部控制，以设计恰当的审计程序，但</w:t>
      </w:r>
      <w:r>
        <w:rPr>
          <w:spacing w:val="-78"/>
        </w:rPr>
        <w:t> </w:t>
      </w:r>
      <w:r>
        <w:rPr>
          <w:spacing w:val="-78"/>
        </w:rPr>
      </w:r>
      <w:r>
        <w:rPr>
          <w:spacing w:val="-3"/>
        </w:rPr>
        <w:t>目的并非对内部控制的有效性发表意见。审计工作还包括评价管理层选用会计政策的恰当性和作出</w:t>
      </w:r>
      <w:r>
        <w:rPr>
          <w:spacing w:val="-77"/>
        </w:rPr>
        <w:t> </w:t>
      </w:r>
      <w:r>
        <w:rPr>
          <w:spacing w:val="-77"/>
        </w:rPr>
      </w:r>
      <w:r>
        <w:rPr/>
        <w:t>会计估计的合理性，以及评价财务报表的总体列报。</w:t>
      </w:r>
    </w:p>
    <w:p>
      <w:pPr>
        <w:pStyle w:val="BodyText"/>
        <w:spacing w:line="240" w:lineRule="auto" w:before="148"/>
        <w:ind w:left="561" w:right="0"/>
        <w:jc w:val="left"/>
      </w:pPr>
      <w:r>
        <w:rPr/>
        <w:t>我们相信，我们获取的审计证据是充分、适当的，为发表审计意见提供了基础。</w:t>
      </w:r>
    </w:p>
    <w:p>
      <w:pPr>
        <w:pStyle w:val="BodyText"/>
        <w:spacing w:line="520" w:lineRule="atLeast" w:before="0"/>
        <w:ind w:left="561" w:right="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我们认为，南威软件财务报表在所有重大方面按照企业会计准则的规定编制，公允反映了南</w:t>
      </w:r>
    </w:p>
    <w:p>
      <w:pPr>
        <w:pStyle w:val="BodyText"/>
        <w:spacing w:line="240" w:lineRule="auto" w:before="124"/>
        <w:ind w:right="0"/>
        <w:jc w:val="left"/>
      </w:pPr>
      <w:r>
        <w:rPr/>
        <w:t>威软件</w:t>
      </w:r>
      <w:r>
        <w:rPr>
          <w:spacing w:val="-79"/>
        </w:rPr>
        <w:t> </w:t>
      </w:r>
      <w:r>
        <w:rPr/>
        <w:t>2014</w:t>
      </w:r>
      <w:r>
        <w:rPr>
          <w:spacing w:val="-83"/>
        </w:rPr>
        <w:t> </w:t>
      </w:r>
      <w:r>
        <w:rPr/>
        <w:t>年</w:t>
      </w:r>
      <w:r>
        <w:rPr>
          <w:spacing w:val="-84"/>
        </w:rPr>
        <w:t> </w:t>
      </w:r>
      <w:r>
        <w:rPr/>
        <w:t>12</w:t>
      </w:r>
      <w:r>
        <w:rPr>
          <w:spacing w:val="-81"/>
        </w:rPr>
        <w:t> </w:t>
      </w:r>
      <w:r>
        <w:rPr/>
        <w:t>月</w:t>
      </w:r>
      <w:r>
        <w:rPr>
          <w:spacing w:val="-84"/>
        </w:rPr>
        <w:t> </w:t>
      </w:r>
      <w:r>
        <w:rPr/>
        <w:t>31</w:t>
      </w:r>
      <w:r>
        <w:rPr>
          <w:spacing w:val="-81"/>
        </w:rPr>
        <w:t> </w:t>
      </w:r>
      <w:r>
        <w:rPr/>
        <w:t>日的合并及母公司财务状况以及</w:t>
      </w:r>
      <w:r>
        <w:rPr>
          <w:spacing w:val="-79"/>
        </w:rPr>
        <w:t> </w:t>
      </w:r>
      <w:r>
        <w:rPr/>
        <w:t>2014</w:t>
      </w:r>
      <w:r>
        <w:rPr>
          <w:spacing w:val="-83"/>
        </w:rPr>
        <w:t> </w:t>
      </w:r>
      <w:r>
        <w:rPr/>
        <w:t>的合并及母公司经营成果和现金流量。</w:t>
      </w:r>
    </w:p>
    <w:p>
      <w:pPr>
        <w:spacing w:after="0" w:line="240" w:lineRule="auto"/>
        <w:jc w:val="left"/>
        <w:sectPr>
          <w:type w:val="continuous"/>
          <w:pgSz w:w="11910" w:h="16840"/>
          <w:pgMar w:top="1120" w:bottom="1160" w:left="1560" w:right="10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7" w:top="1100" w:bottom="1160" w:left="1480" w:right="1040"/>
        </w:sectPr>
      </w:pPr>
    </w:p>
    <w:p>
      <w:pPr>
        <w:spacing w:line="240" w:lineRule="auto" w:before="3"/>
        <w:rPr>
          <w:rFonts w:ascii="宋体" w:hAnsi="宋体" w:cs="宋体" w:eastAsia="宋体" w:hint="default"/>
          <w:sz w:val="14"/>
          <w:szCs w:val="14"/>
        </w:rPr>
      </w:pPr>
    </w:p>
    <w:p>
      <w:pPr>
        <w:pStyle w:val="BodyText"/>
        <w:spacing w:line="240" w:lineRule="auto" w:before="0"/>
        <w:ind w:left="957" w:right="0"/>
        <w:jc w:val="center"/>
      </w:pPr>
      <w:r>
        <w:rPr/>
        <w:t>福建华兴会计师事务所</w:t>
      </w:r>
    </w:p>
    <w:p>
      <w:pPr>
        <w:pStyle w:val="BodyText"/>
        <w:spacing w:line="240" w:lineRule="auto" w:before="85"/>
        <w:ind w:left="957" w:right="0"/>
        <w:jc w:val="center"/>
      </w:pPr>
      <w:r>
        <w:rPr/>
        <w:t>（特殊普通合伙）</w:t>
      </w:r>
    </w:p>
    <w:p>
      <w:pPr>
        <w:spacing w:line="240" w:lineRule="auto" w:before="3"/>
        <w:rPr>
          <w:rFonts w:ascii="宋体" w:hAnsi="宋体" w:cs="宋体" w:eastAsia="宋体" w:hint="default"/>
          <w:sz w:val="14"/>
          <w:szCs w:val="14"/>
        </w:rPr>
      </w:pPr>
      <w:r>
        <w:rPr/>
        <w:br w:type="column"/>
      </w:r>
      <w:r>
        <w:rPr>
          <w:rFonts w:ascii="宋体"/>
          <w:sz w:val="14"/>
        </w:rPr>
      </w:r>
    </w:p>
    <w:p>
      <w:pPr>
        <w:pStyle w:val="BodyText"/>
        <w:spacing w:line="240" w:lineRule="auto" w:before="0"/>
        <w:ind w:left="957" w:right="0"/>
        <w:jc w:val="left"/>
      </w:pPr>
      <w:r>
        <w:rPr/>
        <w:t>中国注册会计师：蒋新红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0"/>
        <w:ind w:left="957" w:right="0"/>
        <w:jc w:val="left"/>
      </w:pPr>
      <w:r>
        <w:rPr/>
        <w:t>中国注册会计师：林力</w:t>
      </w:r>
    </w:p>
    <w:p>
      <w:pPr>
        <w:spacing w:after="0" w:line="240" w:lineRule="auto"/>
        <w:jc w:val="left"/>
        <w:sectPr>
          <w:type w:val="continuous"/>
          <w:pgSz w:w="11910" w:h="16840"/>
          <w:pgMar w:top="1120" w:bottom="1160" w:left="1480" w:right="1040"/>
          <w:cols w:num="2" w:equalWidth="0">
            <w:col w:w="3058" w:space="1412"/>
            <w:col w:w="4920"/>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tabs>
          <w:tab w:pos="5532" w:val="left" w:leader="none"/>
        </w:tabs>
        <w:spacing w:line="240" w:lineRule="auto" w:before="35"/>
        <w:ind w:left="1482" w:right="84"/>
        <w:jc w:val="left"/>
      </w:pPr>
      <w:r>
        <w:rPr/>
        <w:t>中国·福州</w:t>
        <w:tab/>
        <w:t>二○一五年四月九日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480" w:right="1040"/>
        </w:sectPr>
      </w:pPr>
    </w:p>
    <w:p>
      <w:pPr>
        <w:pStyle w:val="Heading2"/>
        <w:spacing w:line="240" w:lineRule="auto"/>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before="0"/>
        <w:ind w:left="221" w:right="-20"/>
        <w:jc w:val="left"/>
      </w:pPr>
      <w:r>
        <w:rPr/>
        <w:t>编制单位: 南威软件股份有限公司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3"/>
        <w:ind w:left="221" w:right="-13"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7" w:val="left" w:leader="none"/>
        </w:tabs>
        <w:spacing w:line="240" w:lineRule="auto" w:before="136"/>
        <w:ind w:left="221" w:right="0"/>
        <w:jc w:val="left"/>
      </w:pPr>
      <w:r>
        <w:rPr/>
        <w:t>单位:元</w:t>
        <w:tab/>
        <w:t>币种:人民币</w:t>
      </w:r>
    </w:p>
    <w:p>
      <w:pPr>
        <w:spacing w:after="0" w:line="240" w:lineRule="auto"/>
        <w:jc w:val="left"/>
        <w:sectPr>
          <w:type w:val="continuous"/>
          <w:pgSz w:w="11910" w:h="16840"/>
          <w:pgMar w:top="1120" w:bottom="1160" w:left="1480" w:right="1040"/>
          <w:cols w:num="3" w:equalWidth="0">
            <w:col w:w="3372" w:space="227"/>
            <w:col w:w="1955" w:space="1277"/>
            <w:col w:w="255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90"/>
        <w:gridCol w:w="994"/>
        <w:gridCol w:w="2231"/>
        <w:gridCol w:w="2231"/>
      </w:tblGrid>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8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8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455" w:type="dxa"/>
            <w:gridSpan w:val="3"/>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七、1</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616,032,504.48</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176,877,979.75</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七、3</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102,695,291.91</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114,036,523.25</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七、4</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4,233,436.42</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5,003,148.74</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七、5</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3,519,781.60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457,110.88</w:t>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七、6</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15,171,224.65</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23,661,425.17</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七、7</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168,456,508.38</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109,736,285.76</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七、8</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667,283.58</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25,499,577.57</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910,776,031.02</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455,272,051.12</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455" w:type="dxa"/>
            <w:gridSpan w:val="3"/>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七、9</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441,136.49</w:t>
            </w: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七、10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181,377.82</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199,055.60</w:t>
            </w:r>
          </w:p>
        </w:tc>
      </w:tr>
    </w:tbl>
    <w:p>
      <w:pPr>
        <w:spacing w:after="0" w:line="246" w:lineRule="exact"/>
        <w:jc w:val="right"/>
        <w:rPr>
          <w:rFonts w:ascii="宋体" w:hAnsi="宋体" w:cs="宋体" w:eastAsia="宋体" w:hint="default"/>
          <w:sz w:val="21"/>
          <w:szCs w:val="21"/>
        </w:rPr>
        <w:sectPr>
          <w:type w:val="continuous"/>
          <w:pgSz w:w="11910" w:h="16840"/>
          <w:pgMar w:top="112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690"/>
        <w:gridCol w:w="994"/>
        <w:gridCol w:w="2231"/>
        <w:gridCol w:w="2231"/>
      </w:tblGrid>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七、11</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35,532,004.18</w:t>
            </w: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七、12</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80,885,184.27</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8,529,803.56</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七、13</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247,166.82</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67,474,239.83</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七、15</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42,504,007.56</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40,195,720.35</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七、16</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13,865,334.70</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8,502,688.11</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七、17</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737,401.45</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1,465,522.50</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七、18</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10,148,826.82</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8,267,604.86</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184,542,440.11</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134,634,634.81</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1,095,318,471.13</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589,906,685.93</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455" w:type="dxa"/>
            <w:gridSpan w:val="3"/>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七、20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65,772,804.94</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41,777,671.89</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七、21</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43,545,918.10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37,761,145.88</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七、22</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126,737,229.99</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103,155,944.69</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七、23</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12,805,005.25</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7,261,534.41</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七、24</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15,701,594.78</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19,368,657.71</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七、25</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13,062,732.84</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995,611.30</w:t>
            </w:r>
            <w:r>
              <w:rPr>
                <w:rFonts w:ascii="宋体"/>
                <w:sz w:val="21"/>
              </w:rPr>
            </w: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277,625,285.90</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210,320,565.88</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977" w:top="110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690"/>
        <w:gridCol w:w="994"/>
        <w:gridCol w:w="2231"/>
        <w:gridCol w:w="2231"/>
      </w:tblGrid>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七、26</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3,341,666.67</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7,472,814.92</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3,341,666.67</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7,472,814.92</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280,966,952.57</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217,793,380.80</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455" w:type="dxa"/>
            <w:gridSpan w:val="3"/>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七、27</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100,000,000.00</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75,000,000.00</w:t>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七、28</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406,823,402.40</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82,743,402.40</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七、29</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31,603,309.37</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22,090,954.92</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七、30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265,548,006.81</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188,173,718.97</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803,974,718.58</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368,008,076.29</w:t>
            </w:r>
            <w:r>
              <w:rPr>
                <w:rFonts w:ascii="宋体"/>
                <w:sz w:val="21"/>
              </w:rPr>
            </w:r>
          </w:p>
        </w:tc>
      </w:tr>
      <w:tr>
        <w:trPr>
          <w:trHeight w:val="300"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10,376,799.98</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4,105,228.84</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814,351,518.56</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372,113,305.13</w:t>
            </w:r>
            <w:r>
              <w:rPr>
                <w:rFonts w:ascii="宋体"/>
                <w:sz w:val="21"/>
              </w:rPr>
            </w:r>
          </w:p>
        </w:tc>
      </w:tr>
      <w:tr>
        <w:trPr>
          <w:trHeight w:val="299" w:hRule="exact"/>
        </w:trPr>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1,095,318,471.13</w:t>
            </w:r>
            <w:r>
              <w:rPr>
                <w:rFonts w:ascii="宋体"/>
                <w:sz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589,906,685.93</w:t>
            </w:r>
            <w:r>
              <w:rPr>
                <w:rFonts w:ascii="宋体"/>
                <w:sz w:val="21"/>
              </w:rPr>
            </w:r>
          </w:p>
        </w:tc>
      </w:tr>
    </w:tbl>
    <w:p>
      <w:pPr>
        <w:spacing w:line="240" w:lineRule="auto" w:before="6"/>
        <w:rPr>
          <w:rFonts w:ascii="Times New Roman" w:hAnsi="Times New Roman" w:cs="Times New Roman" w:eastAsia="Times New Roman" w:hint="default"/>
          <w:sz w:val="17"/>
          <w:szCs w:val="17"/>
        </w:rPr>
      </w:pPr>
    </w:p>
    <w:p>
      <w:pPr>
        <w:pStyle w:val="BodyText"/>
        <w:tabs>
          <w:tab w:pos="3057" w:val="left" w:leader="none"/>
          <w:tab w:pos="6416" w:val="left" w:leader="none"/>
        </w:tabs>
        <w:spacing w:line="240" w:lineRule="auto" w:before="35"/>
        <w:ind w:left="221" w:right="84"/>
        <w:jc w:val="left"/>
      </w:pPr>
      <w:r>
        <w:rPr/>
        <w:t>法定代表人：吴志雄</w:t>
        <w:tab/>
      </w:r>
      <w:r>
        <w:rPr>
          <w:spacing w:val="-1"/>
        </w:rPr>
        <w:t>主管会计工作负责人：郑金聪</w:t>
        <w:tab/>
        <w:t>会计机构负责人：郑金聪</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7" w:top="1100" w:bottom="1160" w:left="14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0"/>
        <w:ind w:left="221" w:right="-6"/>
        <w:jc w:val="left"/>
      </w:pPr>
      <w:r>
        <w:rPr>
          <w:spacing w:val="-1"/>
        </w:rPr>
        <w:t>编制单位:南威软件股份有限公司</w:t>
      </w:r>
    </w:p>
    <w:p>
      <w:pPr>
        <w:spacing w:line="272" w:lineRule="exact" w:before="63"/>
        <w:ind w:left="221"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7" w:val="left" w:leader="none"/>
        </w:tabs>
        <w:spacing w:line="240" w:lineRule="auto" w:before="0"/>
        <w:ind w:left="221" w:right="0"/>
        <w:jc w:val="left"/>
      </w:pPr>
      <w:r>
        <w:rPr/>
        <w:t>单位:元</w:t>
        <w:tab/>
        <w:t>币种:人民币</w:t>
      </w:r>
    </w:p>
    <w:p>
      <w:pPr>
        <w:spacing w:after="0" w:line="240" w:lineRule="auto"/>
        <w:jc w:val="left"/>
        <w:sectPr>
          <w:type w:val="continuous"/>
          <w:pgSz w:w="11910" w:h="16840"/>
          <w:pgMar w:top="1120" w:bottom="1160" w:left="1480" w:right="1040"/>
          <w:cols w:num="3" w:equalWidth="0">
            <w:col w:w="3266" w:space="332"/>
            <w:col w:w="1955" w:space="1277"/>
            <w:col w:w="256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703"/>
        <w:gridCol w:w="966"/>
        <w:gridCol w:w="2216"/>
        <w:gridCol w:w="2260"/>
      </w:tblGrid>
      <w:tr>
        <w:trPr>
          <w:trHeight w:val="412"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7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9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4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577,753,071.29</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169,862,725.30</w:t>
            </w:r>
            <w:r>
              <w:rPr>
                <w:rFonts w:ascii="宋体"/>
                <w:sz w:val="21"/>
              </w:rPr>
            </w:r>
          </w:p>
        </w:tc>
      </w:tr>
      <w:tr>
        <w:trPr>
          <w:trHeight w:val="560"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十五、1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98,712,454.15</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114,477,942.13</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4,190,349.42</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4,435,398.84</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3,519,781.60</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457,110.88</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十五、2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21,867,603.06</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31,134,835.24</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167,994,003.47</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94,804,181.31</w:t>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703"/>
        <w:gridCol w:w="966"/>
        <w:gridCol w:w="2216"/>
        <w:gridCol w:w="2260"/>
      </w:tblGrid>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67"/>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170,367.74</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25,209,644.42</w:t>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874,207,630.73</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440,381,838.12</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4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441,136.49</w:t>
            </w: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十五、3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64,431,377.82</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54,824,055.60</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35,532,004.18</w:t>
            </w: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78,619,353.22</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6,310,611.23</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247,166.82</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67,474,239.83</w:t>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39,331,912.41</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36,007,828.00</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13,865,334.70</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8,502,688.11</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54,374.96</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129,895.83</w:t>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4,134,576.22</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3,647,603.32</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236,657,236.82</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176,896,921.92</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1,110,864,867.55</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617,278,760.04</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4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65,772,804.94</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41,777,671.89</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47,486,249.55</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41,482,646.51</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126,728,229.99</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96,206,942.40</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7,787,558.37</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4,642,386.79</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15,459,523.38</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19,599,726.61</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21,499,005.32</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27,469,130.39</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7"/>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284,733,371.55</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231,178,504.59</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4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977" w:top="110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703"/>
        <w:gridCol w:w="966"/>
        <w:gridCol w:w="2216"/>
        <w:gridCol w:w="2260"/>
      </w:tblGrid>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3,275,000.00</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7,447,303.91</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3,275,000.00</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7,447,303.91</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288,008,371.55</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238,625,808.50</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4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100,000,000.00</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75,000,000.00</w:t>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406,823,402.40</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82,743,402.40</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31,603,309.37</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22,090,954.92</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284,429,784.23</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198,818,594.22</w:t>
            </w:r>
            <w:r>
              <w:rPr>
                <w:rFonts w:ascii="宋体"/>
                <w:sz w:val="21"/>
              </w:rPr>
            </w:r>
          </w:p>
        </w:tc>
      </w:tr>
      <w:tr>
        <w:trPr>
          <w:trHeight w:val="287"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822,856,496.00</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378,652,951.54</w:t>
            </w:r>
            <w:r>
              <w:rPr>
                <w:rFonts w:ascii="宋体"/>
                <w:sz w:val="21"/>
              </w:rPr>
            </w:r>
          </w:p>
        </w:tc>
      </w:tr>
      <w:tr>
        <w:trPr>
          <w:trHeight w:val="288" w:hRule="exact"/>
        </w:trPr>
        <w:tc>
          <w:tcPr>
            <w:tcW w:w="3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66"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1,110,864,867.55</w:t>
            </w:r>
            <w:r>
              <w:rPr>
                <w:rFonts w:ascii="宋体"/>
                <w:sz w:val="21"/>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617,278,760.04</w:t>
            </w:r>
            <w:r>
              <w:rPr>
                <w:rFonts w:ascii="宋体"/>
                <w:sz w:val="21"/>
              </w:rPr>
            </w:r>
          </w:p>
        </w:tc>
      </w:tr>
    </w:tbl>
    <w:p>
      <w:pPr>
        <w:spacing w:line="240" w:lineRule="auto" w:before="6"/>
        <w:rPr>
          <w:rFonts w:ascii="Times New Roman" w:hAnsi="Times New Roman" w:cs="Times New Roman" w:eastAsia="Times New Roman" w:hint="default"/>
          <w:sz w:val="17"/>
          <w:szCs w:val="17"/>
        </w:rPr>
      </w:pPr>
    </w:p>
    <w:p>
      <w:pPr>
        <w:pStyle w:val="BodyText"/>
        <w:tabs>
          <w:tab w:pos="3056" w:val="left" w:leader="none"/>
          <w:tab w:pos="6521" w:val="left" w:leader="none"/>
        </w:tabs>
        <w:spacing w:line="240" w:lineRule="auto" w:before="35"/>
        <w:ind w:left="221" w:right="84"/>
        <w:jc w:val="left"/>
      </w:pPr>
      <w:r>
        <w:rPr/>
        <w:t>法定代表人：吴志雄</w:t>
        <w:tab/>
      </w:r>
      <w:r>
        <w:rPr>
          <w:spacing w:val="-1"/>
        </w:rPr>
        <w:t>主管会计工作负责人：郑金聪</w:t>
        <w:tab/>
        <w:t>会计机构负责人：郑金聪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977" w:top="1100" w:bottom="1160" w:left="1480" w:right="1040"/>
        </w:sectPr>
      </w:pPr>
    </w:p>
    <w:p>
      <w:pPr>
        <w:spacing w:line="272" w:lineRule="exact" w:before="63"/>
        <w:ind w:left="3924" w:right="-13"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510" w:val="left" w:leader="none"/>
        </w:tabs>
        <w:spacing w:line="240" w:lineRule="auto" w:before="0"/>
        <w:ind w:left="1564" w:right="0"/>
        <w:jc w:val="left"/>
      </w:pPr>
      <w:r>
        <w:rPr/>
        <w:t>单位:元</w:t>
        <w:tab/>
        <w:t>币种:人民币</w:t>
      </w:r>
    </w:p>
    <w:p>
      <w:pPr>
        <w:spacing w:after="0" w:line="240" w:lineRule="auto"/>
        <w:jc w:val="left"/>
        <w:sectPr>
          <w:type w:val="continuous"/>
          <w:pgSz w:w="11910" w:h="16840"/>
          <w:pgMar w:top="1120" w:bottom="1160" w:left="1480" w:right="1040"/>
          <w:cols w:num="2" w:equalWidth="0">
            <w:col w:w="5448" w:space="40"/>
            <w:col w:w="390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69"/>
        <w:gridCol w:w="977"/>
        <w:gridCol w:w="1994"/>
        <w:gridCol w:w="2005"/>
      </w:tblGrid>
      <w:tr>
        <w:trPr>
          <w:trHeight w:val="412"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6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6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6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323,315,557.02</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280,587,600.83</w:t>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七、31</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323,315,557.02</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280,587,600.83</w:t>
            </w: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245,418,350.94</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212,054,759.76</w:t>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七、31</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168,141,346.01</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154,152,548.02</w:t>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七、32</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4,473,916.58</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2,349,177.82</w:t>
            </w:r>
            <w:r>
              <w:rPr>
                <w:rFonts w:ascii="宋体"/>
                <w:sz w:val="21"/>
              </w:rPr>
            </w:r>
          </w:p>
        </w:tc>
      </w:tr>
      <w:tr>
        <w:trPr>
          <w:trHeight w:val="356"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七、33</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20,250,402.25</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15,483,716.72</w:t>
            </w:r>
          </w:p>
        </w:tc>
      </w:tr>
    </w:tbl>
    <w:p>
      <w:pPr>
        <w:spacing w:after="0" w:line="241" w:lineRule="exact"/>
        <w:jc w:val="right"/>
        <w:rPr>
          <w:rFonts w:ascii="宋体" w:hAnsi="宋体" w:cs="宋体" w:eastAsia="宋体" w:hint="default"/>
          <w:sz w:val="21"/>
          <w:szCs w:val="21"/>
        </w:rPr>
        <w:sectPr>
          <w:type w:val="continuous"/>
          <w:pgSz w:w="11910" w:h="16840"/>
          <w:pgMar w:top="112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169"/>
        <w:gridCol w:w="977"/>
        <w:gridCol w:w="1994"/>
        <w:gridCol w:w="2005"/>
      </w:tblGrid>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七、34</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54,363,666.97</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40,216,743.14</w:t>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七、35</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-4,579,023.24</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-3,345,020.50</w:t>
            </w: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pacing w:val="-20"/>
                <w:sz w:val="21"/>
                <w:szCs w:val="21"/>
              </w:rPr>
              <w:t>七、36</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2,768,042.37</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3,197,594.56</w:t>
            </w:r>
            <w:r>
              <w:rPr>
                <w:rFonts w:ascii="宋体"/>
                <w:sz w:val="21"/>
              </w:rPr>
            </w: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七、37</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7"/>
              <w:jc w:val="right"/>
              <w:rPr>
                <w:rFonts w:ascii="宋体" w:hAnsi="宋体" w:cs="宋体" w:eastAsia="宋体" w:hint="default"/>
                <w:sz w:val="21"/>
                <w:szCs w:val="21"/>
              </w:rPr>
            </w:pPr>
            <w:r>
              <w:rPr>
                <w:rFonts w:ascii="宋体"/>
                <w:spacing w:val="-1"/>
                <w:sz w:val="21"/>
              </w:rPr>
              <w:t>987,116.74</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-944.40</w:t>
            </w: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-17,677.78</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-944.40</w:t>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78,884,322.82</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68,531,896.67</w:t>
            </w:r>
            <w:r>
              <w:rPr>
                <w:rFonts w:ascii="宋体"/>
                <w:sz w:val="21"/>
              </w:rPr>
            </w: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七、38</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21,363,704.69</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22,890,031.51</w:t>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七、39</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128,867.30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103,362.11</w:t>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72,267.30</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10,762.27</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100,119,160.21</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91,318,566.07</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hAnsi="宋体" w:cs="宋体" w:eastAsia="宋体" w:hint="default"/>
                <w:spacing w:val="-20"/>
                <w:sz w:val="21"/>
                <w:szCs w:val="21"/>
              </w:rPr>
              <w:t>七、40</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13,953,370.08</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12,360,129.17</w:t>
            </w: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86,165,790.13</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78,958,436.90</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86,886,642.29</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79,494,630.51</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-720,852.16</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-536,193.61</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1.重新计量设定受益计划净负债或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1.权益法下在被投资单位以后将重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4.现金流量套期损益的有效部分</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5.外币财务报表折算差额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6.其他</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86,165,790.13</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78,958,436.90</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86,886,642.29</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79,494,630.51</w:t>
            </w:r>
            <w:r>
              <w:rPr>
                <w:rFonts w:ascii="宋体"/>
                <w:sz w:val="21"/>
              </w:rPr>
            </w:r>
          </w:p>
        </w:tc>
      </w:tr>
    </w:tbl>
    <w:p>
      <w:pPr>
        <w:spacing w:after="0" w:line="274" w:lineRule="exact"/>
        <w:jc w:val="right"/>
        <w:rPr>
          <w:rFonts w:ascii="宋体" w:hAnsi="宋体" w:cs="宋体" w:eastAsia="宋体" w:hint="default"/>
          <w:sz w:val="21"/>
          <w:szCs w:val="21"/>
        </w:rPr>
        <w:sectPr>
          <w:footerReference w:type="default" r:id="rId42"/>
          <w:pgSz w:w="11910" w:h="16840"/>
          <w:pgMar w:footer="977" w:header="882" w:top="110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169"/>
        <w:gridCol w:w="977"/>
        <w:gridCol w:w="1994"/>
        <w:gridCol w:w="2005"/>
      </w:tblGrid>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-720,852.16</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-536,193.61</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z w:val="21"/>
              </w:rPr>
              <w:t>1.16</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z w:val="21"/>
              </w:rPr>
              <w:t>1.06</w:t>
            </w:r>
          </w:p>
        </w:tc>
      </w:tr>
      <w:tr>
        <w:trPr>
          <w:trHeight w:val="356"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1.16</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1.06</w:t>
            </w:r>
          </w:p>
        </w:tc>
      </w:tr>
    </w:tbl>
    <w:p>
      <w:pPr>
        <w:spacing w:line="240" w:lineRule="auto" w:before="6"/>
        <w:rPr>
          <w:rFonts w:ascii="Times New Roman" w:hAnsi="Times New Roman" w:cs="Times New Roman" w:eastAsia="Times New Roman" w:hint="default"/>
          <w:sz w:val="17"/>
          <w:szCs w:val="17"/>
        </w:rPr>
      </w:pPr>
    </w:p>
    <w:p>
      <w:pPr>
        <w:pStyle w:val="BodyText"/>
        <w:tabs>
          <w:tab w:pos="2846" w:val="left" w:leader="none"/>
          <w:tab w:pos="6206" w:val="left" w:leader="none"/>
        </w:tabs>
        <w:spacing w:line="240" w:lineRule="auto" w:before="35"/>
        <w:ind w:left="221" w:right="84"/>
        <w:jc w:val="left"/>
      </w:pPr>
      <w:r>
        <w:rPr/>
        <w:t>法定代表人：吴志雄</w:t>
        <w:tab/>
      </w:r>
      <w:r>
        <w:rPr>
          <w:spacing w:val="-1"/>
        </w:rPr>
        <w:t>主管会计工作负责人：郑金聪</w:t>
        <w:tab/>
        <w:t>会计机构负责人：郑金聪</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3"/>
          <w:pgSz w:w="11910" w:h="16840"/>
          <w:pgMar w:footer="977" w:header="882" w:top="1100" w:bottom="1160" w:left="1480" w:right="1040"/>
          <w:pgNumType w:start="61"/>
        </w:sectPr>
      </w:pPr>
    </w:p>
    <w:p>
      <w:pPr>
        <w:spacing w:line="272" w:lineRule="exact" w:before="63"/>
        <w:ind w:left="3924" w:right="-13"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510" w:val="left" w:leader="none"/>
        </w:tabs>
        <w:spacing w:line="240" w:lineRule="auto" w:before="0"/>
        <w:ind w:left="1564" w:right="0"/>
        <w:jc w:val="left"/>
      </w:pPr>
      <w:r>
        <w:rPr/>
        <w:t>单位:元</w:t>
        <w:tab/>
        <w:t>币种:人民币</w:t>
      </w:r>
    </w:p>
    <w:p>
      <w:pPr>
        <w:spacing w:after="0" w:line="240" w:lineRule="auto"/>
        <w:jc w:val="left"/>
        <w:sectPr>
          <w:type w:val="continuous"/>
          <w:pgSz w:w="11910" w:h="16840"/>
          <w:pgMar w:top="1120" w:bottom="1160" w:left="1480" w:right="1040"/>
          <w:cols w:num="2" w:equalWidth="0">
            <w:col w:w="5448" w:space="40"/>
            <w:col w:w="390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69"/>
        <w:gridCol w:w="977"/>
        <w:gridCol w:w="1994"/>
        <w:gridCol w:w="2005"/>
      </w:tblGrid>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十五、4</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299,074,546.63</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274,946,508.63</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十五、4</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152,576,325.78</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151,860,615.04</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3,643,390.43</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2,052,345.65</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15,270,953.48</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12,545,366.39</w:t>
            </w:r>
            <w:r>
              <w:rPr>
                <w:rFonts w:ascii="宋体"/>
                <w:sz w:val="21"/>
              </w:rPr>
            </w: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40,995,098.55</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28,713,253.49</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-4,486,659.96</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-2,941,066.82</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2,509,091.02</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2,788,717.48</w:t>
            </w:r>
            <w:r>
              <w:rPr>
                <w:rFonts w:ascii="宋体"/>
                <w:sz w:val="21"/>
              </w:rPr>
            </w: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十五、5</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987,116.74</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-46,489.87</w:t>
            </w: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-17,677.78</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-944.40</w:t>
            </w: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89,553,464.07</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79,880,787.53</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21,109,542.84</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20,475,931.51</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128,867.30</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92,424.88</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72,267.30</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110,534,139.61</w:t>
            </w:r>
            <w:r>
              <w:rPr>
                <w:rFonts w:ascii="宋体"/>
                <w:sz w:val="21"/>
              </w:rPr>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100,264,294.16</w:t>
            </w:r>
            <w:r>
              <w:rPr>
                <w:rFonts w:ascii="宋体"/>
                <w:sz w:val="21"/>
              </w:rPr>
            </w: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15,410,595.15</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14,784,057.10</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95,123,544.46</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85,480,237.06</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3"/>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3" w:right="0"/>
              <w:jc w:val="left"/>
              <w:rPr>
                <w:rFonts w:ascii="宋体" w:hAnsi="宋体" w:cs="宋体" w:eastAsia="宋体" w:hint="default"/>
                <w:sz w:val="21"/>
                <w:szCs w:val="21"/>
              </w:rPr>
            </w:pPr>
            <w:r>
              <w:rPr>
                <w:rFonts w:ascii="宋体" w:hAnsi="宋体" w:cs="宋体" w:eastAsia="宋体" w:hint="default"/>
                <w:sz w:val="21"/>
                <w:szCs w:val="21"/>
              </w:rPr>
              <w:t>2.权益法下在被投资单位不能重分类进</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3"/>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4169"/>
        <w:gridCol w:w="977"/>
        <w:gridCol w:w="1994"/>
        <w:gridCol w:w="2005"/>
      </w:tblGrid>
      <w:tr>
        <w:trPr>
          <w:trHeight w:val="559"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2.可供出售金融资产公允价值变动损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20" w:right="0"/>
              <w:jc w:val="left"/>
              <w:rPr>
                <w:rFonts w:ascii="宋体" w:hAnsi="宋体" w:cs="宋体" w:eastAsia="宋体" w:hint="default"/>
                <w:sz w:val="21"/>
                <w:szCs w:val="21"/>
              </w:rPr>
            </w:pPr>
            <w:r>
              <w:rPr>
                <w:rFonts w:ascii="宋体" w:hAnsi="宋体" w:cs="宋体" w:eastAsia="宋体" w:hint="default"/>
                <w:sz w:val="21"/>
                <w:szCs w:val="21"/>
              </w:rPr>
              <w:t>4.现金流量套期损益的有效部分</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5.外币财务报表折算差额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6.其他</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95,123,544.46</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85,480,237.06</w:t>
            </w:r>
            <w:r>
              <w:rPr>
                <w:rFonts w:ascii="宋体"/>
                <w:sz w:val="21"/>
              </w:rPr>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1.27</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1.14</w:t>
            </w:r>
          </w:p>
        </w:tc>
      </w:tr>
      <w:tr>
        <w:trPr>
          <w:trHeight w:val="355" w:hRule="exact"/>
        </w:trPr>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977"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z w:val="21"/>
              </w:rPr>
              <w:t>1.27</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z w:val="21"/>
              </w:rPr>
              <w:t>1.14</w:t>
            </w:r>
          </w:p>
        </w:tc>
      </w:tr>
    </w:tbl>
    <w:p>
      <w:pPr>
        <w:spacing w:line="240" w:lineRule="auto" w:before="6"/>
        <w:rPr>
          <w:rFonts w:ascii="宋体" w:hAnsi="宋体" w:cs="宋体" w:eastAsia="宋体" w:hint="default"/>
          <w:sz w:val="15"/>
          <w:szCs w:val="15"/>
        </w:rPr>
      </w:pPr>
    </w:p>
    <w:p>
      <w:pPr>
        <w:pStyle w:val="BodyText"/>
        <w:tabs>
          <w:tab w:pos="2846" w:val="left" w:leader="none"/>
          <w:tab w:pos="6416" w:val="left" w:leader="none"/>
        </w:tabs>
        <w:spacing w:line="240" w:lineRule="auto" w:before="35"/>
        <w:ind w:left="221" w:right="84"/>
        <w:jc w:val="left"/>
      </w:pPr>
      <w:r>
        <w:rPr/>
        <w:t>法定代表人：吴志雄</w:t>
        <w:tab/>
      </w:r>
      <w:r>
        <w:rPr>
          <w:spacing w:val="-1"/>
        </w:rPr>
        <w:t>主管会计工作负责人：郑金聪</w:t>
        <w:tab/>
        <w:t>会计机构负责人：郑金聪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977" w:top="1100" w:bottom="1160" w:left="1480" w:right="1040"/>
        </w:sectPr>
      </w:pPr>
    </w:p>
    <w:p>
      <w:pPr>
        <w:spacing w:line="272" w:lineRule="exact" w:before="63"/>
        <w:ind w:left="3924"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03" w:val="left" w:leader="none"/>
        </w:tabs>
        <w:spacing w:line="240" w:lineRule="auto" w:before="0"/>
        <w:ind w:left="1353" w:right="0"/>
        <w:jc w:val="left"/>
      </w:pPr>
      <w:r>
        <w:rPr/>
        <w:t>单位：元</w:t>
        <w:tab/>
        <w:t>币种：人民币</w:t>
      </w:r>
    </w:p>
    <w:p>
      <w:pPr>
        <w:spacing w:after="0" w:line="240" w:lineRule="auto"/>
        <w:jc w:val="left"/>
        <w:sectPr>
          <w:type w:val="continuous"/>
          <w:pgSz w:w="11910" w:h="16840"/>
          <w:pgMar w:top="1120" w:bottom="1160" w:left="1480" w:right="1040"/>
          <w:cols w:num="2" w:equalWidth="0">
            <w:col w:w="5448" w:space="40"/>
            <w:col w:w="390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89"/>
        <w:gridCol w:w="994"/>
        <w:gridCol w:w="2239"/>
        <w:gridCol w:w="2224"/>
      </w:tblGrid>
      <w:tr>
        <w:trPr>
          <w:trHeight w:val="354"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7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392,435,503.72</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352,754,312.36</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1"/>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7"/>
                <w:sz w:val="21"/>
                <w:szCs w:val="21"/>
              </w:rPr>
              <w:t>处置以公允价值计量且其变动计入</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9,502,603.16</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6,167,448.67</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pacing w:val="-17"/>
                <w:sz w:val="21"/>
                <w:szCs w:val="21"/>
              </w:rPr>
              <w:t>七、42</w:t>
            </w:r>
            <w:r>
              <w:rPr>
                <w:rFonts w:ascii="宋体" w:hAnsi="宋体" w:cs="宋体" w:eastAsia="宋体" w:hint="default"/>
                <w:sz w:val="21"/>
                <w:szCs w:val="21"/>
              </w:rPr>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54,030,433.69</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60,923,260.15</w:t>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455,968,540.57</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419,845,021.18</w:t>
            </w:r>
            <w:r>
              <w:rPr>
                <w:rFonts w:ascii="宋体"/>
                <w:sz w:val="21"/>
              </w:rPr>
            </w:r>
          </w:p>
        </w:tc>
      </w:tr>
      <w:tr>
        <w:trPr>
          <w:trHeight w:val="354"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190,392,214.14</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185,341,077.02</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689"/>
        <w:gridCol w:w="994"/>
        <w:gridCol w:w="2239"/>
        <w:gridCol w:w="2224"/>
      </w:tblGrid>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52,686,812.44</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44,283,999.08</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42,807,670.49</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32,452,869.74</w:t>
            </w:r>
            <w:r>
              <w:rPr>
                <w:rFonts w:ascii="宋体"/>
                <w:sz w:val="21"/>
              </w:rPr>
            </w:r>
          </w:p>
        </w:tc>
      </w:tr>
      <w:tr>
        <w:trPr>
          <w:trHeight w:val="354"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00"/>
              <w:jc w:val="right"/>
              <w:rPr>
                <w:rFonts w:ascii="宋体" w:hAnsi="宋体" w:cs="宋体" w:eastAsia="宋体" w:hint="default"/>
                <w:sz w:val="21"/>
                <w:szCs w:val="21"/>
              </w:rPr>
            </w:pPr>
            <w:r>
              <w:rPr>
                <w:rFonts w:ascii="宋体" w:hAnsi="宋体" w:cs="宋体" w:eastAsia="宋体" w:hint="default"/>
                <w:spacing w:val="-17"/>
                <w:sz w:val="21"/>
                <w:szCs w:val="21"/>
              </w:rPr>
              <w:t>七、42</w:t>
            </w:r>
            <w:r>
              <w:rPr>
                <w:rFonts w:ascii="宋体" w:hAnsi="宋体" w:cs="宋体" w:eastAsia="宋体" w:hint="default"/>
                <w:sz w:val="21"/>
                <w:szCs w:val="21"/>
              </w:rPr>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65,431,275.60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57,205,975.66</w:t>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351,317,972.67</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319,283,921.50</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104,650,567.90</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100,561,099.68</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46,004,794.52</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8"/>
                <w:sz w:val="21"/>
                <w:szCs w:val="21"/>
              </w:rPr>
              <w:t>、</w:t>
            </w:r>
            <w:r>
              <w:rPr>
                <w:rFonts w:ascii="宋体" w:hAnsi="宋体" w:cs="宋体" w:eastAsia="宋体" w:hint="default"/>
                <w:sz w:val="21"/>
                <w:szCs w:val="21"/>
              </w:rPr>
              <w:t>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103,982.28</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7"/>
                <w:sz w:val="21"/>
                <w:szCs w:val="21"/>
              </w:rPr>
              <w:t>处置子公司及其他营业单位收到的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46,108,776.80</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98"/>
                <w:sz w:val="21"/>
                <w:szCs w:val="21"/>
              </w:rPr>
              <w:t>、</w:t>
            </w:r>
            <w:r>
              <w:rPr>
                <w:rFonts w:ascii="宋体" w:hAnsi="宋体" w:cs="宋体" w:eastAsia="宋体" w:hint="default"/>
                <w:sz w:val="21"/>
                <w:szCs w:val="21"/>
              </w:rPr>
              <w:t>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53,189,983.37</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44,817,275.04</w:t>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20,000,000.00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25,200,000.00</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7"/>
                <w:sz w:val="21"/>
                <w:szCs w:val="21"/>
              </w:rPr>
              <w:t>取得子公司及其他营业单位支付的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73,189,983.37</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70,017,275.04</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-27,081,206.57</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-70,017,275.04</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363,792,423.30</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8"/>
                <w:sz w:val="21"/>
                <w:szCs w:val="21"/>
              </w:rPr>
              <w:t>：</w:t>
            </w:r>
            <w:r>
              <w:rPr>
                <w:rFonts w:ascii="宋体" w:hAnsi="宋体" w:cs="宋体" w:eastAsia="宋体" w:hint="default"/>
                <w:sz w:val="21"/>
                <w:szCs w:val="21"/>
              </w:rPr>
              <w:t>子公司吸收少数股东投资收到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6,992,423.30</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10,000,000.00</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00"/>
              <w:jc w:val="right"/>
              <w:rPr>
                <w:rFonts w:ascii="宋体" w:hAnsi="宋体" w:cs="宋体" w:eastAsia="宋体" w:hint="default"/>
                <w:sz w:val="21"/>
                <w:szCs w:val="21"/>
              </w:rPr>
            </w:pPr>
            <w:r>
              <w:rPr>
                <w:rFonts w:ascii="宋体" w:hAnsi="宋体" w:cs="宋体" w:eastAsia="宋体" w:hint="default"/>
                <w:spacing w:val="-17"/>
                <w:sz w:val="21"/>
                <w:szCs w:val="21"/>
              </w:rPr>
              <w:t>七、42</w:t>
            </w:r>
            <w:r>
              <w:rPr>
                <w:rFonts w:ascii="宋体" w:hAnsi="宋体" w:cs="宋体" w:eastAsia="宋体" w:hint="default"/>
                <w:sz w:val="21"/>
                <w:szCs w:val="21"/>
              </w:rPr>
            </w: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373,792,423.30</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7,654,028.44</w:t>
            </w:r>
            <w:r>
              <w:rPr>
                <w:rFonts w:ascii="宋体"/>
                <w:sz w:val="21"/>
              </w:rPr>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10,000,000.00</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98"/>
                <w:sz w:val="21"/>
                <w:szCs w:val="21"/>
              </w:rPr>
              <w:t>、</w:t>
            </w:r>
            <w:r>
              <w:rPr>
                <w:rFonts w:ascii="宋体" w:hAnsi="宋体" w:cs="宋体" w:eastAsia="宋体" w:hint="default"/>
                <w:sz w:val="21"/>
                <w:szCs w:val="21"/>
              </w:rPr>
              <w:t>利润或偿付利息支付的现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82,333.34</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7"/>
                <w:sz w:val="21"/>
                <w:szCs w:val="21"/>
              </w:rPr>
              <w:t>其中：子公司支付给少数股东的股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hAnsi="宋体" w:cs="宋体" w:eastAsia="宋体" w:hint="default"/>
                <w:spacing w:val="-16"/>
                <w:w w:val="95"/>
                <w:sz w:val="21"/>
                <w:szCs w:val="21"/>
              </w:rPr>
              <w:t>七、42</w:t>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23,881,080.82</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33,963,414.16</w:t>
            </w:r>
          </w:p>
        </w:tc>
        <w:tc>
          <w:tcPr>
            <w:tcW w:w="222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339,829,009.14</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7,654,028.44</w:t>
            </w:r>
            <w:r>
              <w:rPr>
                <w:rFonts w:ascii="宋体"/>
                <w:sz w:val="21"/>
              </w:rPr>
            </w: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pacing w:val="7"/>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-44,934.01</w:t>
            </w:r>
          </w:p>
        </w:tc>
      </w:tr>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417,398,370.47</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38,152,919.07</w:t>
            </w:r>
          </w:p>
        </w:tc>
      </w:tr>
    </w:tbl>
    <w:p>
      <w:pPr>
        <w:spacing w:after="0" w:line="274" w:lineRule="exact"/>
        <w:jc w:val="right"/>
        <w:rPr>
          <w:rFonts w:ascii="宋体" w:hAnsi="宋体" w:cs="宋体" w:eastAsia="宋体" w:hint="default"/>
          <w:sz w:val="21"/>
          <w:szCs w:val="21"/>
        </w:rPr>
        <w:sectPr>
          <w:pgSz w:w="11910" w:h="16840"/>
          <w:pgMar w:header="882" w:footer="977" w:top="110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689"/>
        <w:gridCol w:w="994"/>
        <w:gridCol w:w="2239"/>
        <w:gridCol w:w="2224"/>
      </w:tblGrid>
      <w:tr>
        <w:trPr>
          <w:trHeight w:val="355"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159,179,522.54</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121,026,603.47</w:t>
            </w:r>
            <w:r>
              <w:rPr>
                <w:rFonts w:ascii="宋体"/>
                <w:sz w:val="21"/>
              </w:rPr>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576,577,893.01</w:t>
            </w:r>
            <w:r>
              <w:rPr>
                <w:rFonts w:ascii="宋体"/>
                <w:sz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159,179,522.54</w:t>
            </w:r>
            <w:r>
              <w:rPr>
                <w:rFonts w:ascii="宋体"/>
                <w:sz w:val="21"/>
              </w:rPr>
            </w:r>
          </w:p>
        </w:tc>
      </w:tr>
    </w:tbl>
    <w:p>
      <w:pPr>
        <w:spacing w:line="240" w:lineRule="auto" w:before="6"/>
        <w:rPr>
          <w:rFonts w:ascii="Times New Roman" w:hAnsi="Times New Roman" w:cs="Times New Roman" w:eastAsia="Times New Roman" w:hint="default"/>
          <w:sz w:val="17"/>
          <w:szCs w:val="17"/>
        </w:rPr>
      </w:pPr>
    </w:p>
    <w:p>
      <w:pPr>
        <w:pStyle w:val="BodyText"/>
        <w:tabs>
          <w:tab w:pos="2846" w:val="left" w:leader="none"/>
          <w:tab w:pos="6311" w:val="left" w:leader="none"/>
        </w:tabs>
        <w:spacing w:line="240" w:lineRule="auto" w:before="35"/>
        <w:ind w:left="221" w:right="84"/>
        <w:jc w:val="left"/>
      </w:pPr>
      <w:r>
        <w:rPr/>
        <w:t>法定代表人：吴志雄</w:t>
        <w:tab/>
      </w:r>
      <w:r>
        <w:rPr>
          <w:spacing w:val="-1"/>
        </w:rPr>
        <w:t>主管会计工作负责人：郑金聪</w:t>
        <w:tab/>
        <w:t>会计机构负责人：郑金聪</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7" w:top="1100" w:bottom="1160" w:left="1480" w:right="1040"/>
        </w:sectPr>
      </w:pPr>
    </w:p>
    <w:p>
      <w:pPr>
        <w:spacing w:line="272" w:lineRule="exact" w:before="63"/>
        <w:ind w:left="3924"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27" w:val="left" w:leader="none"/>
        </w:tabs>
        <w:spacing w:line="240" w:lineRule="auto" w:before="0"/>
        <w:ind w:left="1481" w:right="0"/>
        <w:jc w:val="left"/>
      </w:pPr>
      <w:r>
        <w:rPr/>
        <w:t>单位:元</w:t>
        <w:tab/>
        <w:t>币种:人民币</w:t>
      </w:r>
    </w:p>
    <w:p>
      <w:pPr>
        <w:spacing w:after="0" w:line="240" w:lineRule="auto"/>
        <w:jc w:val="left"/>
        <w:sectPr>
          <w:type w:val="continuous"/>
          <w:pgSz w:w="11910" w:h="16840"/>
          <w:pgMar w:top="1120" w:bottom="1160" w:left="1480" w:right="1040"/>
          <w:cols w:num="2" w:equalWidth="0">
            <w:col w:w="5531" w:space="40"/>
            <w:col w:w="381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89"/>
        <w:gridCol w:w="1007"/>
        <w:gridCol w:w="2231"/>
        <w:gridCol w:w="2219"/>
      </w:tblGrid>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384,648,402.56</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336,824,726.06</w:t>
            </w:r>
            <w:r>
              <w:rPr>
                <w:rFonts w:ascii="宋体"/>
                <w:sz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9,502,603.16</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6,167,448.67</w:t>
            </w:r>
            <w:r>
              <w:rPr>
                <w:rFonts w:ascii="宋体"/>
                <w:sz w:val="21"/>
              </w:rPr>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80,238,954.61</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119,338,456.75</w:t>
            </w:r>
            <w:r>
              <w:rPr>
                <w:rFonts w:ascii="宋体"/>
                <w:sz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474,389,960.33</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462,330,631.48</w:t>
            </w:r>
            <w:r>
              <w:rPr>
                <w:rFonts w:ascii="宋体"/>
                <w:sz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208,305,337.44</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180,644,804.68</w:t>
            </w:r>
            <w:r>
              <w:rPr>
                <w:rFonts w:ascii="宋体"/>
                <w:sz w:val="21"/>
              </w:rPr>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31,236,710.05</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25,565,993.17</w:t>
            </w:r>
            <w:r>
              <w:rPr>
                <w:rFonts w:ascii="宋体"/>
                <w:sz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40,691,840.92</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31,136,806.05</w:t>
            </w:r>
            <w:r>
              <w:rPr>
                <w:rFonts w:ascii="宋体"/>
                <w:sz w:val="21"/>
              </w:rPr>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105,143,733.84</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92,840,948.91</w:t>
            </w:r>
            <w:r>
              <w:rPr>
                <w:rFonts w:ascii="宋体"/>
                <w:sz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385,377,622.25</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330,188,552.81</w:t>
            </w:r>
            <w:r>
              <w:rPr>
                <w:rFonts w:ascii="宋体"/>
                <w:sz w:val="21"/>
              </w:rPr>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89,012,338.08</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132,142,078.67</w:t>
            </w:r>
            <w:r>
              <w:rPr>
                <w:rFonts w:ascii="宋体"/>
                <w:sz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46,004,794.52</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4,954,454.53</w:t>
            </w:r>
            <w:r>
              <w:rPr>
                <w:rFonts w:ascii="宋体"/>
                <w:sz w:val="21"/>
              </w:rPr>
            </w:r>
          </w:p>
        </w:tc>
      </w:tr>
      <w:tr>
        <w:trPr>
          <w:trHeight w:val="29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8"/>
                <w:sz w:val="21"/>
                <w:szCs w:val="21"/>
              </w:rPr>
              <w:t>、</w:t>
            </w:r>
            <w:r>
              <w:rPr>
                <w:rFonts w:ascii="宋体" w:hAnsi="宋体" w:cs="宋体" w:eastAsia="宋体" w:hint="default"/>
                <w:sz w:val="21"/>
                <w:szCs w:val="21"/>
              </w:rPr>
              <w:t>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103,982.28</w:t>
            </w: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46,108,776.80</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4,954,454.53</w:t>
            </w:r>
            <w:r>
              <w:rPr>
                <w:rFonts w:ascii="宋体"/>
                <w:sz w:val="21"/>
              </w:rPr>
            </w: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98"/>
                <w:sz w:val="21"/>
                <w:szCs w:val="21"/>
              </w:rPr>
              <w:t>、</w:t>
            </w:r>
            <w:r>
              <w:rPr>
                <w:rFonts w:ascii="宋体" w:hAnsi="宋体" w:cs="宋体" w:eastAsia="宋体" w:hint="default"/>
                <w:sz w:val="21"/>
                <w:szCs w:val="21"/>
              </w:rPr>
              <w:t>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52,198,508.99</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42,689,922.03</w:t>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29,625,000.00</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25,200,000.00</w:t>
            </w:r>
            <w:r>
              <w:rPr>
                <w:rFonts w:ascii="宋体"/>
                <w:sz w:val="21"/>
              </w:rPr>
            </w:r>
          </w:p>
        </w:tc>
      </w:tr>
      <w:tr>
        <w:trPr>
          <w:trHeight w:val="560"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81,823,508.99</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67,889,922.03</w:t>
            </w:r>
            <w:r>
              <w:rPr>
                <w:rFonts w:ascii="宋体"/>
                <w:sz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-35,714,732.19</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-62,935,467.50</w:t>
            </w:r>
            <w:r>
              <w:rPr>
                <w:rFonts w:ascii="宋体"/>
                <w:sz w:val="21"/>
              </w:rPr>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356,800,000</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w:t>
            </w: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6,530,333.44</w:t>
            </w:r>
            <w:r>
              <w:rPr>
                <w:rFonts w:ascii="宋体"/>
                <w:sz w:val="21"/>
              </w:rPr>
            </w: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366,800,000.00</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6,530,333.44</w:t>
            </w:r>
            <w:r>
              <w:rPr>
                <w:rFonts w:ascii="宋体"/>
                <w:sz w:val="21"/>
              </w:rPr>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10,000,000.00</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98"/>
                <w:sz w:val="21"/>
                <w:szCs w:val="21"/>
              </w:rPr>
              <w:t>、</w:t>
            </w:r>
            <w:r>
              <w:rPr>
                <w:rFonts w:ascii="宋体" w:hAnsi="宋体" w:cs="宋体" w:eastAsia="宋体" w:hint="default"/>
                <w:sz w:val="21"/>
                <w:szCs w:val="21"/>
              </w:rPr>
              <w:t>利润或偿付利息支付的现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82,333.34</w:t>
            </w: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15,485,658.62</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25,567,991.96</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689"/>
        <w:gridCol w:w="1007"/>
        <w:gridCol w:w="2231"/>
        <w:gridCol w:w="2219"/>
      </w:tblGrid>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341,232,008.04</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6,530,333.44</w:t>
            </w:r>
            <w:r>
              <w:rPr>
                <w:rFonts w:ascii="宋体"/>
                <w:sz w:val="21"/>
              </w:rPr>
            </w:r>
          </w:p>
        </w:tc>
      </w:tr>
      <w:tr>
        <w:trPr>
          <w:trHeight w:val="560"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394,529,613.93</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75,736,944.61</w:t>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152,164,268.09</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76,427,323.48</w:t>
            </w:r>
            <w:r>
              <w:rPr>
                <w:rFonts w:ascii="宋体"/>
                <w:sz w:val="21"/>
              </w:rPr>
            </w:r>
          </w:p>
        </w:tc>
      </w:tr>
      <w:tr>
        <w:trPr>
          <w:trHeight w:val="28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07"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546,693,882.02</w:t>
            </w:r>
            <w:r>
              <w:rPr>
                <w:rFonts w:ascii="宋体"/>
                <w:sz w:val="21"/>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152,164,268.09</w:t>
            </w:r>
            <w:r>
              <w:rPr>
                <w:rFonts w:ascii="宋体"/>
                <w:sz w:val="21"/>
              </w:rPr>
            </w:r>
          </w:p>
        </w:tc>
      </w:tr>
    </w:tbl>
    <w:p>
      <w:pPr>
        <w:spacing w:line="240" w:lineRule="auto" w:before="6"/>
        <w:rPr>
          <w:rFonts w:ascii="宋体" w:hAnsi="宋体" w:cs="宋体" w:eastAsia="宋体" w:hint="default"/>
          <w:sz w:val="15"/>
          <w:szCs w:val="15"/>
        </w:rPr>
      </w:pPr>
    </w:p>
    <w:p>
      <w:pPr>
        <w:pStyle w:val="BodyText"/>
        <w:tabs>
          <w:tab w:pos="3162" w:val="left" w:leader="none"/>
          <w:tab w:pos="6521" w:val="left" w:leader="none"/>
        </w:tabs>
        <w:spacing w:line="240" w:lineRule="auto" w:before="35"/>
        <w:ind w:left="221" w:right="84"/>
        <w:jc w:val="left"/>
      </w:pPr>
      <w:r>
        <w:rPr/>
        <w:t>法定代表人：吴志雄</w:t>
        <w:tab/>
      </w:r>
      <w:r>
        <w:rPr>
          <w:spacing w:val="-1"/>
        </w:rPr>
        <w:t>主管会计工作负责人：郑金聪</w:t>
        <w:tab/>
        <w:t>会计机构负责人：郑金聪</w:t>
      </w:r>
    </w:p>
    <w:p>
      <w:pPr>
        <w:spacing w:after="0" w:line="240" w:lineRule="auto"/>
        <w:jc w:val="left"/>
        <w:sectPr>
          <w:pgSz w:w="11910" w:h="16840"/>
          <w:pgMar w:header="882" w:footer="977" w:top="1100" w:bottom="1160" w:left="14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44"/>
          <w:footerReference w:type="default" r:id="rId45"/>
          <w:pgSz w:w="16840" w:h="11910" w:orient="landscape"/>
          <w:pgMar w:header="877" w:footer="973" w:top="1100" w:bottom="1160" w:left="1360" w:right="1300"/>
          <w:pgNumType w:start="66"/>
        </w:sectPr>
      </w:pPr>
    </w:p>
    <w:p>
      <w:pPr>
        <w:spacing w:line="272" w:lineRule="exact" w:before="63"/>
        <w:ind w:left="6328"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2" w:val="left" w:leader="none"/>
        </w:tabs>
        <w:spacing w:line="240" w:lineRule="auto" w:before="0"/>
        <w:ind w:left="3756" w:right="0"/>
        <w:jc w:val="left"/>
      </w:pPr>
      <w:r>
        <w:rPr/>
        <w:t>单位:元</w:t>
        <w:tab/>
        <w:t>币种:人民币</w:t>
      </w:r>
    </w:p>
    <w:p>
      <w:pPr>
        <w:spacing w:after="0" w:line="240" w:lineRule="auto"/>
        <w:jc w:val="left"/>
        <w:sectPr>
          <w:type w:val="continuous"/>
          <w:pgSz w:w="16840" w:h="11910" w:orient="landscape"/>
          <w:pgMar w:top="1120" w:bottom="1160" w:left="1360" w:right="1300"/>
          <w:cols w:num="2" w:equalWidth="0">
            <w:col w:w="8143" w:space="40"/>
            <w:col w:w="59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16"/>
        <w:gridCol w:w="1276"/>
        <w:gridCol w:w="425"/>
        <w:gridCol w:w="425"/>
        <w:gridCol w:w="566"/>
        <w:gridCol w:w="1560"/>
        <w:gridCol w:w="568"/>
        <w:gridCol w:w="566"/>
        <w:gridCol w:w="568"/>
        <w:gridCol w:w="1417"/>
        <w:gridCol w:w="426"/>
        <w:gridCol w:w="1559"/>
        <w:gridCol w:w="1417"/>
        <w:gridCol w:w="1559"/>
      </w:tblGrid>
      <w:tr>
        <w:trPr>
          <w:trHeight w:val="250" w:hRule="exact"/>
        </w:trPr>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3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1" w:hRule="exact"/>
        </w:trPr>
        <w:tc>
          <w:tcPr>
            <w:tcW w:w="1616" w:type="dxa"/>
            <w:vMerge/>
            <w:tcBorders>
              <w:left w:val="single" w:sz="4" w:space="0" w:color="000000"/>
              <w:right w:val="single" w:sz="4" w:space="0" w:color="000000"/>
            </w:tcBorders>
          </w:tcPr>
          <w:p>
            <w:pPr/>
          </w:p>
        </w:tc>
        <w:tc>
          <w:tcPr>
            <w:tcW w:w="935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7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1" w:hRule="exact"/>
        </w:trPr>
        <w:tc>
          <w:tcPr>
            <w:tcW w:w="1616" w:type="dxa"/>
            <w:vMerge/>
            <w:tcBorders>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1" w:right="94"/>
              <w:jc w:val="left"/>
              <w:rPr>
                <w:rFonts w:ascii="宋体" w:hAnsi="宋体" w:cs="宋体" w:eastAsia="宋体" w:hint="default"/>
                <w:sz w:val="18"/>
                <w:szCs w:val="18"/>
              </w:rPr>
            </w:pPr>
            <w:r>
              <w:rPr>
                <w:rFonts w:ascii="宋体" w:hAnsi="宋体" w:cs="宋体" w:eastAsia="宋体" w:hint="default"/>
                <w:sz w:val="18"/>
                <w:szCs w:val="18"/>
              </w:rPr>
              <w:t>减： 库</w:t>
            </w:r>
          </w:p>
          <w:p>
            <w:pPr>
              <w:pStyle w:val="TableParagraph"/>
              <w:spacing w:line="244" w:lineRule="auto" w:before="1"/>
              <w:ind w:left="101" w:right="274"/>
              <w:jc w:val="left"/>
              <w:rPr>
                <w:rFonts w:ascii="宋体" w:hAnsi="宋体" w:cs="宋体" w:eastAsia="宋体" w:hint="default"/>
                <w:sz w:val="18"/>
                <w:szCs w:val="18"/>
              </w:rPr>
            </w:pPr>
            <w:r>
              <w:rPr>
                <w:rFonts w:ascii="宋体" w:hAnsi="宋体" w:cs="宋体" w:eastAsia="宋体" w:hint="default"/>
                <w:sz w:val="18"/>
                <w:szCs w:val="18"/>
              </w:rPr>
              <w:t>存 股</w:t>
            </w:r>
          </w:p>
        </w:tc>
        <w:tc>
          <w:tcPr>
            <w:tcW w:w="56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3" w:right="271"/>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27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6" w:type="dxa"/>
            <w:vMerge w:val="restart"/>
            <w:tcBorders>
              <w:top w:val="single" w:sz="4" w:space="0" w:color="000000"/>
              <w:left w:val="single" w:sz="4" w:space="0" w:color="000000"/>
              <w:right w:val="single" w:sz="4" w:space="0" w:color="000000"/>
            </w:tcBorders>
          </w:tcPr>
          <w:p>
            <w:pPr>
              <w:pStyle w:val="TableParagraph"/>
              <w:spacing w:line="212" w:lineRule="exact"/>
              <w:ind w:left="101"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1" w:right="132"/>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1088" w:hRule="exact"/>
        </w:trPr>
        <w:tc>
          <w:tcPr>
            <w:tcW w:w="161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1" w:right="13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1" w:right="13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103" w:right="271"/>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5"/>
                <w:sz w:val="18"/>
                <w:szCs w:val="18"/>
              </w:rPr>
              <w:t>一、上年期末余额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75,000,000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82,743,402.40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 w:right="0"/>
              <w:jc w:val="center"/>
              <w:rPr>
                <w:rFonts w:ascii="宋体" w:hAnsi="宋体" w:cs="宋体" w:eastAsia="宋体" w:hint="default"/>
                <w:sz w:val="18"/>
                <w:szCs w:val="18"/>
              </w:rPr>
            </w:pPr>
            <w:r>
              <w:rPr>
                <w:rFonts w:ascii="宋体"/>
                <w:sz w:val="18"/>
              </w:rPr>
              <w:t>22,090,954.92</w:t>
            </w: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0" w:right="0"/>
              <w:jc w:val="center"/>
              <w:rPr>
                <w:rFonts w:ascii="宋体" w:hAnsi="宋体" w:cs="宋体" w:eastAsia="宋体" w:hint="default"/>
                <w:sz w:val="18"/>
                <w:szCs w:val="18"/>
              </w:rPr>
            </w:pPr>
            <w:r>
              <w:rPr>
                <w:rFonts w:ascii="宋体"/>
                <w:sz w:val="18"/>
              </w:rPr>
              <w:t>188,173,718.97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4,105,228.84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372,113,305.13</w:t>
            </w:r>
          </w:p>
        </w:tc>
      </w:tr>
      <w:tr>
        <w:trPr>
          <w:trHeight w:val="349"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5"/>
                <w:sz w:val="18"/>
                <w:szCs w:val="18"/>
              </w:rPr>
              <w:t>加：会计政策变更</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同一控</w:t>
            </w:r>
            <w:r>
              <w:rPr>
                <w:rFonts w:ascii="宋体" w:hAnsi="宋体" w:cs="宋体" w:eastAsia="宋体" w:hint="default"/>
                <w:spacing w:val="-66"/>
                <w:sz w:val="18"/>
                <w:szCs w:val="18"/>
              </w:rPr>
              <w:t> </w:t>
            </w:r>
            <w:r>
              <w:rPr>
                <w:rFonts w:ascii="宋体" w:hAnsi="宋体" w:cs="宋体" w:eastAsia="宋体" w:hint="default"/>
                <w:spacing w:val="11"/>
                <w:sz w:val="18"/>
                <w:szCs w:val="18"/>
              </w:rPr>
              <w:t>制下</w:t>
            </w:r>
            <w:r>
              <w:rPr>
                <w:rFonts w:ascii="宋体" w:hAnsi="宋体" w:cs="宋体" w:eastAsia="宋体" w:hint="default"/>
                <w:spacing w:val="-66"/>
                <w:sz w:val="18"/>
                <w:szCs w:val="18"/>
              </w:rPr>
              <w:t> </w:t>
            </w:r>
            <w:r>
              <w:rPr>
                <w:rFonts w:ascii="宋体" w:hAnsi="宋体" w:cs="宋体" w:eastAsia="宋体" w:hint="default"/>
                <w:sz w:val="18"/>
                <w:szCs w:val="18"/>
              </w:rPr>
              <w:t>企</w:t>
            </w:r>
            <w:r>
              <w:rPr>
                <w:rFonts w:ascii="宋体" w:hAnsi="宋体" w:cs="宋体" w:eastAsia="宋体" w:hint="default"/>
                <w:spacing w:val="-66"/>
                <w:sz w:val="18"/>
                <w:szCs w:val="18"/>
              </w:rPr>
              <w:t> </w:t>
            </w:r>
            <w:r>
              <w:rPr>
                <w:rFonts w:ascii="宋体" w:hAnsi="宋体" w:cs="宋体" w:eastAsia="宋体" w:hint="default"/>
                <w:sz w:val="18"/>
                <w:szCs w:val="18"/>
              </w:rPr>
              <w:t>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5"/>
                <w:sz w:val="18"/>
                <w:szCs w:val="18"/>
              </w:rPr>
              <w:t>二、本年期初余额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75,000,000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82,743,402.40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 w:right="0"/>
              <w:jc w:val="center"/>
              <w:rPr>
                <w:rFonts w:ascii="宋体" w:hAnsi="宋体" w:cs="宋体" w:eastAsia="宋体" w:hint="default"/>
                <w:sz w:val="18"/>
                <w:szCs w:val="18"/>
              </w:rPr>
            </w:pPr>
            <w:r>
              <w:rPr>
                <w:rFonts w:ascii="宋体"/>
                <w:sz w:val="18"/>
              </w:rPr>
              <w:t>22,090,954.92</w:t>
            </w: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0" w:right="0"/>
              <w:jc w:val="center"/>
              <w:rPr>
                <w:rFonts w:ascii="宋体" w:hAnsi="宋体" w:cs="宋体" w:eastAsia="宋体" w:hint="default"/>
                <w:sz w:val="18"/>
                <w:szCs w:val="18"/>
              </w:rPr>
            </w:pPr>
            <w:r>
              <w:rPr>
                <w:rFonts w:ascii="宋体"/>
                <w:sz w:val="18"/>
              </w:rPr>
              <w:t>188,173,718.97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4,105,228.84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372,113,305.13</w:t>
            </w: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47"/>
                <w:sz w:val="18"/>
                <w:szCs w:val="18"/>
              </w:rPr>
              <w:t>金额（减</w:t>
            </w:r>
            <w:r>
              <w:rPr>
                <w:rFonts w:ascii="宋体" w:hAnsi="宋体" w:cs="宋体" w:eastAsia="宋体" w:hint="default"/>
                <w:spacing w:val="-26"/>
                <w:sz w:val="18"/>
                <w:szCs w:val="18"/>
              </w:rPr>
              <w:t> </w:t>
            </w:r>
            <w:r>
              <w:rPr>
                <w:rFonts w:ascii="宋体" w:hAnsi="宋体" w:cs="宋体" w:eastAsia="宋体" w:hint="default"/>
                <w:sz w:val="18"/>
                <w:szCs w:val="18"/>
              </w:rPr>
              <w:t>少</w:t>
            </w:r>
            <w:r>
              <w:rPr>
                <w:rFonts w:ascii="宋体" w:hAnsi="宋体" w:cs="宋体" w:eastAsia="宋体" w:hint="default"/>
                <w:spacing w:val="-26"/>
                <w:sz w:val="18"/>
                <w:szCs w:val="18"/>
              </w:rPr>
              <w:t> </w:t>
            </w:r>
            <w:r>
              <w:rPr>
                <w:rFonts w:ascii="宋体" w:hAnsi="宋体" w:cs="宋体" w:eastAsia="宋体" w:hint="default"/>
                <w:sz w:val="18"/>
                <w:szCs w:val="18"/>
              </w:rPr>
              <w:t>以</w:t>
            </w:r>
            <w:r>
              <w:rPr>
                <w:rFonts w:ascii="宋体" w:hAnsi="宋体" w:cs="宋体" w:eastAsia="宋体" w:hint="default"/>
                <w:sz w:val="18"/>
                <w:szCs w:val="18"/>
              </w:rPr>
              <w:t> “－”号填列）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25,000,000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324,080,000.00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center"/>
              <w:rPr>
                <w:rFonts w:ascii="宋体" w:hAnsi="宋体" w:cs="宋体" w:eastAsia="宋体" w:hint="default"/>
                <w:sz w:val="18"/>
                <w:szCs w:val="18"/>
              </w:rPr>
            </w:pPr>
            <w:r>
              <w:rPr>
                <w:rFonts w:ascii="宋体"/>
                <w:sz w:val="18"/>
              </w:rPr>
              <w:t>9,512,354.45</w:t>
            </w: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0" w:right="0"/>
              <w:jc w:val="center"/>
              <w:rPr>
                <w:rFonts w:ascii="宋体" w:hAnsi="宋体" w:cs="宋体" w:eastAsia="宋体" w:hint="default"/>
                <w:sz w:val="18"/>
                <w:szCs w:val="18"/>
              </w:rPr>
            </w:pPr>
            <w:r>
              <w:rPr>
                <w:rFonts w:ascii="宋体"/>
                <w:sz w:val="18"/>
              </w:rPr>
              <w:t>77,374,287.84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6,271,571.14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442,238,213.43</w:t>
            </w: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（一）综合收益总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0"/>
              <w:jc w:val="center"/>
              <w:rPr>
                <w:rFonts w:ascii="宋体" w:hAnsi="宋体" w:cs="宋体" w:eastAsia="宋体" w:hint="default"/>
                <w:sz w:val="18"/>
                <w:szCs w:val="18"/>
              </w:rPr>
            </w:pPr>
            <w:r>
              <w:rPr>
                <w:rFonts w:ascii="宋体"/>
                <w:sz w:val="18"/>
              </w:rPr>
              <w:t>86,886,642.29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-720,852.16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86,165,790.13</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（二）所有者投入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25,000,000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324,080,000.00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6,992,423.30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356,072,423.30</w:t>
            </w: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1．股东投入的普</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25,000,000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324,080,000.00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6,992,423.30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356,072,423.30</w:t>
            </w: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2．其他权益工具</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7"/>
                <w:sz w:val="18"/>
                <w:szCs w:val="18"/>
              </w:rPr>
              <w:t>3．股份支付计入</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360" w:right="1300"/>
        </w:sectPr>
      </w:pPr>
    </w:p>
    <w:p>
      <w:pPr>
        <w:spacing w:line="240" w:lineRule="auto" w:before="7"/>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1616"/>
        <w:gridCol w:w="1276"/>
        <w:gridCol w:w="425"/>
        <w:gridCol w:w="425"/>
        <w:gridCol w:w="566"/>
        <w:gridCol w:w="1560"/>
        <w:gridCol w:w="568"/>
        <w:gridCol w:w="566"/>
        <w:gridCol w:w="568"/>
        <w:gridCol w:w="1417"/>
        <w:gridCol w:w="426"/>
        <w:gridCol w:w="1559"/>
        <w:gridCol w:w="1417"/>
        <w:gridCol w:w="1559"/>
      </w:tblGrid>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所有者</w:t>
            </w:r>
            <w:r>
              <w:rPr>
                <w:rFonts w:ascii="宋体" w:hAnsi="宋体" w:cs="宋体" w:eastAsia="宋体" w:hint="default"/>
                <w:spacing w:val="-66"/>
                <w:sz w:val="18"/>
                <w:szCs w:val="18"/>
              </w:rPr>
              <w:t> </w:t>
            </w:r>
            <w:r>
              <w:rPr>
                <w:rFonts w:ascii="宋体" w:hAnsi="宋体" w:cs="宋体" w:eastAsia="宋体" w:hint="default"/>
                <w:spacing w:val="11"/>
                <w:sz w:val="18"/>
                <w:szCs w:val="18"/>
              </w:rPr>
              <w:t>权益</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21" w:right="0"/>
              <w:jc w:val="center"/>
              <w:rPr>
                <w:rFonts w:ascii="宋体" w:hAnsi="宋体" w:cs="宋体" w:eastAsia="宋体" w:hint="default"/>
                <w:sz w:val="18"/>
                <w:szCs w:val="18"/>
              </w:rPr>
            </w:pPr>
            <w:r>
              <w:rPr>
                <w:rFonts w:ascii="宋体"/>
                <w:sz w:val="18"/>
              </w:rPr>
              <w:t>9,512,354.45</w:t>
            </w: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0" w:right="0"/>
              <w:jc w:val="center"/>
              <w:rPr>
                <w:rFonts w:ascii="宋体" w:hAnsi="宋体" w:cs="宋体" w:eastAsia="宋体" w:hint="default"/>
                <w:sz w:val="18"/>
                <w:szCs w:val="18"/>
              </w:rPr>
            </w:pPr>
            <w:r>
              <w:rPr>
                <w:rFonts w:ascii="宋体"/>
                <w:sz w:val="18"/>
              </w:rPr>
              <w:t>-9,512,354.45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21" w:right="0"/>
              <w:jc w:val="center"/>
              <w:rPr>
                <w:rFonts w:ascii="宋体" w:hAnsi="宋体" w:cs="宋体" w:eastAsia="宋体" w:hint="default"/>
                <w:sz w:val="18"/>
                <w:szCs w:val="18"/>
              </w:rPr>
            </w:pPr>
            <w:r>
              <w:rPr>
                <w:rFonts w:ascii="宋体"/>
                <w:sz w:val="18"/>
              </w:rPr>
              <w:t>9,512,354.45</w:t>
            </w: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0" w:right="0"/>
              <w:jc w:val="center"/>
              <w:rPr>
                <w:rFonts w:ascii="宋体" w:hAnsi="宋体" w:cs="宋体" w:eastAsia="宋体" w:hint="default"/>
                <w:sz w:val="18"/>
                <w:szCs w:val="18"/>
              </w:rPr>
            </w:pPr>
            <w:r>
              <w:rPr>
                <w:rFonts w:ascii="宋体"/>
                <w:sz w:val="18"/>
              </w:rPr>
              <w:t>-9,512,354.45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2．提取一般风险</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3．对所有者（或</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1．资本公积转增</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2．盈余公积转增</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3．盈余公积弥补</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5"/>
                <w:sz w:val="18"/>
                <w:szCs w:val="18"/>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1" w:right="0"/>
              <w:jc w:val="left"/>
              <w:rPr>
                <w:rFonts w:ascii="宋体" w:hAnsi="宋体" w:cs="宋体" w:eastAsia="宋体" w:hint="default"/>
                <w:sz w:val="18"/>
                <w:szCs w:val="18"/>
              </w:rPr>
            </w:pPr>
            <w:r>
              <w:rPr>
                <w:rFonts w:ascii="宋体"/>
                <w:sz w:val="18"/>
              </w:rPr>
              <w:t>100,000,000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5" w:right="0"/>
              <w:jc w:val="left"/>
              <w:rPr>
                <w:rFonts w:ascii="宋体" w:hAnsi="宋体" w:cs="宋体" w:eastAsia="宋体" w:hint="default"/>
                <w:sz w:val="18"/>
                <w:szCs w:val="18"/>
              </w:rPr>
            </w:pPr>
            <w:r>
              <w:rPr>
                <w:rFonts w:ascii="宋体"/>
                <w:sz w:val="18"/>
              </w:rPr>
              <w:t>406,823,402.40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 w:right="0"/>
              <w:jc w:val="center"/>
              <w:rPr>
                <w:rFonts w:ascii="宋体" w:hAnsi="宋体" w:cs="宋体" w:eastAsia="宋体" w:hint="default"/>
                <w:sz w:val="18"/>
                <w:szCs w:val="18"/>
              </w:rPr>
            </w:pPr>
            <w:r>
              <w:rPr>
                <w:rFonts w:ascii="宋体"/>
                <w:sz w:val="18"/>
              </w:rPr>
              <w:t>31,603,309.37</w:t>
            </w:r>
          </w:p>
        </w:tc>
        <w:tc>
          <w:tcPr>
            <w:tcW w:w="42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0" w:right="0"/>
              <w:jc w:val="center"/>
              <w:rPr>
                <w:rFonts w:ascii="宋体" w:hAnsi="宋体" w:cs="宋体" w:eastAsia="宋体" w:hint="default"/>
                <w:sz w:val="18"/>
                <w:szCs w:val="18"/>
              </w:rPr>
            </w:pPr>
            <w:r>
              <w:rPr>
                <w:rFonts w:ascii="宋体"/>
                <w:sz w:val="18"/>
              </w:rPr>
              <w:t>265,548,006.81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4" w:right="0"/>
              <w:jc w:val="left"/>
              <w:rPr>
                <w:rFonts w:ascii="宋体" w:hAnsi="宋体" w:cs="宋体" w:eastAsia="宋体" w:hint="default"/>
                <w:sz w:val="18"/>
                <w:szCs w:val="18"/>
              </w:rPr>
            </w:pPr>
            <w:r>
              <w:rPr>
                <w:rFonts w:ascii="宋体"/>
                <w:sz w:val="18"/>
              </w:rPr>
              <w:t>10,376,799.98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6" w:right="0"/>
              <w:jc w:val="left"/>
              <w:rPr>
                <w:rFonts w:ascii="宋体" w:hAnsi="宋体" w:cs="宋体" w:eastAsia="宋体" w:hint="default"/>
                <w:sz w:val="18"/>
                <w:szCs w:val="18"/>
              </w:rPr>
            </w:pPr>
            <w:r>
              <w:rPr>
                <w:rFonts w:ascii="宋体"/>
                <w:sz w:val="18"/>
              </w:rPr>
              <w:t>814,351,518.56</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630"/>
        <w:gridCol w:w="1134"/>
        <w:gridCol w:w="1559"/>
        <w:gridCol w:w="1418"/>
        <w:gridCol w:w="566"/>
        <w:gridCol w:w="568"/>
        <w:gridCol w:w="425"/>
        <w:gridCol w:w="1417"/>
        <w:gridCol w:w="566"/>
        <w:gridCol w:w="1560"/>
        <w:gridCol w:w="1417"/>
        <w:gridCol w:w="1559"/>
      </w:tblGrid>
      <w:tr>
        <w:trPr>
          <w:trHeight w:val="250" w:hRule="exact"/>
        </w:trPr>
        <w:tc>
          <w:tcPr>
            <w:tcW w:w="1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630" w:type="dxa"/>
            <w:vMerge/>
            <w:tcBorders>
              <w:left w:val="single" w:sz="4" w:space="0" w:color="000000"/>
              <w:right w:val="single" w:sz="4" w:space="0" w:color="000000"/>
            </w:tcBorders>
          </w:tcPr>
          <w:p>
            <w:pPr/>
          </w:p>
        </w:tc>
        <w:tc>
          <w:tcPr>
            <w:tcW w:w="921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163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7" w:footer="973" w:top="1100" w:bottom="1160" w:left="1340" w:right="1300"/>
        </w:sectPr>
      </w:pPr>
    </w:p>
    <w:p>
      <w:pPr>
        <w:spacing w:line="240" w:lineRule="auto" w:before="7"/>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630"/>
        <w:gridCol w:w="1134"/>
        <w:gridCol w:w="568"/>
        <w:gridCol w:w="425"/>
        <w:gridCol w:w="566"/>
        <w:gridCol w:w="1418"/>
        <w:gridCol w:w="566"/>
        <w:gridCol w:w="568"/>
        <w:gridCol w:w="425"/>
        <w:gridCol w:w="1417"/>
        <w:gridCol w:w="566"/>
        <w:gridCol w:w="1560"/>
        <w:gridCol w:w="1417"/>
        <w:gridCol w:w="1559"/>
      </w:tblGrid>
      <w:tr>
        <w:trPr>
          <w:trHeight w:val="1211" w:hRule="exact"/>
        </w:trPr>
        <w:tc>
          <w:tcPr>
            <w:tcW w:w="16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37" w:lineRule="auto"/>
              <w:ind w:left="188"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37" w:lineRule="auto"/>
              <w:ind w:left="116"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库</w:t>
            </w:r>
          </w:p>
          <w:p>
            <w:pPr>
              <w:pStyle w:val="TableParagraph"/>
              <w:spacing w:line="244" w:lineRule="auto" w:before="4"/>
              <w:ind w:left="188" w:right="186"/>
              <w:jc w:val="center"/>
              <w:rPr>
                <w:rFonts w:ascii="宋体" w:hAnsi="宋体" w:cs="宋体" w:eastAsia="宋体" w:hint="default"/>
                <w:sz w:val="18"/>
                <w:szCs w:val="18"/>
              </w:rPr>
            </w:pPr>
            <w:r>
              <w:rPr>
                <w:rFonts w:ascii="宋体" w:hAnsi="宋体" w:cs="宋体" w:eastAsia="宋体" w:hint="default"/>
                <w:sz w:val="18"/>
                <w:szCs w:val="18"/>
              </w:rPr>
              <w:t>存 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他</w:t>
            </w:r>
          </w:p>
          <w:p>
            <w:pPr>
              <w:pStyle w:val="TableParagraph"/>
              <w:spacing w:line="244" w:lineRule="auto" w:before="4"/>
              <w:ind w:left="188" w:right="187"/>
              <w:jc w:val="both"/>
              <w:rPr>
                <w:rFonts w:ascii="宋体" w:hAnsi="宋体" w:cs="宋体" w:eastAsia="宋体" w:hint="default"/>
                <w:sz w:val="18"/>
                <w:szCs w:val="18"/>
              </w:rPr>
            </w:pPr>
            <w:r>
              <w:rPr>
                <w:rFonts w:ascii="宋体" w:hAnsi="宋体" w:cs="宋体" w:eastAsia="宋体" w:hint="default"/>
                <w:sz w:val="18"/>
                <w:szCs w:val="18"/>
              </w:rPr>
              <w:t>综 合 收 益</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17" w:right="0"/>
              <w:jc w:val="left"/>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244" w:lineRule="auto" w:before="4"/>
              <w:ind w:left="117" w:right="115"/>
              <w:jc w:val="left"/>
              <w:rPr>
                <w:rFonts w:ascii="宋体" w:hAnsi="宋体" w:cs="宋体" w:eastAsia="宋体" w:hint="default"/>
                <w:sz w:val="18"/>
                <w:szCs w:val="18"/>
              </w:rPr>
            </w:pPr>
            <w:r>
              <w:rPr>
                <w:rFonts w:ascii="宋体" w:hAnsi="宋体" w:cs="宋体" w:eastAsia="宋体" w:hint="default"/>
                <w:sz w:val="18"/>
                <w:szCs w:val="18"/>
              </w:rPr>
              <w:t>储 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般</w:t>
            </w:r>
          </w:p>
          <w:p>
            <w:pPr>
              <w:pStyle w:val="TableParagraph"/>
              <w:spacing w:line="244" w:lineRule="auto" w:before="4"/>
              <w:ind w:left="188" w:right="186"/>
              <w:jc w:val="both"/>
              <w:rPr>
                <w:rFonts w:ascii="宋体" w:hAnsi="宋体" w:cs="宋体" w:eastAsia="宋体" w:hint="default"/>
                <w:sz w:val="18"/>
                <w:szCs w:val="18"/>
              </w:rPr>
            </w:pPr>
            <w:r>
              <w:rPr>
                <w:rFonts w:ascii="宋体" w:hAnsi="宋体" w:cs="宋体" w:eastAsia="宋体" w:hint="default"/>
                <w:sz w:val="18"/>
                <w:szCs w:val="18"/>
              </w:rPr>
              <w:t>风 险 准 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一、上年期末余额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sz w:val="18"/>
              </w:rPr>
              <w:t>75,000,000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82,743,402.40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13,542,931.21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117,227,112.17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4,641,422.45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293,154,868.23</w:t>
            </w:r>
          </w:p>
        </w:tc>
      </w:tr>
      <w:tr>
        <w:trPr>
          <w:trHeight w:val="24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加：会计政策变更</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6"/>
                <w:sz w:val="18"/>
                <w:szCs w:val="18"/>
              </w:rPr>
              <w:t>同一控</w:t>
            </w:r>
            <w:r>
              <w:rPr>
                <w:rFonts w:ascii="宋体" w:hAnsi="宋体" w:cs="宋体" w:eastAsia="宋体" w:hint="default"/>
                <w:spacing w:val="-62"/>
                <w:sz w:val="18"/>
                <w:szCs w:val="18"/>
              </w:rPr>
              <w:t> </w:t>
            </w:r>
            <w:r>
              <w:rPr>
                <w:rFonts w:ascii="宋体" w:hAnsi="宋体" w:cs="宋体" w:eastAsia="宋体" w:hint="default"/>
                <w:spacing w:val="12"/>
                <w:sz w:val="18"/>
                <w:szCs w:val="18"/>
              </w:rPr>
              <w:t>制下</w:t>
            </w:r>
            <w:r>
              <w:rPr>
                <w:rFonts w:ascii="宋体" w:hAnsi="宋体" w:cs="宋体" w:eastAsia="宋体" w:hint="default"/>
                <w:spacing w:val="-62"/>
                <w:sz w:val="18"/>
                <w:szCs w:val="18"/>
              </w:rPr>
              <w:t> </w:t>
            </w:r>
            <w:r>
              <w:rPr>
                <w:rFonts w:ascii="宋体" w:hAnsi="宋体" w:cs="宋体" w:eastAsia="宋体" w:hint="default"/>
                <w:spacing w:val="12"/>
                <w:sz w:val="18"/>
                <w:szCs w:val="18"/>
              </w:rPr>
              <w:t>企业</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二、本年期初余额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sz w:val="18"/>
              </w:rPr>
              <w:t>75,000,000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82,743,402.40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13,542,931.21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117,227,112.17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4,641,422.45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293,154,868.23</w:t>
            </w: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w:t>
            </w:r>
          </w:p>
          <w:p>
            <w:pPr>
              <w:pStyle w:val="TableParagraph"/>
              <w:spacing w:line="240" w:lineRule="auto"/>
              <w:ind w:left="101" w:right="34"/>
              <w:jc w:val="left"/>
              <w:rPr>
                <w:rFonts w:ascii="宋体" w:hAnsi="宋体" w:cs="宋体" w:eastAsia="宋体" w:hint="default"/>
                <w:sz w:val="18"/>
                <w:szCs w:val="18"/>
              </w:rPr>
            </w:pPr>
            <w:r>
              <w:rPr>
                <w:rFonts w:ascii="宋体" w:hAnsi="宋体" w:cs="宋体" w:eastAsia="宋体" w:hint="default"/>
                <w:spacing w:val="50"/>
                <w:sz w:val="18"/>
                <w:szCs w:val="18"/>
              </w:rPr>
              <w:t>金额（减</w:t>
            </w:r>
            <w:r>
              <w:rPr>
                <w:rFonts w:ascii="宋体" w:hAnsi="宋体" w:cs="宋体" w:eastAsia="宋体" w:hint="default"/>
                <w:spacing w:val="-24"/>
                <w:sz w:val="18"/>
                <w:szCs w:val="18"/>
              </w:rPr>
              <w:t> </w:t>
            </w:r>
            <w:r>
              <w:rPr>
                <w:rFonts w:ascii="宋体" w:hAnsi="宋体" w:cs="宋体" w:eastAsia="宋体" w:hint="default"/>
                <w:spacing w:val="33"/>
                <w:sz w:val="18"/>
                <w:szCs w:val="18"/>
              </w:rPr>
              <w:t>少以</w:t>
            </w:r>
            <w:r>
              <w:rPr>
                <w:rFonts w:ascii="宋体" w:hAnsi="宋体" w:cs="宋体" w:eastAsia="宋体" w:hint="default"/>
                <w:spacing w:val="-23"/>
                <w:sz w:val="18"/>
                <w:szCs w:val="18"/>
              </w:rPr>
              <w:t> </w:t>
            </w:r>
            <w:r>
              <w:rPr>
                <w:rFonts w:ascii="宋体" w:hAnsi="宋体" w:cs="宋体" w:eastAsia="宋体" w:hint="default"/>
                <w:sz w:val="18"/>
                <w:szCs w:val="18"/>
              </w:rPr>
              <w:t>“－”号填列）</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8,548,023.71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70,946,606.80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-536,193.61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78,958,436.90</w:t>
            </w: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（一）综合收益总</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79,494,630.51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-536,193.61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78,958,436.90</w:t>
            </w:r>
          </w:p>
        </w:tc>
      </w:tr>
      <w:tr>
        <w:trPr>
          <w:trHeight w:val="47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（二）所有者投入</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1．股东投入的普</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2．其他权益工具</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3．股份支付计入</w:t>
            </w:r>
            <w:r>
              <w:rPr>
                <w:rFonts w:ascii="宋体" w:hAnsi="宋体" w:cs="宋体" w:eastAsia="宋体" w:hint="default"/>
                <w:sz w:val="18"/>
                <w:szCs w:val="18"/>
              </w:rPr>
            </w:r>
          </w:p>
          <w:p>
            <w:pPr>
              <w:pStyle w:val="TableParagraph"/>
              <w:spacing w:line="232" w:lineRule="exact" w:before="24"/>
              <w:ind w:left="101" w:right="77"/>
              <w:jc w:val="left"/>
              <w:rPr>
                <w:rFonts w:ascii="宋体" w:hAnsi="宋体" w:cs="宋体" w:eastAsia="宋体" w:hint="default"/>
                <w:sz w:val="18"/>
                <w:szCs w:val="18"/>
              </w:rPr>
            </w:pPr>
            <w:r>
              <w:rPr>
                <w:rFonts w:ascii="宋体" w:hAnsi="宋体" w:cs="宋体" w:eastAsia="宋体" w:hint="default"/>
                <w:spacing w:val="16"/>
                <w:sz w:val="18"/>
                <w:szCs w:val="18"/>
              </w:rPr>
              <w:t>所有者</w:t>
            </w:r>
            <w:r>
              <w:rPr>
                <w:rFonts w:ascii="宋体" w:hAnsi="宋体" w:cs="宋体" w:eastAsia="宋体" w:hint="default"/>
                <w:spacing w:val="-63"/>
                <w:sz w:val="18"/>
                <w:szCs w:val="18"/>
              </w:rPr>
              <w:t> </w:t>
            </w:r>
            <w:r>
              <w:rPr>
                <w:rFonts w:ascii="宋体" w:hAnsi="宋体" w:cs="宋体" w:eastAsia="宋体" w:hint="default"/>
                <w:spacing w:val="12"/>
                <w:sz w:val="18"/>
                <w:szCs w:val="18"/>
              </w:rPr>
              <w:t>权益</w:t>
            </w:r>
            <w:r>
              <w:rPr>
                <w:rFonts w:ascii="宋体" w:hAnsi="宋体" w:cs="宋体" w:eastAsia="宋体" w:hint="default"/>
                <w:spacing w:val="-63"/>
                <w:sz w:val="18"/>
                <w:szCs w:val="18"/>
              </w:rPr>
              <w:t> </w:t>
            </w:r>
            <w:r>
              <w:rPr>
                <w:rFonts w:ascii="宋体" w:hAnsi="宋体" w:cs="宋体" w:eastAsia="宋体" w:hint="default"/>
                <w:spacing w:val="12"/>
                <w:sz w:val="18"/>
                <w:szCs w:val="18"/>
              </w:rPr>
              <w:t>的金</w:t>
            </w:r>
            <w:r>
              <w:rPr>
                <w:rFonts w:ascii="宋体" w:hAnsi="宋体" w:cs="宋体" w:eastAsia="宋体" w:hint="default"/>
                <w:spacing w:val="-65"/>
                <w:sz w:val="18"/>
                <w:szCs w:val="18"/>
              </w:rPr>
              <w:t> </w:t>
            </w:r>
            <w:r>
              <w:rPr>
                <w:rFonts w:ascii="宋体" w:hAnsi="宋体" w:cs="宋体" w:eastAsia="宋体" w:hint="default"/>
                <w:sz w:val="18"/>
                <w:szCs w:val="18"/>
              </w:rPr>
              <w:t>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8,548,023.71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-8,548,023.71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8,548,023.71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-8,548,023.71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2．提取一般风险</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3．对所有者（或</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（四）所有者权益</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1．资本公积转增</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73" w:top="1100" w:bottom="1160" w:left="1340" w:right="1320"/>
        </w:sectPr>
      </w:pPr>
    </w:p>
    <w:p>
      <w:pPr>
        <w:spacing w:line="240" w:lineRule="auto" w:before="7"/>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630"/>
        <w:gridCol w:w="1134"/>
        <w:gridCol w:w="568"/>
        <w:gridCol w:w="425"/>
        <w:gridCol w:w="566"/>
        <w:gridCol w:w="1418"/>
        <w:gridCol w:w="566"/>
        <w:gridCol w:w="568"/>
        <w:gridCol w:w="425"/>
        <w:gridCol w:w="1417"/>
        <w:gridCol w:w="566"/>
        <w:gridCol w:w="1560"/>
        <w:gridCol w:w="1417"/>
        <w:gridCol w:w="1559"/>
      </w:tblGrid>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2．盈余公积转增</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3．盈余公积弥补</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四、本期期末余额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sz w:val="18"/>
              </w:rPr>
              <w:t>75,000,000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5" w:right="0"/>
              <w:jc w:val="left"/>
              <w:rPr>
                <w:rFonts w:ascii="宋体" w:hAnsi="宋体" w:cs="宋体" w:eastAsia="宋体" w:hint="default"/>
                <w:sz w:val="18"/>
                <w:szCs w:val="18"/>
              </w:rPr>
            </w:pPr>
            <w:r>
              <w:rPr>
                <w:rFonts w:ascii="宋体"/>
                <w:sz w:val="18"/>
              </w:rPr>
              <w:t>82,743,402.40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4" w:right="0"/>
              <w:jc w:val="left"/>
              <w:rPr>
                <w:rFonts w:ascii="宋体" w:hAnsi="宋体" w:cs="宋体" w:eastAsia="宋体" w:hint="default"/>
                <w:sz w:val="18"/>
                <w:szCs w:val="18"/>
              </w:rPr>
            </w:pPr>
            <w:r>
              <w:rPr>
                <w:rFonts w:ascii="宋体"/>
                <w:sz w:val="18"/>
              </w:rPr>
              <w:t>22,090,954.92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188,173,718.97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4" w:right="0"/>
              <w:jc w:val="left"/>
              <w:rPr>
                <w:rFonts w:ascii="宋体" w:hAnsi="宋体" w:cs="宋体" w:eastAsia="宋体" w:hint="default"/>
                <w:sz w:val="18"/>
                <w:szCs w:val="18"/>
              </w:rPr>
            </w:pPr>
            <w:r>
              <w:rPr>
                <w:rFonts w:ascii="宋体"/>
                <w:sz w:val="18"/>
              </w:rPr>
              <w:t>4,105,228.84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5" w:right="0"/>
              <w:jc w:val="left"/>
              <w:rPr>
                <w:rFonts w:ascii="宋体" w:hAnsi="宋体" w:cs="宋体" w:eastAsia="宋体" w:hint="default"/>
                <w:sz w:val="18"/>
                <w:szCs w:val="18"/>
              </w:rPr>
            </w:pPr>
            <w:r>
              <w:rPr>
                <w:rFonts w:ascii="宋体"/>
                <w:sz w:val="18"/>
              </w:rPr>
              <w:t>372,113,305.13</w:t>
            </w:r>
          </w:p>
        </w:tc>
      </w:tr>
    </w:tbl>
    <w:p>
      <w:pPr>
        <w:spacing w:line="240" w:lineRule="auto" w:before="5"/>
        <w:rPr>
          <w:rFonts w:ascii="Times New Roman" w:hAnsi="Times New Roman" w:cs="Times New Roman" w:eastAsia="Times New Roman" w:hint="default"/>
          <w:sz w:val="17"/>
          <w:szCs w:val="17"/>
        </w:rPr>
      </w:pPr>
    </w:p>
    <w:p>
      <w:pPr>
        <w:pStyle w:val="BodyText"/>
        <w:tabs>
          <w:tab w:pos="4489" w:val="left" w:leader="none"/>
          <w:tab w:pos="9527" w:val="left" w:leader="none"/>
        </w:tabs>
        <w:spacing w:line="240" w:lineRule="auto" w:before="35"/>
        <w:ind w:left="185" w:right="0"/>
        <w:jc w:val="left"/>
      </w:pPr>
      <w:r>
        <w:rPr>
          <w:spacing w:val="-1"/>
        </w:rPr>
        <w:t>法定代表人：吴志雄</w:t>
        <w:tab/>
        <w:t>主管会计工作负责人：郑金聪</w:t>
        <w:tab/>
        <w:t>会计机构负责人：郑金聪</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77" w:footer="973" w:top="1100" w:bottom="1160" w:left="1340" w:right="1300"/>
        </w:sectPr>
      </w:pPr>
    </w:p>
    <w:p>
      <w:pPr>
        <w:spacing w:line="272" w:lineRule="exact" w:before="63"/>
        <w:ind w:left="6348"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8" w:val="left" w:leader="none"/>
        </w:tabs>
        <w:spacing w:line="240" w:lineRule="auto" w:before="0"/>
        <w:ind w:left="3652" w:right="0"/>
        <w:jc w:val="left"/>
      </w:pPr>
      <w:r>
        <w:rPr/>
        <w:t>单位:元</w:t>
        <w:tab/>
        <w:t>币种:人民币</w:t>
      </w:r>
    </w:p>
    <w:p>
      <w:pPr>
        <w:spacing w:after="0" w:line="240" w:lineRule="auto"/>
        <w:jc w:val="left"/>
        <w:sectPr>
          <w:type w:val="continuous"/>
          <w:pgSz w:w="16840" w:h="11910" w:orient="landscape"/>
          <w:pgMar w:top="1120" w:bottom="1160" w:left="1340" w:right="1300"/>
          <w:cols w:num="2" w:equalWidth="0">
            <w:col w:w="8267" w:space="40"/>
            <w:col w:w="5893"/>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318"/>
        <w:gridCol w:w="1274"/>
        <w:gridCol w:w="426"/>
        <w:gridCol w:w="425"/>
        <w:gridCol w:w="568"/>
        <w:gridCol w:w="1559"/>
        <w:gridCol w:w="568"/>
        <w:gridCol w:w="710"/>
        <w:gridCol w:w="426"/>
        <w:gridCol w:w="1417"/>
        <w:gridCol w:w="1559"/>
        <w:gridCol w:w="1700"/>
      </w:tblGrid>
      <w:tr>
        <w:trPr>
          <w:trHeight w:val="248" w:hRule="exact"/>
        </w:trPr>
        <w:tc>
          <w:tcPr>
            <w:tcW w:w="33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3318"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41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val="restart"/>
            <w:tcBorders>
              <w:top w:val="single" w:sz="6" w:space="0" w:color="000000"/>
              <w:left w:val="single" w:sz="6" w:space="0" w:color="000000"/>
              <w:right w:val="single" w:sz="6" w:space="0" w:color="000000"/>
            </w:tcBorders>
          </w:tcPr>
          <w:p>
            <w:pPr>
              <w:pStyle w:val="TableParagraph"/>
              <w:spacing w:line="237" w:lineRule="auto" w:before="21"/>
              <w:ind w:left="185" w:right="90" w:hanging="86"/>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710" w:type="dxa"/>
            <w:vMerge w:val="restart"/>
            <w:tcBorders>
              <w:top w:val="single" w:sz="6" w:space="0" w:color="000000"/>
              <w:left w:val="single" w:sz="6" w:space="0" w:color="000000"/>
              <w:right w:val="single" w:sz="6" w:space="0" w:color="000000"/>
            </w:tcBorders>
          </w:tcPr>
          <w:p>
            <w:pPr>
              <w:pStyle w:val="TableParagraph"/>
              <w:spacing w:line="237" w:lineRule="auto" w:before="137"/>
              <w:ind w:left="167" w:right="16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6" w:type="dxa"/>
            <w:vMerge w:val="restart"/>
            <w:tcBorders>
              <w:top w:val="single" w:sz="6" w:space="0" w:color="000000"/>
              <w:left w:val="single" w:sz="6" w:space="0" w:color="000000"/>
              <w:right w:val="single" w:sz="6" w:space="0" w:color="000000"/>
            </w:tcBorders>
          </w:tcPr>
          <w:p>
            <w:pPr>
              <w:pStyle w:val="TableParagraph"/>
              <w:spacing w:line="237" w:lineRule="auto" w:before="21"/>
              <w:ind w:left="115" w:right="11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3318"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4" w:space="0" w:color="000000"/>
            </w:tcBorders>
          </w:tcPr>
          <w:p>
            <w:pPr/>
          </w:p>
        </w:tc>
        <w:tc>
          <w:tcPr>
            <w:tcW w:w="426"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17" w:right="116"/>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17" w:right="115"/>
              <w:jc w:val="left"/>
              <w:rPr>
                <w:rFonts w:ascii="宋体" w:hAnsi="宋体" w:cs="宋体" w:eastAsia="宋体" w:hint="default"/>
                <w:sz w:val="18"/>
                <w:szCs w:val="18"/>
              </w:rPr>
            </w:pPr>
            <w:r>
              <w:rPr>
                <w:rFonts w:ascii="宋体" w:hAnsi="宋体" w:cs="宋体" w:eastAsia="宋体" w:hint="default"/>
                <w:sz w:val="18"/>
                <w:szCs w:val="18"/>
              </w:rPr>
              <w:t>续 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88"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tcBorders>
              <w:left w:val="single" w:sz="6" w:space="0" w:color="000000"/>
              <w:bottom w:val="single" w:sz="6" w:space="0" w:color="000000"/>
              <w:right w:val="single" w:sz="6" w:space="0" w:color="000000"/>
            </w:tcBorders>
          </w:tcPr>
          <w:p>
            <w:pPr/>
          </w:p>
        </w:tc>
        <w:tc>
          <w:tcPr>
            <w:tcW w:w="568"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75,000,000</w:t>
            </w: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82,743,402.40</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22,090,954.92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198,818,594.22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378,652,951.54</w:t>
            </w: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75,000,000</w:t>
            </w: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82,743,402.40</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22,090,954.92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198,818,594.22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378,652,951.54</w:t>
            </w:r>
          </w:p>
        </w:tc>
      </w:tr>
      <w:tr>
        <w:trPr>
          <w:trHeight w:val="482"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25,000,000</w:t>
            </w: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324,080,000.00</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9,512,354.45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85,611,190.01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444,203,544.46</w:t>
            </w: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95,123,544.46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95,123,544.46</w:t>
            </w: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25,000,000</w:t>
            </w: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324,080,000.00</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349,080,000.00</w:t>
            </w: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25,000,000</w:t>
            </w: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324,080,000.00</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349,080,000.00</w:t>
            </w: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2．其他权益工具持有者投入资本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3．股份支付计入所有者权益的金额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160" w:left="1340" w:right="1300"/>
        </w:sectPr>
      </w:pPr>
    </w:p>
    <w:p>
      <w:pPr>
        <w:spacing w:line="240" w:lineRule="auto" w:before="7"/>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318"/>
        <w:gridCol w:w="1274"/>
        <w:gridCol w:w="426"/>
        <w:gridCol w:w="425"/>
        <w:gridCol w:w="568"/>
        <w:gridCol w:w="1559"/>
        <w:gridCol w:w="568"/>
        <w:gridCol w:w="710"/>
        <w:gridCol w:w="426"/>
        <w:gridCol w:w="1417"/>
        <w:gridCol w:w="1559"/>
        <w:gridCol w:w="1700"/>
      </w:tblGrid>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9,512,354.45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-9,512,354.45</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9,512,354.45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-9,512,354.45</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sz w:val="18"/>
              </w:rPr>
              <w:t>100,000,000</w:t>
            </w:r>
          </w:p>
        </w:tc>
        <w:tc>
          <w:tcPr>
            <w:tcW w:w="42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3" w:right="0"/>
              <w:jc w:val="left"/>
              <w:rPr>
                <w:rFonts w:ascii="宋体" w:hAnsi="宋体" w:cs="宋体" w:eastAsia="宋体" w:hint="default"/>
                <w:sz w:val="18"/>
                <w:szCs w:val="18"/>
              </w:rPr>
            </w:pPr>
            <w:r>
              <w:rPr>
                <w:rFonts w:ascii="宋体"/>
                <w:sz w:val="18"/>
              </w:rPr>
              <w:t>406,823,402.40</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31,603,309.37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284,429,784.23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sz w:val="18"/>
              </w:rPr>
              <w:t>822,856,496.00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57" w:type="dxa"/>
        <w:tblLayout w:type="fixed"/>
        <w:tblCellMar>
          <w:top w:w="0" w:type="dxa"/>
          <w:left w:w="0" w:type="dxa"/>
          <w:bottom w:w="0" w:type="dxa"/>
          <w:right w:w="0" w:type="dxa"/>
        </w:tblCellMar>
        <w:tblLook w:val="01E0"/>
      </w:tblPr>
      <w:tblGrid>
        <w:gridCol w:w="3402"/>
        <w:gridCol w:w="1292"/>
        <w:gridCol w:w="425"/>
        <w:gridCol w:w="425"/>
        <w:gridCol w:w="568"/>
        <w:gridCol w:w="1417"/>
        <w:gridCol w:w="568"/>
        <w:gridCol w:w="709"/>
        <w:gridCol w:w="425"/>
        <w:gridCol w:w="1417"/>
        <w:gridCol w:w="1560"/>
        <w:gridCol w:w="1700"/>
      </w:tblGrid>
      <w:tr>
        <w:trPr>
          <w:trHeight w:val="248" w:hRule="exact"/>
        </w:trPr>
        <w:tc>
          <w:tcPr>
            <w:tcW w:w="34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50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3402" w:type="dxa"/>
            <w:vMerge/>
            <w:tcBorders>
              <w:left w:val="single" w:sz="6" w:space="0" w:color="000000"/>
              <w:right w:val="single" w:sz="6" w:space="0" w:color="000000"/>
            </w:tcBorders>
          </w:tcPr>
          <w:p>
            <w:pPr/>
          </w:p>
        </w:tc>
        <w:tc>
          <w:tcPr>
            <w:tcW w:w="1292"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1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val="restart"/>
            <w:tcBorders>
              <w:top w:val="single" w:sz="6" w:space="0" w:color="000000"/>
              <w:left w:val="single" w:sz="6" w:space="0" w:color="000000"/>
              <w:right w:val="single" w:sz="6" w:space="0" w:color="000000"/>
            </w:tcBorders>
          </w:tcPr>
          <w:p>
            <w:pPr>
              <w:pStyle w:val="TableParagraph"/>
              <w:spacing w:line="237" w:lineRule="auto" w:before="21"/>
              <w:ind w:left="185" w:right="90" w:hanging="86"/>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709" w:type="dxa"/>
            <w:vMerge w:val="restart"/>
            <w:tcBorders>
              <w:top w:val="single" w:sz="6" w:space="0" w:color="000000"/>
              <w:left w:val="single" w:sz="6" w:space="0" w:color="000000"/>
              <w:right w:val="single" w:sz="6" w:space="0" w:color="000000"/>
            </w:tcBorders>
          </w:tcPr>
          <w:p>
            <w:pPr>
              <w:pStyle w:val="TableParagraph"/>
              <w:spacing w:line="237" w:lineRule="auto" w:before="137"/>
              <w:ind w:left="166" w:right="16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21"/>
              <w:ind w:left="113" w:right="11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3402"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6"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16" w:right="116"/>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17" w:right="115"/>
              <w:jc w:val="left"/>
              <w:rPr>
                <w:rFonts w:ascii="宋体" w:hAnsi="宋体" w:cs="宋体" w:eastAsia="宋体" w:hint="default"/>
                <w:sz w:val="18"/>
                <w:szCs w:val="18"/>
              </w:rPr>
            </w:pPr>
            <w:r>
              <w:rPr>
                <w:rFonts w:ascii="宋体" w:hAnsi="宋体" w:cs="宋体" w:eastAsia="宋体" w:hint="default"/>
                <w:sz w:val="18"/>
                <w:szCs w:val="18"/>
              </w:rPr>
              <w:t>续 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88"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7" w:type="dxa"/>
            <w:vMerge/>
            <w:tcBorders>
              <w:left w:val="single" w:sz="6" w:space="0" w:color="000000"/>
              <w:bottom w:val="single" w:sz="6" w:space="0" w:color="000000"/>
              <w:right w:val="single" w:sz="6" w:space="0" w:color="000000"/>
            </w:tcBorders>
          </w:tcPr>
          <w:p>
            <w:pPr/>
          </w:p>
        </w:tc>
        <w:tc>
          <w:tcPr>
            <w:tcW w:w="568"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75,000,000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82,743,402.40</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13,542,931.21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121,886,380.87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293,172,714.48</w:t>
            </w: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75,000,000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82,743,402.40</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13,542,931.21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121,886,380.87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293,172,714.48</w:t>
            </w:r>
          </w:p>
        </w:tc>
      </w:tr>
      <w:tr>
        <w:trPr>
          <w:trHeight w:val="482"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8,548,023.71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76,932,213.35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85,480,237.06</w:t>
            </w: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85,480,237.06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85,480,237.06</w:t>
            </w: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2．其他权益工具持有者投入资本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3．股份支付计入所有者权益的金额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6"/>
          <w:pgSz w:w="16840" w:h="11910" w:orient="landscape"/>
          <w:pgMar w:footer="973" w:header="877" w:top="1100" w:bottom="1160" w:left="1360" w:right="1280"/>
        </w:sectPr>
      </w:pPr>
    </w:p>
    <w:p>
      <w:pPr>
        <w:spacing w:line="240" w:lineRule="auto" w:before="7"/>
        <w:rPr>
          <w:rFonts w:ascii="Times New Roman" w:hAnsi="Times New Roman" w:cs="Times New Roman" w:eastAsia="Times New Roman"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3402"/>
        <w:gridCol w:w="1292"/>
        <w:gridCol w:w="425"/>
        <w:gridCol w:w="425"/>
        <w:gridCol w:w="568"/>
        <w:gridCol w:w="1417"/>
        <w:gridCol w:w="568"/>
        <w:gridCol w:w="709"/>
        <w:gridCol w:w="425"/>
        <w:gridCol w:w="1417"/>
        <w:gridCol w:w="1560"/>
        <w:gridCol w:w="1700"/>
      </w:tblGrid>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8,548,023.71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-8,548,023.71</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8,548,023.71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-8,548,023.71</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277" w:right="0"/>
              <w:jc w:val="left"/>
              <w:rPr>
                <w:rFonts w:ascii="宋体" w:hAnsi="宋体" w:cs="宋体" w:eastAsia="宋体" w:hint="default"/>
                <w:sz w:val="18"/>
                <w:szCs w:val="18"/>
              </w:rPr>
            </w:pPr>
            <w:r>
              <w:rPr>
                <w:rFonts w:ascii="宋体"/>
                <w:sz w:val="18"/>
              </w:rPr>
              <w:t>75,000,000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82,743,402.40</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22,090,954.92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198,818,594.22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5" w:right="0"/>
              <w:jc w:val="left"/>
              <w:rPr>
                <w:rFonts w:ascii="宋体" w:hAnsi="宋体" w:cs="宋体" w:eastAsia="宋体" w:hint="default"/>
                <w:sz w:val="18"/>
                <w:szCs w:val="18"/>
              </w:rPr>
            </w:pPr>
            <w:r>
              <w:rPr>
                <w:rFonts w:ascii="宋体"/>
                <w:sz w:val="18"/>
              </w:rPr>
              <w:t>378,652,951.54</w:t>
            </w:r>
          </w:p>
        </w:tc>
      </w:tr>
    </w:tbl>
    <w:p>
      <w:pPr>
        <w:spacing w:line="240" w:lineRule="auto" w:before="6"/>
        <w:rPr>
          <w:rFonts w:ascii="Times New Roman" w:hAnsi="Times New Roman" w:cs="Times New Roman" w:eastAsia="Times New Roman" w:hint="default"/>
          <w:sz w:val="17"/>
          <w:szCs w:val="17"/>
        </w:rPr>
      </w:pPr>
    </w:p>
    <w:p>
      <w:pPr>
        <w:pStyle w:val="BodyText"/>
        <w:tabs>
          <w:tab w:pos="4029" w:val="left" w:leader="none"/>
          <w:tab w:pos="8752" w:val="left" w:leader="none"/>
        </w:tabs>
        <w:spacing w:line="240" w:lineRule="auto" w:before="35"/>
        <w:ind w:left="145" w:right="0"/>
        <w:jc w:val="left"/>
      </w:pPr>
      <w:r>
        <w:rPr>
          <w:spacing w:val="-1"/>
        </w:rPr>
        <w:t>法定代表人：吴志雄</w:t>
        <w:tab/>
        <w:t>主管会计工作负责人：郑金聪</w:t>
        <w:tab/>
        <w:t>会计机构负责人：郑金聪</w:t>
      </w:r>
    </w:p>
    <w:p>
      <w:pPr>
        <w:spacing w:after="0" w:line="240" w:lineRule="auto"/>
        <w:jc w:val="left"/>
        <w:sectPr>
          <w:footerReference w:type="default" r:id="rId47"/>
          <w:pgSz w:w="16840" w:h="11910" w:orient="landscape"/>
          <w:pgMar w:footer="973" w:header="877" w:top="1100" w:bottom="1160" w:left="13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2"/>
        <w:tabs>
          <w:tab w:pos="981" w:val="left" w:leader="none"/>
        </w:tabs>
        <w:spacing w:line="367" w:lineRule="auto"/>
        <w:ind w:left="561" w:right="6946" w:firstLine="4"/>
        <w:jc w:val="left"/>
        <w:rPr>
          <w:b w:val="0"/>
          <w:bCs w:val="0"/>
        </w:rPr>
      </w:pPr>
      <w:r>
        <w:rPr/>
        <w:t>三、公司基本情况</w:t>
      </w:r>
      <w:r>
        <w:rPr>
          <w:w w:val="99"/>
        </w:rPr>
        <w:t> </w:t>
      </w:r>
      <w:r>
        <w:rPr>
          <w:w w:val="95"/>
        </w:rPr>
        <w:t>1.</w:t>
        <w:tab/>
      </w:r>
      <w:r>
        <w:rPr/>
        <w:t>公司概况</w:t>
      </w:r>
      <w:r>
        <w:rPr>
          <w:b w:val="0"/>
          <w:bCs w:val="0"/>
        </w:rPr>
      </w:r>
    </w:p>
    <w:p>
      <w:pPr>
        <w:pStyle w:val="BodyText"/>
        <w:spacing w:line="314" w:lineRule="auto" w:before="34"/>
        <w:ind w:right="131" w:firstLine="420"/>
        <w:jc w:val="both"/>
      </w:pPr>
      <w:r>
        <w:rPr>
          <w:spacing w:val="-3"/>
        </w:rPr>
        <w:t>南威软件股份有限公司（以下简称南威公司或公司）是在福建南威软件工程发展有限公司基础</w:t>
      </w:r>
      <w:r>
        <w:rPr/>
        <w:t> </w:t>
      </w:r>
      <w:r>
        <w:rPr>
          <w:spacing w:val="-3"/>
        </w:rPr>
        <w:t>上整体变更设立的股份有限公司，2011</w:t>
      </w:r>
      <w:r>
        <w:rPr>
          <w:spacing w:val="-52"/>
        </w:rPr>
        <w:t> </w:t>
      </w:r>
      <w:r>
        <w:rPr/>
        <w:t>年</w:t>
      </w:r>
      <w:r>
        <w:rPr>
          <w:spacing w:val="-52"/>
        </w:rPr>
        <w:t> </w:t>
      </w:r>
      <w:r>
        <w:rPr/>
        <w:t>3</w:t>
      </w:r>
      <w:r>
        <w:rPr>
          <w:spacing w:val="-51"/>
        </w:rPr>
        <w:t> </w:t>
      </w:r>
      <w:r>
        <w:rPr/>
        <w:t>月由吴志雄等</w:t>
      </w:r>
      <w:r>
        <w:rPr>
          <w:spacing w:val="-52"/>
        </w:rPr>
        <w:t> </w:t>
      </w:r>
      <w:r>
        <w:rPr/>
        <w:t>19</w:t>
      </w:r>
      <w:r>
        <w:rPr>
          <w:spacing w:val="-52"/>
        </w:rPr>
        <w:t> </w:t>
      </w:r>
      <w:r>
        <w:rPr/>
        <w:t>名自然人股东和天津市凯信金鹏股权</w:t>
      </w:r>
    </w:p>
    <w:p>
      <w:pPr>
        <w:pStyle w:val="BodyText"/>
        <w:spacing w:line="314" w:lineRule="auto"/>
        <w:ind w:right="130"/>
        <w:jc w:val="both"/>
      </w:pPr>
      <w:r>
        <w:rPr/>
        <w:t>投资基金合伙企业等</w:t>
      </w:r>
      <w:r>
        <w:rPr>
          <w:spacing w:val="-42"/>
        </w:rPr>
        <w:t> </w:t>
      </w:r>
      <w:r>
        <w:rPr/>
        <w:t>4</w:t>
      </w:r>
      <w:r>
        <w:rPr>
          <w:spacing w:val="-41"/>
        </w:rPr>
        <w:t> </w:t>
      </w:r>
      <w:r>
        <w:rPr/>
        <w:t>名法人企业股东作为发起人，股本总数</w:t>
      </w:r>
      <w:r>
        <w:rPr>
          <w:spacing w:val="-42"/>
        </w:rPr>
        <w:t> </w:t>
      </w:r>
      <w:r>
        <w:rPr/>
        <w:t>7,500.00</w:t>
      </w:r>
      <w:r>
        <w:rPr>
          <w:spacing w:val="-41"/>
        </w:rPr>
        <w:t> </w:t>
      </w:r>
      <w:r>
        <w:rPr/>
        <w:t>万股（每股面值人民币</w:t>
      </w:r>
      <w:r>
        <w:rPr>
          <w:spacing w:val="-42"/>
        </w:rPr>
        <w:t> </w:t>
      </w:r>
      <w:r>
        <w:rPr/>
        <w:t>1</w:t>
      </w:r>
      <w:r>
        <w:rPr/>
        <w:t> 元），公司实际控制人为吴志雄。</w:t>
      </w:r>
    </w:p>
    <w:p>
      <w:pPr>
        <w:pStyle w:val="BodyText"/>
        <w:spacing w:line="240" w:lineRule="auto"/>
        <w:ind w:left="561" w:right="0"/>
        <w:jc w:val="left"/>
      </w:pPr>
      <w:r>
        <w:rPr/>
        <w:t>2014</w:t>
      </w:r>
      <w:r>
        <w:rPr>
          <w:spacing w:val="-53"/>
        </w:rPr>
        <w:t> </w:t>
      </w:r>
      <w:r>
        <w:rPr/>
        <w:t>年</w:t>
      </w:r>
      <w:r>
        <w:rPr>
          <w:spacing w:val="-54"/>
        </w:rPr>
        <w:t> </w:t>
      </w:r>
      <w:r>
        <w:rPr/>
        <w:t>12</w:t>
      </w:r>
      <w:r>
        <w:rPr>
          <w:spacing w:val="-54"/>
        </w:rPr>
        <w:t> </w:t>
      </w:r>
      <w:r>
        <w:rPr/>
        <w:t>月</w:t>
      </w:r>
      <w:r>
        <w:rPr>
          <w:spacing w:val="-54"/>
        </w:rPr>
        <w:t> </w:t>
      </w:r>
      <w:r>
        <w:rPr/>
        <w:t>22</w:t>
      </w:r>
      <w:r>
        <w:rPr>
          <w:spacing w:val="-53"/>
        </w:rPr>
        <w:t> </w:t>
      </w:r>
      <w:r>
        <w:rPr/>
        <w:t>日经中国证券监督管理委员会证监许可〔2014〕1332</w:t>
      </w:r>
      <w:r>
        <w:rPr>
          <w:spacing w:val="-53"/>
        </w:rPr>
        <w:t> </w:t>
      </w:r>
      <w:r>
        <w:rPr/>
        <w:t>号文核准，公司公开发</w:t>
      </w:r>
    </w:p>
    <w:p>
      <w:pPr>
        <w:pStyle w:val="BodyText"/>
        <w:spacing w:line="240" w:lineRule="auto" w:before="85"/>
        <w:ind w:right="0"/>
        <w:jc w:val="both"/>
      </w:pPr>
      <w:r>
        <w:rPr>
          <w:spacing w:val="-3"/>
        </w:rPr>
        <w:t>行人民币普通股（A</w:t>
      </w:r>
      <w:r>
        <w:rPr>
          <w:spacing w:val="-57"/>
        </w:rPr>
        <w:t> </w:t>
      </w:r>
      <w:r>
        <w:rPr>
          <w:spacing w:val="-4"/>
        </w:rPr>
        <w:t>股）数量为</w:t>
      </w:r>
      <w:r>
        <w:rPr>
          <w:spacing w:val="-58"/>
        </w:rPr>
        <w:t> </w:t>
      </w:r>
      <w:r>
        <w:rPr/>
        <w:t>2,500.00</w:t>
      </w:r>
      <w:r>
        <w:rPr>
          <w:spacing w:val="-57"/>
        </w:rPr>
        <w:t> </w:t>
      </w:r>
      <w:r>
        <w:rPr/>
        <w:t>万股，增加注册资本人民币</w:t>
      </w:r>
      <w:r>
        <w:rPr>
          <w:spacing w:val="-58"/>
        </w:rPr>
        <w:t> </w:t>
      </w:r>
      <w:r>
        <w:rPr/>
        <w:t>2,500.00</w:t>
      </w:r>
      <w:r>
        <w:rPr>
          <w:spacing w:val="-57"/>
        </w:rPr>
        <w:t> </w:t>
      </w:r>
      <w:r>
        <w:rPr>
          <w:spacing w:val="-3"/>
        </w:rPr>
        <w:t>万元，增加后的注</w:t>
      </w:r>
      <w:r>
        <w:rPr/>
      </w:r>
    </w:p>
    <w:p>
      <w:pPr>
        <w:pStyle w:val="BodyText"/>
        <w:spacing w:line="240" w:lineRule="auto" w:before="85"/>
        <w:ind w:right="0"/>
        <w:jc w:val="both"/>
      </w:pPr>
      <w:r>
        <w:rPr/>
        <w:t>册资本为人民币</w:t>
      </w:r>
      <w:r>
        <w:rPr>
          <w:spacing w:val="-53"/>
        </w:rPr>
        <w:t> </w:t>
      </w:r>
      <w:r>
        <w:rPr/>
        <w:t>10,000.00</w:t>
      </w:r>
      <w:r>
        <w:rPr>
          <w:spacing w:val="-52"/>
        </w:rPr>
        <w:t> </w:t>
      </w:r>
      <w:r>
        <w:rPr/>
        <w:t>万元。</w:t>
      </w:r>
    </w:p>
    <w:p>
      <w:pPr>
        <w:pStyle w:val="BodyText"/>
        <w:spacing w:line="314" w:lineRule="auto" w:before="85"/>
        <w:ind w:right="132" w:firstLine="420"/>
        <w:jc w:val="both"/>
      </w:pPr>
      <w:r>
        <w:rPr/>
        <w:t>公司于</w:t>
      </w:r>
      <w:r>
        <w:rPr>
          <w:spacing w:val="-46"/>
        </w:rPr>
        <w:t> </w:t>
      </w:r>
      <w:r>
        <w:rPr/>
        <w:t>2014</w:t>
      </w:r>
      <w:r>
        <w:rPr>
          <w:spacing w:val="-47"/>
        </w:rPr>
        <w:t> </w:t>
      </w:r>
      <w:r>
        <w:rPr/>
        <w:t>年</w:t>
      </w:r>
      <w:r>
        <w:rPr>
          <w:spacing w:val="-46"/>
        </w:rPr>
        <w:t> </w:t>
      </w:r>
      <w:r>
        <w:rPr/>
        <w:t>12</w:t>
      </w:r>
      <w:r>
        <w:rPr>
          <w:spacing w:val="-46"/>
        </w:rPr>
        <w:t> </w:t>
      </w:r>
      <w:r>
        <w:rPr/>
        <w:t>月</w:t>
      </w:r>
      <w:r>
        <w:rPr>
          <w:spacing w:val="-46"/>
        </w:rPr>
        <w:t> </w:t>
      </w:r>
      <w:r>
        <w:rPr/>
        <w:t>30</w:t>
      </w:r>
      <w:r>
        <w:rPr>
          <w:spacing w:val="-46"/>
        </w:rPr>
        <w:t> </w:t>
      </w:r>
      <w:r>
        <w:rPr/>
        <w:t>日在上海证券交易所挂牌上市，A</w:t>
      </w:r>
      <w:r>
        <w:rPr>
          <w:spacing w:val="-46"/>
        </w:rPr>
        <w:t> </w:t>
      </w:r>
      <w:r>
        <w:rPr/>
        <w:t>股交易代码：603636，股票简称：</w:t>
      </w:r>
      <w:r>
        <w:rPr/>
        <w:t> 南威软件。</w:t>
      </w:r>
    </w:p>
    <w:p>
      <w:pPr>
        <w:pStyle w:val="BodyText"/>
        <w:spacing w:line="314" w:lineRule="auto"/>
        <w:ind w:right="132" w:firstLine="420"/>
        <w:jc w:val="both"/>
      </w:pPr>
      <w:r>
        <w:rPr/>
        <w:t>公司企业法人营业执照注册号：350500100024401，注册地址：福建省泉州市丰泽区丰海路南 威大厦</w:t>
      </w:r>
      <w:r>
        <w:rPr>
          <w:spacing w:val="-58"/>
        </w:rPr>
        <w:t> </w:t>
      </w:r>
      <w:r>
        <w:rPr/>
        <w:t>2</w:t>
      </w:r>
      <w:r>
        <w:rPr>
          <w:spacing w:val="-57"/>
        </w:rPr>
        <w:t> </w:t>
      </w:r>
      <w:r>
        <w:rPr/>
        <w:t>号楼</w:t>
      </w:r>
      <w:r>
        <w:rPr>
          <w:spacing w:val="-58"/>
        </w:rPr>
        <w:t> </w:t>
      </w:r>
      <w:r>
        <w:rPr/>
        <w:t>16-22</w:t>
      </w:r>
      <w:r>
        <w:rPr>
          <w:spacing w:val="-57"/>
        </w:rPr>
        <w:t> </w:t>
      </w:r>
      <w:r>
        <w:rPr/>
        <w:t>层，法定代表人：吴志雄。</w:t>
      </w:r>
    </w:p>
    <w:p>
      <w:pPr>
        <w:pStyle w:val="BodyText"/>
        <w:spacing w:line="314" w:lineRule="auto"/>
        <w:ind w:left="561" w:right="0"/>
        <w:jc w:val="left"/>
      </w:pPr>
      <w:r>
        <w:rPr/>
        <w:t>公司行业性质：计算机应用服务业。 </w:t>
      </w:r>
      <w:r>
        <w:rPr>
          <w:spacing w:val="-3"/>
        </w:rPr>
        <w:t>公司经营范围：计算机软件开发服务；互联网技术开发与服务；网络安全产品开发与服务；计</w:t>
      </w:r>
    </w:p>
    <w:p>
      <w:pPr>
        <w:pStyle w:val="BodyText"/>
        <w:spacing w:line="314" w:lineRule="auto"/>
        <w:ind w:right="130" w:hanging="1"/>
        <w:jc w:val="both"/>
      </w:pPr>
      <w:r>
        <w:rPr>
          <w:spacing w:val="-8"/>
        </w:rPr>
        <w:t>算机信息系统集成服务；智能化系统集成服务；安防工程的设计与施工服务；技术咨询与运维服务；</w:t>
      </w:r>
      <w:r>
        <w:rPr>
          <w:spacing w:val="-65"/>
        </w:rPr>
        <w:t> </w:t>
      </w:r>
      <w:r>
        <w:rPr>
          <w:spacing w:val="-65"/>
        </w:rPr>
      </w:r>
      <w:r>
        <w:rPr>
          <w:spacing w:val="-3"/>
        </w:rPr>
        <w:t>经营本企业生产所需的机械设备、零配件、原辅材料及技术的进口业务；法律、法规及国务院决定</w:t>
      </w:r>
      <w:r>
        <w:rPr>
          <w:spacing w:val="-81"/>
        </w:rPr>
        <w:t> </w:t>
      </w:r>
      <w:r>
        <w:rPr>
          <w:spacing w:val="-81"/>
        </w:rPr>
      </w:r>
      <w:r>
        <w:rPr>
          <w:spacing w:val="-3"/>
        </w:rPr>
        <w:t>未禁止且未规定许可的项目自主选择；应经许可的，凭有效许可证件或批准证书经营。（依法须经</w:t>
      </w:r>
      <w:r>
        <w:rPr>
          <w:spacing w:val="-80"/>
        </w:rPr>
        <w:t> </w:t>
      </w:r>
      <w:r>
        <w:rPr>
          <w:spacing w:val="-80"/>
        </w:rPr>
      </w:r>
      <w:r>
        <w:rPr/>
        <w:t>批准的项目，经相关部门批准后方可开展经营活动）</w:t>
      </w:r>
    </w:p>
    <w:p>
      <w:pPr>
        <w:pStyle w:val="BodyText"/>
        <w:spacing w:line="314" w:lineRule="auto"/>
        <w:ind w:right="131" w:firstLine="420"/>
        <w:jc w:val="both"/>
      </w:pPr>
      <w:r>
        <w:rPr/>
        <w:t>财务报告批准报出日：公司财务报告于</w:t>
      </w:r>
      <w:r>
        <w:rPr>
          <w:spacing w:val="-53"/>
        </w:rPr>
        <w:t> </w:t>
      </w:r>
      <w:r>
        <w:rPr/>
        <w:t>2015</w:t>
      </w:r>
      <w:r>
        <w:rPr>
          <w:spacing w:val="-52"/>
        </w:rPr>
        <w:t> </w:t>
      </w:r>
      <w:r>
        <w:rPr/>
        <w:t>年</w:t>
      </w:r>
      <w:r>
        <w:rPr>
          <w:spacing w:val="-54"/>
        </w:rPr>
        <w:t> </w:t>
      </w:r>
      <w:r>
        <w:rPr/>
        <w:t>4</w:t>
      </w:r>
      <w:r>
        <w:rPr>
          <w:spacing w:val="-52"/>
        </w:rPr>
        <w:t> </w:t>
      </w:r>
      <w:r>
        <w:rPr/>
        <w:t>月</w:t>
      </w:r>
      <w:r>
        <w:rPr>
          <w:spacing w:val="-53"/>
        </w:rPr>
        <w:t> </w:t>
      </w:r>
      <w:r>
        <w:rPr/>
        <w:t>9</w:t>
      </w:r>
      <w:r>
        <w:rPr>
          <w:spacing w:val="-52"/>
        </w:rPr>
        <w:t> </w:t>
      </w:r>
      <w:r>
        <w:rPr/>
        <w:t>日经公司第二届董事会第十二次会议批</w:t>
      </w:r>
      <w:r>
        <w:rPr/>
        <w:t> 准通过。</w:t>
      </w:r>
    </w:p>
    <w:p>
      <w:pPr>
        <w:pStyle w:val="Heading2"/>
        <w:tabs>
          <w:tab w:pos="981" w:val="left" w:leader="none"/>
        </w:tabs>
        <w:spacing w:line="240" w:lineRule="auto" w:before="80"/>
        <w:ind w:left="561" w:right="0"/>
        <w:jc w:val="left"/>
        <w:rPr>
          <w:b w:val="0"/>
          <w:bCs w:val="0"/>
        </w:rPr>
      </w:pPr>
      <w:r>
        <w:rPr>
          <w:w w:val="95"/>
        </w:rPr>
        <w:t>2.</w:t>
        <w:tab/>
      </w:r>
      <w:r>
        <w:rPr/>
        <w:t>合并财务报表范围</w:t>
      </w:r>
      <w:r>
        <w:rPr>
          <w:b w:val="0"/>
          <w:bCs w:val="0"/>
        </w:rPr>
      </w:r>
    </w:p>
    <w:p>
      <w:pPr>
        <w:pStyle w:val="BodyText"/>
        <w:spacing w:line="314" w:lineRule="auto" w:before="145"/>
        <w:ind w:right="131" w:firstLine="420"/>
        <w:jc w:val="both"/>
      </w:pPr>
      <w:r>
        <w:rPr/>
        <w:t>截至</w:t>
      </w:r>
      <w:r>
        <w:rPr>
          <w:spacing w:val="-53"/>
        </w:rPr>
        <w:t> </w:t>
      </w:r>
      <w:r>
        <w:rPr/>
        <w:t>2014</w:t>
      </w:r>
      <w:r>
        <w:rPr>
          <w:spacing w:val="-52"/>
        </w:rPr>
        <w:t> </w:t>
      </w:r>
      <w:r>
        <w:rPr/>
        <w:t>年</w:t>
      </w:r>
      <w:r>
        <w:rPr>
          <w:spacing w:val="-54"/>
        </w:rPr>
        <w:t> </w:t>
      </w:r>
      <w:r>
        <w:rPr/>
        <w:t>12</w:t>
      </w:r>
      <w:r>
        <w:rPr>
          <w:spacing w:val="-53"/>
        </w:rPr>
        <w:t> </w:t>
      </w:r>
      <w:r>
        <w:rPr/>
        <w:t>月</w:t>
      </w:r>
      <w:r>
        <w:rPr>
          <w:spacing w:val="-53"/>
        </w:rPr>
        <w:t> </w:t>
      </w:r>
      <w:r>
        <w:rPr/>
        <w:t>31</w:t>
      </w:r>
      <w:r>
        <w:rPr>
          <w:spacing w:val="-52"/>
        </w:rPr>
        <w:t> </w:t>
      </w:r>
      <w:r>
        <w:rPr>
          <w:spacing w:val="-4"/>
        </w:rPr>
        <w:t>日止，本公司合并财务报表范围内子公司共</w:t>
      </w:r>
      <w:r>
        <w:rPr>
          <w:spacing w:val="-53"/>
        </w:rPr>
        <w:t> </w:t>
      </w:r>
      <w:r>
        <w:rPr/>
        <w:t>11</w:t>
      </w:r>
      <w:r>
        <w:rPr>
          <w:spacing w:val="-52"/>
        </w:rPr>
        <w:t> </w:t>
      </w:r>
      <w:r>
        <w:rPr>
          <w:spacing w:val="-6"/>
        </w:rPr>
        <w:t>家，分别为北京南威科技</w:t>
      </w:r>
      <w:r>
        <w:rPr>
          <w:spacing w:val="-1"/>
        </w:rPr>
        <w:t> </w:t>
      </w:r>
      <w:r>
        <w:rPr>
          <w:spacing w:val="-3"/>
        </w:rPr>
        <w:t>有限公司、宁德南威软件有限公司、厦门市南威软件科技有限公司、福建南威软件有限公司、西安</w:t>
      </w:r>
      <w:r>
        <w:rPr>
          <w:spacing w:val="-80"/>
        </w:rPr>
        <w:t> </w:t>
      </w:r>
      <w:r>
        <w:rPr>
          <w:spacing w:val="-80"/>
        </w:rPr>
      </w:r>
      <w:r>
        <w:rPr>
          <w:spacing w:val="-3"/>
        </w:rPr>
        <w:t>南威信息科技有限责任公司、成都南威软件有限公司、福建神威系统集成有限责任公司、昌吉州南</w:t>
      </w:r>
      <w:r>
        <w:rPr>
          <w:spacing w:val="-78"/>
        </w:rPr>
        <w:t> </w:t>
      </w:r>
      <w:r>
        <w:rPr>
          <w:spacing w:val="-78"/>
        </w:rPr>
      </w:r>
      <w:r>
        <w:rPr>
          <w:spacing w:val="-3"/>
        </w:rPr>
        <w:t>威软件有限公司、江西南威软件有限公司、南平南威软件有限公司、海南科特尔科技有限公司；本</w:t>
      </w:r>
      <w:r>
        <w:rPr>
          <w:spacing w:val="-80"/>
        </w:rPr>
        <w:t> </w:t>
      </w:r>
      <w:r>
        <w:rPr>
          <w:spacing w:val="-80"/>
        </w:rPr>
      </w:r>
      <w:r>
        <w:rPr/>
        <w:t>年度合并范围比上年度增加</w:t>
      </w:r>
      <w:r>
        <w:rPr>
          <w:spacing w:val="-54"/>
        </w:rPr>
        <w:t> </w:t>
      </w:r>
      <w:r>
        <w:rPr/>
        <w:t>2</w:t>
      </w:r>
      <w:r>
        <w:rPr>
          <w:spacing w:val="-53"/>
        </w:rPr>
        <w:t> </w:t>
      </w:r>
      <w:r>
        <w:rPr/>
        <w:t>户，详见附注“八、合并范围的变更”。</w:t>
      </w:r>
    </w:p>
    <w:p>
      <w:pPr>
        <w:spacing w:line="240" w:lineRule="auto" w:before="13"/>
        <w:rPr>
          <w:rFonts w:ascii="宋体" w:hAnsi="宋体" w:cs="宋体" w:eastAsia="宋体" w:hint="default"/>
          <w:sz w:val="20"/>
          <w:szCs w:val="20"/>
        </w:rPr>
      </w:pPr>
    </w:p>
    <w:p>
      <w:pPr>
        <w:pStyle w:val="Heading2"/>
        <w:spacing w:line="240" w:lineRule="auto" w:before="0"/>
        <w:ind w:left="141" w:right="0"/>
        <w:jc w:val="both"/>
        <w:rPr>
          <w:b w:val="0"/>
          <w:bCs w:val="0"/>
        </w:rPr>
      </w:pPr>
      <w:r>
        <w:rPr/>
        <w:t>四、财务报表的编制基础</w:t>
      </w:r>
      <w:r>
        <w:rPr>
          <w:b w:val="0"/>
          <w:bCs w:val="0"/>
        </w:rPr>
      </w:r>
    </w:p>
    <w:p>
      <w:pPr>
        <w:pStyle w:val="BodyText"/>
        <w:tabs>
          <w:tab w:pos="566" w:val="left" w:leader="none"/>
        </w:tabs>
        <w:spacing w:line="326" w:lineRule="auto" w:before="57"/>
        <w:ind w:left="561" w:right="131"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spacing w:val="1"/>
          <w:w w:val="99"/>
        </w:rPr>
        <w:t> </w:t>
      </w:r>
      <w:r>
        <w:rPr>
          <w:spacing w:val="-3"/>
        </w:rPr>
        <w:t>本公司财务报表以持续经营为编制基础。根据实际发生的交易和事项，按照《企业会计准则—</w:t>
      </w:r>
    </w:p>
    <w:p>
      <w:pPr>
        <w:pStyle w:val="BodyText"/>
        <w:spacing w:line="314" w:lineRule="auto" w:before="9"/>
        <w:ind w:right="131"/>
        <w:jc w:val="both"/>
      </w:pPr>
      <w:r>
        <w:rPr>
          <w:spacing w:val="-3"/>
        </w:rPr>
        <w:t>—基本准则》和其他各项具体会计准则、应用指南、准则解释及其他相关规定（以下合称“企业会</w:t>
      </w:r>
      <w:r>
        <w:rPr>
          <w:spacing w:val="-81"/>
        </w:rPr>
        <w:t> </w:t>
      </w:r>
      <w:r>
        <w:rPr>
          <w:spacing w:val="-81"/>
        </w:rPr>
      </w:r>
      <w:r>
        <w:rPr>
          <w:spacing w:val="-3"/>
        </w:rPr>
        <w:t>计准则”）进行确认和计量，在此基础上结合中国证券监督管理委员会《公开发行证券的公司信息</w:t>
      </w:r>
      <w:r>
        <w:rPr>
          <w:spacing w:val="-80"/>
        </w:rPr>
        <w:t> </w:t>
      </w:r>
      <w:r>
        <w:rPr>
          <w:spacing w:val="-80"/>
        </w:rPr>
      </w:r>
      <w:r>
        <w:rPr/>
        <w:t>披露编报规则第</w:t>
      </w:r>
      <w:r>
        <w:rPr>
          <w:spacing w:val="-54"/>
        </w:rPr>
        <w:t> </w:t>
      </w:r>
      <w:r>
        <w:rPr/>
        <w:t>15</w:t>
      </w:r>
      <w:r>
        <w:rPr>
          <w:spacing w:val="-2"/>
        </w:rPr>
        <w:t> </w:t>
      </w:r>
      <w:r>
        <w:rPr/>
        <w:t>号——财务报告的一般规定》（2014</w:t>
      </w:r>
      <w:r>
        <w:rPr>
          <w:spacing w:val="-53"/>
        </w:rPr>
        <w:t> </w:t>
      </w:r>
      <w:r>
        <w:rPr/>
        <w:t>年修订）的规定编制财务报表。</w:t>
      </w:r>
    </w:p>
    <w:p>
      <w:pPr>
        <w:spacing w:line="240" w:lineRule="auto" w:before="13"/>
        <w:rPr>
          <w:rFonts w:ascii="宋体" w:hAnsi="宋体" w:cs="宋体" w:eastAsia="宋体" w:hint="default"/>
          <w:sz w:val="20"/>
          <w:szCs w:val="20"/>
        </w:rPr>
      </w:pPr>
    </w:p>
    <w:p>
      <w:pPr>
        <w:pStyle w:val="Heading2"/>
        <w:spacing w:line="240" w:lineRule="auto" w:before="0"/>
        <w:ind w:left="141"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持续经营</w:t>
      </w:r>
      <w:r>
        <w:rPr>
          <w:b w:val="0"/>
          <w:bCs w:val="0"/>
        </w:rPr>
      </w:r>
    </w:p>
    <w:p>
      <w:pPr>
        <w:pStyle w:val="BodyText"/>
        <w:spacing w:line="240" w:lineRule="auto" w:before="108"/>
        <w:ind w:left="561" w:right="0"/>
        <w:jc w:val="left"/>
      </w:pPr>
      <w:r>
        <w:rPr/>
        <w:t>公司自本报告期末起至少</w:t>
      </w:r>
      <w:r>
        <w:rPr>
          <w:spacing w:val="-73"/>
        </w:rPr>
        <w:t> </w:t>
      </w:r>
      <w:r>
        <w:rPr/>
        <w:t>12</w:t>
      </w:r>
      <w:r>
        <w:rPr>
          <w:spacing w:val="-72"/>
        </w:rPr>
        <w:t> </w:t>
      </w:r>
      <w:r>
        <w:rPr/>
        <w:t>个月内具备持续经营能力，无影响持续经营能力的重大事项。</w:t>
      </w:r>
    </w:p>
    <w:p>
      <w:pPr>
        <w:spacing w:after="0" w:line="240" w:lineRule="auto"/>
        <w:jc w:val="left"/>
        <w:sectPr>
          <w:headerReference w:type="default" r:id="rId48"/>
          <w:footerReference w:type="default" r:id="rId49"/>
          <w:pgSz w:w="11910" w:h="16840"/>
          <w:pgMar w:header="882" w:footer="977" w:top="1120" w:bottom="1160" w:left="1560" w:right="1140"/>
          <w:pgNumType w:start="7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7" w:lineRule="auto" w:before="174"/>
        <w:ind w:left="561" w:right="5863" w:hanging="42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57" w:lineRule="exact" w:before="0"/>
        <w:ind w:left="561" w:right="84"/>
        <w:jc w:val="left"/>
      </w:pPr>
      <w:r>
        <w:rPr/>
        <w:t>以下披露内容已涵盖本公司实际生产经营特点制定的具体会计政策及会计估计。</w:t>
      </w:r>
    </w:p>
    <w:p>
      <w:pPr>
        <w:spacing w:line="240" w:lineRule="auto" w:before="0"/>
        <w:rPr>
          <w:rFonts w:ascii="宋体" w:hAnsi="宋体" w:cs="宋体" w:eastAsia="宋体" w:hint="default"/>
          <w:sz w:val="20"/>
          <w:szCs w:val="20"/>
        </w:rPr>
      </w:pPr>
    </w:p>
    <w:p>
      <w:pPr>
        <w:tabs>
          <w:tab w:pos="566" w:val="left" w:leader="none"/>
        </w:tabs>
        <w:spacing w:line="326" w:lineRule="auto" w:before="165"/>
        <w:ind w:left="561" w:right="311"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3"/>
          <w:sz w:val="21"/>
          <w:szCs w:val="21"/>
        </w:rPr>
        <w:t>本公司所编制的财务报表符合企业会计准则的要求，真实、完整地反映了公司的财务状况、经</w:t>
      </w:r>
    </w:p>
    <w:p>
      <w:pPr>
        <w:pStyle w:val="BodyText"/>
        <w:spacing w:line="240" w:lineRule="auto" w:before="9"/>
        <w:ind w:right="84"/>
        <w:jc w:val="left"/>
      </w:pPr>
      <w:r>
        <w:rPr/>
        <w:t>营成果和现金流量等有关信息。</w:t>
      </w:r>
    </w:p>
    <w:p>
      <w:pPr>
        <w:spacing w:line="240" w:lineRule="auto" w:before="12"/>
        <w:rPr>
          <w:rFonts w:ascii="宋体" w:hAnsi="宋体" w:cs="宋体" w:eastAsia="宋体" w:hint="default"/>
          <w:sz w:val="25"/>
          <w:szCs w:val="25"/>
        </w:rPr>
      </w:pPr>
    </w:p>
    <w:p>
      <w:pPr>
        <w:pStyle w:val="Heading2"/>
        <w:tabs>
          <w:tab w:pos="566" w:val="left" w:leader="none"/>
        </w:tabs>
        <w:spacing w:line="240" w:lineRule="auto" w:before="0"/>
        <w:ind w:left="141" w:right="84"/>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108"/>
        <w:ind w:left="561" w:right="84"/>
        <w:jc w:val="left"/>
      </w:pPr>
      <w:r>
        <w:rPr/>
        <w:t>本公司会计年度自公历</w:t>
      </w:r>
      <w:r>
        <w:rPr>
          <w:spacing w:val="-55"/>
        </w:rPr>
        <w:t> </w:t>
      </w:r>
      <w:r>
        <w:rPr/>
        <w:t>1</w:t>
      </w:r>
      <w:r>
        <w:rPr>
          <w:spacing w:val="-54"/>
        </w:rPr>
        <w:t> </w:t>
      </w:r>
      <w:r>
        <w:rPr/>
        <w:t>月</w:t>
      </w:r>
      <w:r>
        <w:rPr>
          <w:spacing w:val="-56"/>
        </w:rPr>
        <w:t> </w:t>
      </w:r>
      <w:r>
        <w:rPr/>
        <w:t>1</w:t>
      </w:r>
      <w:r>
        <w:rPr>
          <w:spacing w:val="-54"/>
        </w:rPr>
        <w:t> </w:t>
      </w:r>
      <w:r>
        <w:rPr/>
        <w:t>日起至</w:t>
      </w:r>
      <w:r>
        <w:rPr>
          <w:spacing w:val="-55"/>
        </w:rPr>
        <w:t> </w:t>
      </w:r>
      <w:r>
        <w:rPr/>
        <w:t>12</w:t>
      </w:r>
      <w:r>
        <w:rPr>
          <w:spacing w:val="-54"/>
        </w:rPr>
        <w:t> </w:t>
      </w:r>
      <w:r>
        <w:rPr/>
        <w:t>月</w:t>
      </w:r>
      <w:r>
        <w:rPr>
          <w:spacing w:val="-55"/>
        </w:rPr>
        <w:t> </w:t>
      </w:r>
      <w:r>
        <w:rPr/>
        <w:t>31</w:t>
      </w:r>
      <w:r>
        <w:rPr>
          <w:spacing w:val="-55"/>
        </w:rPr>
        <w:t> </w:t>
      </w:r>
      <w:r>
        <w:rPr/>
        <w:t>日止。</w:t>
      </w:r>
    </w:p>
    <w:p>
      <w:pPr>
        <w:spacing w:line="240" w:lineRule="auto" w:before="12"/>
        <w:rPr>
          <w:rFonts w:ascii="宋体" w:hAnsi="宋体" w:cs="宋体" w:eastAsia="宋体" w:hint="default"/>
          <w:sz w:val="25"/>
          <w:szCs w:val="25"/>
        </w:rPr>
      </w:pPr>
    </w:p>
    <w:p>
      <w:pPr>
        <w:pStyle w:val="Heading2"/>
        <w:tabs>
          <w:tab w:pos="566" w:val="left" w:leader="none"/>
        </w:tabs>
        <w:spacing w:line="240" w:lineRule="auto" w:before="0"/>
        <w:ind w:left="141" w:right="84"/>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108"/>
        <w:ind w:left="561" w:right="84"/>
        <w:jc w:val="left"/>
      </w:pPr>
      <w:r>
        <w:rPr/>
        <w:t>公司以</w:t>
      </w:r>
      <w:r>
        <w:rPr>
          <w:spacing w:val="-55"/>
        </w:rPr>
        <w:t> </w:t>
      </w:r>
      <w:r>
        <w:rPr>
          <w:rFonts w:ascii="宋体" w:hAnsi="宋体" w:cs="宋体" w:eastAsia="宋体" w:hint="default"/>
        </w:rPr>
        <w:t>12</w:t>
      </w:r>
      <w:r>
        <w:rPr>
          <w:rFonts w:ascii="宋体" w:hAnsi="宋体" w:cs="宋体" w:eastAsia="宋体" w:hint="default"/>
          <w:spacing w:val="-54"/>
        </w:rPr>
        <w:t> </w:t>
      </w:r>
      <w:r>
        <w:rPr/>
        <w:t>个月作为一个营业周期。</w:t>
      </w:r>
    </w:p>
    <w:p>
      <w:pPr>
        <w:spacing w:line="240" w:lineRule="auto" w:before="11"/>
        <w:rPr>
          <w:rFonts w:ascii="宋体" w:hAnsi="宋体" w:cs="宋体" w:eastAsia="宋体" w:hint="default"/>
          <w:sz w:val="25"/>
          <w:szCs w:val="25"/>
        </w:rPr>
      </w:pPr>
    </w:p>
    <w:p>
      <w:pPr>
        <w:tabs>
          <w:tab w:pos="566" w:val="left" w:leader="none"/>
        </w:tabs>
        <w:spacing w:line="326" w:lineRule="auto" w:before="0"/>
        <w:ind w:left="561" w:right="5880" w:hanging="420"/>
        <w:jc w:val="left"/>
        <w:rPr>
          <w:rFonts w:ascii="宋体" w:hAnsi="宋体" w:cs="宋体" w:eastAsia="宋体" w:hint="default"/>
          <w:sz w:val="21"/>
          <w:szCs w:val="21"/>
        </w:rPr>
      </w:pPr>
      <w:r>
        <w:rPr>
          <w:rFonts w:ascii="Calibri" w:hAnsi="Calibri" w:cs="Calibri" w:eastAsia="Calibri" w:hint="default"/>
          <w:b/>
          <w:bCs/>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2"/>
        <w:rPr>
          <w:rFonts w:ascii="宋体" w:hAnsi="宋体" w:cs="宋体" w:eastAsia="宋体" w:hint="default"/>
          <w:sz w:val="20"/>
          <w:szCs w:val="20"/>
        </w:rPr>
      </w:pPr>
    </w:p>
    <w:p>
      <w:pPr>
        <w:pStyle w:val="Heading2"/>
        <w:tabs>
          <w:tab w:pos="566" w:val="left" w:leader="none"/>
        </w:tabs>
        <w:spacing w:line="240" w:lineRule="auto" w:before="0"/>
        <w:ind w:left="141" w:right="84"/>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314" w:lineRule="auto" w:before="108"/>
        <w:ind w:right="311" w:firstLine="422"/>
        <w:jc w:val="both"/>
      </w:pPr>
      <w:r>
        <w:rPr/>
        <w:t>（1）同一控制下企业合并：本公司在企业合并中取得的资产和负债，按照合并日在被合并方 </w:t>
      </w:r>
      <w:r>
        <w:rPr>
          <w:spacing w:val="-3"/>
        </w:rPr>
        <w:t>资产、负债（包括最终控制方收购被合并方而形成的商誉）在最终控制方合并财务报表中的账面价</w:t>
      </w:r>
      <w:r>
        <w:rPr>
          <w:spacing w:val="-78"/>
        </w:rPr>
        <w:t> </w:t>
      </w:r>
      <w:r>
        <w:rPr>
          <w:spacing w:val="-78"/>
        </w:rPr>
      </w:r>
      <w:r>
        <w:rPr>
          <w:spacing w:val="-3"/>
        </w:rPr>
        <w:t>值计量。在合并中取得的净资产账面价值与支付的合并对价账面价值（或发行股份面值总额）的差</w:t>
      </w:r>
      <w:r>
        <w:rPr>
          <w:spacing w:val="-78"/>
        </w:rPr>
        <w:t> </w:t>
      </w:r>
      <w:r>
        <w:rPr>
          <w:spacing w:val="-78"/>
        </w:rPr>
      </w:r>
      <w:r>
        <w:rPr/>
        <w:t>额，调整资本公积中的股本溢价，资本公积中的股本溢价不足冲减的，调整留存收益。</w:t>
      </w:r>
    </w:p>
    <w:p>
      <w:pPr>
        <w:pStyle w:val="BodyText"/>
        <w:spacing w:line="314" w:lineRule="auto"/>
        <w:ind w:right="311" w:firstLine="420"/>
        <w:jc w:val="both"/>
      </w:pPr>
      <w:r>
        <w:rPr/>
        <w:t>（2）非同一控制下企业合并：本公司在购买日对作为企业合并对价付出的资产、发生或承担 </w:t>
      </w:r>
      <w:r>
        <w:rPr>
          <w:spacing w:val="-3"/>
        </w:rPr>
        <w:t>的负债按照公允价值计量，公允价值与其账面价值的差额，计入当期损益。本公司对合并成本大于</w:t>
      </w:r>
      <w:r>
        <w:rPr>
          <w:spacing w:val="-78"/>
        </w:rPr>
        <w:t> </w:t>
      </w:r>
      <w:r>
        <w:rPr>
          <w:spacing w:val="-78"/>
        </w:rPr>
      </w:r>
      <w:r>
        <w:rPr>
          <w:spacing w:val="-3"/>
        </w:rPr>
        <w:t>合并中取得的被购买方可辨认净资产公允价值份额的差额，确认为商誉；合并成本小于合并中取得</w:t>
      </w:r>
      <w:r>
        <w:rPr>
          <w:spacing w:val="-78"/>
        </w:rPr>
        <w:t> </w:t>
      </w:r>
      <w:r>
        <w:rPr>
          <w:spacing w:val="-78"/>
        </w:rPr>
      </w:r>
      <w:r>
        <w:rPr>
          <w:spacing w:val="-3"/>
        </w:rPr>
        <w:t>的被购买方可辨认净资产公允价值份额的差额，对合并中取得的资产、负债的公允价值、作为合并</w:t>
      </w:r>
      <w:r>
        <w:rPr>
          <w:spacing w:val="-78"/>
        </w:rPr>
        <w:t> </w:t>
      </w:r>
      <w:r>
        <w:rPr>
          <w:spacing w:val="-78"/>
        </w:rPr>
      </w:r>
      <w:r>
        <w:rPr>
          <w:spacing w:val="-3"/>
        </w:rPr>
        <w:t>对价的非现金资产或发行的权益性证券等的公允价值进行复核，复核结果表明所确定的各项可辨认</w:t>
      </w:r>
      <w:r>
        <w:rPr>
          <w:spacing w:val="-77"/>
        </w:rPr>
        <w:t> </w:t>
      </w:r>
      <w:r>
        <w:rPr>
          <w:spacing w:val="-77"/>
        </w:rPr>
      </w:r>
      <w:r>
        <w:rPr>
          <w:spacing w:val="-3"/>
        </w:rPr>
        <w:t>资产和负债的公允价值确定是恰当的，将企业合并成本低于取得的被购买方可辨认净资产公允价值</w:t>
      </w:r>
      <w:r>
        <w:rPr>
          <w:spacing w:val="-77"/>
        </w:rPr>
        <w:t> </w:t>
      </w:r>
      <w:r>
        <w:rPr>
          <w:spacing w:val="-77"/>
        </w:rPr>
      </w:r>
      <w:r>
        <w:rPr/>
        <w:t>份额之间的差额，计入合并当期的营业外收入。</w:t>
      </w:r>
    </w:p>
    <w:p>
      <w:pPr>
        <w:pStyle w:val="BodyText"/>
        <w:spacing w:line="314" w:lineRule="auto"/>
        <w:ind w:right="84" w:firstLine="420"/>
        <w:jc w:val="left"/>
      </w:pPr>
      <w:r>
        <w:rPr>
          <w:spacing w:val="-3"/>
        </w:rPr>
        <w:t>通过多次交易分步实现非同一控制下的企业合并：①在个别财务报表中，以购买日之前所持被</w:t>
      </w:r>
      <w:r>
        <w:rPr/>
        <w:t> </w:t>
      </w:r>
      <w:r>
        <w:rPr>
          <w:spacing w:val="-3"/>
        </w:rPr>
        <w:t>购买方的股权投资的账面价值与购买日新增投资成本之和，作为该项投资的初始投资成本。购买日</w:t>
      </w:r>
      <w:r>
        <w:rPr>
          <w:spacing w:val="-78"/>
        </w:rPr>
        <w:t> </w:t>
      </w:r>
      <w:r>
        <w:rPr>
          <w:spacing w:val="-78"/>
        </w:rPr>
      </w:r>
      <w:r>
        <w:rPr>
          <w:spacing w:val="-3"/>
        </w:rPr>
        <w:t>之前持有的股权投资因采用权益法核算而确认的其他综合收益，在处置该项投资时采用与被投资单</w:t>
      </w:r>
      <w:r>
        <w:rPr>
          <w:spacing w:val="-77"/>
        </w:rPr>
        <w:t> </w:t>
      </w:r>
      <w:r>
        <w:rPr>
          <w:spacing w:val="-77"/>
        </w:rPr>
      </w:r>
      <w:r>
        <w:rPr>
          <w:spacing w:val="-3"/>
        </w:rPr>
        <w:t>位直接处置相关资产或负债相同的基础进行会计处理；因被投资方除净损益、其他综合收益和利润</w:t>
      </w:r>
      <w:r>
        <w:rPr>
          <w:spacing w:val="-78"/>
        </w:rPr>
        <w:t> </w:t>
      </w:r>
      <w:r>
        <w:rPr>
          <w:spacing w:val="-78"/>
        </w:rPr>
      </w:r>
      <w:r>
        <w:rPr>
          <w:spacing w:val="-3"/>
        </w:rPr>
        <w:t>分配以外的其他所有者权益变动而确认的所有者权益，在处置该项投资时转入处置期间的当期损益。</w:t>
      </w:r>
      <w:r>
        <w:rPr>
          <w:spacing w:val="-74"/>
        </w:rPr>
        <w:t> </w:t>
      </w:r>
      <w:r>
        <w:rPr>
          <w:spacing w:val="-74"/>
        </w:rPr>
      </w:r>
      <w:r>
        <w:rPr/>
        <w:t>购买日之前持有的股权投资按照《企业会计准则第</w:t>
      </w:r>
      <w:r>
        <w:rPr>
          <w:spacing w:val="-51"/>
        </w:rPr>
        <w:t> </w:t>
      </w:r>
      <w:r>
        <w:rPr/>
        <w:t>22</w:t>
      </w:r>
      <w:r>
        <w:rPr>
          <w:spacing w:val="-51"/>
        </w:rPr>
        <w:t> </w:t>
      </w:r>
      <w:r>
        <w:rPr/>
        <w:t>号——金融工具确认和计量》的有关规定进</w:t>
      </w:r>
      <w:r>
        <w:rPr/>
        <w:t> </w:t>
      </w:r>
      <w:r>
        <w:rPr>
          <w:spacing w:val="-3"/>
        </w:rPr>
        <w:t>行会计处理的，原计入其他综合收益的累计公允价值变动在改按成本法核算时转入当期损益。②在</w:t>
      </w:r>
      <w:r>
        <w:rPr>
          <w:spacing w:val="-78"/>
        </w:rPr>
        <w:t> </w:t>
      </w:r>
      <w:r>
        <w:rPr>
          <w:spacing w:val="-78"/>
        </w:rPr>
      </w:r>
      <w:r>
        <w:rPr>
          <w:spacing w:val="-3"/>
        </w:rPr>
        <w:t>合并财务报表中，合并成本为购买日支付的对价与购买日之前已经持有的被购买方的股权在购买日</w:t>
      </w:r>
      <w:r>
        <w:rPr>
          <w:spacing w:val="-77"/>
        </w:rPr>
        <w:t> </w:t>
      </w:r>
      <w:r>
        <w:rPr>
          <w:spacing w:val="-77"/>
        </w:rPr>
      </w:r>
      <w:r>
        <w:rPr>
          <w:spacing w:val="-3"/>
        </w:rPr>
        <w:t>的公允价值之和；对于购买日之前已经持有的被购买方的股权，按照该股权在购买日的公允价值进</w:t>
      </w:r>
    </w:p>
    <w:p>
      <w:pPr>
        <w:spacing w:after="0" w:line="314" w:lineRule="auto"/>
        <w:jc w:val="left"/>
        <w:sectPr>
          <w:pgSz w:w="11910" w:h="16840"/>
          <w:pgMar w:header="882" w:footer="977" w:top="1120" w:bottom="1160" w:left="156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131"/>
        <w:jc w:val="both"/>
      </w:pPr>
      <w:r>
        <w:rPr>
          <w:spacing w:val="-3"/>
        </w:rPr>
        <w:t>行重新计量，公允价值与其账面价值之间的差额计入当期投资收益；购买日之前已经持有的被购买</w:t>
      </w:r>
      <w:r>
        <w:rPr>
          <w:spacing w:val="-78"/>
        </w:rPr>
        <w:t> </w:t>
      </w:r>
      <w:r>
        <w:rPr>
          <w:spacing w:val="-78"/>
        </w:rPr>
      </w:r>
      <w:r>
        <w:rPr>
          <w:spacing w:val="-3"/>
        </w:rPr>
        <w:t>方的股权涉及其他综合收益、其他所有者权益变动转为购买日所属当期投资收益，由于被投资方重</w:t>
      </w:r>
      <w:r>
        <w:rPr>
          <w:spacing w:val="-78"/>
        </w:rPr>
        <w:t> </w:t>
      </w:r>
      <w:r>
        <w:rPr>
          <w:spacing w:val="-78"/>
        </w:rPr>
      </w:r>
      <w:r>
        <w:rPr/>
        <w:t>新计量设定收益计划净负债或净资产变动而产生的其他综合收益除外。</w:t>
      </w:r>
    </w:p>
    <w:p>
      <w:pPr>
        <w:pStyle w:val="BodyText"/>
        <w:spacing w:line="304" w:lineRule="auto"/>
        <w:ind w:right="131" w:firstLine="420"/>
        <w:jc w:val="both"/>
        <w:rPr>
          <w:rFonts w:ascii="宋体" w:hAnsi="宋体" w:cs="宋体" w:eastAsia="宋体" w:hint="default"/>
          <w:sz w:val="24"/>
          <w:szCs w:val="24"/>
        </w:rPr>
      </w:pPr>
      <w:r>
        <w:rPr/>
        <w:t>（3）企业合并中有关交易费用的处理：为企业合并发生的审计、法律服务、评估咨询等中介 </w:t>
      </w:r>
      <w:r>
        <w:rPr>
          <w:spacing w:val="-3"/>
        </w:rPr>
        <w:t>费用以及其他直接相关费用，于发生时计入当期损益；企业合并发行的债券或承担其他债务支付的</w:t>
      </w:r>
      <w:r>
        <w:rPr>
          <w:spacing w:val="-78"/>
        </w:rPr>
        <w:t> </w:t>
      </w:r>
      <w:r>
        <w:rPr>
          <w:spacing w:val="-78"/>
        </w:rPr>
      </w:r>
      <w:r>
        <w:rPr>
          <w:spacing w:val="-3"/>
        </w:rPr>
        <w:t>手续费、佣金等，计入所发行债券及其他债务的初始计量金额；为企业合并而发行权益性证券的交</w:t>
      </w:r>
      <w:r>
        <w:rPr>
          <w:spacing w:val="-78"/>
        </w:rPr>
        <w:t> </w:t>
      </w:r>
      <w:r>
        <w:rPr>
          <w:spacing w:val="-78"/>
        </w:rPr>
      </w:r>
      <w:r>
        <w:rPr/>
        <w:t>易费用，抵减权益性证券溢价收入，溢价收入不足冲减的，冲减留存收益</w:t>
      </w:r>
      <w:r>
        <w:rPr>
          <w:rFonts w:ascii="宋体" w:hAnsi="宋体" w:cs="宋体" w:eastAsia="宋体" w:hint="default"/>
          <w:sz w:val="24"/>
          <w:szCs w:val="24"/>
        </w:rPr>
        <w:t>。</w:t>
      </w:r>
    </w:p>
    <w:p>
      <w:pPr>
        <w:spacing w:line="240" w:lineRule="auto" w:before="9"/>
        <w:rPr>
          <w:rFonts w:ascii="宋体" w:hAnsi="宋体" w:cs="宋体" w:eastAsia="宋体" w:hint="default"/>
          <w:sz w:val="20"/>
          <w:szCs w:val="20"/>
        </w:rPr>
      </w:pPr>
    </w:p>
    <w:p>
      <w:pPr>
        <w:pStyle w:val="Heading2"/>
        <w:spacing w:line="240" w:lineRule="auto" w:before="0"/>
        <w:ind w:left="141" w:right="0"/>
        <w:jc w:val="both"/>
        <w:rPr>
          <w:b w:val="0"/>
          <w:bCs w:val="0"/>
        </w:rPr>
      </w:pPr>
      <w:r>
        <w:rPr>
          <w:rFonts w:ascii="Calibri" w:hAnsi="Calibri" w:cs="Calibri" w:eastAsia="Calibri" w:hint="default"/>
        </w:rPr>
        <w:t>6.    </w:t>
      </w:r>
      <w:r>
        <w:rPr>
          <w:rFonts w:ascii="Calibri" w:hAnsi="Calibri" w:cs="Calibri" w:eastAsia="Calibri" w:hint="default"/>
          <w:spacing w:val="21"/>
        </w:rPr>
        <w:t> </w:t>
      </w:r>
      <w:r>
        <w:rPr/>
        <w:t>合并财务报表的编制方法</w:t>
      </w:r>
      <w:r>
        <w:rPr>
          <w:b w:val="0"/>
          <w:bCs w:val="0"/>
        </w:rPr>
      </w:r>
    </w:p>
    <w:p>
      <w:pPr>
        <w:pStyle w:val="BodyText"/>
        <w:spacing w:line="314" w:lineRule="auto" w:before="108"/>
        <w:ind w:left="561" w:right="0" w:firstLine="2"/>
        <w:jc w:val="left"/>
      </w:pPr>
      <w:r>
        <w:rPr/>
        <w:t>1、合并报表编制范围 </w:t>
      </w:r>
      <w:r>
        <w:rPr>
          <w:spacing w:val="-3"/>
        </w:rPr>
        <w:t>合并财务报表的合并范围以控制为基础予以确定，不仅包括根据表决权（或类似权利）本身或</w:t>
      </w:r>
    </w:p>
    <w:p>
      <w:pPr>
        <w:pStyle w:val="BodyText"/>
        <w:spacing w:line="314" w:lineRule="auto"/>
        <w:ind w:right="131"/>
        <w:jc w:val="both"/>
      </w:pPr>
      <w:r>
        <w:rPr>
          <w:spacing w:val="-3"/>
        </w:rPr>
        <w:t>者结合其他安排确定的子公司，也包括基于一项或多项合同安排决定的结构化主体。控制，是指投</w:t>
      </w:r>
      <w:r>
        <w:rPr>
          <w:spacing w:val="-78"/>
        </w:rPr>
        <w:t> </w:t>
      </w:r>
      <w:r>
        <w:rPr>
          <w:spacing w:val="-78"/>
        </w:rPr>
      </w:r>
      <w:r>
        <w:rPr>
          <w:spacing w:val="-3"/>
        </w:rPr>
        <w:t>资方拥有对被投资方的权力，通过参与被投资方的相关活动而享有可变回报，并且有能力运用对被</w:t>
      </w:r>
      <w:r>
        <w:rPr>
          <w:spacing w:val="-78"/>
        </w:rPr>
        <w:t> </w:t>
      </w:r>
      <w:r>
        <w:rPr>
          <w:spacing w:val="-78"/>
        </w:rPr>
      </w:r>
      <w:r>
        <w:rPr/>
        <w:t>投资方的权力影响其回报金额。</w:t>
      </w:r>
    </w:p>
    <w:p>
      <w:pPr>
        <w:pStyle w:val="BodyText"/>
        <w:spacing w:line="314" w:lineRule="auto"/>
        <w:ind w:left="561" w:right="0"/>
        <w:jc w:val="left"/>
      </w:pPr>
      <w:r>
        <w:rPr/>
        <w:t>2、合并程序 </w:t>
      </w:r>
      <w:r>
        <w:rPr>
          <w:spacing w:val="-3"/>
        </w:rPr>
        <w:t>合并财务报表以公司和其子公司的财务报表为基础，根据其他有关资料，编制合并财务报表。</w:t>
      </w:r>
      <w:r>
        <w:rPr>
          <w:spacing w:val="-87"/>
        </w:rPr>
        <w:t> </w:t>
      </w:r>
      <w:r>
        <w:rPr>
          <w:spacing w:val="-87"/>
        </w:rPr>
      </w:r>
      <w:r>
        <w:rPr>
          <w:spacing w:val="-3"/>
        </w:rPr>
        <w:t>公司统一子公司所采用的会计政策及会计期间，使子公司采用的会计政策、会计期间与公司保</w:t>
      </w:r>
    </w:p>
    <w:p>
      <w:pPr>
        <w:pStyle w:val="BodyText"/>
        <w:spacing w:line="314" w:lineRule="auto"/>
        <w:ind w:right="131"/>
        <w:jc w:val="both"/>
      </w:pPr>
      <w:r>
        <w:rPr>
          <w:spacing w:val="-3"/>
        </w:rPr>
        <w:t>持一致。在编制合并会计报表时，遵循重要性原则，抵销母公司与子公司、子公司与子公司之间的</w:t>
      </w:r>
      <w:r>
        <w:rPr>
          <w:spacing w:val="-80"/>
        </w:rPr>
        <w:t> </w:t>
      </w:r>
      <w:r>
        <w:rPr>
          <w:spacing w:val="-80"/>
        </w:rPr>
      </w:r>
      <w:r>
        <w:rPr/>
        <w:t>内部往来、内部交易及权益性投资项目。</w:t>
      </w:r>
    </w:p>
    <w:p>
      <w:pPr>
        <w:pStyle w:val="BodyText"/>
        <w:spacing w:line="314" w:lineRule="auto"/>
        <w:ind w:right="131" w:firstLine="420"/>
        <w:jc w:val="both"/>
      </w:pPr>
      <w:r>
        <w:rPr>
          <w:spacing w:val="2"/>
        </w:rPr>
        <w:t>子公司少数股东应占的权益和损益分别在合并资产负债表中所有者权益项目下和合并利润表</w:t>
      </w:r>
      <w:r>
        <w:rPr/>
        <w:t> </w:t>
      </w:r>
      <w:r>
        <w:rPr>
          <w:spacing w:val="-3"/>
        </w:rPr>
        <w:t>中净利润项目下单独列示。子公司少数股东分担的当期亏损超过了少数股东在该子公司期初所有者</w:t>
      </w:r>
      <w:r>
        <w:rPr>
          <w:spacing w:val="-77"/>
        </w:rPr>
        <w:t> </w:t>
      </w:r>
      <w:r>
        <w:rPr>
          <w:spacing w:val="-77"/>
        </w:rPr>
      </w:r>
      <w:r>
        <w:rPr/>
        <w:t>权益中所享有份额而形成的余额，冲减少数股东权益。</w:t>
      </w:r>
    </w:p>
    <w:p>
      <w:pPr>
        <w:pStyle w:val="BodyText"/>
        <w:spacing w:line="314" w:lineRule="auto"/>
        <w:ind w:left="561" w:right="0"/>
        <w:jc w:val="left"/>
      </w:pPr>
      <w:r>
        <w:rPr/>
        <w:t>（1）增加子公司以及业务 </w:t>
      </w:r>
      <w:r>
        <w:rPr>
          <w:spacing w:val="-3"/>
        </w:rPr>
        <w:t>在报告期内因同一控制下企业合并增加的子公司以及业务，编制合并资产负债表时，调整合并</w:t>
      </w:r>
    </w:p>
    <w:p>
      <w:pPr>
        <w:pStyle w:val="BodyText"/>
        <w:spacing w:line="314" w:lineRule="auto"/>
        <w:ind w:right="130" w:hanging="1"/>
        <w:jc w:val="both"/>
      </w:pPr>
      <w:r>
        <w:rPr>
          <w:spacing w:val="-8"/>
        </w:rPr>
        <w:t>资产负债表的期初数；编制利润表时，将该子公司以及业务合并当期期初至报告期末的收入、费用、</w:t>
      </w:r>
      <w:r>
        <w:rPr>
          <w:spacing w:val="-65"/>
        </w:rPr>
        <w:t> </w:t>
      </w:r>
      <w:r>
        <w:rPr>
          <w:spacing w:val="-65"/>
        </w:rPr>
      </w:r>
      <w:r>
        <w:rPr>
          <w:spacing w:val="-3"/>
        </w:rPr>
        <w:t>利润纳入合并利润表；合并现金流量表时，将该子公司以及业务合并当期期初至报告期末的现金流</w:t>
      </w:r>
      <w:r>
        <w:rPr>
          <w:spacing w:val="-79"/>
        </w:rPr>
        <w:t> </w:t>
      </w:r>
      <w:r>
        <w:rPr>
          <w:spacing w:val="-79"/>
        </w:rPr>
      </w:r>
      <w:r>
        <w:rPr>
          <w:spacing w:val="-3"/>
        </w:rPr>
        <w:t>量纳入合并现金流量表；同时应当对比较报表的相关项目进行调整，视同合并后的报告主体自最终</w:t>
      </w:r>
      <w:r>
        <w:rPr>
          <w:spacing w:val="-79"/>
        </w:rPr>
        <w:t> </w:t>
      </w:r>
      <w:r>
        <w:rPr>
          <w:spacing w:val="-79"/>
        </w:rPr>
      </w:r>
      <w:r>
        <w:rPr/>
        <w:t>控制方开始控制时点起一直存在。</w:t>
      </w:r>
    </w:p>
    <w:p>
      <w:pPr>
        <w:pStyle w:val="BodyText"/>
        <w:spacing w:line="314" w:lineRule="auto"/>
        <w:ind w:right="131" w:firstLine="420"/>
        <w:jc w:val="both"/>
      </w:pPr>
      <w:r>
        <w:rPr>
          <w:spacing w:val="-3"/>
        </w:rPr>
        <w:t>在报告期内因非同一控制下企业合并或其他方式增加的子公司以及业务，编制合并资产负债表</w:t>
      </w:r>
      <w:r>
        <w:rPr/>
        <w:t> </w:t>
      </w:r>
      <w:r>
        <w:rPr>
          <w:spacing w:val="-3"/>
        </w:rPr>
        <w:t>时，不调整合并资产负债表的期初数。编制利润表时，将该子公司以及业务购买日至报告期末的收</w:t>
      </w:r>
      <w:r>
        <w:rPr>
          <w:spacing w:val="-78"/>
        </w:rPr>
        <w:t> </w:t>
      </w:r>
      <w:r>
        <w:rPr>
          <w:spacing w:val="-78"/>
        </w:rPr>
      </w:r>
      <w:r>
        <w:rPr>
          <w:spacing w:val="-3"/>
        </w:rPr>
        <w:t>入、费用、利润纳入合并利润表。编制现金流表时，将该子公司购买日至报告期末的现金流量纳入</w:t>
      </w:r>
      <w:r>
        <w:rPr>
          <w:spacing w:val="-80"/>
        </w:rPr>
        <w:t> </w:t>
      </w:r>
      <w:r>
        <w:rPr>
          <w:spacing w:val="-80"/>
        </w:rPr>
      </w:r>
      <w:r>
        <w:rPr/>
        <w:t>合并现金流量表。</w:t>
      </w:r>
    </w:p>
    <w:p>
      <w:pPr>
        <w:pStyle w:val="BodyText"/>
        <w:spacing w:line="314" w:lineRule="auto"/>
        <w:ind w:right="131" w:firstLine="420"/>
        <w:jc w:val="both"/>
      </w:pPr>
      <w:r>
        <w:rPr>
          <w:spacing w:val="-3"/>
        </w:rPr>
        <w:t>公司以子公司的个别财务报表反映为在购买日公允价值基础上确定的可辨认资产、负债及或有</w:t>
      </w:r>
      <w:r>
        <w:rPr/>
        <w:t> </w:t>
      </w:r>
      <w:r>
        <w:rPr>
          <w:spacing w:val="-3"/>
        </w:rPr>
        <w:t>负债在本期资产负债表日的金额进行编制合并报表。对合并成本大于合并中取得的被购买方可辨认</w:t>
      </w:r>
      <w:r>
        <w:rPr>
          <w:spacing w:val="-77"/>
        </w:rPr>
        <w:t> </w:t>
      </w:r>
      <w:r>
        <w:rPr>
          <w:spacing w:val="-77"/>
        </w:rPr>
      </w:r>
      <w:r>
        <w:rPr>
          <w:spacing w:val="-3"/>
        </w:rPr>
        <w:t>净资产公允价值份额的差额，确认为商誉。合并成本小于合并中取得的被购买方可辨认净资产公允</w:t>
      </w:r>
      <w:r>
        <w:rPr>
          <w:spacing w:val="-78"/>
        </w:rPr>
        <w:t> </w:t>
      </w:r>
      <w:r>
        <w:rPr>
          <w:spacing w:val="-78"/>
        </w:rPr>
      </w:r>
      <w:r>
        <w:rPr/>
        <w:t>价值份额的差额，经复核后，计入当期损益。</w:t>
      </w:r>
    </w:p>
    <w:p>
      <w:pPr>
        <w:pStyle w:val="BodyText"/>
        <w:spacing w:line="314" w:lineRule="auto"/>
        <w:ind w:right="131" w:firstLine="420"/>
        <w:jc w:val="both"/>
      </w:pPr>
      <w:r>
        <w:rPr>
          <w:spacing w:val="-3"/>
        </w:rPr>
        <w:t>通过多次交易分步实现非同一控制下企业合并的，在合并财务报表中，对于购买日之前持有的</w:t>
      </w:r>
      <w:r>
        <w:rPr/>
        <w:t> </w:t>
      </w:r>
      <w:r>
        <w:rPr>
          <w:spacing w:val="-3"/>
        </w:rPr>
        <w:t>被购买方的股权，应当按照该股权在购买日的公允价值进行重新计量，公允价值与其账面价值的差</w:t>
      </w:r>
    </w:p>
    <w:p>
      <w:pPr>
        <w:spacing w:after="0" w:line="314" w:lineRule="auto"/>
        <w:jc w:val="both"/>
        <w:sectPr>
          <w:pgSz w:w="11910" w:h="16840"/>
          <w:pgMar w:header="882" w:footer="977" w:top="1120" w:bottom="1160" w:left="15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211"/>
        <w:jc w:val="both"/>
      </w:pPr>
      <w:r>
        <w:rPr>
          <w:spacing w:val="-3"/>
        </w:rPr>
        <w:t>额计入当期投资收益；购买日之前持有的被购买方的股权涉及权益法核算下的其他综合收益、其他</w:t>
      </w:r>
      <w:r>
        <w:rPr>
          <w:spacing w:val="-78"/>
        </w:rPr>
        <w:t> </w:t>
      </w:r>
      <w:r>
        <w:rPr>
          <w:spacing w:val="-78"/>
        </w:rPr>
      </w:r>
      <w:r>
        <w:rPr>
          <w:spacing w:val="-3"/>
        </w:rPr>
        <w:t>所有者权益变动的，应当转为购买日所属当期投资收益，由于被投资方重新计量设定受益计划净负</w:t>
      </w:r>
      <w:r>
        <w:rPr>
          <w:spacing w:val="-78"/>
        </w:rPr>
        <w:t> </w:t>
      </w:r>
      <w:r>
        <w:rPr>
          <w:spacing w:val="-78"/>
        </w:rPr>
      </w:r>
      <w:r>
        <w:rPr/>
        <w:t>债或净资产变动而产生的其他综合收益除外。</w:t>
      </w:r>
    </w:p>
    <w:p>
      <w:pPr>
        <w:pStyle w:val="BodyText"/>
        <w:spacing w:line="314" w:lineRule="auto"/>
        <w:ind w:left="561" w:right="6288"/>
        <w:jc w:val="left"/>
      </w:pPr>
      <w:r>
        <w:rPr/>
        <w:t>（2）处置子公司以及业务 A.一般处理方法</w:t>
      </w:r>
    </w:p>
    <w:p>
      <w:pPr>
        <w:pStyle w:val="BodyText"/>
        <w:spacing w:line="314" w:lineRule="auto"/>
        <w:ind w:right="93" w:firstLine="420"/>
        <w:jc w:val="left"/>
      </w:pPr>
      <w:r>
        <w:rPr/>
        <w:t>在报告期内，本公司处置子公司以及业务，则该子公司以及业务期初至处置日的收入、费用、 利润纳入合并利润表；该子公司以及业务期初至处置日的现金流量纳入合并现金流量表。</w:t>
      </w:r>
    </w:p>
    <w:p>
      <w:pPr>
        <w:pStyle w:val="BodyText"/>
        <w:spacing w:line="314" w:lineRule="auto"/>
        <w:ind w:right="211" w:firstLine="420"/>
        <w:jc w:val="both"/>
      </w:pPr>
      <w:r>
        <w:rPr>
          <w:spacing w:val="-3"/>
        </w:rPr>
        <w:t>公司因处置部分股权投资等原因丧失了对原有子公司控制权的，在合并财务报表中，对于剩余</w:t>
      </w:r>
      <w:r>
        <w:rPr/>
        <w:t> </w:t>
      </w:r>
      <w:r>
        <w:rPr>
          <w:spacing w:val="-3"/>
        </w:rPr>
        <w:t>股权，按照其在丧失控制权日的公允价值进行重新计量。处置股权取得的对价和剩余股权公允价值</w:t>
      </w:r>
      <w:r>
        <w:rPr>
          <w:spacing w:val="-78"/>
        </w:rPr>
        <w:t> </w:t>
      </w:r>
      <w:r>
        <w:rPr>
          <w:spacing w:val="-78"/>
        </w:rPr>
      </w:r>
      <w:r>
        <w:rPr>
          <w:spacing w:val="-3"/>
        </w:rPr>
        <w:t>之和，减去按原持股比例计算应享有原有子公司自购买日或合并日开始持续计算的净资产的份额之</w:t>
      </w:r>
      <w:r>
        <w:rPr>
          <w:spacing w:val="-77"/>
        </w:rPr>
        <w:t> </w:t>
      </w:r>
      <w:r>
        <w:rPr>
          <w:spacing w:val="-77"/>
        </w:rPr>
      </w:r>
      <w:r>
        <w:rPr>
          <w:spacing w:val="-3"/>
        </w:rPr>
        <w:t>间的差额，计入丧失控制权当期的投资收益，同时冲减商誉。与原有子公司股权投资相关的其他综</w:t>
      </w:r>
      <w:r>
        <w:rPr>
          <w:spacing w:val="-78"/>
        </w:rPr>
        <w:t> </w:t>
      </w:r>
      <w:r>
        <w:rPr>
          <w:spacing w:val="-78"/>
        </w:rPr>
      </w:r>
      <w:r>
        <w:rPr>
          <w:spacing w:val="-3"/>
        </w:rPr>
        <w:t>合收益、其他所有者权益变动，在丧失控制权时转为当期投资收益，由于被投资方重新计量设定受</w:t>
      </w:r>
      <w:r>
        <w:rPr>
          <w:spacing w:val="-78"/>
        </w:rPr>
        <w:t> </w:t>
      </w:r>
      <w:r>
        <w:rPr>
          <w:spacing w:val="-78"/>
        </w:rPr>
      </w:r>
      <w:r>
        <w:rPr/>
        <w:t>益计划净负债或净资产变动而产生的其他综合收益除外。</w:t>
      </w:r>
    </w:p>
    <w:p>
      <w:pPr>
        <w:pStyle w:val="BodyText"/>
        <w:spacing w:line="314" w:lineRule="auto"/>
        <w:ind w:left="561" w:right="203"/>
        <w:jc w:val="left"/>
      </w:pPr>
      <w:r>
        <w:rPr/>
        <w:t>B.分步处置股权至丧失控制权 </w:t>
      </w:r>
      <w:r>
        <w:rPr>
          <w:spacing w:val="-3"/>
        </w:rPr>
        <w:t>企业通过多次交易分步处置对子公司股权投资直至丧失控制权的，如果处置对子公司股权投资</w:t>
      </w:r>
    </w:p>
    <w:p>
      <w:pPr>
        <w:pStyle w:val="BodyText"/>
        <w:spacing w:line="314" w:lineRule="auto"/>
        <w:ind w:right="211"/>
        <w:jc w:val="both"/>
      </w:pPr>
      <w:r>
        <w:rPr>
          <w:spacing w:val="-3"/>
        </w:rPr>
        <w:t>直至丧失控制权的各项交易属于一揽子交易的，应当将各项交易作为一项处置子公司并丧失控制权</w:t>
      </w:r>
      <w:r>
        <w:rPr>
          <w:spacing w:val="-77"/>
        </w:rPr>
        <w:t> </w:t>
      </w:r>
      <w:r>
        <w:rPr>
          <w:spacing w:val="-77"/>
        </w:rPr>
      </w:r>
      <w:r>
        <w:rPr>
          <w:spacing w:val="-3"/>
        </w:rPr>
        <w:t>的交易进行会计处理；但是，在丧失控制权之前每一次处置价款与处置投资对应的享有该子公司净</w:t>
      </w:r>
      <w:r>
        <w:rPr>
          <w:spacing w:val="-78"/>
        </w:rPr>
        <w:t> </w:t>
      </w:r>
      <w:r>
        <w:rPr>
          <w:spacing w:val="-78"/>
        </w:rPr>
      </w:r>
      <w:r>
        <w:rPr>
          <w:spacing w:val="-3"/>
        </w:rPr>
        <w:t>资产份额的差额，在合并财务报表中确认为其他综合收益，在丧失控制权时一并转入丧失控制权当</w:t>
      </w:r>
      <w:r>
        <w:rPr>
          <w:spacing w:val="-78"/>
        </w:rPr>
        <w:t> </w:t>
      </w:r>
      <w:r>
        <w:rPr>
          <w:spacing w:val="-78"/>
        </w:rPr>
      </w:r>
      <w:r>
        <w:rPr/>
        <w:t>期的损益。</w:t>
      </w:r>
    </w:p>
    <w:p>
      <w:pPr>
        <w:pStyle w:val="BodyText"/>
        <w:spacing w:line="314" w:lineRule="auto"/>
        <w:ind w:right="203" w:firstLine="420"/>
        <w:jc w:val="left"/>
      </w:pPr>
      <w:r>
        <w:rPr>
          <w:spacing w:val="-3"/>
        </w:rPr>
        <w:t>处置对子公司股权投资的各项交易的条款、条件以及经济影响符合下列一种或多种情况，通常</w:t>
      </w:r>
      <w:r>
        <w:rPr/>
        <w:t> 表明应将多次交易事项作为一揽子交易进行会计处理：</w:t>
      </w:r>
    </w:p>
    <w:p>
      <w:pPr>
        <w:pStyle w:val="BodyText"/>
        <w:spacing w:line="240" w:lineRule="auto"/>
        <w:ind w:left="561" w:right="227"/>
        <w:jc w:val="left"/>
      </w:pPr>
      <w:r>
        <w:rPr/>
        <w:t>（A）这些交易是同时或者在考虑了彼此影响的情况下订立的；</w:t>
      </w:r>
    </w:p>
    <w:p>
      <w:pPr>
        <w:pStyle w:val="BodyText"/>
        <w:spacing w:line="240" w:lineRule="auto" w:before="85"/>
        <w:ind w:left="561" w:right="227"/>
        <w:jc w:val="left"/>
      </w:pPr>
      <w:r>
        <w:rPr/>
        <w:t>（B）这些交易整体才能达成一项完整的商业结果；</w:t>
      </w:r>
    </w:p>
    <w:p>
      <w:pPr>
        <w:pStyle w:val="BodyText"/>
        <w:spacing w:line="240" w:lineRule="auto" w:before="85"/>
        <w:ind w:left="561" w:right="227"/>
        <w:jc w:val="left"/>
      </w:pPr>
      <w:r>
        <w:rPr/>
        <w:t>（C）一项交易的发生取决于其他至少一项交易的发生；</w:t>
      </w:r>
    </w:p>
    <w:p>
      <w:pPr>
        <w:pStyle w:val="BodyText"/>
        <w:spacing w:line="240" w:lineRule="auto" w:before="85"/>
        <w:ind w:left="561" w:right="227"/>
        <w:jc w:val="left"/>
      </w:pPr>
      <w:r>
        <w:rPr/>
        <w:t>（D）一项交易单独考虑时是不经济的，但是和其他交易一并考虑时是经济的。</w:t>
      </w:r>
    </w:p>
    <w:p>
      <w:pPr>
        <w:pStyle w:val="BodyText"/>
        <w:spacing w:line="314" w:lineRule="auto" w:before="85"/>
        <w:ind w:left="561" w:right="203"/>
        <w:jc w:val="left"/>
      </w:pPr>
      <w:r>
        <w:rPr/>
        <w:t>（3）购买子公司少数股权 </w:t>
      </w:r>
      <w:r>
        <w:rPr>
          <w:spacing w:val="2"/>
        </w:rPr>
        <w:t>本公司因购买子公司的少数股权新取得的长期股权投资与按照新增持股比例计算应享有子公</w:t>
      </w:r>
    </w:p>
    <w:p>
      <w:pPr>
        <w:pStyle w:val="BodyText"/>
        <w:spacing w:line="314" w:lineRule="auto"/>
        <w:ind w:right="103"/>
        <w:jc w:val="left"/>
      </w:pPr>
      <w:r>
        <w:rPr>
          <w:spacing w:val="-3"/>
        </w:rPr>
        <w:t>司自购买日（或合并日）开始持续计算的可辨认净资产份额之间的差额，调整合并资产负债表中的</w:t>
      </w:r>
      <w:r>
        <w:rPr>
          <w:spacing w:val="-78"/>
        </w:rPr>
        <w:t> </w:t>
      </w:r>
      <w:r>
        <w:rPr>
          <w:spacing w:val="-78"/>
        </w:rPr>
      </w:r>
      <w:r>
        <w:rPr>
          <w:spacing w:val="-5"/>
        </w:rPr>
        <w:t>资本公积中的资本溢价或股本溢价，资本公积中的资本溢价或股本溢价不足冲减的，调整留存收益。</w:t>
      </w:r>
    </w:p>
    <w:p>
      <w:pPr>
        <w:pStyle w:val="BodyText"/>
        <w:spacing w:line="314" w:lineRule="auto"/>
        <w:ind w:left="561" w:right="203"/>
        <w:jc w:val="left"/>
      </w:pPr>
      <w:r>
        <w:rPr/>
        <w:t>（4）不丧失控制权的情况下部分处置对子公司的股权投资 </w:t>
      </w:r>
      <w:r>
        <w:rPr>
          <w:spacing w:val="2"/>
        </w:rPr>
        <w:t>在不丧失控制权的情况下因部分处置对子公司的长期股权投资而取得的处置价款与处置长期</w:t>
      </w:r>
    </w:p>
    <w:p>
      <w:pPr>
        <w:pStyle w:val="BodyText"/>
        <w:spacing w:line="314" w:lineRule="auto"/>
        <w:ind w:right="211"/>
        <w:jc w:val="both"/>
      </w:pPr>
      <w:r>
        <w:rPr>
          <w:spacing w:val="-3"/>
        </w:rPr>
        <w:t>股权投资相对应享有子公司自购买日或合并日开始持续计算的净资产份额之间的差额，调整合并资</w:t>
      </w:r>
      <w:r>
        <w:rPr>
          <w:spacing w:val="-77"/>
        </w:rPr>
        <w:t> </w:t>
      </w:r>
      <w:r>
        <w:rPr>
          <w:spacing w:val="-77"/>
        </w:rPr>
      </w:r>
      <w:r>
        <w:rPr/>
        <w:t>产负债表中的资本公积中的股本溢价，资本公积中的股本溢价不足冲减的，调整留存收益。</w:t>
      </w:r>
    </w:p>
    <w:p>
      <w:pPr>
        <w:spacing w:line="240" w:lineRule="auto" w:before="13"/>
        <w:rPr>
          <w:rFonts w:ascii="宋体" w:hAnsi="宋体" w:cs="宋体" w:eastAsia="宋体" w:hint="default"/>
          <w:sz w:val="20"/>
          <w:szCs w:val="20"/>
        </w:rPr>
      </w:pPr>
    </w:p>
    <w:p>
      <w:pPr>
        <w:tabs>
          <w:tab w:pos="566" w:val="left" w:leader="none"/>
        </w:tabs>
        <w:spacing w:line="326" w:lineRule="auto" w:before="0"/>
        <w:ind w:left="561" w:right="211"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合营安排是指一项由两个或两个以上的参与方共同控制的安排。合营安排分为共同经营和合营</w:t>
      </w:r>
    </w:p>
    <w:p>
      <w:pPr>
        <w:pStyle w:val="BodyText"/>
        <w:spacing w:line="240" w:lineRule="auto" w:before="9"/>
        <w:ind w:right="0"/>
        <w:jc w:val="both"/>
      </w:pPr>
      <w:r>
        <w:rPr/>
        <w:t>企业。</w:t>
      </w:r>
    </w:p>
    <w:p>
      <w:pPr>
        <w:spacing w:after="0" w:line="240" w:lineRule="auto"/>
        <w:jc w:val="both"/>
        <w:sectPr>
          <w:pgSz w:w="11910" w:h="16840"/>
          <w:pgMar w:header="882" w:footer="977" w:top="1120" w:bottom="1160" w:left="15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298" w:firstLine="420"/>
        <w:jc w:val="left"/>
      </w:pPr>
      <w:r>
        <w:rPr/>
        <w:t>（1）共同经营是指本公司享有该安排相关资产且承担该安排相关负债的合营安排。本公司确 认与共同经营中利益份额相关的下列项目，并按照相关企业会计准则的规定进行会计处理：</w:t>
      </w:r>
    </w:p>
    <w:p>
      <w:pPr>
        <w:pStyle w:val="BodyText"/>
        <w:spacing w:line="240" w:lineRule="auto"/>
        <w:ind w:left="561" w:right="84"/>
        <w:jc w:val="left"/>
      </w:pPr>
      <w:r>
        <w:rPr/>
        <w:t>①确认单独所持有的资产，以及按其份额确认共同持有的资产；</w:t>
      </w:r>
    </w:p>
    <w:p>
      <w:pPr>
        <w:pStyle w:val="BodyText"/>
        <w:spacing w:line="240" w:lineRule="auto" w:before="85"/>
        <w:ind w:left="561" w:right="84"/>
        <w:jc w:val="left"/>
      </w:pPr>
      <w:r>
        <w:rPr/>
        <w:t>②确认单独所承担的负债，以及按其份额确认共同承担的负债；</w:t>
      </w:r>
    </w:p>
    <w:p>
      <w:pPr>
        <w:pStyle w:val="BodyText"/>
        <w:spacing w:line="240" w:lineRule="auto" w:before="85"/>
        <w:ind w:left="561" w:right="84"/>
        <w:jc w:val="left"/>
      </w:pPr>
      <w:r>
        <w:rPr/>
        <w:t>③确认出售其享有的共同经营产出份额所产生的收入；</w:t>
      </w:r>
    </w:p>
    <w:p>
      <w:pPr>
        <w:pStyle w:val="BodyText"/>
        <w:spacing w:line="240" w:lineRule="auto" w:before="85"/>
        <w:ind w:left="561" w:right="84"/>
        <w:jc w:val="left"/>
      </w:pPr>
      <w:r>
        <w:rPr/>
        <w:t>④按其份额确认共同经营因出售产出所产生的收入；</w:t>
      </w:r>
    </w:p>
    <w:p>
      <w:pPr>
        <w:pStyle w:val="BodyText"/>
        <w:spacing w:line="240" w:lineRule="auto" w:before="85"/>
        <w:ind w:left="561" w:right="84"/>
        <w:jc w:val="left"/>
      </w:pPr>
      <w:r>
        <w:rPr/>
        <w:t>⑤确认单独所发生的费用，以及按其份额确认共同经营发生的费用。</w:t>
      </w:r>
    </w:p>
    <w:p>
      <w:pPr>
        <w:pStyle w:val="BodyText"/>
        <w:spacing w:line="314" w:lineRule="auto" w:before="85"/>
        <w:ind w:right="298" w:firstLine="420"/>
        <w:jc w:val="left"/>
      </w:pPr>
      <w:r>
        <w:rPr/>
        <w:t>（2）合营企业是指本公司仅对该安排的净资产享有权利的合营安排。本公司按照长期股权投 资有关权益法核算的规定对合营企业的投资进行会计处理。</w:t>
      </w:r>
    </w:p>
    <w:p>
      <w:pPr>
        <w:spacing w:line="240" w:lineRule="auto" w:before="13"/>
        <w:rPr>
          <w:rFonts w:ascii="宋体" w:hAnsi="宋体" w:cs="宋体" w:eastAsia="宋体" w:hint="default"/>
          <w:sz w:val="20"/>
          <w:szCs w:val="20"/>
        </w:rPr>
      </w:pPr>
    </w:p>
    <w:p>
      <w:pPr>
        <w:tabs>
          <w:tab w:pos="566" w:val="left" w:leader="none"/>
        </w:tabs>
        <w:spacing w:line="326" w:lineRule="auto" w:before="0"/>
        <w:ind w:left="561" w:right="311"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公司在编制现金流量表时，将本公司库存现金以及可以随时用于支付的存款确认为现金。公司</w:t>
      </w:r>
    </w:p>
    <w:p>
      <w:pPr>
        <w:pStyle w:val="BodyText"/>
        <w:spacing w:line="314" w:lineRule="auto" w:before="9"/>
        <w:ind w:right="311"/>
        <w:jc w:val="both"/>
      </w:pPr>
      <w:r>
        <w:rPr>
          <w:spacing w:val="-3"/>
        </w:rPr>
        <w:t>将持有的期限短（从购买日起三个月内到期）、流动性强、易于转换为已知金额现金、价值变动风</w:t>
      </w:r>
      <w:r>
        <w:rPr>
          <w:spacing w:val="-81"/>
        </w:rPr>
        <w:t> </w:t>
      </w:r>
      <w:r>
        <w:rPr>
          <w:spacing w:val="-81"/>
        </w:rPr>
      </w:r>
      <w:r>
        <w:rPr>
          <w:spacing w:val="-3"/>
        </w:rPr>
        <w:t>险很小的投资，确定为现金等价物。受到限制的银行存款，不作为现金流量表中的现金及现金等价</w:t>
      </w:r>
      <w:r>
        <w:rPr>
          <w:spacing w:val="-78"/>
        </w:rPr>
        <w:t> </w:t>
      </w:r>
      <w:r>
        <w:rPr>
          <w:spacing w:val="-78"/>
        </w:rPr>
      </w:r>
      <w:r>
        <w:rPr/>
        <w:t>物。</w:t>
      </w:r>
    </w:p>
    <w:p>
      <w:pPr>
        <w:spacing w:line="240" w:lineRule="auto" w:before="13"/>
        <w:rPr>
          <w:rFonts w:ascii="宋体" w:hAnsi="宋体" w:cs="宋体" w:eastAsia="宋体" w:hint="default"/>
          <w:sz w:val="20"/>
          <w:szCs w:val="20"/>
        </w:rPr>
      </w:pPr>
    </w:p>
    <w:p>
      <w:pPr>
        <w:pStyle w:val="Heading2"/>
        <w:tabs>
          <w:tab w:pos="566" w:val="left" w:leader="none"/>
        </w:tabs>
        <w:spacing w:line="240" w:lineRule="auto" w:before="0"/>
        <w:ind w:left="141" w:right="84"/>
        <w:jc w:val="left"/>
        <w:rPr>
          <w:b w:val="0"/>
          <w:bCs w:val="0"/>
        </w:rPr>
      </w:pPr>
      <w:r>
        <w:rPr>
          <w:rFonts w:ascii="Calibri" w:hAnsi="Calibri" w:cs="Calibri" w:eastAsia="Calibri" w:hint="default"/>
        </w:rPr>
        <w:t>9.</w:t>
        <w:tab/>
      </w:r>
      <w:r>
        <w:rPr/>
        <w:t>外币业务和外币报表折算</w:t>
      </w:r>
      <w:r>
        <w:rPr>
          <w:b w:val="0"/>
          <w:bCs w:val="0"/>
        </w:rPr>
      </w:r>
    </w:p>
    <w:p>
      <w:pPr>
        <w:pStyle w:val="BodyText"/>
        <w:spacing w:line="314" w:lineRule="auto" w:before="108"/>
        <w:ind w:left="561" w:right="84"/>
        <w:jc w:val="left"/>
      </w:pPr>
      <w:r>
        <w:rPr/>
        <w:t>（一）外币业务 </w:t>
      </w:r>
      <w:r>
        <w:rPr>
          <w:spacing w:val="-3"/>
        </w:rPr>
        <w:t>发生外币业务时，外币金额按交易发生日的即期汇率折算为人民币入账，期末按照下列方法对</w:t>
      </w:r>
    </w:p>
    <w:p>
      <w:pPr>
        <w:pStyle w:val="BodyText"/>
        <w:spacing w:line="240" w:lineRule="auto"/>
        <w:ind w:right="84"/>
        <w:jc w:val="left"/>
      </w:pPr>
      <w:r>
        <w:rPr/>
        <w:t>外币货币性项目和外币非货币性项目进行处理：</w:t>
      </w:r>
    </w:p>
    <w:p>
      <w:pPr>
        <w:pStyle w:val="BodyText"/>
        <w:spacing w:line="314" w:lineRule="auto" w:before="85"/>
        <w:ind w:right="298" w:firstLine="420"/>
        <w:jc w:val="left"/>
      </w:pPr>
      <w:r>
        <w:rPr/>
        <w:t>（1）外币货币性项目，采用资产负债表日即期汇率折算。因资产负债表日即期汇率与初始确 认或者前一资产负债表日即期汇率不同而产生的汇兑差额，计入当期损益。</w:t>
      </w:r>
    </w:p>
    <w:p>
      <w:pPr>
        <w:pStyle w:val="BodyText"/>
        <w:spacing w:line="314" w:lineRule="auto"/>
        <w:ind w:right="298" w:firstLine="420"/>
        <w:jc w:val="left"/>
      </w:pPr>
      <w:r>
        <w:rPr/>
        <w:t>（2）以历史成本计量的外币非货币性项目，仍采用交易发生日的即期汇率折算，不改变其记 账本位币金额。</w:t>
      </w:r>
    </w:p>
    <w:p>
      <w:pPr>
        <w:pStyle w:val="BodyText"/>
        <w:spacing w:line="314" w:lineRule="auto"/>
        <w:ind w:right="298" w:firstLine="420"/>
        <w:jc w:val="left"/>
      </w:pPr>
      <w:r>
        <w:rPr/>
        <w:t>（3）对以公允价值计量的外币非货币性项目，按公允价值确定日即期汇率折算，由此产生的 汇兑损益计入当期损益或其他综合收益。</w:t>
      </w:r>
    </w:p>
    <w:p>
      <w:pPr>
        <w:pStyle w:val="BodyText"/>
        <w:spacing w:line="314" w:lineRule="auto"/>
        <w:ind w:right="84" w:firstLine="420"/>
        <w:jc w:val="left"/>
      </w:pPr>
      <w:r>
        <w:rPr/>
        <w:t>外币汇兑损益除与购建或者生产符合资本化条件的资产有关的外币专门借款产生的汇兑损益， </w:t>
      </w:r>
      <w:r>
        <w:rPr>
          <w:spacing w:val="-3"/>
        </w:rPr>
        <w:t>在资产达到预定可使用或者可销售状态前计入符合资本化条件的资产的成本，其余均计入当期损益。</w:t>
      </w:r>
    </w:p>
    <w:p>
      <w:pPr>
        <w:pStyle w:val="BodyText"/>
        <w:spacing w:line="314" w:lineRule="auto"/>
        <w:ind w:left="561" w:right="298"/>
        <w:jc w:val="left"/>
      </w:pPr>
      <w:r>
        <w:rPr/>
        <w:t>（二）外币财务报表的折算 本公司对合并范围内境外经营实体的财务报表，折算为人民币财务报表进行编报。 1、资产负债表中的资产和负债项目，采用资产负债表日的即期汇率折算；所有者权益项目除</w:t>
      </w:r>
    </w:p>
    <w:p>
      <w:pPr>
        <w:pStyle w:val="BodyText"/>
        <w:spacing w:line="314" w:lineRule="auto"/>
        <w:ind w:left="561" w:right="2608" w:hanging="420"/>
        <w:jc w:val="left"/>
      </w:pPr>
      <w:r>
        <w:rPr/>
        <w:t>“未分配利润”项目外，其他项目采用发生时的即期汇率折算。 2、利润表中的收入和费用项目，采用交易发生日的即期汇率折算。</w:t>
      </w:r>
    </w:p>
    <w:p>
      <w:pPr>
        <w:pStyle w:val="BodyText"/>
        <w:spacing w:line="314" w:lineRule="auto"/>
        <w:ind w:right="298" w:firstLine="420"/>
        <w:jc w:val="left"/>
      </w:pPr>
      <w:r>
        <w:rPr>
          <w:spacing w:val="-5"/>
        </w:rPr>
        <w:t>3、现金流量表采用现金流量发生日的即期汇率折算。汇率变动对现金的影响额作为调节项目，</w:t>
      </w:r>
      <w:r>
        <w:rPr/>
        <w:t> 在现金流量表中单独列示“汇率变动对现金及现金等价物的影响”项目予以反映。</w:t>
      </w:r>
    </w:p>
    <w:p>
      <w:pPr>
        <w:pStyle w:val="BodyText"/>
        <w:spacing w:line="314" w:lineRule="auto"/>
        <w:ind w:right="311" w:firstLine="420"/>
        <w:jc w:val="both"/>
      </w:pPr>
      <w:r>
        <w:rPr/>
        <w:t>4、按照上述折算产生的外币财务报表折算差额，在资产负债表所有者权益项目下的“其他综 </w:t>
      </w:r>
      <w:r>
        <w:rPr>
          <w:spacing w:val="-3"/>
        </w:rPr>
        <w:t>合收益”项目反映。处置境外经营时，将与该境外经营相关的外币财务报表折算差额，自所有者权</w:t>
      </w:r>
      <w:r>
        <w:rPr>
          <w:spacing w:val="-80"/>
        </w:rPr>
        <w:t> </w:t>
      </w:r>
      <w:r>
        <w:rPr>
          <w:spacing w:val="-80"/>
        </w:rPr>
      </w:r>
      <w:r>
        <w:rPr/>
        <w:t>益项目下的“其他综合收益”全部或按处置该境外经营的比例转入处置当期损益。</w:t>
      </w:r>
    </w:p>
    <w:p>
      <w:pPr>
        <w:spacing w:after="0" w:line="314" w:lineRule="auto"/>
        <w:jc w:val="both"/>
        <w:sectPr>
          <w:pgSz w:w="11910" w:h="16840"/>
          <w:pgMar w:header="882" w:footer="977" w:top="1120" w:bottom="1160" w:left="1560" w:right="960"/>
        </w:sectPr>
      </w:pPr>
    </w:p>
    <w:p>
      <w:pPr>
        <w:spacing w:line="240" w:lineRule="auto" w:before="3"/>
        <w:rPr>
          <w:rFonts w:ascii="宋体" w:hAnsi="宋体" w:cs="宋体" w:eastAsia="宋体" w:hint="default"/>
          <w:sz w:val="25"/>
          <w:szCs w:val="25"/>
        </w:rPr>
      </w:pPr>
    </w:p>
    <w:p>
      <w:pPr>
        <w:pStyle w:val="Heading2"/>
        <w:spacing w:line="240" w:lineRule="auto"/>
        <w:ind w:left="141" w:right="227"/>
        <w:jc w:val="left"/>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pStyle w:val="BodyText"/>
        <w:tabs>
          <w:tab w:pos="981" w:val="left" w:leader="none"/>
        </w:tabs>
        <w:spacing w:line="240" w:lineRule="auto" w:before="108"/>
        <w:ind w:left="561" w:right="227"/>
        <w:jc w:val="left"/>
      </w:pPr>
      <w:r>
        <w:rPr>
          <w:rFonts w:ascii="宋体" w:hAnsi="宋体" w:cs="宋体" w:eastAsia="宋体" w:hint="default"/>
        </w:rPr>
        <w:t>1.</w:t>
        <w:tab/>
      </w:r>
      <w:r>
        <w:rPr/>
        <w:t>金融工具分为下列五类</w:t>
      </w:r>
    </w:p>
    <w:p>
      <w:pPr>
        <w:pStyle w:val="BodyText"/>
        <w:spacing w:line="314" w:lineRule="auto" w:before="85"/>
        <w:ind w:right="198" w:firstLine="420"/>
        <w:jc w:val="left"/>
      </w:pPr>
      <w:r>
        <w:rPr/>
        <w:t>（1）以公允价值计量且其变动计入当期损益的金融资产或金融负债，包括交易性金融资产或 金融负债和直接指定为以公允价值计量且其变动计入当期损益的金融资产或金融负债；</w:t>
      </w:r>
    </w:p>
    <w:p>
      <w:pPr>
        <w:pStyle w:val="BodyText"/>
        <w:spacing w:line="240" w:lineRule="auto"/>
        <w:ind w:left="561" w:right="227"/>
        <w:jc w:val="left"/>
      </w:pPr>
      <w:r>
        <w:rPr/>
        <w:t>（2）持有至到期投资；</w:t>
      </w:r>
    </w:p>
    <w:p>
      <w:pPr>
        <w:pStyle w:val="BodyText"/>
        <w:spacing w:line="240" w:lineRule="auto" w:before="85"/>
        <w:ind w:left="561" w:right="227"/>
        <w:jc w:val="left"/>
      </w:pPr>
      <w:r>
        <w:rPr/>
        <w:t>（3）贷款和应收款项；</w:t>
      </w:r>
    </w:p>
    <w:p>
      <w:pPr>
        <w:pStyle w:val="BodyText"/>
        <w:spacing w:line="240" w:lineRule="auto" w:before="85"/>
        <w:ind w:left="561" w:right="227"/>
        <w:jc w:val="left"/>
      </w:pPr>
      <w:r>
        <w:rPr/>
        <w:t>（4）可供出售金融资产；</w:t>
      </w:r>
    </w:p>
    <w:p>
      <w:pPr>
        <w:pStyle w:val="BodyText"/>
        <w:spacing w:line="240" w:lineRule="auto" w:before="85"/>
        <w:ind w:left="561" w:right="227"/>
        <w:jc w:val="left"/>
      </w:pPr>
      <w:r>
        <w:rPr/>
        <w:t>（5）其他金融负债。</w:t>
      </w:r>
    </w:p>
    <w:p>
      <w:pPr>
        <w:pStyle w:val="BodyText"/>
        <w:tabs>
          <w:tab w:pos="981" w:val="left" w:leader="none"/>
        </w:tabs>
        <w:spacing w:line="314" w:lineRule="auto" w:before="85"/>
        <w:ind w:left="561" w:right="211"/>
        <w:jc w:val="left"/>
      </w:pPr>
      <w:r>
        <w:rPr>
          <w:rFonts w:ascii="宋体" w:hAnsi="宋体" w:cs="宋体" w:eastAsia="宋体" w:hint="default"/>
        </w:rPr>
        <w:t>2.</w:t>
        <w:tab/>
      </w:r>
      <w:r>
        <w:rPr/>
        <w:t>确认依据和计量方法 </w:t>
      </w:r>
      <w:r>
        <w:rPr>
          <w:spacing w:val="-3"/>
        </w:rPr>
        <w:t>金融工具的确认依据：当公司成为金融工具合同的一方时，确认与之相关的金融资产或金融负</w:t>
      </w:r>
    </w:p>
    <w:p>
      <w:pPr>
        <w:pStyle w:val="BodyText"/>
        <w:spacing w:line="240" w:lineRule="auto"/>
        <w:ind w:right="227"/>
        <w:jc w:val="left"/>
      </w:pPr>
      <w:r>
        <w:rPr/>
        <w:t>债。</w:t>
      </w:r>
    </w:p>
    <w:p>
      <w:pPr>
        <w:pStyle w:val="BodyText"/>
        <w:spacing w:line="240" w:lineRule="auto" w:before="85"/>
        <w:ind w:left="561" w:right="227"/>
        <w:jc w:val="left"/>
      </w:pPr>
      <w:r>
        <w:rPr/>
        <w:t>金融工具的计量方法：</w:t>
      </w:r>
    </w:p>
    <w:p>
      <w:pPr>
        <w:pStyle w:val="BodyText"/>
        <w:spacing w:line="314" w:lineRule="auto" w:before="85"/>
        <w:ind w:right="211" w:firstLine="420"/>
        <w:jc w:val="both"/>
      </w:pPr>
      <w:r>
        <w:rPr/>
        <w:t>（1）以公允价值计量且其变动计入当期损益的金融资产或金融负债：按照取得时的公允价值 </w:t>
      </w:r>
      <w:r>
        <w:rPr>
          <w:spacing w:val="-3"/>
        </w:rPr>
        <w:t>作为初始确认金额，相关的交易费用在发生时计入当期损益。支付的价款中包含已宣告发放的现金</w:t>
      </w:r>
      <w:r>
        <w:rPr>
          <w:spacing w:val="-78"/>
        </w:rPr>
        <w:t> </w:t>
      </w:r>
      <w:r>
        <w:rPr>
          <w:spacing w:val="-78"/>
        </w:rPr>
      </w:r>
      <w:r>
        <w:rPr>
          <w:spacing w:val="-3"/>
        </w:rPr>
        <w:t>股利或债券利息，单独确认为应收项目。持有期间取得的利息或现金股利，确认为投资收益。资产</w:t>
      </w:r>
      <w:r>
        <w:rPr>
          <w:spacing w:val="-80"/>
        </w:rPr>
        <w:t> </w:t>
      </w:r>
      <w:r>
        <w:rPr>
          <w:spacing w:val="-80"/>
        </w:rPr>
      </w:r>
      <w:r>
        <w:rPr>
          <w:spacing w:val="-3"/>
        </w:rPr>
        <w:t>负债表日，将其公允价值变动计入当期损益。处置时，其公允价值与初始入账金额之间的差额确认</w:t>
      </w:r>
      <w:r>
        <w:rPr>
          <w:spacing w:val="-78"/>
        </w:rPr>
        <w:t> </w:t>
      </w:r>
      <w:r>
        <w:rPr>
          <w:spacing w:val="-78"/>
        </w:rPr>
      </w:r>
      <w:r>
        <w:rPr/>
        <w:t>为投资收益，同时调整公允价值变动损益。</w:t>
      </w:r>
    </w:p>
    <w:p>
      <w:pPr>
        <w:pStyle w:val="BodyText"/>
        <w:spacing w:line="314" w:lineRule="auto"/>
        <w:ind w:right="103" w:firstLine="420"/>
        <w:jc w:val="left"/>
      </w:pPr>
      <w:r>
        <w:rPr/>
        <w:t>（2）持有至到期投资：按取得时的公允价值和相关交易费用之和作为初始确认金额。支付的 </w:t>
      </w:r>
      <w:r>
        <w:rPr>
          <w:spacing w:val="-5"/>
        </w:rPr>
        <w:t>价款中包含已宣告发放债券利息的，单独确认为应收项目。持有期间按照实际利率法确认利息收入，</w:t>
      </w:r>
      <w:r>
        <w:rPr>
          <w:spacing w:val="-93"/>
        </w:rPr>
        <w:t> </w:t>
      </w:r>
      <w:r>
        <w:rPr>
          <w:spacing w:val="-93"/>
        </w:rPr>
      </w:r>
      <w:r>
        <w:rPr>
          <w:spacing w:val="-3"/>
        </w:rPr>
        <w:t>计入投资收益。实际利率与票面利率差别很小的，可按票面利率计算利息收入，计入投资收益。处</w:t>
      </w:r>
      <w:r>
        <w:rPr>
          <w:spacing w:val="-80"/>
        </w:rPr>
        <w:t> </w:t>
      </w:r>
      <w:r>
        <w:rPr>
          <w:spacing w:val="-80"/>
        </w:rPr>
      </w:r>
      <w:r>
        <w:rPr/>
        <w:t>置持有至到期投资时，将所取得价款与该投资账面价值之间的差额计入投资收益。</w:t>
      </w:r>
    </w:p>
    <w:p>
      <w:pPr>
        <w:pStyle w:val="BodyText"/>
        <w:spacing w:line="314" w:lineRule="auto"/>
        <w:ind w:right="198" w:firstLine="420"/>
        <w:jc w:val="left"/>
      </w:pPr>
      <w:r>
        <w:rPr/>
        <w:t>（3）应收款项：按从购货方应收的合同或协议价款作为初始入账金额。单项金额重大的应收 款项持有期间采用实际利率法，按摊余成本进行后续计量。</w:t>
      </w:r>
    </w:p>
    <w:p>
      <w:pPr>
        <w:pStyle w:val="BodyText"/>
        <w:spacing w:line="314" w:lineRule="auto"/>
        <w:ind w:right="211" w:firstLine="420"/>
        <w:jc w:val="both"/>
      </w:pPr>
      <w:r>
        <w:rPr/>
        <w:t>（4）可供出售金融资产：按取得该金融资产的公允价值和相关费用之和作为初始确认金额。 </w:t>
      </w:r>
      <w:r>
        <w:rPr>
          <w:spacing w:val="-3"/>
        </w:rPr>
        <w:t>支付的价款中包含了已宣告发放的债券利息或现金股利的，单独确认为应收项目。持有期间取得的</w:t>
      </w:r>
      <w:r>
        <w:rPr>
          <w:spacing w:val="-78"/>
        </w:rPr>
        <w:t> </w:t>
      </w:r>
      <w:r>
        <w:rPr>
          <w:spacing w:val="-78"/>
        </w:rPr>
      </w:r>
      <w:r>
        <w:rPr>
          <w:spacing w:val="-3"/>
        </w:rPr>
        <w:t>利息或现金股利，计入投资收益。期末，可供出售金融资产以公允价值计量，且公允价值变动计入</w:t>
      </w:r>
      <w:r>
        <w:rPr>
          <w:spacing w:val="-80"/>
        </w:rPr>
        <w:t> </w:t>
      </w:r>
      <w:r>
        <w:rPr>
          <w:spacing w:val="-80"/>
        </w:rPr>
      </w:r>
      <w:r>
        <w:rPr/>
        <w:t>其他综合收益。</w:t>
      </w:r>
    </w:p>
    <w:p>
      <w:pPr>
        <w:pStyle w:val="BodyText"/>
        <w:spacing w:line="314" w:lineRule="auto"/>
        <w:ind w:right="203" w:firstLine="420"/>
        <w:jc w:val="left"/>
      </w:pPr>
      <w:r>
        <w:rPr>
          <w:spacing w:val="-3"/>
        </w:rPr>
        <w:t>对于在活跃市场中没有报价且其公允价值不能可靠计量的权益工具投资，以及与该权益工具挂</w:t>
      </w:r>
      <w:r>
        <w:rPr/>
        <w:t> 钩并须通过交付该权益工具结算的衍生金融资产，按成本计量。</w:t>
      </w:r>
    </w:p>
    <w:p>
      <w:pPr>
        <w:pStyle w:val="BodyText"/>
        <w:spacing w:line="314" w:lineRule="auto"/>
        <w:ind w:right="93" w:firstLine="420"/>
        <w:jc w:val="left"/>
      </w:pPr>
      <w:r>
        <w:rPr/>
        <w:t>处置可供出售金融资产时，将取得的价款与该金融资产账面价值之间的差额，计入当期损益； </w:t>
      </w:r>
      <w:r>
        <w:rPr>
          <w:spacing w:val="-5"/>
        </w:rPr>
        <w:t>同时，将原直接计入其他综合收益的公允价值变动累计额对应处置部分的金额转出，计入当期损益。</w:t>
      </w:r>
    </w:p>
    <w:p>
      <w:pPr>
        <w:pStyle w:val="BodyText"/>
        <w:spacing w:line="314" w:lineRule="auto"/>
        <w:ind w:right="211" w:firstLine="420"/>
        <w:jc w:val="both"/>
      </w:pPr>
      <w:r>
        <w:rPr/>
        <w:t>（5）其他金融负债：按其公允价值和相关交易费用之和作为初始入账金额，除《企业会计准 则第</w:t>
      </w:r>
      <w:r>
        <w:rPr>
          <w:spacing w:val="-51"/>
        </w:rPr>
        <w:t> </w:t>
      </w:r>
      <w:r>
        <w:rPr/>
        <w:t>22</w:t>
      </w:r>
      <w:r>
        <w:rPr>
          <w:spacing w:val="-51"/>
        </w:rPr>
        <w:t> </w:t>
      </w:r>
      <w:r>
        <w:rPr/>
        <w:t>号——金融工具确认与计量》第三十三条规定的三种情况外，采用实际利率法，按摊余成</w:t>
      </w:r>
      <w:r>
        <w:rPr/>
        <w:t> 本进行后续计量。</w:t>
      </w:r>
    </w:p>
    <w:p>
      <w:pPr>
        <w:pStyle w:val="BodyText"/>
        <w:spacing w:line="314" w:lineRule="auto"/>
        <w:ind w:left="561" w:right="5028"/>
        <w:jc w:val="left"/>
      </w:pPr>
      <w:r>
        <w:rPr/>
        <w:t>3、金融资产转移的确认依据和计量方法 金融资产转移的确认</w:t>
      </w:r>
    </w:p>
    <w:p>
      <w:pPr>
        <w:spacing w:line="240" w:lineRule="auto" w:before="11"/>
        <w:rPr>
          <w:rFonts w:ascii="宋体" w:hAnsi="宋体" w:cs="宋体" w:eastAsia="宋体" w:hint="default"/>
          <w:sz w:val="15"/>
          <w:szCs w:val="15"/>
        </w:rPr>
      </w:pPr>
    </w:p>
    <w:p>
      <w:pPr>
        <w:spacing w:line="512" w:lineRule="exact"/>
        <w:ind w:left="11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53.3pt;height:25.65pt;mso-position-horizontal-relative:char;mso-position-vertical-relative:line" coordorigin="0,0" coordsize="9066,513">
            <v:group style="position:absolute;left:10;top:19;width:5314;height:2" coordorigin="10,19" coordsize="5314,2">
              <v:shape style="position:absolute;left:10;top:19;width:5314;height:2" coordorigin="10,19" coordsize="5314,0" path="m10,19l5323,19e" filled="false" stroked="true" strokeweight=".95999pt" strokecolor="#000000">
                <v:path arrowok="t"/>
              </v:shape>
            </v:group>
            <v:group style="position:absolute;left:5342;top:19;width:3705;height:2" coordorigin="5342,19" coordsize="3705,2">
              <v:shape style="position:absolute;left:5342;top:19;width:3705;height:2" coordorigin="5342,19" coordsize="3705,0" path="m5342,19l9047,19e" filled="false" stroked="true" strokeweight=".95999pt" strokecolor="#000000">
                <v:path arrowok="t"/>
              </v:shape>
            </v:group>
            <v:group style="position:absolute;left:19;top:10;width:2;height:494" coordorigin="19,10" coordsize="2,494">
              <v:shape style="position:absolute;left:19;top:10;width:2;height:494" coordorigin="19,10" coordsize="0,494" path="m19,10l19,503e" filled="false" stroked="true" strokeweight=".96001pt" strokecolor="#000000">
                <v:path arrowok="t"/>
              </v:shape>
            </v:group>
            <v:group style="position:absolute;left:10;top:493;width:5314;height:2" coordorigin="10,493" coordsize="5314,2">
              <v:shape style="position:absolute;left:10;top:493;width:5314;height:2" coordorigin="10,493" coordsize="5314,0" path="m10,493l5323,493e" filled="false" stroked="true" strokeweight=".96002pt" strokecolor="#000000">
                <v:path arrowok="t"/>
              </v:shape>
            </v:group>
            <v:group style="position:absolute;left:5333;top:10;width:2;height:494" coordorigin="5333,10" coordsize="2,494">
              <v:shape style="position:absolute;left:5333;top:10;width:2;height:494" coordorigin="5333,10" coordsize="0,494" path="m5333,10l5333,503e" filled="false" stroked="true" strokeweight=".95999pt" strokecolor="#000000">
                <v:path arrowok="t"/>
              </v:shape>
            </v:group>
            <v:group style="position:absolute;left:5342;top:493;width:3705;height:2" coordorigin="5342,493" coordsize="3705,2">
              <v:shape style="position:absolute;left:5342;top:493;width:3705;height:2" coordorigin="5342,493" coordsize="3705,0" path="m5342,493l9047,493e" filled="false" stroked="true" strokeweight=".96002pt" strokecolor="#000000">
                <v:path arrowok="t"/>
              </v:shape>
            </v:group>
            <v:group style="position:absolute;left:9056;top:10;width:2;height:494" coordorigin="9056,10" coordsize="2,494">
              <v:shape style="position:absolute;left:9056;top:10;width:2;height:494" coordorigin="9056,10" coordsize="0,494" path="m9056,10l9056,503e" filled="false" stroked="true" strokeweight=".95996pt" strokecolor="#000000">
                <v:path arrowok="t"/>
              </v:shape>
              <v:shape style="position:absolute;left:2466;top:184;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情形</w:t>
                      </w:r>
                    </w:p>
                  </w:txbxContent>
                </v:textbox>
                <w10:wrap type="none"/>
              </v:shape>
              <v:shape style="position:absolute;left:5333;top:19;width:3724;height:474" type="#_x0000_t202" filled="false" stroked="false">
                <v:textbox inset="0,0,0,0">
                  <w:txbxContent>
                    <w:p>
                      <w:pPr>
                        <w:spacing w:before="100"/>
                        <w:ind w:left="0" w:right="1" w:firstLine="0"/>
                        <w:jc w:val="center"/>
                        <w:rPr>
                          <w:rFonts w:ascii="宋体" w:hAnsi="宋体" w:cs="宋体" w:eastAsia="宋体" w:hint="default"/>
                          <w:sz w:val="21"/>
                          <w:szCs w:val="21"/>
                        </w:rPr>
                      </w:pPr>
                      <w:r>
                        <w:rPr>
                          <w:rFonts w:ascii="宋体" w:hAnsi="宋体" w:cs="宋体" w:eastAsia="宋体" w:hint="default"/>
                          <w:sz w:val="21"/>
                          <w:szCs w:val="21"/>
                        </w:rPr>
                        <w:t>确认结果</w:t>
                      </w:r>
                    </w:p>
                  </w:txbxContent>
                </v:textbox>
                <w10:wrap type="none"/>
              </v:shape>
            </v:group>
          </v:group>
        </w:pict>
      </w:r>
      <w:r>
        <w:rPr>
          <w:rFonts w:ascii="宋体" w:hAnsi="宋体" w:cs="宋体" w:eastAsia="宋体" w:hint="default"/>
          <w:position w:val="-9"/>
          <w:sz w:val="20"/>
          <w:szCs w:val="20"/>
        </w:rPr>
      </w:r>
    </w:p>
    <w:p>
      <w:pPr>
        <w:spacing w:after="0" w:line="512" w:lineRule="exact"/>
        <w:rPr>
          <w:rFonts w:ascii="宋体" w:hAnsi="宋体" w:cs="宋体" w:eastAsia="宋体" w:hint="default"/>
          <w:sz w:val="20"/>
          <w:szCs w:val="20"/>
        </w:rPr>
        <w:sectPr>
          <w:pgSz w:w="11910" w:h="16840"/>
          <w:pgMar w:header="882" w:footer="977" w:top="1120" w:bottom="1160" w:left="15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2735"/>
        <w:gridCol w:w="2579"/>
        <w:gridCol w:w="3724"/>
      </w:tblGrid>
      <w:tr>
        <w:trPr>
          <w:trHeight w:val="474" w:hRule="exact"/>
        </w:trPr>
        <w:tc>
          <w:tcPr>
            <w:tcW w:w="531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441" w:right="0"/>
              <w:jc w:val="left"/>
              <w:rPr>
                <w:rFonts w:ascii="宋体" w:hAnsi="宋体" w:cs="宋体" w:eastAsia="宋体" w:hint="default"/>
                <w:sz w:val="21"/>
                <w:szCs w:val="21"/>
              </w:rPr>
            </w:pPr>
            <w:r>
              <w:rPr>
                <w:rFonts w:ascii="宋体" w:hAnsi="宋体" w:cs="宋体" w:eastAsia="宋体" w:hint="default"/>
                <w:sz w:val="21"/>
                <w:szCs w:val="21"/>
              </w:rPr>
              <w:t>已转移金融资产所有权上几乎所有的风险和报酬</w:t>
            </w:r>
          </w:p>
        </w:tc>
        <w:tc>
          <w:tcPr>
            <w:tcW w:w="3724"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pacing w:val="-18"/>
                <w:sz w:val="21"/>
                <w:szCs w:val="21"/>
              </w:rPr>
              <w:t>终止确认该金融资产(确认新资产/负债)</w:t>
            </w:r>
            <w:r>
              <w:rPr>
                <w:rFonts w:ascii="宋体" w:hAnsi="宋体" w:cs="宋体" w:eastAsia="宋体" w:hint="default"/>
                <w:sz w:val="21"/>
                <w:szCs w:val="21"/>
              </w:rPr>
            </w:r>
          </w:p>
        </w:tc>
      </w:tr>
      <w:tr>
        <w:trPr>
          <w:trHeight w:val="474" w:hRule="exact"/>
        </w:trPr>
        <w:tc>
          <w:tcPr>
            <w:tcW w:w="2735" w:type="dxa"/>
            <w:vMerge w:val="restart"/>
            <w:tcBorders>
              <w:top w:val="single" w:sz="8" w:space="0" w:color="000000"/>
              <w:left w:val="single" w:sz="8" w:space="0" w:color="000000"/>
              <w:right w:val="single" w:sz="8" w:space="0" w:color="000000"/>
            </w:tcBorders>
          </w:tcPr>
          <w:p>
            <w:pPr>
              <w:pStyle w:val="TableParagraph"/>
              <w:spacing w:line="314" w:lineRule="auto" w:before="100"/>
              <w:ind w:left="-1" w:right="-18"/>
              <w:jc w:val="both"/>
              <w:rPr>
                <w:rFonts w:ascii="宋体" w:hAnsi="宋体" w:cs="宋体" w:eastAsia="宋体" w:hint="default"/>
                <w:sz w:val="21"/>
                <w:szCs w:val="21"/>
              </w:rPr>
            </w:pPr>
            <w:r>
              <w:rPr>
                <w:rFonts w:ascii="宋体" w:hAnsi="宋体" w:cs="宋体" w:eastAsia="宋体" w:hint="default"/>
                <w:spacing w:val="17"/>
                <w:sz w:val="21"/>
                <w:szCs w:val="21"/>
              </w:rPr>
              <w:t>既没有转移也没有保留金融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7"/>
                <w:sz w:val="21"/>
                <w:szCs w:val="21"/>
              </w:rPr>
              <w:t>资产所有权上几乎所有的风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险和报酬</w:t>
            </w:r>
          </w:p>
        </w:tc>
        <w:tc>
          <w:tcPr>
            <w:tcW w:w="2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放弃了对该金融资产控制</w:t>
            </w:r>
          </w:p>
        </w:tc>
        <w:tc>
          <w:tcPr>
            <w:tcW w:w="3724" w:type="dxa"/>
            <w:vMerge/>
            <w:tcBorders>
              <w:left w:val="single" w:sz="8" w:space="0" w:color="000000"/>
              <w:bottom w:val="single" w:sz="8" w:space="0" w:color="000000"/>
              <w:right w:val="single" w:sz="8" w:space="0" w:color="000000"/>
            </w:tcBorders>
          </w:tcPr>
          <w:p>
            <w:pPr/>
          </w:p>
        </w:tc>
      </w:tr>
      <w:tr>
        <w:trPr>
          <w:trHeight w:val="739" w:hRule="exact"/>
        </w:trPr>
        <w:tc>
          <w:tcPr>
            <w:tcW w:w="2735" w:type="dxa"/>
            <w:vMerge/>
            <w:tcBorders>
              <w:left w:val="single" w:sz="8" w:space="0" w:color="000000"/>
              <w:bottom w:val="single" w:sz="8" w:space="0" w:color="000000"/>
              <w:right w:val="single" w:sz="8" w:space="0" w:color="000000"/>
            </w:tcBorders>
          </w:tcPr>
          <w:p>
            <w:pPr/>
          </w:p>
        </w:tc>
        <w:tc>
          <w:tcPr>
            <w:tcW w:w="2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未放弃对该金融资产控制</w:t>
            </w:r>
          </w:p>
        </w:tc>
        <w:tc>
          <w:tcPr>
            <w:tcW w:w="3724"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2"/>
              <w:ind w:left="-1" w:right="-9"/>
              <w:jc w:val="left"/>
              <w:rPr>
                <w:rFonts w:ascii="宋体" w:hAnsi="宋体" w:cs="宋体" w:eastAsia="宋体" w:hint="default"/>
                <w:sz w:val="21"/>
                <w:szCs w:val="21"/>
              </w:rPr>
            </w:pPr>
            <w:r>
              <w:rPr>
                <w:rFonts w:ascii="宋体" w:hAnsi="宋体" w:cs="宋体" w:eastAsia="宋体" w:hint="default"/>
                <w:spacing w:val="8"/>
                <w:sz w:val="21"/>
                <w:szCs w:val="21"/>
              </w:rPr>
              <w:t>按照继续涉入所转移金融资产的程度确 </w:t>
            </w:r>
            <w:r>
              <w:rPr>
                <w:rFonts w:ascii="宋体" w:hAnsi="宋体" w:cs="宋体" w:eastAsia="宋体" w:hint="default"/>
                <w:sz w:val="21"/>
                <w:szCs w:val="21"/>
              </w:rPr>
              <w:t>认有关资产和负债及任何保留权益</w:t>
            </w:r>
          </w:p>
        </w:tc>
      </w:tr>
      <w:tr>
        <w:trPr>
          <w:trHeight w:val="864" w:hRule="exact"/>
        </w:trPr>
        <w:tc>
          <w:tcPr>
            <w:tcW w:w="2735"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05"/>
              <w:ind w:left="-1" w:right="-18"/>
              <w:jc w:val="left"/>
              <w:rPr>
                <w:rFonts w:ascii="宋体" w:hAnsi="宋体" w:cs="宋体" w:eastAsia="宋体" w:hint="default"/>
                <w:sz w:val="21"/>
                <w:szCs w:val="21"/>
              </w:rPr>
            </w:pPr>
            <w:r>
              <w:rPr>
                <w:rFonts w:ascii="宋体" w:hAnsi="宋体" w:cs="宋体" w:eastAsia="宋体" w:hint="default"/>
                <w:spacing w:val="17"/>
                <w:sz w:val="21"/>
                <w:szCs w:val="21"/>
              </w:rPr>
              <w:t>保留了金融资产所有权上几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乎所有的风险和报酬</w:t>
            </w:r>
          </w:p>
        </w:tc>
        <w:tc>
          <w:tcPr>
            <w:tcW w:w="63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98" w:right="0"/>
              <w:jc w:val="left"/>
              <w:rPr>
                <w:rFonts w:ascii="宋体" w:hAnsi="宋体" w:cs="宋体" w:eastAsia="宋体" w:hint="default"/>
                <w:sz w:val="21"/>
                <w:szCs w:val="21"/>
              </w:rPr>
            </w:pPr>
            <w:r>
              <w:rPr>
                <w:rFonts w:ascii="宋体" w:hAnsi="宋体" w:cs="宋体" w:eastAsia="宋体" w:hint="default"/>
                <w:sz w:val="21"/>
                <w:szCs w:val="21"/>
              </w:rPr>
              <w:t>继续确认该金融资产,并将收益确认为负债</w:t>
            </w:r>
          </w:p>
        </w:tc>
      </w:tr>
    </w:tbl>
    <w:p>
      <w:pPr>
        <w:pStyle w:val="BodyText"/>
        <w:spacing w:line="240" w:lineRule="auto" w:before="42"/>
        <w:ind w:left="561" w:right="84"/>
        <w:jc w:val="left"/>
      </w:pPr>
      <w:r>
        <w:rPr/>
        <w:t>公司将金融资产转移区分为金融资产整体转移和部分转移。</w:t>
      </w:r>
    </w:p>
    <w:p>
      <w:pPr>
        <w:pStyle w:val="BodyText"/>
        <w:spacing w:line="314" w:lineRule="auto" w:before="85"/>
        <w:ind w:right="203" w:firstLine="420"/>
        <w:jc w:val="left"/>
      </w:pPr>
      <w:r>
        <w:rPr/>
        <w:t>（1）金融资产整体转移满足终止确认条件的，将下列两项金额的差额计入当期损益：所转移 </w:t>
      </w:r>
      <w:r>
        <w:rPr>
          <w:spacing w:val="-5"/>
        </w:rPr>
        <w:t>金融资产的账面价值；因转移而收到的对价，与原直接计入所有者权益的公允价值变动累计额之和。</w:t>
      </w:r>
    </w:p>
    <w:p>
      <w:pPr>
        <w:pStyle w:val="BodyText"/>
        <w:spacing w:line="314" w:lineRule="auto"/>
        <w:ind w:right="311" w:firstLine="420"/>
        <w:jc w:val="both"/>
      </w:pPr>
      <w:r>
        <w:rPr/>
        <w:t>（2）金融资产部分转移满足终止确认条件的，将所转移金融资产整体的账面价值，在终止确 </w:t>
      </w:r>
      <w:r>
        <w:rPr>
          <w:spacing w:val="-3"/>
        </w:rPr>
        <w:t>认部分和未终止确认部分之间，按照各自的相对公允价值进行分摊，并将下列两项金额的差额计入</w:t>
      </w:r>
      <w:r>
        <w:rPr>
          <w:spacing w:val="-78"/>
        </w:rPr>
        <w:t> </w:t>
      </w:r>
      <w:r>
        <w:rPr>
          <w:spacing w:val="-78"/>
        </w:rPr>
      </w:r>
      <w:r>
        <w:rPr>
          <w:spacing w:val="-3"/>
        </w:rPr>
        <w:t>当期损益：终止确认部分的账面价值；终止确认部分的对价，与原直接计入所有者权益的公允价值</w:t>
      </w:r>
      <w:r>
        <w:rPr>
          <w:spacing w:val="-78"/>
        </w:rPr>
        <w:t> </w:t>
      </w:r>
      <w:r>
        <w:rPr>
          <w:spacing w:val="-78"/>
        </w:rPr>
      </w:r>
      <w:r>
        <w:rPr/>
        <w:t>变动累计额中对应终止确认部分的金额之和。</w:t>
      </w:r>
    </w:p>
    <w:p>
      <w:pPr>
        <w:pStyle w:val="BodyText"/>
        <w:spacing w:line="314" w:lineRule="auto"/>
        <w:ind w:right="311" w:firstLine="420"/>
        <w:jc w:val="both"/>
      </w:pPr>
      <w:r>
        <w:rPr>
          <w:spacing w:val="-3"/>
        </w:rPr>
        <w:t>金融资产转移不满足终止确认条件的，继续确认所转移的金融资产整体，并将收到的对价确认</w:t>
      </w:r>
      <w:r>
        <w:rPr/>
        <w:t> 为一项金融负债。</w:t>
      </w:r>
    </w:p>
    <w:p>
      <w:pPr>
        <w:pStyle w:val="BodyText"/>
        <w:spacing w:line="314" w:lineRule="auto"/>
        <w:ind w:left="561" w:right="84"/>
        <w:jc w:val="left"/>
      </w:pPr>
      <w:r>
        <w:rPr/>
        <w:t>4、金融负债的终止确认条件 金融负债的现时义务全部或部分已经解除的，才能终止确认该金融负债或其一部分。 </w:t>
      </w:r>
      <w:r>
        <w:rPr>
          <w:spacing w:val="-3"/>
        </w:rPr>
        <w:t>公司将用于偿付金融负债的资产转入某个机构或设立信托，偿付债务的现时义务仍存在的，不</w:t>
      </w:r>
    </w:p>
    <w:p>
      <w:pPr>
        <w:pStyle w:val="BodyText"/>
        <w:spacing w:line="314" w:lineRule="auto"/>
        <w:ind w:left="561" w:right="84" w:hanging="420"/>
        <w:jc w:val="left"/>
      </w:pPr>
      <w:r>
        <w:rPr/>
        <w:t>终止确认该金融负债，也不能终止确认转出的资产。 </w:t>
      </w:r>
      <w:r>
        <w:rPr>
          <w:spacing w:val="-3"/>
        </w:rPr>
        <w:t>公司与债权人之间签订协议(不涉及债务重组所指情形)，以承担新金融负债方式替换现存金融</w:t>
      </w:r>
    </w:p>
    <w:p>
      <w:pPr>
        <w:pStyle w:val="BodyText"/>
        <w:spacing w:line="314" w:lineRule="auto"/>
        <w:ind w:right="311"/>
        <w:jc w:val="both"/>
      </w:pPr>
      <w:r>
        <w:rPr>
          <w:spacing w:val="-3"/>
        </w:rPr>
        <w:t>负债，且新金融负债与现存金融负债的合同条款实质上不同的，终止确认现存金融负债，并同时确</w:t>
      </w:r>
      <w:r>
        <w:rPr>
          <w:spacing w:val="-78"/>
        </w:rPr>
        <w:t> </w:t>
      </w:r>
      <w:r>
        <w:rPr>
          <w:spacing w:val="-78"/>
        </w:rPr>
      </w:r>
      <w:r>
        <w:rPr>
          <w:spacing w:val="-3"/>
        </w:rPr>
        <w:t>认新金融负债。公司对现存金融负债全部或部分的合同条款作出实质性修改的，终止确认现存金融</w:t>
      </w:r>
      <w:r>
        <w:rPr>
          <w:spacing w:val="-78"/>
        </w:rPr>
        <w:t> </w:t>
      </w:r>
      <w:r>
        <w:rPr>
          <w:spacing w:val="-78"/>
        </w:rPr>
      </w:r>
      <w:r>
        <w:rPr/>
        <w:t>负债或其一部分，同时将修改条款后的金融负债确认为一项新金融负债。</w:t>
      </w:r>
    </w:p>
    <w:p>
      <w:pPr>
        <w:pStyle w:val="BodyText"/>
        <w:spacing w:line="314" w:lineRule="auto"/>
        <w:ind w:left="561" w:right="84"/>
        <w:jc w:val="left"/>
      </w:pPr>
      <w:r>
        <w:rPr/>
        <w:t>5、金融资产和金融负债的公允价值确定方法 </w:t>
      </w:r>
      <w:r>
        <w:rPr>
          <w:spacing w:val="-3"/>
        </w:rPr>
        <w:t>存在活跃市场的金融工具，公司以活跃市场中的报价确定其公允价值。不存在活跃市场的金融</w:t>
      </w:r>
    </w:p>
    <w:p>
      <w:pPr>
        <w:pStyle w:val="BodyText"/>
        <w:spacing w:line="314" w:lineRule="auto"/>
        <w:ind w:right="311"/>
        <w:jc w:val="both"/>
      </w:pPr>
      <w:r>
        <w:rPr>
          <w:spacing w:val="-3"/>
        </w:rPr>
        <w:t>工具，公司采用估值技术确定其公允价值。在估值时，本公司采用在当前情况下适用并且有足够可</w:t>
      </w:r>
      <w:r>
        <w:rPr>
          <w:spacing w:val="-78"/>
        </w:rPr>
        <w:t> </w:t>
      </w:r>
      <w:r>
        <w:rPr>
          <w:spacing w:val="-78"/>
        </w:rPr>
      </w:r>
      <w:r>
        <w:rPr>
          <w:spacing w:val="-3"/>
        </w:rPr>
        <w:t>利用数据和其他信息支持的估值技术，选择与市场参与者在相关资产或负债的交易中所考虑的资产</w:t>
      </w:r>
      <w:r>
        <w:rPr>
          <w:spacing w:val="-77"/>
        </w:rPr>
        <w:t> </w:t>
      </w:r>
      <w:r>
        <w:rPr>
          <w:spacing w:val="-77"/>
        </w:rPr>
      </w:r>
      <w:r>
        <w:rPr>
          <w:spacing w:val="-3"/>
        </w:rPr>
        <w:t>或负债特征相一致的输入值，并优先使用相关可观察输入值。只有在相关可观察输入值无法取得或</w:t>
      </w:r>
      <w:r>
        <w:rPr>
          <w:spacing w:val="-78"/>
        </w:rPr>
        <w:t> </w:t>
      </w:r>
      <w:r>
        <w:rPr>
          <w:spacing w:val="-78"/>
        </w:rPr>
      </w:r>
      <w:r>
        <w:rPr/>
        <w:t>取得不切实可行的情况下，才使用不可观察输入值。</w:t>
      </w:r>
    </w:p>
    <w:p>
      <w:pPr>
        <w:pStyle w:val="BodyText"/>
        <w:spacing w:line="314" w:lineRule="auto"/>
        <w:ind w:left="561" w:right="84"/>
        <w:jc w:val="left"/>
      </w:pPr>
      <w:r>
        <w:rPr/>
        <w:t>6、金融资产（不含应收款项）减值测试方法及会计处理方法 以公允价值计量且其变动计入当期损益的金融资产不需要进行减值测试。 </w:t>
      </w:r>
      <w:r>
        <w:rPr>
          <w:spacing w:val="-3"/>
        </w:rPr>
        <w:t>公司于资产负债表日对持有至到期投资的账面价值进行检查，有客观证据表明其发生了减值的，</w:t>
      </w:r>
    </w:p>
    <w:p>
      <w:pPr>
        <w:pStyle w:val="BodyText"/>
        <w:spacing w:line="314" w:lineRule="auto"/>
        <w:ind w:right="311"/>
        <w:jc w:val="both"/>
      </w:pPr>
      <w:r>
        <w:rPr>
          <w:spacing w:val="-3"/>
        </w:rPr>
        <w:t>根据其账面价值与预计未来现金流量现值之间差额计提减值准备；计提后如有客观证据表明其价值</w:t>
      </w:r>
      <w:r>
        <w:rPr>
          <w:spacing w:val="-77"/>
        </w:rPr>
        <w:t> </w:t>
      </w:r>
      <w:r>
        <w:rPr>
          <w:spacing w:val="-77"/>
        </w:rPr>
      </w:r>
      <w:r>
        <w:rPr>
          <w:spacing w:val="-3"/>
        </w:rPr>
        <w:t>已恢复且客观上与确认该损失后发生的事项有关，原确认的减值损失予以转回，计入当期损益，但</w:t>
      </w:r>
      <w:r>
        <w:rPr>
          <w:spacing w:val="-78"/>
        </w:rPr>
        <w:t> </w:t>
      </w:r>
      <w:r>
        <w:rPr>
          <w:spacing w:val="-78"/>
        </w:rPr>
      </w:r>
      <w:r>
        <w:rPr/>
        <w:t>该转回后的账面价值不超过假定不计提减值准备情况下该金融资产在转回日的摊余成本。</w:t>
      </w:r>
    </w:p>
    <w:p>
      <w:pPr>
        <w:pStyle w:val="BodyText"/>
        <w:spacing w:line="314" w:lineRule="auto"/>
        <w:ind w:right="310" w:firstLine="420"/>
        <w:jc w:val="both"/>
      </w:pPr>
      <w:r>
        <w:rPr>
          <w:spacing w:val="-3"/>
        </w:rPr>
        <w:t>于资产负债表日，如果可供出售金融资产的公允价值发生严重下降，或在综合考虑各种相关因</w:t>
      </w:r>
      <w:r>
        <w:rPr/>
        <w:t> </w:t>
      </w:r>
      <w:r>
        <w:rPr>
          <w:spacing w:val="-8"/>
        </w:rPr>
        <w:t>素后，预期这种下降趋势属于非暂时性的，认定该可供出售金融资产已发生减值，并确认减值损失。</w:t>
      </w:r>
    </w:p>
    <w:p>
      <w:pPr>
        <w:spacing w:after="0" w:line="314" w:lineRule="auto"/>
        <w:jc w:val="both"/>
        <w:sectPr>
          <w:pgSz w:w="11910" w:h="16840"/>
          <w:pgMar w:header="882" w:footer="977" w:top="1120" w:bottom="1160" w:left="156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left="221" w:right="123"/>
        <w:jc w:val="left"/>
      </w:pPr>
      <w:r>
        <w:rPr>
          <w:spacing w:val="-3"/>
        </w:rPr>
        <w:t>在确认减值损失时，将原直接计入其他综合收益的因公允价值下降形成的累计损失一并转出，计入</w:t>
      </w:r>
      <w:r>
        <w:rPr>
          <w:spacing w:val="-78"/>
        </w:rPr>
        <w:t> </w:t>
      </w:r>
      <w:r>
        <w:rPr>
          <w:spacing w:val="-78"/>
        </w:rPr>
      </w:r>
      <w:r>
        <w:rPr>
          <w:spacing w:val="-5"/>
        </w:rPr>
        <w:t>当期损益。该转出的累计损失，为可供出售金融资产的初始取得成本扣除已收回本金和已摊销金额、</w:t>
      </w:r>
      <w:r>
        <w:rPr>
          <w:spacing w:val="-93"/>
        </w:rPr>
        <w:t> </w:t>
      </w:r>
      <w:r>
        <w:rPr>
          <w:spacing w:val="-93"/>
        </w:rPr>
      </w:r>
      <w:r>
        <w:rPr>
          <w:spacing w:val="-3"/>
        </w:rPr>
        <w:t>当前公允价值和原已计入损益的减值损失后的余额。对于已确认减值损失的可供出售债务工具，在</w:t>
      </w:r>
      <w:r>
        <w:rPr>
          <w:spacing w:val="-78"/>
        </w:rPr>
        <w:t> </w:t>
      </w:r>
      <w:r>
        <w:rPr>
          <w:spacing w:val="-78"/>
        </w:rPr>
      </w:r>
      <w:r>
        <w:rPr>
          <w:spacing w:val="-3"/>
        </w:rPr>
        <w:t>随后的会计期间公允价值已上升且客观上与确认原减值损失确认后发生的事项有关的，原确认的减</w:t>
      </w:r>
      <w:r>
        <w:rPr>
          <w:spacing w:val="-77"/>
        </w:rPr>
        <w:t> </w:t>
      </w:r>
      <w:r>
        <w:rPr>
          <w:spacing w:val="-77"/>
        </w:rPr>
      </w:r>
      <w:r>
        <w:rPr>
          <w:spacing w:val="-8"/>
        </w:rPr>
        <w:t>值损失予以转回，计入当期损益。可供出售权益工具投资发生的减值损失，不通过损益转回。同时，</w:t>
      </w:r>
      <w:r>
        <w:rPr>
          <w:spacing w:val="-65"/>
        </w:rPr>
        <w:t> </w:t>
      </w:r>
      <w:r>
        <w:rPr>
          <w:spacing w:val="-65"/>
        </w:rPr>
      </w:r>
      <w:r>
        <w:rPr>
          <w:spacing w:val="2"/>
        </w:rPr>
        <w:t>在活跃市场中没有报价且其公允价值不能可靠计量的权益工具投资或与该权益工具挂钩并须通过</w:t>
      </w:r>
      <w:r>
        <w:rPr>
          <w:spacing w:val="-98"/>
        </w:rPr>
        <w:t> </w:t>
      </w:r>
      <w:r>
        <w:rPr>
          <w:spacing w:val="-98"/>
        </w:rPr>
      </w:r>
      <w:r>
        <w:rPr/>
        <w:t>交付该权益工具结算的衍生金融资产发生的减值损失，不予转回。</w:t>
      </w:r>
    </w:p>
    <w:p>
      <w:pPr>
        <w:pStyle w:val="BodyText"/>
        <w:spacing w:line="314" w:lineRule="auto"/>
        <w:ind w:left="221" w:right="231" w:firstLine="420"/>
        <w:jc w:val="both"/>
      </w:pPr>
      <w:r>
        <w:rPr>
          <w:spacing w:val="-3"/>
        </w:rPr>
        <w:t>权益工具投资的公允价值下跌“严重”的标准为：权益工具投资于资产负债表日的公允价值低</w:t>
      </w:r>
      <w:r>
        <w:rPr/>
        <w:t> 于其初始投资成本累计超过 </w:t>
      </w:r>
      <w:r>
        <w:rPr>
          <w:spacing w:val="-3"/>
        </w:rPr>
        <w:t>50%（含</w:t>
      </w:r>
      <w:r>
        <w:rPr>
          <w:spacing w:val="-88"/>
        </w:rPr>
        <w:t> </w:t>
      </w:r>
      <w:r>
        <w:rPr/>
        <w:t>50%）。公允价值下跌“非暂时性”的标准为：权益工具投资</w:t>
      </w:r>
      <w:r>
        <w:rPr/>
        <w:t> 的公允价值月度均值低于其初始投资成本持续时间超过</w:t>
      </w:r>
      <w:r>
        <w:rPr>
          <w:spacing w:val="-61"/>
        </w:rPr>
        <w:t> </w:t>
      </w:r>
      <w:r>
        <w:rPr/>
        <w:t>12</w:t>
      </w:r>
      <w:r>
        <w:rPr>
          <w:spacing w:val="-61"/>
        </w:rPr>
        <w:t> </w:t>
      </w:r>
      <w:r>
        <w:rPr/>
        <w:t>个月（含</w:t>
      </w:r>
      <w:r>
        <w:rPr>
          <w:spacing w:val="-61"/>
        </w:rPr>
        <w:t> </w:t>
      </w:r>
      <w:r>
        <w:rPr/>
        <w:t>12</w:t>
      </w:r>
      <w:r>
        <w:rPr>
          <w:spacing w:val="-61"/>
        </w:rPr>
        <w:t> </w:t>
      </w:r>
      <w:r>
        <w:rPr/>
        <w:t>个月）。</w:t>
      </w:r>
    </w:p>
    <w:p>
      <w:pPr>
        <w:spacing w:line="240" w:lineRule="auto" w:before="13"/>
        <w:rPr>
          <w:rFonts w:ascii="宋体" w:hAnsi="宋体" w:cs="宋体" w:eastAsia="宋体" w:hint="default"/>
          <w:sz w:val="20"/>
          <w:szCs w:val="20"/>
        </w:rPr>
      </w:pPr>
    </w:p>
    <w:p>
      <w:pPr>
        <w:pStyle w:val="Heading2"/>
        <w:spacing w:line="264" w:lineRule="auto" w:before="0"/>
        <w:ind w:right="4503"/>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t>(1).单项金额重大并单独计提坏账准备的应收款项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4631"/>
        <w:gridCol w:w="4514"/>
      </w:tblGrid>
      <w:tr>
        <w:trPr>
          <w:trHeight w:val="554"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单项金额重大的应收款项指单项金额超过</w:t>
            </w:r>
            <w:r>
              <w:rPr>
                <w:rFonts w:ascii="宋体" w:hAnsi="宋体" w:cs="宋体" w:eastAsia="宋体" w:hint="default"/>
                <w:spacing w:val="3"/>
                <w:sz w:val="21"/>
                <w:szCs w:val="21"/>
              </w:rPr>
              <w:t> </w:t>
            </w:r>
            <w:r>
              <w:rPr>
                <w:rFonts w:ascii="宋体" w:hAnsi="宋体" w:cs="宋体" w:eastAsia="宋体" w:hint="default"/>
                <w:sz w:val="21"/>
                <w:szCs w:val="21"/>
              </w:rPr>
              <w:t>300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万元人民币。</w:t>
            </w:r>
          </w:p>
        </w:tc>
      </w:tr>
      <w:tr>
        <w:trPr>
          <w:trHeight w:val="276" w:hRule="exact"/>
        </w:trPr>
        <w:tc>
          <w:tcPr>
            <w:tcW w:w="4631" w:type="dxa"/>
            <w:tcBorders>
              <w:top w:val="single" w:sz="4" w:space="0" w:color="000000"/>
              <w:left w:val="single" w:sz="4" w:space="0" w:color="000000"/>
              <w:bottom w:val="nil" w:sz="6" w:space="0" w:color="auto"/>
              <w:right w:val="single" w:sz="4" w:space="0" w:color="000000"/>
            </w:tcBorders>
          </w:tcPr>
          <w:p>
            <w:pPr/>
          </w:p>
        </w:tc>
        <w:tc>
          <w:tcPr>
            <w:tcW w:w="451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单独进行减值测试，有客观证据表明其发生了</w:t>
            </w:r>
          </w:p>
        </w:tc>
      </w:tr>
      <w:tr>
        <w:trPr>
          <w:trHeight w:val="272" w:hRule="exact"/>
        </w:trPr>
        <w:tc>
          <w:tcPr>
            <w:tcW w:w="4631" w:type="dxa"/>
            <w:tcBorders>
              <w:top w:val="nil" w:sz="6" w:space="0" w:color="auto"/>
              <w:left w:val="single" w:sz="4" w:space="0" w:color="000000"/>
              <w:bottom w:val="nil" w:sz="6" w:space="0" w:color="auto"/>
              <w:right w:val="single" w:sz="4" w:space="0" w:color="000000"/>
            </w:tcBorders>
          </w:tcPr>
          <w:p>
            <w:pP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减值的，应当根据其未来现金流量现值低于其</w:t>
            </w:r>
          </w:p>
        </w:tc>
      </w:tr>
      <w:tr>
        <w:trPr>
          <w:trHeight w:val="545" w:hRule="exact"/>
        </w:trPr>
        <w:tc>
          <w:tcPr>
            <w:tcW w:w="4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账面价值的差额确认减值损失，个别认定计提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坏账准备，经减值测试后不存在减值的，应当</w:t>
            </w:r>
          </w:p>
        </w:tc>
      </w:tr>
      <w:tr>
        <w:trPr>
          <w:trHeight w:val="272" w:hRule="exact"/>
        </w:trPr>
        <w:tc>
          <w:tcPr>
            <w:tcW w:w="4631" w:type="dxa"/>
            <w:tcBorders>
              <w:top w:val="nil" w:sz="6" w:space="0" w:color="auto"/>
              <w:left w:val="single" w:sz="4" w:space="0" w:color="000000"/>
              <w:bottom w:val="nil" w:sz="6" w:space="0" w:color="auto"/>
              <w:right w:val="single" w:sz="4" w:space="0" w:color="000000"/>
            </w:tcBorders>
          </w:tcPr>
          <w:p>
            <w:pP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包括在具有类似风险组合特征的应收款项中计</w:t>
            </w:r>
          </w:p>
        </w:tc>
      </w:tr>
      <w:tr>
        <w:trPr>
          <w:trHeight w:val="279" w:hRule="exact"/>
        </w:trPr>
        <w:tc>
          <w:tcPr>
            <w:tcW w:w="4631" w:type="dxa"/>
            <w:tcBorders>
              <w:top w:val="nil" w:sz="6" w:space="0" w:color="auto"/>
              <w:left w:val="single" w:sz="4" w:space="0" w:color="000000"/>
              <w:bottom w:val="single" w:sz="4" w:space="0" w:color="000000"/>
              <w:right w:val="single" w:sz="4" w:space="0" w:color="000000"/>
            </w:tcBorders>
          </w:tcPr>
          <w:p>
            <w:pPr/>
          </w:p>
        </w:tc>
        <w:tc>
          <w:tcPr>
            <w:tcW w:w="451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提坏账准备。</w:t>
            </w:r>
          </w:p>
        </w:tc>
      </w:tr>
    </w:tbl>
    <w:p>
      <w:pPr>
        <w:spacing w:line="240" w:lineRule="auto" w:before="0"/>
        <w:rPr>
          <w:rFonts w:ascii="宋体" w:hAnsi="宋体" w:cs="宋体" w:eastAsia="宋体" w:hint="default"/>
          <w:b/>
          <w:bCs/>
          <w:sz w:val="20"/>
          <w:szCs w:val="20"/>
        </w:rPr>
      </w:pPr>
    </w:p>
    <w:p>
      <w:pPr>
        <w:pStyle w:val="Heading2"/>
        <w:spacing w:line="240" w:lineRule="auto"/>
        <w:ind w:right="84"/>
        <w:jc w:val="left"/>
        <w:rPr>
          <w:b w:val="0"/>
          <w:bCs w:val="0"/>
        </w:rPr>
      </w:pPr>
      <w:r>
        <w:rPr/>
        <w:t>(2).按信用风险特征组合计提坏账准备的应收款项：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828"/>
        <w:gridCol w:w="3010"/>
        <w:gridCol w:w="4154"/>
      </w:tblGrid>
      <w:tr>
        <w:trPr>
          <w:trHeight w:val="350" w:hRule="exact"/>
        </w:trPr>
        <w:tc>
          <w:tcPr>
            <w:tcW w:w="8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50"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01"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49"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账龄状态</w:t>
            </w:r>
          </w:p>
        </w:tc>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0"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关联方组合</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并表子公司</w:t>
            </w:r>
          </w:p>
        </w:tc>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公司对关联方的应收款项不计提坏账准备</w:t>
            </w:r>
          </w:p>
        </w:tc>
      </w:tr>
    </w:tbl>
    <w:p>
      <w:pPr>
        <w:spacing w:line="240" w:lineRule="auto" w:before="6"/>
        <w:rPr>
          <w:rFonts w:ascii="宋体" w:hAnsi="宋体" w:cs="宋体" w:eastAsia="宋体" w:hint="default"/>
          <w:b/>
          <w:bCs/>
          <w:sz w:val="15"/>
          <w:szCs w:val="15"/>
        </w:rPr>
      </w:pPr>
    </w:p>
    <w:p>
      <w:pPr>
        <w:pStyle w:val="BodyText"/>
        <w:spacing w:line="274" w:lineRule="exact" w:before="35"/>
        <w:ind w:left="221" w:right="84"/>
        <w:jc w:val="left"/>
      </w:pPr>
      <w:r>
        <w:rPr/>
        <w:t>组合中，采用账龄分析法计提坏账准备的</w:t>
      </w:r>
    </w:p>
    <w:p>
      <w:pPr>
        <w:pStyle w:val="BodyText"/>
        <w:spacing w:line="274" w:lineRule="exact" w:before="0"/>
        <w:ind w:left="221" w:right="84"/>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55"/>
        <w:gridCol w:w="2994"/>
        <w:gridCol w:w="2996"/>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0"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1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100</w:t>
            </w:r>
            <w:r>
              <w:rPr>
                <w:rFonts w:ascii="宋体"/>
                <w:sz w:val="21"/>
              </w:rPr>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w w:val="95"/>
                <w:sz w:val="21"/>
              </w:rPr>
              <w:t>100</w:t>
            </w:r>
            <w:r>
              <w:rPr>
                <w:rFonts w:ascii="宋体"/>
                <w:w w:val="95"/>
                <w:sz w:val="21"/>
              </w:rPr>
            </w:r>
          </w:p>
        </w:tc>
      </w:tr>
    </w:tbl>
    <w:p>
      <w:pPr>
        <w:spacing w:line="240" w:lineRule="auto" w:before="6"/>
        <w:rPr>
          <w:rFonts w:ascii="宋体" w:hAnsi="宋体" w:cs="宋体" w:eastAsia="宋体" w:hint="default"/>
          <w:sz w:val="15"/>
          <w:szCs w:val="15"/>
        </w:rPr>
      </w:pPr>
    </w:p>
    <w:p>
      <w:pPr>
        <w:pStyle w:val="BodyText"/>
        <w:spacing w:line="274" w:lineRule="exact" w:before="35"/>
        <w:ind w:left="221" w:right="84"/>
        <w:jc w:val="left"/>
      </w:pPr>
      <w:r>
        <w:rPr/>
        <w:t>组合中，采用余额百分比法计提坏账准备的</w:t>
      </w:r>
    </w:p>
    <w:p>
      <w:pPr>
        <w:pStyle w:val="BodyText"/>
        <w:spacing w:line="274" w:lineRule="exact" w:before="0"/>
        <w:ind w:left="221" w:right="84"/>
        <w:jc w:val="left"/>
      </w:pPr>
      <w:r>
        <w:rPr/>
        <w:t>□适用</w:t>
      </w:r>
      <w:r>
        <w:rPr>
          <w:spacing w:val="-2"/>
        </w:rPr>
        <w:t> </w:t>
      </w:r>
      <w:r>
        <w:rPr/>
        <w:t>√不适用</w:t>
      </w:r>
    </w:p>
    <w:p>
      <w:pPr>
        <w:spacing w:line="240" w:lineRule="auto" w:before="8"/>
        <w:rPr>
          <w:rFonts w:ascii="宋体" w:hAnsi="宋体" w:cs="宋体" w:eastAsia="宋体" w:hint="default"/>
          <w:sz w:val="20"/>
          <w:szCs w:val="20"/>
        </w:rPr>
      </w:pPr>
    </w:p>
    <w:p>
      <w:pPr>
        <w:pStyle w:val="BodyText"/>
        <w:spacing w:line="273" w:lineRule="exact" w:before="0"/>
        <w:ind w:left="221" w:right="84"/>
        <w:jc w:val="left"/>
      </w:pPr>
      <w:r>
        <w:rPr/>
        <w:t>组合中，采用其他方法计提坏账准备的</w:t>
      </w:r>
    </w:p>
    <w:p>
      <w:pPr>
        <w:pStyle w:val="BodyText"/>
        <w:spacing w:line="273" w:lineRule="exact" w:before="0"/>
        <w:ind w:left="221" w:right="84"/>
        <w:jc w:val="left"/>
      </w:pPr>
      <w:r>
        <w:rPr/>
        <w:t>□适用</w:t>
      </w:r>
      <w:r>
        <w:rPr>
          <w:spacing w:val="-2"/>
        </w:rPr>
        <w:t> </w:t>
      </w:r>
      <w:r>
        <w:rPr/>
        <w:t>√不适用</w:t>
      </w:r>
    </w:p>
    <w:p>
      <w:pPr>
        <w:spacing w:after="0" w:line="273" w:lineRule="exact"/>
        <w:jc w:val="left"/>
        <w:sectPr>
          <w:pgSz w:w="11910" w:h="16840"/>
          <w:pgMar w:header="882" w:footer="977" w:top="1120" w:bottom="1160" w:left="1480" w:right="1040"/>
        </w:sectPr>
      </w:pPr>
    </w:p>
    <w:p>
      <w:pPr>
        <w:spacing w:line="240" w:lineRule="auto" w:before="3"/>
        <w:rPr>
          <w:rFonts w:ascii="宋体" w:hAnsi="宋体" w:cs="宋体" w:eastAsia="宋体" w:hint="default"/>
          <w:sz w:val="25"/>
          <w:szCs w:val="25"/>
        </w:rPr>
      </w:pPr>
    </w:p>
    <w:p>
      <w:pPr>
        <w:pStyle w:val="Heading2"/>
        <w:spacing w:line="240" w:lineRule="auto"/>
        <w:ind w:right="84"/>
        <w:jc w:val="left"/>
        <w:rPr>
          <w:b w:val="0"/>
          <w:bCs w:val="0"/>
        </w:rPr>
      </w:pPr>
      <w:r>
        <w:rPr/>
        <w:t>(3).单项金额不重大但单独计提坏账准备的应收款项：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4384"/>
        <w:gridCol w:w="4762"/>
      </w:tblGrid>
      <w:tr>
        <w:trPr>
          <w:trHeight w:val="827" w:hRule="exact"/>
        </w:trPr>
        <w:tc>
          <w:tcPr>
            <w:tcW w:w="4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应收款项的未来现金流量现值与以账龄为信用风</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6"/>
                <w:sz w:val="21"/>
                <w:szCs w:val="21"/>
              </w:rPr>
              <w:t>险特征的应收款项组合的未来现金流量现值存在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显著差异。</w:t>
            </w:r>
          </w:p>
        </w:tc>
      </w:tr>
      <w:tr>
        <w:trPr>
          <w:trHeight w:val="556" w:hRule="exact"/>
        </w:trPr>
        <w:tc>
          <w:tcPr>
            <w:tcW w:w="4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单独进行减值测试，根据其未来现金流量现值低于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其账面价值的差额计提坏账准备。</w:t>
            </w:r>
          </w:p>
        </w:tc>
      </w:tr>
    </w:tbl>
    <w:p>
      <w:pPr>
        <w:spacing w:line="240" w:lineRule="auto" w:before="0"/>
        <w:rPr>
          <w:rFonts w:ascii="宋体" w:hAnsi="宋体" w:cs="宋体" w:eastAsia="宋体" w:hint="default"/>
          <w:b/>
          <w:bCs/>
          <w:sz w:val="20"/>
          <w:szCs w:val="20"/>
        </w:rPr>
      </w:pPr>
    </w:p>
    <w:p>
      <w:pPr>
        <w:pStyle w:val="Heading2"/>
        <w:spacing w:line="240" w:lineRule="auto"/>
        <w:ind w:right="84"/>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14" w:lineRule="auto" w:before="107"/>
        <w:ind w:left="641" w:right="84" w:firstLine="4"/>
        <w:jc w:val="left"/>
      </w:pPr>
      <w:r>
        <w:rPr/>
        <w:t>1.存货的分类 </w:t>
      </w:r>
      <w:r>
        <w:rPr>
          <w:spacing w:val="-3"/>
        </w:rPr>
        <w:t>公司存货是指在生产经营过程中持有以备销售，或者仍然处在生产过程，或者在生产或提供劳</w:t>
      </w:r>
    </w:p>
    <w:p>
      <w:pPr>
        <w:pStyle w:val="BodyText"/>
        <w:spacing w:line="314" w:lineRule="auto"/>
        <w:ind w:left="221" w:right="84"/>
        <w:jc w:val="left"/>
      </w:pPr>
      <w:r>
        <w:rPr>
          <w:spacing w:val="-3"/>
        </w:rPr>
        <w:t>务过程中将消耗的材料或物资等，包括各类原材料、包装物、低值易耗品、在产品、产成品（库存</w:t>
      </w:r>
      <w:r>
        <w:rPr>
          <w:spacing w:val="-78"/>
        </w:rPr>
        <w:t> </w:t>
      </w:r>
      <w:r>
        <w:rPr>
          <w:spacing w:val="-78"/>
        </w:rPr>
      </w:r>
      <w:r>
        <w:rPr/>
        <w:t>商品）等。</w:t>
      </w:r>
    </w:p>
    <w:p>
      <w:pPr>
        <w:pStyle w:val="BodyText"/>
        <w:spacing w:line="314" w:lineRule="auto"/>
        <w:ind w:left="641" w:right="84" w:firstLine="60"/>
        <w:jc w:val="left"/>
      </w:pPr>
      <w:r>
        <w:rPr/>
        <w:t>2.存货取得和发出的计价方法 </w:t>
      </w:r>
      <w:r>
        <w:rPr>
          <w:spacing w:val="-3"/>
        </w:rPr>
        <w:t>存货按照成本进行初始计量。存货成本包括采购成本、加工成本和其他成本。应计入存货成本</w:t>
      </w:r>
    </w:p>
    <w:p>
      <w:pPr>
        <w:pStyle w:val="BodyText"/>
        <w:spacing w:line="314" w:lineRule="auto"/>
        <w:ind w:left="221" w:right="215"/>
        <w:jc w:val="left"/>
      </w:pPr>
      <w:r>
        <w:rPr/>
        <w:t>的借款费用，按照《企业会计准则第</w:t>
      </w:r>
      <w:r>
        <w:rPr>
          <w:spacing w:val="-51"/>
        </w:rPr>
        <w:t> </w:t>
      </w:r>
      <w:r>
        <w:rPr/>
        <w:t>17</w:t>
      </w:r>
      <w:r>
        <w:rPr>
          <w:spacing w:val="-51"/>
        </w:rPr>
        <w:t> </w:t>
      </w:r>
      <w:r>
        <w:rPr/>
        <w:t>号——借款费用》处理。投资者投入存货的成本，应当按</w:t>
      </w:r>
      <w:r>
        <w:rPr/>
        <w:t> 照投资合同或协议约定的价值确定，但合同或协议约定价值不公允的除外。</w:t>
      </w:r>
    </w:p>
    <w:p>
      <w:pPr>
        <w:pStyle w:val="BodyText"/>
        <w:spacing w:line="240" w:lineRule="auto"/>
        <w:ind w:left="641" w:right="84"/>
        <w:jc w:val="left"/>
      </w:pPr>
      <w:r>
        <w:rPr/>
        <w:t>发出存货的计价方法：零售采用先进先出法，其余采用个别认定法核算。</w:t>
      </w:r>
    </w:p>
    <w:p>
      <w:pPr>
        <w:pStyle w:val="BodyText"/>
        <w:spacing w:line="314" w:lineRule="auto" w:before="85"/>
        <w:ind w:left="641" w:right="6965"/>
        <w:jc w:val="left"/>
      </w:pPr>
      <w:r>
        <w:rPr>
          <w:rFonts w:ascii="宋体" w:hAnsi="宋体" w:cs="宋体" w:eastAsia="宋体" w:hint="default"/>
        </w:rPr>
        <w:t>3.</w:t>
      </w:r>
      <w:r>
        <w:rPr>
          <w:rFonts w:ascii="宋体" w:hAnsi="宋体" w:cs="宋体" w:eastAsia="宋体" w:hint="default"/>
          <w:spacing w:val="-27"/>
        </w:rPr>
        <w:t> </w:t>
      </w:r>
      <w:r>
        <w:rPr/>
        <w:t>存货的盘存制度 采用永续盘存制。</w:t>
      </w:r>
    </w:p>
    <w:p>
      <w:pPr>
        <w:pStyle w:val="BodyText"/>
        <w:spacing w:line="314" w:lineRule="auto"/>
        <w:ind w:left="641" w:right="5495"/>
        <w:jc w:val="left"/>
      </w:pPr>
      <w:r>
        <w:rPr>
          <w:rFonts w:ascii="宋体" w:hAnsi="宋体" w:cs="宋体" w:eastAsia="宋体" w:hint="default"/>
        </w:rPr>
        <w:t>4.</w:t>
      </w:r>
      <w:r>
        <w:rPr>
          <w:rFonts w:ascii="宋体" w:hAnsi="宋体" w:cs="宋体" w:eastAsia="宋体" w:hint="default"/>
          <w:spacing w:val="-27"/>
        </w:rPr>
        <w:t> </w:t>
      </w:r>
      <w:r>
        <w:rPr/>
        <w:t>低值易耗品及包装物的摊销方法 采用“一次摊销法”核算。</w:t>
      </w:r>
    </w:p>
    <w:p>
      <w:pPr>
        <w:pStyle w:val="BodyText"/>
        <w:spacing w:line="314" w:lineRule="auto"/>
        <w:ind w:left="641" w:right="84"/>
        <w:jc w:val="left"/>
      </w:pPr>
      <w:r>
        <w:rPr>
          <w:rFonts w:ascii="宋体" w:hAnsi="宋体" w:cs="宋体" w:eastAsia="宋体" w:hint="default"/>
        </w:rPr>
        <w:t>5.</w:t>
      </w:r>
      <w:r>
        <w:rPr>
          <w:rFonts w:ascii="宋体" w:hAnsi="宋体" w:cs="宋体" w:eastAsia="宋体" w:hint="default"/>
          <w:spacing w:val="-27"/>
        </w:rPr>
        <w:t> </w:t>
      </w:r>
      <w:r>
        <w:rPr/>
        <w:t>存货可变现净值的确定依据及存货跌价准备计提方法 </w:t>
      </w:r>
      <w:r>
        <w:rPr>
          <w:spacing w:val="-3"/>
        </w:rPr>
        <w:t>期末存货按成本与可变现净值孰低计价，存货期末可变现净值低于账面成本的，按差额计提存</w:t>
      </w:r>
    </w:p>
    <w:p>
      <w:pPr>
        <w:pStyle w:val="BodyText"/>
        <w:spacing w:line="314" w:lineRule="auto"/>
        <w:ind w:left="221" w:right="84" w:hanging="1"/>
        <w:jc w:val="left"/>
      </w:pPr>
      <w:r>
        <w:rPr>
          <w:spacing w:val="-8"/>
        </w:rPr>
        <w:t>货跌价准备。可变现净值，是指在日常活动中，存货的估计售价减去至完工时估计将要发生的成本、</w:t>
      </w:r>
      <w:r>
        <w:rPr>
          <w:spacing w:val="-65"/>
        </w:rPr>
        <w:t> </w:t>
      </w:r>
      <w:r>
        <w:rPr>
          <w:spacing w:val="-65"/>
        </w:rPr>
      </w:r>
      <w:r>
        <w:rPr/>
        <w:t>估计的销售费用以及相关税费后的金额。</w:t>
      </w:r>
    </w:p>
    <w:p>
      <w:pPr>
        <w:pStyle w:val="BodyText"/>
        <w:spacing w:line="314" w:lineRule="auto"/>
        <w:ind w:left="221" w:right="231" w:firstLine="420"/>
        <w:jc w:val="both"/>
      </w:pPr>
      <w:r>
        <w:rPr/>
        <w:t>（1）存货可变现净值的确定依据：为生产而持有的材料等，用其生产的产成品的可变现净值 </w:t>
      </w:r>
      <w:r>
        <w:rPr>
          <w:spacing w:val="-3"/>
        </w:rPr>
        <w:t>高于成本的，该材料仍然按照成本计量；材料价格的下降表明产成品的可变现净值低于成本的，该</w:t>
      </w:r>
      <w:r>
        <w:rPr>
          <w:spacing w:val="-78"/>
        </w:rPr>
        <w:t> </w:t>
      </w:r>
      <w:r>
        <w:rPr>
          <w:spacing w:val="-78"/>
        </w:rPr>
      </w:r>
      <w:r>
        <w:rPr/>
        <w:t>材料按照可变现净值计量。</w:t>
      </w:r>
    </w:p>
    <w:p>
      <w:pPr>
        <w:pStyle w:val="BodyText"/>
        <w:spacing w:line="314" w:lineRule="auto"/>
        <w:ind w:left="221" w:right="113" w:firstLine="420"/>
        <w:jc w:val="left"/>
      </w:pPr>
      <w:r>
        <w:rPr>
          <w:spacing w:val="-3"/>
        </w:rPr>
        <w:t>为执行销售合同或者劳务合同而持有的存货，其可变现净值以合同价格为基础计算。企业持有</w:t>
      </w:r>
      <w:r>
        <w:rPr/>
        <w:t> 存货的数量多于销售合同订购数量的，超出部分的存货的可变现净值以一般销售价格为基础计算。</w:t>
      </w:r>
    </w:p>
    <w:p>
      <w:pPr>
        <w:pStyle w:val="BodyText"/>
        <w:spacing w:line="314" w:lineRule="auto"/>
        <w:ind w:left="221" w:right="218" w:firstLine="420"/>
        <w:jc w:val="left"/>
      </w:pPr>
      <w:r>
        <w:rPr/>
        <w:t>（2）存货跌价准备的计提方法：按单个存货项目的成本与可变现净值孰低法计提存货跌价准 备；但对于数量繁多、单价较低的存货，则按存货类别计提存货跌价准备。</w:t>
      </w:r>
    </w:p>
    <w:p>
      <w:pPr>
        <w:spacing w:line="240" w:lineRule="auto" w:before="13"/>
        <w:rPr>
          <w:rFonts w:ascii="宋体" w:hAnsi="宋体" w:cs="宋体" w:eastAsia="宋体" w:hint="default"/>
          <w:sz w:val="20"/>
          <w:szCs w:val="20"/>
        </w:rPr>
      </w:pPr>
    </w:p>
    <w:p>
      <w:pPr>
        <w:spacing w:line="326" w:lineRule="auto" w:before="0"/>
        <w:ind w:left="641" w:right="953" w:hanging="421"/>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本公司将同时满足下列条件的组成部分（或非流动资产）确认为持有待售组成部分：</w:t>
      </w:r>
    </w:p>
    <w:p>
      <w:pPr>
        <w:pStyle w:val="BodyText"/>
        <w:spacing w:line="240" w:lineRule="auto" w:before="9"/>
        <w:ind w:left="647" w:right="84"/>
        <w:jc w:val="left"/>
      </w:pPr>
      <w:r>
        <w:rPr/>
        <w:t>（1）该组成部分必须在其当前状况下仅根据出售此类组成部分的惯常条款即可立即出售；</w:t>
      </w:r>
    </w:p>
    <w:p>
      <w:pPr>
        <w:pStyle w:val="BodyText"/>
        <w:spacing w:line="314" w:lineRule="auto" w:before="85"/>
        <w:ind w:left="221" w:right="218" w:firstLine="420"/>
        <w:jc w:val="left"/>
      </w:pPr>
      <w:r>
        <w:rPr/>
        <w:t>（2）公司已经就处置该组成部分作出决议，如按规定需得到股东批准的，已经取得股东大会 或相应权力机构的批准；</w:t>
      </w:r>
    </w:p>
    <w:p>
      <w:pPr>
        <w:pStyle w:val="BodyText"/>
        <w:spacing w:line="240" w:lineRule="auto"/>
        <w:ind w:left="647" w:right="84"/>
        <w:jc w:val="left"/>
      </w:pPr>
      <w:r>
        <w:rPr/>
        <w:t>（3）公司已经与受让方签订了不可撤销的转让协议；</w:t>
      </w:r>
    </w:p>
    <w:p>
      <w:pPr>
        <w:pStyle w:val="BodyText"/>
        <w:spacing w:line="240" w:lineRule="auto" w:before="85"/>
        <w:ind w:left="641" w:right="84"/>
        <w:jc w:val="left"/>
      </w:pPr>
      <w:r>
        <w:rPr/>
        <w:t>（4）该项转让将在一年内完成。</w:t>
      </w:r>
    </w:p>
    <w:p>
      <w:pPr>
        <w:spacing w:after="0" w:line="240" w:lineRule="auto"/>
        <w:jc w:val="left"/>
        <w:sectPr>
          <w:footerReference w:type="default" r:id="rId50"/>
          <w:pgSz w:w="11910" w:h="16840"/>
          <w:pgMar w:footer="977" w:header="882" w:top="1120" w:bottom="116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left="141" w:right="84"/>
        <w:jc w:val="left"/>
        <w:rPr>
          <w:b w:val="0"/>
          <w:bCs w:val="0"/>
        </w:rPr>
      </w:pPr>
      <w:r>
        <w:rPr>
          <w:rFonts w:ascii="Calibri" w:hAnsi="Calibri" w:cs="Calibri" w:eastAsia="Calibri" w:hint="default"/>
        </w:rPr>
        <w:t>14.  </w:t>
      </w:r>
      <w:r>
        <w:rPr>
          <w:rFonts w:ascii="Calibri" w:hAnsi="Calibri" w:cs="Calibri" w:eastAsia="Calibri" w:hint="default"/>
          <w:spacing w:val="10"/>
        </w:rPr>
        <w:t> </w:t>
      </w:r>
      <w:r>
        <w:rPr/>
        <w:t>长期股权投资</w:t>
      </w:r>
      <w:r>
        <w:rPr>
          <w:b w:val="0"/>
          <w:bCs w:val="0"/>
        </w:rPr>
      </w:r>
    </w:p>
    <w:p>
      <w:pPr>
        <w:pStyle w:val="BodyText"/>
        <w:spacing w:line="314" w:lineRule="auto" w:before="108"/>
        <w:ind w:left="561" w:right="84" w:hanging="1"/>
        <w:jc w:val="left"/>
      </w:pPr>
      <w:r>
        <w:rPr/>
        <w:t>1</w:t>
      </w:r>
      <w:r>
        <w:rPr>
          <w:rFonts w:ascii="宋体" w:hAnsi="宋体" w:cs="宋体" w:eastAsia="宋体" w:hint="default"/>
          <w:b/>
          <w:bCs/>
        </w:rPr>
        <w:t>.</w:t>
      </w:r>
      <w:r>
        <w:rPr/>
        <w:t>确定对被投资单位具有共同控制、重大影响的依据 </w:t>
      </w:r>
      <w:r>
        <w:rPr>
          <w:spacing w:val="-3"/>
        </w:rPr>
        <w:t>共同控制是指按照相关约定对某项安排所共有的控制，并且该安排的相关活动必须经过分享控</w:t>
      </w:r>
    </w:p>
    <w:p>
      <w:pPr>
        <w:pStyle w:val="BodyText"/>
        <w:spacing w:line="314" w:lineRule="auto"/>
        <w:ind w:right="84"/>
        <w:jc w:val="left"/>
      </w:pPr>
      <w:r>
        <w:rPr>
          <w:spacing w:val="-3"/>
        </w:rPr>
        <w:t>制权的参与方一致同意后才能决策。在判断是否存在共同控制时，首先判断所有参与方或参与方组</w:t>
      </w:r>
      <w:r>
        <w:rPr>
          <w:spacing w:val="-78"/>
        </w:rPr>
        <w:t> </w:t>
      </w:r>
      <w:r>
        <w:rPr>
          <w:spacing w:val="-78"/>
        </w:rPr>
      </w:r>
      <w:r>
        <w:rPr>
          <w:spacing w:val="-3"/>
        </w:rPr>
        <w:t>合是否集体控制该安排，如果所有参与方或一组参与方必须一致行动才能决定某项安排的相关活动，</w:t>
      </w:r>
      <w:r>
        <w:rPr>
          <w:spacing w:val="-74"/>
        </w:rPr>
        <w:t> </w:t>
      </w:r>
      <w:r>
        <w:rPr>
          <w:spacing w:val="-74"/>
        </w:rPr>
      </w:r>
      <w:r>
        <w:rPr>
          <w:spacing w:val="-3"/>
        </w:rPr>
        <w:t>则认为所有参与方或一组参与方集体控制该安排。其次再判断该安排相关活动的决策是否必须经过</w:t>
      </w:r>
      <w:r>
        <w:rPr>
          <w:spacing w:val="-77"/>
        </w:rPr>
        <w:t> </w:t>
      </w:r>
      <w:r>
        <w:rPr>
          <w:spacing w:val="-77"/>
        </w:rPr>
      </w:r>
      <w:r>
        <w:rPr>
          <w:spacing w:val="-3"/>
        </w:rPr>
        <w:t>这些集体控制该安排的参与方一致同意，当且仅当相关活动的决策要求集体控制该安排的参与方一</w:t>
      </w:r>
      <w:r>
        <w:rPr>
          <w:spacing w:val="-77"/>
        </w:rPr>
        <w:t> </w:t>
      </w:r>
      <w:r>
        <w:rPr>
          <w:spacing w:val="-77"/>
        </w:rPr>
      </w:r>
      <w:r>
        <w:rPr>
          <w:spacing w:val="-3"/>
        </w:rPr>
        <w:t>致同意时，才形成共同控制。如果存在两个或两个以上的参与方组合能够集体控制某项安排的，不</w:t>
      </w:r>
      <w:r>
        <w:rPr>
          <w:spacing w:val="-78"/>
        </w:rPr>
        <w:t> </w:t>
      </w:r>
      <w:r>
        <w:rPr>
          <w:spacing w:val="-78"/>
        </w:rPr>
      </w:r>
      <w:r>
        <w:rPr/>
        <w:t>构成共同控制。判断是否存在共同控制时，不考虑享有的保护性权利。</w:t>
      </w:r>
    </w:p>
    <w:p>
      <w:pPr>
        <w:pStyle w:val="BodyText"/>
        <w:spacing w:line="314" w:lineRule="auto"/>
        <w:ind w:right="207" w:firstLine="420"/>
        <w:jc w:val="both"/>
      </w:pPr>
      <w:r>
        <w:rPr>
          <w:spacing w:val="-3"/>
        </w:rPr>
        <w:t>重大影响是指投资方对被投资单位的财务和经营政策有参与决策的权力，但并不能够控制或者</w:t>
      </w:r>
      <w:r>
        <w:rPr/>
        <w:t> </w:t>
      </w:r>
      <w:r>
        <w:rPr>
          <w:spacing w:val="-3"/>
        </w:rPr>
        <w:t>与其他方一起共同控制这些政策的制定。在确定能否对被投资单位施加重大影响时，考虑投资方直</w:t>
      </w:r>
      <w:r>
        <w:rPr>
          <w:spacing w:val="-78"/>
        </w:rPr>
        <w:t> </w:t>
      </w:r>
      <w:r>
        <w:rPr>
          <w:spacing w:val="-78"/>
        </w:rPr>
      </w:r>
      <w:r>
        <w:rPr>
          <w:spacing w:val="2"/>
        </w:rPr>
        <w:t>接或间接持有被投资单位的表决权股份以及投资方及其他方持有的当期可执行潜在表决权在假定</w:t>
      </w:r>
      <w:r>
        <w:rPr>
          <w:spacing w:val="-98"/>
        </w:rPr>
        <w:t> </w:t>
      </w:r>
      <w:r>
        <w:rPr>
          <w:spacing w:val="-98"/>
        </w:rPr>
      </w:r>
      <w:r>
        <w:rPr>
          <w:spacing w:val="-3"/>
        </w:rPr>
        <w:t>转换为对被投资方单位的股权后产生的影响，包括被投资单位发行的当期可转换的认股权证、股份</w:t>
      </w:r>
      <w:r>
        <w:rPr>
          <w:spacing w:val="-78"/>
        </w:rPr>
        <w:t> </w:t>
      </w:r>
      <w:r>
        <w:rPr>
          <w:spacing w:val="-78"/>
        </w:rPr>
      </w:r>
      <w:r>
        <w:rPr>
          <w:spacing w:val="-5"/>
        </w:rPr>
        <w:t>期权及可转换公司债券等的影响。对外投资符合下列情况时，一般确定为对投资单位具有重大影响：</w:t>
      </w:r>
    </w:p>
    <w:p>
      <w:pPr>
        <w:pStyle w:val="BodyText"/>
        <w:spacing w:line="314" w:lineRule="auto"/>
        <w:ind w:right="310"/>
        <w:jc w:val="both"/>
      </w:pPr>
      <w:r>
        <w:rPr>
          <w:spacing w:val="-3"/>
        </w:rPr>
        <w:t>①在被投资单位的董事会或类似权力机构中派有代表；②参与被投资单位财务和经营政策的制定过</w:t>
      </w:r>
      <w:r>
        <w:rPr>
          <w:spacing w:val="-77"/>
        </w:rPr>
        <w:t> </w:t>
      </w:r>
      <w:r>
        <w:rPr>
          <w:spacing w:val="-77"/>
        </w:rPr>
      </w:r>
      <w:r>
        <w:rPr>
          <w:spacing w:val="-3"/>
        </w:rPr>
        <w:t>程；③与被投资单位之间发生重要交易；④向被投资单位派出管理人员；⑤向被投资单位提供关键</w:t>
      </w:r>
      <w:r>
        <w:rPr>
          <w:spacing w:val="-78"/>
        </w:rPr>
        <w:t> </w:t>
      </w:r>
      <w:r>
        <w:rPr>
          <w:spacing w:val="-78"/>
        </w:rPr>
      </w:r>
      <w:r>
        <w:rPr/>
        <w:t>技术资料。直接或通过子公司间接拥有被投资企业</w:t>
      </w:r>
      <w:r>
        <w:rPr>
          <w:spacing w:val="-53"/>
        </w:rPr>
        <w:t> </w:t>
      </w:r>
      <w:r>
        <w:rPr/>
        <w:t>20%以上但低于</w:t>
      </w:r>
      <w:r>
        <w:rPr>
          <w:spacing w:val="-53"/>
        </w:rPr>
        <w:t> </w:t>
      </w:r>
      <w:r>
        <w:rPr/>
        <w:t>50%的表决权股份时，一般认为</w:t>
      </w:r>
      <w:r>
        <w:rPr/>
        <w:t> 对被投资单位具有重大影响。</w:t>
      </w:r>
    </w:p>
    <w:p>
      <w:pPr>
        <w:pStyle w:val="BodyText"/>
        <w:spacing w:line="240" w:lineRule="auto"/>
        <w:ind w:left="561" w:right="84"/>
        <w:jc w:val="left"/>
      </w:pPr>
      <w:r>
        <w:rPr/>
        <w:t>2.初始投资成本确定</w:t>
      </w:r>
    </w:p>
    <w:p>
      <w:pPr>
        <w:pStyle w:val="BodyText"/>
        <w:spacing w:line="240" w:lineRule="auto" w:before="85"/>
        <w:ind w:left="561" w:right="84"/>
        <w:jc w:val="left"/>
      </w:pPr>
      <w:r>
        <w:rPr/>
        <w:t>（1）企业合并形成的长期股权投资</w:t>
      </w:r>
    </w:p>
    <w:p>
      <w:pPr>
        <w:pStyle w:val="BodyText"/>
        <w:spacing w:line="314" w:lineRule="auto" w:before="85"/>
        <w:ind w:right="311" w:firstLine="420"/>
        <w:jc w:val="both"/>
      </w:pPr>
      <w:r>
        <w:rPr/>
        <w:t>A. 同一控制下的企业合并,以支付现金、转让非现金资产或承担债务方式以及以发行权益性 </w:t>
      </w:r>
      <w:r>
        <w:rPr>
          <w:spacing w:val="-3"/>
        </w:rPr>
        <w:t>证券作为合并对价的，在合并日按照取得被合并方所有者权益在最终控制方合并财务报表中的账面</w:t>
      </w:r>
      <w:r>
        <w:rPr>
          <w:spacing w:val="-77"/>
        </w:rPr>
        <w:t> </w:t>
      </w:r>
      <w:r>
        <w:rPr>
          <w:spacing w:val="-77"/>
        </w:rPr>
      </w:r>
      <w:r>
        <w:rPr>
          <w:spacing w:val="-3"/>
        </w:rPr>
        <w:t>价值的份额作为长期股权投资的初始投资成本。因追加投资等原因能够对同一控制下的被投资单位</w:t>
      </w:r>
      <w:r>
        <w:rPr>
          <w:spacing w:val="-77"/>
        </w:rPr>
        <w:t> </w:t>
      </w:r>
      <w:r>
        <w:rPr>
          <w:spacing w:val="-77"/>
        </w:rPr>
      </w:r>
      <w:r>
        <w:rPr>
          <w:spacing w:val="-3"/>
        </w:rPr>
        <w:t>实施控制的，在合并日根据合并后应享有被合并方净资产在最终控制方合并财务报表中的账面价值</w:t>
      </w:r>
      <w:r>
        <w:rPr>
          <w:spacing w:val="-77"/>
        </w:rPr>
        <w:t> </w:t>
      </w:r>
      <w:r>
        <w:rPr>
          <w:spacing w:val="-77"/>
        </w:rPr>
      </w:r>
      <w:r>
        <w:rPr>
          <w:spacing w:val="-3"/>
        </w:rPr>
        <w:t>的份额，确定长期股权投资的初始投资成本。合并日长期股权投资的初始投资成本，与达到合并前</w:t>
      </w:r>
      <w:r>
        <w:rPr>
          <w:spacing w:val="-78"/>
        </w:rPr>
        <w:t> </w:t>
      </w:r>
      <w:r>
        <w:rPr>
          <w:spacing w:val="-78"/>
        </w:rPr>
      </w:r>
      <w:r>
        <w:rPr>
          <w:spacing w:val="-3"/>
        </w:rPr>
        <w:t>的长期股权投资账面价值加上合并日进一步取得股份新支付对价的账面价值之和的差额，调整股本</w:t>
      </w:r>
      <w:r>
        <w:rPr>
          <w:spacing w:val="-77"/>
        </w:rPr>
        <w:t> </w:t>
      </w:r>
      <w:r>
        <w:rPr>
          <w:spacing w:val="-77"/>
        </w:rPr>
      </w:r>
      <w:r>
        <w:rPr/>
        <w:t>溢价，股本溢价不足冲减的，冲减留存收益。</w:t>
      </w:r>
    </w:p>
    <w:p>
      <w:pPr>
        <w:pStyle w:val="BodyText"/>
        <w:spacing w:line="314" w:lineRule="auto"/>
        <w:ind w:right="311" w:firstLine="420"/>
        <w:jc w:val="both"/>
      </w:pPr>
      <w:r>
        <w:rPr/>
        <w:t>B.</w:t>
      </w:r>
      <w:r>
        <w:rPr>
          <w:spacing w:val="5"/>
        </w:rPr>
        <w:t> </w:t>
      </w:r>
      <w:r>
        <w:rPr>
          <w:spacing w:val="-3"/>
        </w:rPr>
        <w:t>非同一控制下的企业合并,在购买日按照《企业会计准则第</w:t>
      </w:r>
      <w:r>
        <w:rPr>
          <w:spacing w:val="-52"/>
        </w:rPr>
        <w:t> </w:t>
      </w:r>
      <w:r>
        <w:rPr/>
        <w:t>20</w:t>
      </w:r>
      <w:r>
        <w:rPr>
          <w:spacing w:val="-52"/>
        </w:rPr>
        <w:t> </w:t>
      </w:r>
      <w:r>
        <w:rPr>
          <w:spacing w:val="-6"/>
        </w:rPr>
        <w:t>号——企业合并》的相关规</w:t>
      </w:r>
      <w:r>
        <w:rPr>
          <w:spacing w:val="-1"/>
        </w:rPr>
        <w:t> </w:t>
      </w:r>
      <w:r>
        <w:rPr>
          <w:spacing w:val="-3"/>
        </w:rPr>
        <w:t>定确定的合并成本作为长期股权投资的初始投资成本。因追加投资等原因能够对非同一控制下的被</w:t>
      </w:r>
      <w:r>
        <w:rPr>
          <w:spacing w:val="-77"/>
        </w:rPr>
        <w:t> </w:t>
      </w:r>
      <w:r>
        <w:rPr>
          <w:spacing w:val="-77"/>
        </w:rPr>
      </w:r>
      <w:r>
        <w:rPr>
          <w:spacing w:val="-3"/>
        </w:rPr>
        <w:t>投资单位实施控制的，按照原持有的股权投资账面价值加上新增投资成本之和，作为改按成本法核</w:t>
      </w:r>
      <w:r>
        <w:rPr>
          <w:spacing w:val="-78"/>
        </w:rPr>
        <w:t> </w:t>
      </w:r>
      <w:r>
        <w:rPr>
          <w:spacing w:val="-78"/>
        </w:rPr>
      </w:r>
      <w:r>
        <w:rPr/>
        <w:t>算的初始投资成本。</w:t>
      </w:r>
    </w:p>
    <w:p>
      <w:pPr>
        <w:pStyle w:val="BodyText"/>
        <w:spacing w:line="314" w:lineRule="auto"/>
        <w:ind w:right="312" w:firstLine="420"/>
        <w:jc w:val="both"/>
      </w:pPr>
      <w:r>
        <w:rPr/>
        <w:t>（2）除企业合并形成的长期股权投资以外，其他方式取得的长期股权投资，按照下列规定确 定其初始投资成本：</w:t>
      </w:r>
    </w:p>
    <w:p>
      <w:pPr>
        <w:pStyle w:val="BodyText"/>
        <w:spacing w:line="314" w:lineRule="auto"/>
        <w:ind w:right="312" w:firstLine="420"/>
        <w:jc w:val="both"/>
      </w:pPr>
      <w:r>
        <w:rPr/>
        <w:t>A.</w:t>
      </w:r>
      <w:r>
        <w:rPr>
          <w:spacing w:val="1"/>
        </w:rPr>
        <w:t> </w:t>
      </w:r>
      <w:r>
        <w:rPr/>
        <w:t>以支付现金方式取得的长期股权投资，以实际支付的购买价款作为初始投资成本。初始投</w:t>
      </w:r>
      <w:r>
        <w:rPr/>
        <w:t> 资成本包括与取得长期股权投资直接相关的费用、税金及其他必要支出。</w:t>
      </w:r>
    </w:p>
    <w:p>
      <w:pPr>
        <w:pStyle w:val="BodyText"/>
        <w:spacing w:line="314" w:lineRule="auto"/>
        <w:ind w:right="312" w:firstLine="420"/>
        <w:jc w:val="both"/>
      </w:pPr>
      <w:r>
        <w:rPr/>
        <w:t>B.</w:t>
      </w:r>
      <w:r>
        <w:rPr>
          <w:spacing w:val="1"/>
        </w:rPr>
        <w:t> </w:t>
      </w:r>
      <w:r>
        <w:rPr/>
        <w:t>以发行权益性证券方式取得的长期股权投资，以发行权益性证券的公允价值作为初始投资</w:t>
      </w:r>
      <w:r>
        <w:rPr/>
        <w:t> 成本。</w:t>
      </w:r>
    </w:p>
    <w:p>
      <w:pPr>
        <w:spacing w:after="0" w:line="314" w:lineRule="auto"/>
        <w:jc w:val="both"/>
        <w:sectPr>
          <w:footerReference w:type="default" r:id="rId51"/>
          <w:pgSz w:w="11910" w:h="16840"/>
          <w:pgMar w:footer="977" w:header="882" w:top="1120" w:bottom="1160" w:left="1560" w:right="960"/>
          <w:pgNumType w:start="8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0"/>
        <w:ind w:left="561" w:right="0"/>
        <w:jc w:val="left"/>
      </w:pPr>
      <w:r>
        <w:rPr/>
        <w:t>C. 通过非货币性资产交换取得的长期股权投资，其初始投资成本按照《企业会计准则第</w:t>
      </w:r>
      <w:r>
        <w:rPr>
          <w:spacing w:val="-52"/>
        </w:rPr>
        <w:t> </w:t>
      </w:r>
      <w:r>
        <w:rPr/>
        <w:t>7</w:t>
      </w:r>
      <w:r>
        <w:rPr>
          <w:spacing w:val="-52"/>
        </w:rPr>
        <w:t> </w:t>
      </w:r>
      <w:r>
        <w:rPr/>
        <w:t>号</w:t>
      </w:r>
    </w:p>
    <w:p>
      <w:pPr>
        <w:pStyle w:val="BodyText"/>
        <w:spacing w:line="240" w:lineRule="auto" w:before="85"/>
        <w:ind w:right="0"/>
        <w:jc w:val="left"/>
      </w:pPr>
      <w:r>
        <w:rPr/>
        <w:t>——非货币性资产交换》确定。</w:t>
      </w:r>
    </w:p>
    <w:p>
      <w:pPr>
        <w:pStyle w:val="BodyText"/>
        <w:spacing w:line="314" w:lineRule="auto" w:before="85"/>
        <w:ind w:right="131" w:firstLine="420"/>
        <w:jc w:val="both"/>
      </w:pPr>
      <w:r>
        <w:rPr/>
        <w:t>D. </w:t>
      </w:r>
      <w:r>
        <w:rPr>
          <w:spacing w:val="-5"/>
        </w:rPr>
        <w:t>通过债务重组取得的长期股权投资，其初始投资成本按照《企业会计准则第 </w:t>
      </w:r>
      <w:r>
        <w:rPr/>
        <w:t>12</w:t>
      </w:r>
      <w:r>
        <w:rPr>
          <w:spacing w:val="-79"/>
        </w:rPr>
        <w:t> </w:t>
      </w:r>
      <w:r>
        <w:rPr/>
        <w:t>号——债务</w:t>
      </w:r>
      <w:r>
        <w:rPr>
          <w:spacing w:val="-1"/>
        </w:rPr>
        <w:t> </w:t>
      </w:r>
      <w:r>
        <w:rPr/>
        <w:t>重组》确定。</w:t>
      </w:r>
    </w:p>
    <w:p>
      <w:pPr>
        <w:pStyle w:val="BodyText"/>
        <w:spacing w:line="240" w:lineRule="auto"/>
        <w:ind w:left="561" w:right="0"/>
        <w:jc w:val="left"/>
      </w:pPr>
      <w:r>
        <w:rPr/>
        <w:t>3.后续计量和损益确认方法</w:t>
      </w:r>
    </w:p>
    <w:p>
      <w:pPr>
        <w:pStyle w:val="BodyText"/>
        <w:spacing w:line="314" w:lineRule="auto" w:before="85"/>
        <w:ind w:right="131" w:firstLine="420"/>
        <w:jc w:val="both"/>
      </w:pPr>
      <w:r>
        <w:rPr/>
        <w:t>（1）成本法核算：本公司能够对被投资单位实施控制的长期股权投资，采用成本法核算。采 </w:t>
      </w:r>
      <w:r>
        <w:rPr>
          <w:spacing w:val="-3"/>
        </w:rPr>
        <w:t>用成本法核算时，追加或收回投资调整长期股权投资的成本。采用成本法核算的长期股权投资，除</w:t>
      </w:r>
      <w:r>
        <w:rPr>
          <w:spacing w:val="-78"/>
        </w:rPr>
        <w:t> </w:t>
      </w:r>
      <w:r>
        <w:rPr>
          <w:spacing w:val="-78"/>
        </w:rPr>
      </w:r>
      <w:r>
        <w:rPr>
          <w:spacing w:val="-3"/>
        </w:rPr>
        <w:t>取得投资时实际支付的价款或对价中包含的已宣告但尚未发放的现金股利或利润外，公司按照享有</w:t>
      </w:r>
      <w:r>
        <w:rPr>
          <w:spacing w:val="-77"/>
        </w:rPr>
        <w:t> </w:t>
      </w:r>
      <w:r>
        <w:rPr>
          <w:spacing w:val="-77"/>
        </w:rPr>
      </w:r>
      <w:r>
        <w:rPr>
          <w:spacing w:val="-3"/>
        </w:rPr>
        <w:t>被投资单位宣告发放的现金股利或利润确认投资收益，不再划分是否属于投资前和投资后被投资单</w:t>
      </w:r>
      <w:r>
        <w:rPr>
          <w:spacing w:val="-77"/>
        </w:rPr>
        <w:t> </w:t>
      </w:r>
      <w:r>
        <w:rPr>
          <w:spacing w:val="-77"/>
        </w:rPr>
      </w:r>
      <w:r>
        <w:rPr/>
        <w:t>位实现的净利润。</w:t>
      </w:r>
    </w:p>
    <w:p>
      <w:pPr>
        <w:pStyle w:val="BodyText"/>
        <w:spacing w:line="314" w:lineRule="auto"/>
        <w:ind w:right="130" w:firstLine="420"/>
        <w:jc w:val="both"/>
      </w:pPr>
      <w:r>
        <w:rPr/>
        <w:t>（2）权益法核算：本公司对被投资单位共同控制或重大影响的长期股权投资，除“对联营企 </w:t>
      </w:r>
      <w:r>
        <w:rPr>
          <w:spacing w:val="-3"/>
        </w:rPr>
        <w:t>业的权益性投资，其中一部分通过风险投资机构、共同基金、信托公司或包括投连险基金在内的类</w:t>
      </w:r>
      <w:r>
        <w:rPr>
          <w:spacing w:val="-78"/>
        </w:rPr>
        <w:t> </w:t>
      </w:r>
      <w:r>
        <w:rPr>
          <w:spacing w:val="-78"/>
        </w:rPr>
      </w:r>
      <w:r>
        <w:rPr>
          <w:spacing w:val="2"/>
        </w:rPr>
        <w:t>似主体间接持有的，无论以上主体是否对这部分投资具有重大影响，公司按照《企业会计准则第</w:t>
      </w:r>
      <w:r>
        <w:rPr>
          <w:spacing w:val="-98"/>
        </w:rPr>
        <w:t> </w:t>
      </w:r>
      <w:r>
        <w:rPr>
          <w:spacing w:val="-98"/>
        </w:rPr>
      </w:r>
      <w:r>
        <w:rPr/>
        <w:t>22</w:t>
      </w:r>
      <w:r>
        <w:rPr>
          <w:spacing w:val="1"/>
        </w:rPr>
        <w:t> </w:t>
      </w:r>
      <w:r>
        <w:rPr/>
        <w:t>号——金融工具确认和计量》的有关规定，对间接持有的该部分投资选择以公允价值计量且其</w:t>
      </w:r>
      <w:r>
        <w:rPr/>
        <w:t> </w:t>
      </w:r>
      <w:r>
        <w:rPr>
          <w:spacing w:val="-3"/>
        </w:rPr>
        <w:t>变动计入损益。除上述情形外，本公司对被投资单位具有共同控制或重大影响的长期股权投资，采</w:t>
      </w:r>
      <w:r>
        <w:rPr>
          <w:spacing w:val="-78"/>
        </w:rPr>
        <w:t> </w:t>
      </w:r>
      <w:r>
        <w:rPr>
          <w:spacing w:val="-78"/>
        </w:rPr>
      </w:r>
      <w:r>
        <w:rPr>
          <w:spacing w:val="-3"/>
        </w:rPr>
        <w:t>用权益法核算。采用权益法核算时，公司取得长期股权投资后，按照应享有或应分担的被投资单位</w:t>
      </w:r>
      <w:r>
        <w:rPr>
          <w:spacing w:val="-78"/>
        </w:rPr>
        <w:t> </w:t>
      </w:r>
      <w:r>
        <w:rPr>
          <w:spacing w:val="-78"/>
        </w:rPr>
      </w:r>
      <w:r>
        <w:rPr>
          <w:spacing w:val="-3"/>
        </w:rPr>
        <w:t>实现的净损益和其他综合收益的份额，分别确认投资收益和其他综合收益，同时调整长期股权投资</w:t>
      </w:r>
      <w:r>
        <w:rPr>
          <w:spacing w:val="-78"/>
        </w:rPr>
        <w:t> </w:t>
      </w:r>
      <w:r>
        <w:rPr>
          <w:spacing w:val="-78"/>
        </w:rPr>
      </w:r>
      <w:r>
        <w:rPr>
          <w:spacing w:val="-3"/>
        </w:rPr>
        <w:t>的账面价值；公司按照被投资单位宣告分派的利润或现金股利计算应享有的部分，相应减少长期股</w:t>
      </w:r>
      <w:r>
        <w:rPr>
          <w:spacing w:val="-78"/>
        </w:rPr>
        <w:t> </w:t>
      </w:r>
      <w:r>
        <w:rPr>
          <w:spacing w:val="-78"/>
        </w:rPr>
      </w:r>
      <w:r>
        <w:rPr>
          <w:spacing w:val="-3"/>
        </w:rPr>
        <w:t>权投资的账面价值；公司对于被投资单位除净损益、其他综合收益和利润分配以外所有者权益的其</w:t>
      </w:r>
      <w:r>
        <w:rPr>
          <w:spacing w:val="-78"/>
        </w:rPr>
        <w:t> </w:t>
      </w:r>
      <w:r>
        <w:rPr>
          <w:spacing w:val="-78"/>
        </w:rPr>
      </w:r>
      <w:r>
        <w:rPr/>
        <w:t>他变动，调整长期股权投资的账面价值并计入所有者权益。</w:t>
      </w:r>
    </w:p>
    <w:p>
      <w:pPr>
        <w:pStyle w:val="BodyText"/>
        <w:spacing w:line="314" w:lineRule="auto"/>
        <w:ind w:right="131" w:firstLine="420"/>
        <w:jc w:val="both"/>
      </w:pPr>
      <w:r>
        <w:rPr>
          <w:spacing w:val="-3"/>
        </w:rPr>
        <w:t>公司确认被投资单位发生的净亏损，以长期股权投资的账面价值以及其他实质上构成对被投资</w:t>
      </w:r>
      <w:r>
        <w:rPr/>
        <w:t> </w:t>
      </w:r>
      <w:r>
        <w:rPr>
          <w:spacing w:val="-3"/>
        </w:rPr>
        <w:t>单位净投资的长期权益减记至零为限，公司负有承担额外损失义务的除外。被投资单位以后实现净</w:t>
      </w:r>
      <w:r>
        <w:rPr>
          <w:spacing w:val="-78"/>
        </w:rPr>
        <w:t> </w:t>
      </w:r>
      <w:r>
        <w:rPr>
          <w:spacing w:val="-78"/>
        </w:rPr>
      </w:r>
      <w:r>
        <w:rPr/>
        <w:t>利润的，公司在其收益分享额弥补未确认的亏损分担额后，恢复确认收益分享额。</w:t>
      </w:r>
    </w:p>
    <w:p>
      <w:pPr>
        <w:pStyle w:val="BodyText"/>
        <w:spacing w:line="314" w:lineRule="auto"/>
        <w:ind w:right="131" w:firstLine="420"/>
        <w:jc w:val="both"/>
      </w:pPr>
      <w:r>
        <w:rPr>
          <w:spacing w:val="-3"/>
        </w:rPr>
        <w:t>公司在确认应享有被投资单位净损益的份额时，以取得投资时被投资单位可辨认净资产的公允</w:t>
      </w:r>
      <w:r>
        <w:rPr/>
        <w:t> </w:t>
      </w:r>
      <w:r>
        <w:rPr>
          <w:spacing w:val="-3"/>
        </w:rPr>
        <w:t>价值为基础，对被投资单位的净利润进行调整，并且将公司与联营企业及合营企业之间发生的未实</w:t>
      </w:r>
      <w:r>
        <w:rPr>
          <w:spacing w:val="-78"/>
        </w:rPr>
        <w:t> </w:t>
      </w:r>
      <w:r>
        <w:rPr>
          <w:spacing w:val="-78"/>
        </w:rPr>
      </w:r>
      <w:r>
        <w:rPr>
          <w:spacing w:val="-3"/>
        </w:rPr>
        <w:t>现内部交易损益按照持股比例计算归属于公司的部分并予以抵销，在此基础上确认投资损益。公司</w:t>
      </w:r>
      <w:r>
        <w:rPr>
          <w:spacing w:val="-78"/>
        </w:rPr>
        <w:t> </w:t>
      </w:r>
      <w:r>
        <w:rPr>
          <w:spacing w:val="-78"/>
        </w:rPr>
      </w:r>
      <w:r>
        <w:rPr>
          <w:spacing w:val="-3"/>
        </w:rPr>
        <w:t>与被投资单位发生的未实现内部交易损失，按照《企业会计准则第</w:t>
      </w:r>
      <w:r>
        <w:rPr>
          <w:spacing w:val="-44"/>
        </w:rPr>
        <w:t> </w:t>
      </w:r>
      <w:r>
        <w:rPr/>
        <w:t>8</w:t>
      </w:r>
      <w:r>
        <w:rPr>
          <w:spacing w:val="-42"/>
        </w:rPr>
        <w:t> </w:t>
      </w:r>
      <w:r>
        <w:rPr>
          <w:spacing w:val="-3"/>
        </w:rPr>
        <w:t>号——资产减值》等规定属于</w:t>
      </w:r>
      <w:r>
        <w:rPr>
          <w:spacing w:val="-103"/>
        </w:rPr>
        <w:t> </w:t>
      </w:r>
      <w:r>
        <w:rPr>
          <w:spacing w:val="-103"/>
        </w:rPr>
      </w:r>
      <w:r>
        <w:rPr>
          <w:spacing w:val="-3"/>
        </w:rPr>
        <w:t>资产减值损失的，全额确认。如果被投资单位采用的会计政策及会计期间与公司不一致的，按照公</w:t>
      </w:r>
      <w:r>
        <w:rPr>
          <w:spacing w:val="-78"/>
        </w:rPr>
        <w:t> </w:t>
      </w:r>
      <w:r>
        <w:rPr>
          <w:spacing w:val="-78"/>
        </w:rPr>
      </w:r>
      <w:r>
        <w:rPr>
          <w:spacing w:val="-3"/>
        </w:rPr>
        <w:t>司的会计政策及会计期间对被投资单位的财务报表进行调整，并据以确认投资损益和其他综合收益</w:t>
      </w:r>
      <w:r>
        <w:rPr>
          <w:spacing w:val="-77"/>
        </w:rPr>
        <w:t> </w:t>
      </w:r>
      <w:r>
        <w:rPr>
          <w:spacing w:val="-77"/>
        </w:rPr>
      </w:r>
      <w:r>
        <w:rPr/>
        <w:t>等。</w:t>
      </w:r>
    </w:p>
    <w:p>
      <w:pPr>
        <w:pStyle w:val="BodyText"/>
        <w:spacing w:line="314" w:lineRule="auto"/>
        <w:ind w:right="131" w:firstLine="420"/>
        <w:jc w:val="both"/>
      </w:pPr>
      <w:r>
        <w:rPr>
          <w:spacing w:val="-3"/>
        </w:rPr>
        <w:t>对于首次执行日之前已经持有的对联营企业和合营企业的长期股权投资，如存在与该投资相关</w:t>
      </w:r>
      <w:r>
        <w:rPr/>
        <w:t> 的股权投资借方差额，按原剩余期限直线法摊销，摊销金额计入当期损益。</w:t>
      </w:r>
    </w:p>
    <w:p>
      <w:pPr>
        <w:pStyle w:val="BodyText"/>
        <w:spacing w:line="314" w:lineRule="auto"/>
        <w:ind w:right="128" w:firstLine="420"/>
        <w:jc w:val="both"/>
      </w:pPr>
      <w:r>
        <w:rPr>
          <w:spacing w:val="-6"/>
        </w:rPr>
        <w:t>（3）处置长期股权投资：公司因处置部分股权投资等原因丧失了对被投资单位的共同控制或重</w:t>
      </w:r>
      <w:r>
        <w:rPr>
          <w:spacing w:val="-4"/>
        </w:rPr>
        <w:t> </w:t>
      </w:r>
      <w:r>
        <w:rPr>
          <w:spacing w:val="-5"/>
        </w:rPr>
        <w:t>大影响的，处置后的剩余股权改按《企业会计准则第</w:t>
      </w:r>
      <w:r>
        <w:rPr>
          <w:spacing w:val="-59"/>
        </w:rPr>
        <w:t> </w:t>
      </w:r>
      <w:r>
        <w:rPr/>
        <w:t>22</w:t>
      </w:r>
      <w:r>
        <w:rPr>
          <w:spacing w:val="-56"/>
        </w:rPr>
        <w:t> </w:t>
      </w:r>
      <w:r>
        <w:rPr>
          <w:spacing w:val="-5"/>
        </w:rPr>
        <w:t>号——金融工具确认和计量》核算，在丧失</w:t>
      </w:r>
      <w:r>
        <w:rPr/>
        <w:t> </w:t>
      </w:r>
      <w:r>
        <w:rPr>
          <w:spacing w:val="-3"/>
        </w:rPr>
        <w:t>共同控制或重大影响之日的公允价值与账面价值之间的差额计入当期损益。原股权投资因采用权益</w:t>
      </w:r>
      <w:r>
        <w:rPr>
          <w:spacing w:val="-100"/>
        </w:rPr>
        <w:t> </w:t>
      </w:r>
      <w:r>
        <w:rPr>
          <w:spacing w:val="-100"/>
        </w:rPr>
      </w:r>
      <w:r>
        <w:rPr>
          <w:spacing w:val="-3"/>
        </w:rPr>
        <w:t>法核算而确认的其他综合收益，在终止采用权益法核算时采用与被投资单位直接处置相关资产或负</w:t>
      </w:r>
      <w:r>
        <w:rPr>
          <w:spacing w:val="-100"/>
        </w:rPr>
        <w:t> </w:t>
      </w:r>
      <w:r>
        <w:rPr>
          <w:spacing w:val="-100"/>
        </w:rPr>
      </w:r>
      <w:r>
        <w:rPr>
          <w:spacing w:val="-5"/>
        </w:rPr>
        <w:t>债相同的基础进行会计处理；原股权投资相关的其他所有者权益变动转入当期损益。</w:t>
      </w:r>
    </w:p>
    <w:p>
      <w:pPr>
        <w:pStyle w:val="BodyText"/>
        <w:spacing w:line="240" w:lineRule="auto"/>
        <w:ind w:left="553" w:right="0"/>
        <w:jc w:val="left"/>
      </w:pPr>
      <w:r>
        <w:rPr>
          <w:spacing w:val="-3"/>
        </w:rPr>
        <w:t>公司因处置部分股权投资等原因丧失了对被投资单位的控制的，在编制个别财务报表时，处置</w:t>
      </w:r>
      <w:r>
        <w:rPr/>
      </w:r>
    </w:p>
    <w:p>
      <w:pPr>
        <w:spacing w:after="0" w:line="240" w:lineRule="auto"/>
        <w:jc w:val="left"/>
        <w:sectPr>
          <w:pgSz w:w="11910" w:h="16840"/>
          <w:pgMar w:header="882" w:footer="977" w:top="1120" w:bottom="1160" w:left="15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left="221" w:right="228"/>
        <w:jc w:val="both"/>
      </w:pPr>
      <w:r>
        <w:rPr>
          <w:spacing w:val="-3"/>
        </w:rPr>
        <w:t>后的剩余股权能够对被投资单位实施共同控制或施加重大影响的，改按权益法核算，并对该剩余股</w:t>
      </w:r>
      <w:r>
        <w:rPr>
          <w:spacing w:val="-100"/>
        </w:rPr>
        <w:t> </w:t>
      </w:r>
      <w:r>
        <w:rPr>
          <w:spacing w:val="-100"/>
        </w:rPr>
      </w:r>
      <w:r>
        <w:rPr>
          <w:spacing w:val="-3"/>
        </w:rPr>
        <w:t>权视同自取得时即采用权益法核算进行调整；处置后的剩余股权不能对被投资单位实施共同控制或</w:t>
      </w:r>
      <w:r>
        <w:rPr>
          <w:spacing w:val="-100"/>
        </w:rPr>
        <w:t> </w:t>
      </w:r>
      <w:r>
        <w:rPr>
          <w:spacing w:val="-100"/>
        </w:rPr>
      </w:r>
      <w:r>
        <w:rPr>
          <w:spacing w:val="-13"/>
        </w:rPr>
        <w:t>施加重大影响的，改按《企业会计准则第</w:t>
      </w:r>
      <w:r>
        <w:rPr>
          <w:spacing w:val="-55"/>
        </w:rPr>
        <w:t> </w:t>
      </w:r>
      <w:r>
        <w:rPr/>
        <w:t>22</w:t>
      </w:r>
      <w:r>
        <w:rPr>
          <w:spacing w:val="-52"/>
        </w:rPr>
        <w:t> </w:t>
      </w:r>
      <w:r>
        <w:rPr>
          <w:spacing w:val="-8"/>
        </w:rPr>
        <w:t>号——金融工具确认和计量》的有关规定进行会计处理，</w:t>
      </w:r>
      <w:r>
        <w:rPr>
          <w:spacing w:val="-103"/>
        </w:rPr>
        <w:t> </w:t>
      </w:r>
      <w:r>
        <w:rPr>
          <w:spacing w:val="-103"/>
        </w:rPr>
      </w:r>
      <w:r>
        <w:rPr>
          <w:spacing w:val="-8"/>
        </w:rPr>
        <w:t>其在丧失控制之日的公允价值与账面价值间的差额计入当期损益。在编制合并财务报表时，按照《企</w:t>
      </w:r>
      <w:r>
        <w:rPr>
          <w:spacing w:val="-74"/>
        </w:rPr>
        <w:t> </w:t>
      </w:r>
      <w:r>
        <w:rPr>
          <w:spacing w:val="-74"/>
        </w:rPr>
      </w:r>
      <w:r>
        <w:rPr>
          <w:spacing w:val="-4"/>
        </w:rPr>
        <w:t>业会计准则第</w:t>
      </w:r>
      <w:r>
        <w:rPr>
          <w:spacing w:val="-53"/>
        </w:rPr>
        <w:t> </w:t>
      </w:r>
      <w:r>
        <w:rPr/>
        <w:t>33</w:t>
      </w:r>
      <w:r>
        <w:rPr>
          <w:spacing w:val="-49"/>
        </w:rPr>
        <w:t> </w:t>
      </w:r>
      <w:r>
        <w:rPr>
          <w:spacing w:val="-5"/>
        </w:rPr>
        <w:t>号——合并财务报表》的有关规定进行会计处理。</w:t>
      </w:r>
      <w:r>
        <w:rPr/>
      </w:r>
    </w:p>
    <w:p>
      <w:pPr>
        <w:pStyle w:val="BodyText"/>
        <w:spacing w:line="314" w:lineRule="auto"/>
        <w:ind w:left="221" w:right="228" w:firstLine="411"/>
        <w:jc w:val="both"/>
      </w:pPr>
      <w:r>
        <w:rPr>
          <w:spacing w:val="-3"/>
        </w:rPr>
        <w:t>公司将对联营企业或合营企业的权益性投资全部或部分分类为持有待售资产的，按照《企业会 </w:t>
      </w:r>
      <w:r>
        <w:rPr>
          <w:spacing w:val="-4"/>
        </w:rPr>
        <w:t>计准则第</w:t>
      </w:r>
      <w:r>
        <w:rPr>
          <w:spacing w:val="-10"/>
        </w:rPr>
        <w:t> </w:t>
      </w:r>
      <w:r>
        <w:rPr/>
        <w:t>4</w:t>
      </w:r>
      <w:r>
        <w:rPr>
          <w:spacing w:val="-5"/>
        </w:rPr>
        <w:t> 号——固定资产》的有关规定处理，对于未划分为持有待售资产的剩余权益性投资，采</w:t>
      </w:r>
      <w:r>
        <w:rPr>
          <w:spacing w:val="-102"/>
        </w:rPr>
        <w:t> </w:t>
      </w:r>
      <w:r>
        <w:rPr>
          <w:spacing w:val="-102"/>
        </w:rPr>
      </w:r>
      <w:r>
        <w:rPr>
          <w:spacing w:val="-3"/>
        </w:rPr>
        <w:t>用权益法进行会计处理。已划分为持有待售的对联营企业或合营企业的权益性投资，不再符合持有</w:t>
      </w:r>
      <w:r>
        <w:rPr>
          <w:spacing w:val="-100"/>
        </w:rPr>
        <w:t> </w:t>
      </w:r>
      <w:r>
        <w:rPr>
          <w:spacing w:val="-100"/>
        </w:rPr>
      </w:r>
      <w:r>
        <w:rPr>
          <w:spacing w:val="-3"/>
        </w:rPr>
        <w:t>待售资产分类条件的，从被分类为持有待售资产之日起采用权益法进行追溯调整。分类为持有待售</w:t>
      </w:r>
      <w:r>
        <w:rPr>
          <w:spacing w:val="-100"/>
        </w:rPr>
        <w:t> </w:t>
      </w:r>
      <w:r>
        <w:rPr>
          <w:spacing w:val="-100"/>
        </w:rPr>
      </w:r>
      <w:r>
        <w:rPr>
          <w:spacing w:val="-5"/>
        </w:rPr>
        <w:t>期间的财务报表作相应调整。</w:t>
      </w:r>
      <w:r>
        <w:rPr/>
      </w:r>
    </w:p>
    <w:p>
      <w:pPr>
        <w:pStyle w:val="BodyText"/>
        <w:spacing w:line="314" w:lineRule="auto"/>
        <w:ind w:left="221" w:right="228" w:firstLine="411"/>
        <w:jc w:val="both"/>
      </w:pPr>
      <w:r>
        <w:rPr>
          <w:spacing w:val="-3"/>
        </w:rPr>
        <w:t>公司处置长期股权投资，其账面价值与实际取得价款之间的差额，计入当期损益。采用权益法 </w:t>
      </w:r>
      <w:r>
        <w:rPr>
          <w:spacing w:val="-8"/>
        </w:rPr>
        <w:t>核算的长期股权投资，在处置该项投资时，采用与被投资单位直接处置相关资产或负债相同的基础，</w:t>
      </w:r>
      <w:r>
        <w:rPr>
          <w:spacing w:val="-79"/>
        </w:rPr>
        <w:t> </w:t>
      </w:r>
      <w:r>
        <w:rPr>
          <w:spacing w:val="-79"/>
        </w:rPr>
      </w:r>
      <w:r>
        <w:rPr>
          <w:spacing w:val="-3"/>
        </w:rPr>
        <w:t>按相应比例对原计入其他综合收益的部分进行会计处理。因被投资单位除净损益、其他综合收益和</w:t>
      </w:r>
      <w:r>
        <w:rPr>
          <w:spacing w:val="-100"/>
        </w:rPr>
        <w:t> </w:t>
      </w:r>
      <w:r>
        <w:rPr>
          <w:spacing w:val="-100"/>
        </w:rPr>
      </w:r>
      <w:r>
        <w:rPr>
          <w:spacing w:val="-3"/>
        </w:rPr>
        <w:t>利润分配以外的其他所有者权益变动而计入所有者权益的，处置该项投资时将原计入所有者权益的</w:t>
      </w:r>
      <w:r>
        <w:rPr>
          <w:spacing w:val="-100"/>
        </w:rPr>
        <w:t> </w:t>
      </w:r>
      <w:r>
        <w:rPr>
          <w:spacing w:val="-100"/>
        </w:rPr>
      </w:r>
      <w:r>
        <w:rPr>
          <w:spacing w:val="-3"/>
        </w:rPr>
        <w:t>部分按相应比例转入当期损益，由于被投资方重新计量设定受益计划净负债或净资产变动而产生的</w:t>
      </w:r>
      <w:r>
        <w:rPr>
          <w:spacing w:val="-100"/>
        </w:rPr>
        <w:t> </w:t>
      </w:r>
      <w:r>
        <w:rPr>
          <w:spacing w:val="-100"/>
        </w:rPr>
      </w:r>
      <w:r>
        <w:rPr>
          <w:spacing w:val="-5"/>
        </w:rPr>
        <w:t>其他综合收益除外。</w:t>
      </w:r>
      <w:r>
        <w:rPr/>
      </w:r>
    </w:p>
    <w:p>
      <w:pPr>
        <w:spacing w:line="240" w:lineRule="auto" w:before="13"/>
        <w:rPr>
          <w:rFonts w:ascii="宋体" w:hAnsi="宋体" w:cs="宋体" w:eastAsia="宋体" w:hint="default"/>
          <w:sz w:val="20"/>
          <w:szCs w:val="20"/>
        </w:rPr>
      </w:pPr>
    </w:p>
    <w:p>
      <w:pPr>
        <w:pStyle w:val="Heading2"/>
        <w:spacing w:line="264" w:lineRule="auto" w:before="0"/>
        <w:ind w:right="6190" w:hanging="1"/>
        <w:jc w:val="left"/>
        <w:rPr>
          <w:b w:val="0"/>
          <w:bCs w:val="0"/>
        </w:rPr>
      </w:pPr>
      <w:r>
        <w:rPr>
          <w:rFonts w:ascii="Calibri" w:hAnsi="Calibri" w:cs="Calibri" w:eastAsia="Calibri" w:hint="default"/>
        </w:rPr>
        <w:t>15.</w:t>
      </w:r>
      <w:r>
        <w:rPr>
          <w:rFonts w:ascii="Calibri" w:hAnsi="Calibri" w:cs="Calibri" w:eastAsia="Calibri" w:hint="default"/>
          <w:spacing w:val="11"/>
        </w:rPr>
        <w:t> </w:t>
      </w:r>
      <w:r>
        <w:rPr/>
        <w:t>投资性房地产</w:t>
      </w:r>
      <w:r>
        <w:rPr>
          <w:w w:val="99"/>
        </w:rPr>
        <w:t> </w:t>
      </w:r>
      <w:r>
        <w:rPr/>
        <w:t>(1).如果采用成本计量模式的：</w:t>
      </w:r>
      <w:r>
        <w:rPr>
          <w:b w:val="0"/>
          <w:bCs w:val="0"/>
        </w:rPr>
      </w:r>
    </w:p>
    <w:p>
      <w:pPr>
        <w:pStyle w:val="BodyText"/>
        <w:spacing w:line="314" w:lineRule="auto" w:before="114"/>
        <w:ind w:left="641" w:right="84"/>
        <w:jc w:val="left"/>
      </w:pPr>
      <w:r>
        <w:rPr/>
        <w:t>折旧或摊销方法 </w:t>
      </w:r>
      <w:r>
        <w:rPr>
          <w:spacing w:val="-3"/>
        </w:rPr>
        <w:t>投资性房地产是指为赚取租金或资本增值，或两者兼有而持有的房地产。主要包括已出租的土</w:t>
      </w:r>
    </w:p>
    <w:p>
      <w:pPr>
        <w:pStyle w:val="BodyText"/>
        <w:spacing w:line="314" w:lineRule="auto"/>
        <w:ind w:left="221" w:right="231"/>
        <w:jc w:val="both"/>
      </w:pPr>
      <w:r>
        <w:rPr>
          <w:spacing w:val="-3"/>
        </w:rPr>
        <w:t>地使用权、持有并准备增值后转让的土地使用权以及已出租的建筑物。当公司能够取得与投资性房</w:t>
      </w:r>
      <w:r>
        <w:rPr>
          <w:spacing w:val="-78"/>
        </w:rPr>
        <w:t> </w:t>
      </w:r>
      <w:r>
        <w:rPr>
          <w:spacing w:val="-78"/>
        </w:rPr>
      </w:r>
      <w:r>
        <w:rPr>
          <w:spacing w:val="-3"/>
        </w:rPr>
        <w:t>地产相关的租金收入或增值收益以及投资性房地产的成本能够可靠计量时，公司按购置或建造的实</w:t>
      </w:r>
      <w:r>
        <w:rPr>
          <w:spacing w:val="-77"/>
        </w:rPr>
        <w:t> </w:t>
      </w:r>
      <w:r>
        <w:rPr>
          <w:spacing w:val="-77"/>
        </w:rPr>
      </w:r>
      <w:r>
        <w:rPr/>
        <w:t>际支出对其进行初始计量。</w:t>
      </w:r>
    </w:p>
    <w:p>
      <w:pPr>
        <w:pStyle w:val="BodyText"/>
        <w:spacing w:line="314" w:lineRule="auto"/>
        <w:ind w:left="221" w:right="231" w:firstLine="420"/>
        <w:jc w:val="both"/>
      </w:pPr>
      <w:r>
        <w:rPr>
          <w:spacing w:val="-3"/>
        </w:rPr>
        <w:t>公司在资产负债表日采用成本模式对投资性房地产进行后续计量。在成本模式下，公司按照本</w:t>
      </w:r>
      <w:r>
        <w:rPr/>
        <w:t> </w:t>
      </w:r>
      <w:r>
        <w:rPr>
          <w:spacing w:val="-3"/>
        </w:rPr>
        <w:t>会计政策之第（十六）项固定资产及折旧和第（十九）项无形资产的规定，对投资性房地产进行计</w:t>
      </w:r>
      <w:r>
        <w:rPr>
          <w:spacing w:val="-81"/>
        </w:rPr>
        <w:t> </w:t>
      </w:r>
      <w:r>
        <w:rPr>
          <w:spacing w:val="-81"/>
        </w:rPr>
      </w:r>
      <w:r>
        <w:rPr>
          <w:spacing w:val="-3"/>
        </w:rPr>
        <w:t>量，计提折旧或摊销。当投资性房地产被处置，或者永久退出使用且预计不能从其处置中取得经济</w:t>
      </w:r>
      <w:r>
        <w:rPr>
          <w:spacing w:val="-78"/>
        </w:rPr>
        <w:t> </w:t>
      </w:r>
      <w:r>
        <w:rPr>
          <w:spacing w:val="-78"/>
        </w:rPr>
      </w:r>
      <w:r>
        <w:rPr>
          <w:spacing w:val="-3"/>
        </w:rPr>
        <w:t>利益时，应当终止确认该项投资性房地产。公司出售、转让、报废投资性房地产或者发生投资性房</w:t>
      </w:r>
      <w:r>
        <w:rPr>
          <w:spacing w:val="-80"/>
        </w:rPr>
        <w:t> </w:t>
      </w:r>
      <w:r>
        <w:rPr>
          <w:spacing w:val="-80"/>
        </w:rPr>
      </w:r>
      <w:r>
        <w:rPr/>
        <w:t>地产毁损，应当将处置收入扣除其账面价值和相关税费后的金额计入当期损益。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64" w:lineRule="auto" w:before="0"/>
        <w:ind w:right="7876"/>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spacing w:val="1"/>
          <w:w w:val="99"/>
        </w:rPr>
        <w:t> </w:t>
      </w:r>
      <w:r>
        <w:rPr/>
        <w:t>(1).确认条件</w:t>
      </w:r>
      <w:r>
        <w:rPr>
          <w:b w:val="0"/>
          <w:bCs w:val="0"/>
        </w:rPr>
      </w:r>
    </w:p>
    <w:p>
      <w:pPr>
        <w:pStyle w:val="BodyText"/>
        <w:spacing w:line="272" w:lineRule="exact" w:before="64"/>
        <w:ind w:left="221" w:right="231" w:firstLine="420"/>
        <w:jc w:val="both"/>
      </w:pPr>
      <w:r>
        <w:rPr>
          <w:spacing w:val="-3"/>
        </w:rPr>
        <w:t>固定资产系使用寿命超过一个会计年度，为生产商品、提供劳务、出租或经营管理所持有的有</w:t>
      </w:r>
      <w:r>
        <w:rPr/>
        <w:t> 形资产。</w:t>
      </w:r>
    </w:p>
    <w:p>
      <w:pPr>
        <w:spacing w:line="240" w:lineRule="auto" w:before="4"/>
        <w:rPr>
          <w:rFonts w:ascii="宋体" w:hAnsi="宋体" w:cs="宋体" w:eastAsia="宋体" w:hint="default"/>
          <w:sz w:val="23"/>
          <w:szCs w:val="23"/>
        </w:rPr>
      </w:pPr>
    </w:p>
    <w:p>
      <w:pPr>
        <w:pStyle w:val="Heading2"/>
        <w:spacing w:line="240" w:lineRule="auto" w:before="0"/>
        <w:ind w:right="0"/>
        <w:jc w:val="both"/>
        <w:rPr>
          <w:b w:val="0"/>
          <w:bCs w:val="0"/>
        </w:rPr>
      </w:pPr>
      <w:r>
        <w:rPr/>
        <w:t>(2).折旧方法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735"/>
        <w:gridCol w:w="1850"/>
        <w:gridCol w:w="1854"/>
        <w:gridCol w:w="1853"/>
        <w:gridCol w:w="1853"/>
      </w:tblGrid>
      <w:tr>
        <w:trPr>
          <w:trHeight w:val="407"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3"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6"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8"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7"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9" w:right="0"/>
              <w:jc w:val="left"/>
              <w:rPr>
                <w:rFonts w:ascii="宋体" w:hAnsi="宋体" w:cs="宋体" w:eastAsia="宋体" w:hint="default"/>
                <w:sz w:val="21"/>
                <w:szCs w:val="21"/>
              </w:rPr>
            </w:pPr>
            <w:r>
              <w:rPr>
                <w:rFonts w:ascii="宋体"/>
                <w:sz w:val="21"/>
              </w:rPr>
              <w:t>2.375%</w:t>
            </w:r>
          </w:p>
        </w:tc>
      </w:tr>
    </w:tbl>
    <w:p>
      <w:pPr>
        <w:spacing w:after="0" w:line="240" w:lineRule="auto"/>
        <w:jc w:val="left"/>
        <w:rPr>
          <w:rFonts w:ascii="宋体" w:hAnsi="宋体" w:cs="宋体" w:eastAsia="宋体" w:hint="default"/>
          <w:sz w:val="21"/>
          <w:szCs w:val="21"/>
        </w:rPr>
        <w:sectPr>
          <w:pgSz w:w="11910" w:h="16840"/>
          <w:pgMar w:header="882" w:footer="977" w:top="1120" w:bottom="1160" w:left="14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8" w:type="dxa"/>
        <w:tblLayout w:type="fixed"/>
        <w:tblCellMar>
          <w:top w:w="0" w:type="dxa"/>
          <w:left w:w="0" w:type="dxa"/>
          <w:bottom w:w="0" w:type="dxa"/>
          <w:right w:w="0" w:type="dxa"/>
        </w:tblCellMar>
        <w:tblLook w:val="01E0"/>
      </w:tblPr>
      <w:tblGrid>
        <w:gridCol w:w="1735"/>
        <w:gridCol w:w="1850"/>
        <w:gridCol w:w="1854"/>
        <w:gridCol w:w="1853"/>
        <w:gridCol w:w="1853"/>
      </w:tblGrid>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道路及绿化建设</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hAnsi="宋体" w:cs="宋体" w:eastAsia="宋体" w:hint="default"/>
                <w:sz w:val="21"/>
                <w:szCs w:val="21"/>
              </w:rPr>
              <w:t>平均年限法</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sz w:val="21"/>
              </w:rPr>
              <w:t>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2.375%</w:t>
            </w:r>
          </w:p>
        </w:tc>
      </w:tr>
      <w:tr>
        <w:trPr>
          <w:trHeight w:val="407"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hAnsi="宋体" w:cs="宋体" w:eastAsia="宋体" w:hint="default"/>
                <w:spacing w:val="-1"/>
                <w:w w:val="95"/>
                <w:sz w:val="21"/>
                <w:szCs w:val="21"/>
              </w:rPr>
              <w:t>平均年限法</w:t>
            </w:r>
            <w:r>
              <w:rPr>
                <w:rFonts w:ascii="宋体" w:hAnsi="宋体" w:cs="宋体" w:eastAsia="宋体" w:hint="default"/>
                <w:w w:val="95"/>
                <w:sz w:val="21"/>
                <w:szCs w:val="21"/>
              </w:rPr>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21"/>
                <w:szCs w:val="21"/>
              </w:rPr>
            </w:pPr>
            <w:r>
              <w:rPr>
                <w:rFonts w:ascii="宋体"/>
                <w:spacing w:val="-1"/>
                <w:w w:val="95"/>
                <w:sz w:val="21"/>
              </w:rPr>
              <w:t>5%</w:t>
            </w:r>
            <w:r>
              <w:rPr>
                <w:rFonts w:ascii="宋体"/>
                <w:w w:val="95"/>
                <w:sz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11.880%</w:t>
            </w:r>
            <w:r>
              <w:rPr>
                <w:rFonts w:ascii="宋体"/>
                <w:sz w:val="21"/>
              </w:rPr>
            </w:r>
          </w:p>
        </w:tc>
      </w:tr>
      <w:tr>
        <w:trPr>
          <w:trHeight w:val="407"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软件开发设备</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spacing w:val="-1"/>
                <w:w w:val="95"/>
                <w:sz w:val="21"/>
                <w:szCs w:val="21"/>
              </w:rPr>
              <w:t>平均年限法</w:t>
            </w:r>
            <w:r>
              <w:rPr>
                <w:rFonts w:ascii="宋体" w:hAnsi="宋体" w:cs="宋体" w:eastAsia="宋体" w:hint="default"/>
                <w:w w:val="95"/>
                <w:sz w:val="21"/>
                <w:szCs w:val="21"/>
              </w:rPr>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w w:val="95"/>
                <w:sz w:val="21"/>
              </w:rPr>
              <w:t>5%</w:t>
            </w:r>
            <w:r>
              <w:rPr>
                <w:rFonts w:ascii="宋体"/>
                <w:w w:val="95"/>
                <w:sz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spacing w:val="-1"/>
                <w:sz w:val="21"/>
              </w:rPr>
              <w:t>19.000%</w:t>
            </w:r>
            <w:r>
              <w:rPr>
                <w:rFonts w:ascii="宋体"/>
                <w:sz w:val="21"/>
              </w:rPr>
            </w:r>
          </w:p>
        </w:tc>
      </w:tr>
      <w:tr>
        <w:trPr>
          <w:trHeight w:val="408"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spacing w:val="-1"/>
                <w:w w:val="95"/>
                <w:sz w:val="21"/>
                <w:szCs w:val="21"/>
              </w:rPr>
              <w:t>平均年限法</w:t>
            </w:r>
            <w:r>
              <w:rPr>
                <w:rFonts w:ascii="宋体" w:hAnsi="宋体" w:cs="宋体" w:eastAsia="宋体" w:hint="default"/>
                <w:w w:val="95"/>
                <w:sz w:val="21"/>
                <w:szCs w:val="21"/>
              </w:rPr>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w w:val="95"/>
                <w:sz w:val="21"/>
              </w:rPr>
              <w:t>5%</w:t>
            </w:r>
            <w:r>
              <w:rPr>
                <w:rFonts w:ascii="宋体"/>
                <w:w w:val="95"/>
                <w:sz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spacing w:val="-1"/>
                <w:sz w:val="21"/>
              </w:rPr>
              <w:t>19.000%</w:t>
            </w:r>
            <w:r>
              <w:rPr>
                <w:rFonts w:ascii="宋体"/>
                <w:sz w:val="21"/>
              </w:rPr>
            </w:r>
          </w:p>
        </w:tc>
      </w:tr>
    </w:tbl>
    <w:p>
      <w:pPr>
        <w:pStyle w:val="BodyText"/>
        <w:spacing w:line="240" w:lineRule="auto" w:before="42"/>
        <w:ind w:left="641" w:right="84"/>
        <w:jc w:val="left"/>
      </w:pPr>
      <w:r>
        <w:rPr/>
        <w:t>公司于每年年度终了，对固定资产的使用寿命、预计净残值和折旧方法进行复核。</w:t>
      </w:r>
    </w:p>
    <w:p>
      <w:pPr>
        <w:spacing w:line="240" w:lineRule="auto" w:before="12"/>
        <w:rPr>
          <w:rFonts w:ascii="宋体" w:hAnsi="宋体" w:cs="宋体" w:eastAsia="宋体" w:hint="default"/>
          <w:sz w:val="25"/>
          <w:szCs w:val="25"/>
        </w:rPr>
      </w:pPr>
    </w:p>
    <w:p>
      <w:pPr>
        <w:spacing w:line="357" w:lineRule="auto" w:before="0"/>
        <w:ind w:left="643" w:right="84" w:hanging="423"/>
        <w:jc w:val="left"/>
        <w:rPr>
          <w:rFonts w:ascii="宋体" w:hAnsi="宋体" w:cs="宋体" w:eastAsia="宋体" w:hint="default"/>
          <w:sz w:val="21"/>
          <w:szCs w:val="21"/>
        </w:rPr>
      </w:pPr>
      <w:r>
        <w:rPr>
          <w:rFonts w:ascii="宋体" w:hAnsi="宋体" w:cs="宋体" w:eastAsia="宋体" w:hint="default"/>
          <w:b/>
          <w:bCs/>
          <w:sz w:val="21"/>
          <w:szCs w:val="21"/>
        </w:rPr>
        <w:t>(3).融资租入固定资产的认定依据、计价和折旧方法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公司租赁资产符合下列一项或数项标准的，认定为融资租赁固定资产：</w:t>
      </w:r>
      <w:r>
        <w:rPr>
          <w:rFonts w:ascii="宋体" w:hAnsi="宋体" w:cs="宋体" w:eastAsia="宋体" w:hint="default"/>
          <w:sz w:val="21"/>
          <w:szCs w:val="21"/>
        </w:rPr>
      </w:r>
    </w:p>
    <w:p>
      <w:pPr>
        <w:pStyle w:val="BodyText"/>
        <w:spacing w:line="257" w:lineRule="exact" w:before="0"/>
        <w:ind w:left="641" w:right="84"/>
        <w:jc w:val="left"/>
      </w:pPr>
      <w:r>
        <w:rPr/>
        <w:t>（1）在租赁期届满时，租赁资产的所有权转移给承租人；</w:t>
      </w:r>
    </w:p>
    <w:p>
      <w:pPr>
        <w:pStyle w:val="BodyText"/>
        <w:spacing w:line="314" w:lineRule="auto" w:before="85"/>
        <w:ind w:left="221" w:right="218" w:firstLine="420"/>
        <w:jc w:val="left"/>
      </w:pPr>
      <w:r>
        <w:rPr/>
        <w:t>（2）承租人有购买租赁资产的选择权，所订立的购买价款预计将远低于行使选择权时租赁资 产的公允价值，因而在租赁开始日就可以合理确定承租人将会行使这种选择权；</w:t>
      </w:r>
    </w:p>
    <w:p>
      <w:pPr>
        <w:pStyle w:val="BodyText"/>
        <w:spacing w:line="240" w:lineRule="auto"/>
        <w:ind w:left="641" w:right="84"/>
        <w:jc w:val="left"/>
      </w:pPr>
      <w:r>
        <w:rPr/>
        <w:t>（3）即使资产的所有权不转移，但租赁期占租赁资产使用寿命的</w:t>
      </w:r>
      <w:r>
        <w:rPr>
          <w:spacing w:val="-57"/>
        </w:rPr>
        <w:t> </w:t>
      </w:r>
      <w:r>
        <w:rPr/>
        <w:t>75%以上；</w:t>
      </w:r>
    </w:p>
    <w:p>
      <w:pPr>
        <w:pStyle w:val="BodyText"/>
        <w:spacing w:line="314" w:lineRule="auto" w:before="85"/>
        <w:ind w:left="221" w:right="218" w:firstLine="420"/>
        <w:jc w:val="left"/>
      </w:pPr>
      <w:r>
        <w:rPr>
          <w:spacing w:val="-5"/>
        </w:rPr>
        <w:t>（4）承租人在租赁开始日的最低租赁付款额现值，几乎相当于租赁开始日租赁资产公允价值；</w:t>
      </w:r>
      <w:r>
        <w:rPr/>
        <w:t> 出租人在租赁开始日的最低租赁收款额现值，几乎相当于租赁开始日租赁资产公允价值；</w:t>
      </w:r>
    </w:p>
    <w:p>
      <w:pPr>
        <w:pStyle w:val="BodyText"/>
        <w:spacing w:line="314" w:lineRule="auto"/>
        <w:ind w:left="641" w:right="84"/>
        <w:jc w:val="left"/>
      </w:pPr>
      <w:r>
        <w:rPr/>
        <w:t>（5）租赁资产性质特殊，如果不作较大改造，只有承租人才能使用。 </w:t>
      </w:r>
      <w:r>
        <w:rPr>
          <w:spacing w:val="-3"/>
        </w:rPr>
        <w:t>在租赁开始日，公司将租赁开始日租赁资产公允价值与最低租赁付款额现值两者中较低者作为</w:t>
      </w:r>
    </w:p>
    <w:p>
      <w:pPr>
        <w:pStyle w:val="BodyText"/>
        <w:spacing w:line="314" w:lineRule="auto"/>
        <w:ind w:left="221" w:right="124" w:hanging="1"/>
        <w:jc w:val="left"/>
      </w:pPr>
      <w:r>
        <w:rPr>
          <w:spacing w:val="-5"/>
        </w:rPr>
        <w:t>租入资产的入账价值，将最低租赁付款额作为长期应付款的入账价值，其差额作为未确认融资费用，</w:t>
      </w:r>
      <w:r>
        <w:rPr>
          <w:spacing w:val="-93"/>
        </w:rPr>
        <w:t> </w:t>
      </w:r>
      <w:r>
        <w:rPr>
          <w:spacing w:val="-93"/>
        </w:rPr>
      </w:r>
      <w:r>
        <w:rPr/>
        <w:t>融资租入固定资产的折旧政策与自有固定资产一致。</w:t>
      </w:r>
    </w:p>
    <w:p>
      <w:pPr>
        <w:spacing w:line="240" w:lineRule="auto" w:before="13"/>
        <w:rPr>
          <w:rFonts w:ascii="宋体" w:hAnsi="宋体" w:cs="宋体" w:eastAsia="宋体" w:hint="default"/>
          <w:sz w:val="20"/>
          <w:szCs w:val="20"/>
        </w:rPr>
      </w:pPr>
    </w:p>
    <w:p>
      <w:pPr>
        <w:pStyle w:val="Heading2"/>
        <w:spacing w:line="240" w:lineRule="auto" w:before="0"/>
        <w:ind w:right="84"/>
        <w:jc w:val="left"/>
        <w:rPr>
          <w:b w:val="0"/>
          <w:bCs w:val="0"/>
        </w:rPr>
      </w:pPr>
      <w:r>
        <w:rPr>
          <w:rFonts w:ascii="Calibri" w:hAnsi="Calibri" w:cs="Calibri" w:eastAsia="Calibri" w:hint="default"/>
        </w:rPr>
        <w:t>17.  </w:t>
      </w:r>
      <w:r>
        <w:rPr>
          <w:rFonts w:ascii="Calibri" w:hAnsi="Calibri" w:cs="Calibri" w:eastAsia="Calibri" w:hint="default"/>
          <w:spacing w:val="12"/>
        </w:rPr>
        <w:t> </w:t>
      </w:r>
      <w:r>
        <w:rPr/>
        <w:t>在建工程</w:t>
      </w:r>
      <w:r>
        <w:rPr>
          <w:b w:val="0"/>
          <w:bCs w:val="0"/>
        </w:rPr>
      </w:r>
    </w:p>
    <w:p>
      <w:pPr>
        <w:pStyle w:val="BodyText"/>
        <w:spacing w:line="312" w:lineRule="auto" w:before="108"/>
        <w:ind w:left="221" w:right="113" w:firstLine="420"/>
        <w:jc w:val="left"/>
        <w:rPr>
          <w:rFonts w:ascii="宋体" w:hAnsi="宋体" w:cs="宋体" w:eastAsia="宋体" w:hint="default"/>
        </w:rPr>
      </w:pPr>
      <w:r>
        <w:rPr>
          <w:spacing w:val="-3"/>
        </w:rPr>
        <w:t>公司的在建工程以实际成本计价。实际成本由建造该项资产达到预定可使用状态前所发生的必</w:t>
      </w:r>
      <w:r>
        <w:rPr/>
        <w:t> </w:t>
      </w:r>
      <w:r>
        <w:rPr>
          <w:spacing w:val="2"/>
        </w:rPr>
        <w:t>要支出构成。其中为工程建设项目而发生的借款利息支出和外币折算差额按照《企业会计准则第</w:t>
      </w:r>
      <w:r>
        <w:rPr>
          <w:spacing w:val="-98"/>
        </w:rPr>
        <w:t> </w:t>
      </w:r>
      <w:r>
        <w:rPr>
          <w:spacing w:val="-98"/>
        </w:rPr>
      </w:r>
      <w:r>
        <w:rPr/>
        <w:t>17</w:t>
      </w:r>
      <w:r>
        <w:rPr>
          <w:spacing w:val="1"/>
        </w:rPr>
        <w:t> </w:t>
      </w:r>
      <w:r>
        <w:rPr/>
        <w:t>号——借款费用》的有关规定资本化或计入当期损益。在建工程在达到预定可使用状态之日起</w:t>
      </w:r>
      <w:r>
        <w:rPr/>
        <w:t> </w:t>
      </w:r>
      <w:r>
        <w:rPr>
          <w:spacing w:val="-3"/>
        </w:rPr>
        <w:t>不论工程是否办理竣工决算均转入固定资产，按照估计价值确定其成本，并计提折旧；对于未办理</w:t>
      </w:r>
      <w:r>
        <w:rPr>
          <w:spacing w:val="-78"/>
        </w:rPr>
        <w:t> </w:t>
      </w:r>
      <w:r>
        <w:rPr>
          <w:spacing w:val="-78"/>
        </w:rPr>
      </w:r>
      <w:r>
        <w:rPr/>
        <w:t>竣工决算手续的，待办理完毕后再按实际成本调整原来的暂估价值，但不调整原已计提的折旧额。</w:t>
      </w:r>
      <w:r>
        <w:rPr>
          <w:spacing w:val="-101"/>
        </w:rPr>
        <w:t> </w:t>
      </w:r>
      <w:r>
        <w:rPr>
          <w:spacing w:val="-101"/>
        </w:rPr>
      </w:r>
      <w:r>
        <w:rPr>
          <w:rFonts w:ascii="Calibri" w:hAnsi="Calibri" w:cs="Calibri" w:eastAsia="Calibri" w:hint="default"/>
          <w:b/>
          <w:bCs/>
        </w:rPr>
        <w:t>18.  </w:t>
      </w:r>
      <w:r>
        <w:rPr>
          <w:rFonts w:ascii="Calibri" w:hAnsi="Calibri" w:cs="Calibri" w:eastAsia="Calibri" w:hint="default"/>
          <w:b/>
          <w:bCs/>
          <w:spacing w:val="12"/>
        </w:rPr>
        <w:t> </w:t>
      </w:r>
      <w:r>
        <w:rPr>
          <w:rFonts w:ascii="宋体" w:hAnsi="宋体" w:cs="宋体" w:eastAsia="宋体" w:hint="default"/>
          <w:b/>
          <w:bCs/>
        </w:rPr>
        <w:t>借款费用</w:t>
      </w:r>
      <w:r>
        <w:rPr>
          <w:rFonts w:ascii="宋体" w:hAnsi="宋体" w:cs="宋体" w:eastAsia="宋体" w:hint="default"/>
        </w:rPr>
      </w:r>
    </w:p>
    <w:p>
      <w:pPr>
        <w:spacing w:line="314" w:lineRule="auto" w:before="32"/>
        <w:ind w:left="641" w:right="84" w:firstLine="2"/>
        <w:jc w:val="left"/>
        <w:rPr>
          <w:rFonts w:ascii="宋体" w:hAnsi="宋体" w:cs="宋体" w:eastAsia="宋体" w:hint="default"/>
          <w:sz w:val="21"/>
          <w:szCs w:val="21"/>
        </w:rPr>
      </w:pPr>
      <w:r>
        <w:rPr>
          <w:rFonts w:ascii="宋体" w:hAnsi="宋体" w:cs="宋体" w:eastAsia="宋体" w:hint="default"/>
          <w:b/>
          <w:bCs/>
          <w:sz w:val="21"/>
          <w:szCs w:val="21"/>
        </w:rPr>
        <w:t>1.借款费用资本化的确认原则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借款费用包括因借款发生的利息、折价或溢价的摊销和辅助费用，以及因外币借款而发生的汇</w:t>
      </w:r>
    </w:p>
    <w:p>
      <w:pPr>
        <w:pStyle w:val="BodyText"/>
        <w:spacing w:line="314" w:lineRule="auto"/>
        <w:ind w:left="221" w:right="84"/>
        <w:jc w:val="left"/>
      </w:pPr>
      <w:r>
        <w:rPr>
          <w:spacing w:val="-3"/>
        </w:rPr>
        <w:t>兑差额。公司发生的借款费用，可直接归属于符合资本化条件的资产的购建或者生产的，应予以资</w:t>
      </w:r>
      <w:r>
        <w:rPr>
          <w:spacing w:val="-78"/>
        </w:rPr>
        <w:t> </w:t>
      </w:r>
      <w:r>
        <w:rPr>
          <w:spacing w:val="-78"/>
        </w:rPr>
      </w:r>
      <w:r>
        <w:rPr/>
        <w:t>本化，计入相关资产成本；其他借款费用，在发生时根据其发生额确认为费用，计入当期损益。</w:t>
      </w:r>
    </w:p>
    <w:p>
      <w:pPr>
        <w:pStyle w:val="BodyText"/>
        <w:spacing w:line="314" w:lineRule="auto"/>
        <w:ind w:left="221" w:right="84" w:firstLine="420"/>
        <w:jc w:val="left"/>
      </w:pPr>
      <w:r>
        <w:rPr>
          <w:spacing w:val="-3"/>
        </w:rPr>
        <w:t>符合资本化条件的资产，包括需要经过相当长时间的购建或者生产活动才能达到预定可使用或</w:t>
      </w:r>
      <w:r>
        <w:rPr/>
        <w:t> 者可销售状态的固定资产、投资性房地产和存货等资产。</w:t>
      </w:r>
    </w:p>
    <w:p>
      <w:pPr>
        <w:pStyle w:val="BodyText"/>
        <w:spacing w:line="240" w:lineRule="auto"/>
        <w:ind w:left="641" w:right="84"/>
        <w:jc w:val="left"/>
      </w:pPr>
      <w:r>
        <w:rPr/>
        <w:t>借款费用同时满足下列条件，开始资本化：</w:t>
      </w:r>
    </w:p>
    <w:p>
      <w:pPr>
        <w:pStyle w:val="BodyText"/>
        <w:spacing w:line="314" w:lineRule="auto" w:before="85"/>
        <w:ind w:left="221" w:right="218" w:firstLine="420"/>
        <w:jc w:val="left"/>
      </w:pPr>
      <w:r>
        <w:rPr>
          <w:spacing w:val="-5"/>
        </w:rPr>
        <w:t>（1）资产支出已经发生，资产支出包括为购建或者生产符合资本化条件的资产而以支付现金、</w:t>
      </w:r>
      <w:r>
        <w:rPr/>
        <w:t> 转移非现金资产或者承担带息债务形式发生的支出；</w:t>
      </w:r>
    </w:p>
    <w:p>
      <w:pPr>
        <w:pStyle w:val="BodyText"/>
        <w:spacing w:line="240" w:lineRule="auto"/>
        <w:ind w:left="641" w:right="84"/>
        <w:jc w:val="left"/>
      </w:pPr>
      <w:r>
        <w:rPr/>
        <w:t>（2）借款费用已发生；</w:t>
      </w:r>
    </w:p>
    <w:p>
      <w:pPr>
        <w:pStyle w:val="BodyText"/>
        <w:spacing w:line="240" w:lineRule="auto" w:before="85"/>
        <w:ind w:left="641" w:right="84"/>
        <w:jc w:val="left"/>
      </w:pPr>
      <w:r>
        <w:rPr/>
        <w:t>（3）为使资产达到预计可使用或者可销售状态所必要的购建或者生产活动已经开始。</w:t>
      </w:r>
    </w:p>
    <w:p>
      <w:pPr>
        <w:spacing w:after="0" w:line="240" w:lineRule="auto"/>
        <w:jc w:val="left"/>
        <w:sectPr>
          <w:pgSz w:w="11910" w:h="16840"/>
          <w:pgMar w:header="882" w:footer="977" w:top="1120" w:bottom="1160" w:left="14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14" w:lineRule="auto" w:before="0"/>
        <w:ind w:left="561" w:right="203" w:firstLine="2"/>
        <w:jc w:val="left"/>
        <w:rPr>
          <w:rFonts w:ascii="宋体" w:hAnsi="宋体" w:cs="宋体" w:eastAsia="宋体" w:hint="default"/>
          <w:sz w:val="21"/>
          <w:szCs w:val="21"/>
        </w:rPr>
      </w:pPr>
      <w:r>
        <w:rPr>
          <w:rFonts w:ascii="宋体" w:hAnsi="宋体" w:cs="宋体" w:eastAsia="宋体" w:hint="default"/>
          <w:b/>
          <w:bCs/>
          <w:sz w:val="21"/>
          <w:szCs w:val="21"/>
        </w:rPr>
        <w:t>2.借款费用资本化的期间</w:t>
      </w:r>
      <w:r>
        <w:rPr>
          <w:rFonts w:ascii="宋体" w:hAnsi="宋体" w:cs="宋体" w:eastAsia="宋体" w:hint="default"/>
          <w:b/>
          <w:bCs/>
          <w:w w:val="99"/>
          <w:sz w:val="21"/>
          <w:szCs w:val="21"/>
        </w:rPr>
        <w:t> </w:t>
      </w:r>
      <w:r>
        <w:rPr>
          <w:rFonts w:ascii="宋体" w:hAnsi="宋体" w:cs="宋体" w:eastAsia="宋体" w:hint="default"/>
          <w:spacing w:val="-3"/>
          <w:sz w:val="21"/>
          <w:szCs w:val="21"/>
        </w:rPr>
        <w:t>为购建或者生产符合资本化条件的资产发生的借款费用，满足上述资本化条件的，在该资产达</w:t>
      </w:r>
    </w:p>
    <w:p>
      <w:pPr>
        <w:pStyle w:val="BodyText"/>
        <w:spacing w:line="314" w:lineRule="auto"/>
        <w:ind w:right="211"/>
        <w:jc w:val="both"/>
      </w:pPr>
      <w:r>
        <w:rPr>
          <w:spacing w:val="-3"/>
        </w:rPr>
        <w:t>到预定可使用或者可销售状态前所发生的，计入该资产的成本，若符合资本化条件的资产的购建或</w:t>
      </w:r>
      <w:r>
        <w:rPr>
          <w:spacing w:val="-78"/>
        </w:rPr>
        <w:t> </w:t>
      </w:r>
      <w:r>
        <w:rPr>
          <w:spacing w:val="-78"/>
        </w:rPr>
      </w:r>
      <w:r>
        <w:rPr/>
        <w:t>者生产活动发生非正常中断，并且中断时间连续超过</w:t>
      </w:r>
      <w:r>
        <w:rPr>
          <w:spacing w:val="-66"/>
        </w:rPr>
        <w:t> </w:t>
      </w:r>
      <w:r>
        <w:rPr/>
        <w:t>3</w:t>
      </w:r>
      <w:r>
        <w:rPr>
          <w:spacing w:val="-65"/>
        </w:rPr>
        <w:t> </w:t>
      </w:r>
      <w:r>
        <w:rPr>
          <w:spacing w:val="-4"/>
        </w:rPr>
        <w:t>个月，则暂停借款费用的资本化，将其确认</w:t>
      </w:r>
      <w:r>
        <w:rPr/>
        <w:t> </w:t>
      </w:r>
      <w:r>
        <w:rPr>
          <w:spacing w:val="-3"/>
        </w:rPr>
        <w:t>为当期费用，直至资产的购建或者生产活动重新开始。如果中断是所购建或者生产的符合资本化条</w:t>
      </w:r>
      <w:r>
        <w:rPr>
          <w:spacing w:val="-78"/>
        </w:rPr>
        <w:t> </w:t>
      </w:r>
      <w:r>
        <w:rPr>
          <w:spacing w:val="-78"/>
        </w:rPr>
      </w:r>
      <w:r>
        <w:rPr>
          <w:spacing w:val="-3"/>
        </w:rPr>
        <w:t>件的资产达到预定可使用或可销售状态必要的程序，借款费用继续资本化。当所购建或生产的资产</w:t>
      </w:r>
      <w:r>
        <w:rPr>
          <w:spacing w:val="-78"/>
        </w:rPr>
        <w:t> </w:t>
      </w:r>
      <w:r>
        <w:rPr>
          <w:spacing w:val="-78"/>
        </w:rPr>
      </w:r>
      <w:r>
        <w:rPr>
          <w:spacing w:val="-3"/>
        </w:rPr>
        <w:t>达到预定可使用或者可销售状态时，停止其借款费用的资本化。在达到预定可使用或者可销售状态</w:t>
      </w:r>
      <w:r>
        <w:rPr>
          <w:spacing w:val="-78"/>
        </w:rPr>
        <w:t> </w:t>
      </w:r>
      <w:r>
        <w:rPr>
          <w:spacing w:val="-78"/>
        </w:rPr>
      </w:r>
      <w:r>
        <w:rPr/>
        <w:t>后所发生的借款费用，于发生当期直接计入财务费用。</w:t>
      </w:r>
    </w:p>
    <w:p>
      <w:pPr>
        <w:spacing w:line="314" w:lineRule="auto" w:before="20"/>
        <w:ind w:left="561" w:right="203" w:firstLine="2"/>
        <w:jc w:val="left"/>
        <w:rPr>
          <w:rFonts w:ascii="宋体" w:hAnsi="宋体" w:cs="宋体" w:eastAsia="宋体" w:hint="default"/>
          <w:sz w:val="21"/>
          <w:szCs w:val="21"/>
        </w:rPr>
      </w:pPr>
      <w:r>
        <w:rPr>
          <w:rFonts w:ascii="宋体" w:hAnsi="宋体" w:cs="宋体" w:eastAsia="宋体" w:hint="default"/>
          <w:b/>
          <w:bCs/>
          <w:sz w:val="21"/>
          <w:szCs w:val="21"/>
        </w:rPr>
        <w:t>3.借款费用资本化金额的计算方法</w:t>
      </w:r>
      <w:r>
        <w:rPr>
          <w:rFonts w:ascii="宋体" w:hAnsi="宋体" w:cs="宋体" w:eastAsia="宋体" w:hint="default"/>
          <w:b/>
          <w:bCs/>
          <w:w w:val="99"/>
          <w:sz w:val="21"/>
          <w:szCs w:val="21"/>
        </w:rPr>
        <w:t> </w:t>
      </w:r>
      <w:r>
        <w:rPr>
          <w:rFonts w:ascii="宋体" w:hAnsi="宋体" w:cs="宋体" w:eastAsia="宋体" w:hint="default"/>
          <w:spacing w:val="-3"/>
          <w:sz w:val="21"/>
          <w:szCs w:val="21"/>
        </w:rPr>
        <w:t>在资本化期间内，每一会计期间的利息（包括折价或溢价的摊销）资本化金额，按照下列规定</w:t>
      </w:r>
    </w:p>
    <w:p>
      <w:pPr>
        <w:pStyle w:val="BodyText"/>
        <w:spacing w:line="240" w:lineRule="auto"/>
        <w:ind w:right="0"/>
        <w:jc w:val="both"/>
      </w:pPr>
      <w:r>
        <w:rPr/>
        <w:t>确定：</w:t>
      </w:r>
    </w:p>
    <w:p>
      <w:pPr>
        <w:pStyle w:val="BodyText"/>
        <w:spacing w:line="314" w:lineRule="auto" w:before="85"/>
        <w:ind w:right="211" w:firstLine="420"/>
        <w:jc w:val="both"/>
      </w:pPr>
      <w:r>
        <w:rPr/>
        <w:t>（1）为购建或者生产符合资本化条件的资产而借入专门借款的，以专门借款当期实际发生的 </w:t>
      </w:r>
      <w:r>
        <w:rPr>
          <w:spacing w:val="-3"/>
        </w:rPr>
        <w:t>利息费用，减去将尚未动用的借款资金存入银行取得的利息收入或进行暂时性投资取得的投资收益</w:t>
      </w:r>
      <w:r>
        <w:rPr>
          <w:spacing w:val="-77"/>
        </w:rPr>
        <w:t> </w:t>
      </w:r>
      <w:r>
        <w:rPr>
          <w:spacing w:val="-77"/>
        </w:rPr>
      </w:r>
      <w:r>
        <w:rPr/>
        <w:t>后的金额确定。</w:t>
      </w:r>
    </w:p>
    <w:p>
      <w:pPr>
        <w:pStyle w:val="BodyText"/>
        <w:spacing w:line="314" w:lineRule="auto"/>
        <w:ind w:right="211" w:firstLine="420"/>
        <w:jc w:val="both"/>
      </w:pPr>
      <w:r>
        <w:rPr/>
        <w:t>（2）为购建或者生产符合资本化条件的资产而占用了一般借款的，根据累计资产支出超过专 </w:t>
      </w:r>
      <w:r>
        <w:rPr>
          <w:spacing w:val="-3"/>
        </w:rPr>
        <w:t>门借款部分的资产支出加权平均数乘以所占用一般借款的资本化率，计算确定一般借款应予资本化</w:t>
      </w:r>
      <w:r>
        <w:rPr>
          <w:spacing w:val="-77"/>
        </w:rPr>
        <w:t> </w:t>
      </w:r>
      <w:r>
        <w:rPr>
          <w:spacing w:val="-77"/>
        </w:rPr>
      </w:r>
      <w:r>
        <w:rPr>
          <w:spacing w:val="-3"/>
        </w:rPr>
        <w:t>的利息金额。资本化率根据一般借款加权平均利率计算确定。利息资本化金额，不超过当期相关借</w:t>
      </w:r>
      <w:r>
        <w:rPr>
          <w:spacing w:val="-78"/>
        </w:rPr>
        <w:t> </w:t>
      </w:r>
      <w:r>
        <w:rPr>
          <w:spacing w:val="-78"/>
        </w:rPr>
      </w:r>
      <w:r>
        <w:rPr/>
        <w:t>款实际发生的利息金额。</w:t>
      </w:r>
    </w:p>
    <w:p>
      <w:pPr>
        <w:spacing w:line="240" w:lineRule="auto" w:before="9"/>
        <w:rPr>
          <w:rFonts w:ascii="宋体" w:hAnsi="宋体" w:cs="宋体" w:eastAsia="宋体" w:hint="default"/>
          <w:sz w:val="27"/>
          <w:szCs w:val="27"/>
        </w:rPr>
      </w:pPr>
    </w:p>
    <w:p>
      <w:pPr>
        <w:pStyle w:val="Heading2"/>
        <w:spacing w:line="264" w:lineRule="auto" w:before="0"/>
        <w:ind w:left="141" w:right="5732"/>
        <w:jc w:val="left"/>
        <w:rPr>
          <w:b w:val="0"/>
          <w:bCs w:val="0"/>
        </w:rPr>
      </w:pPr>
      <w:r>
        <w:rPr>
          <w:rFonts w:ascii="Calibri" w:hAnsi="Calibri" w:cs="Calibri" w:eastAsia="Calibri" w:hint="default"/>
        </w:rPr>
        <w:t>19.                                      </w:t>
      </w:r>
      <w:r>
        <w:rPr>
          <w:rFonts w:ascii="Calibri" w:hAnsi="Calibri" w:cs="Calibri" w:eastAsia="Calibri" w:hint="default"/>
          <w:spacing w:val="24"/>
        </w:rPr>
        <w:t> </w:t>
      </w:r>
      <w:r>
        <w:rPr/>
        <w:t>无形资产</w:t>
      </w:r>
      <w:r>
        <w:rPr>
          <w:spacing w:val="1"/>
          <w:w w:val="99"/>
        </w:rPr>
        <w:t> </w:t>
      </w:r>
      <w:r>
        <w:rPr>
          <w:spacing w:val="1"/>
          <w:w w:val="99"/>
        </w:rPr>
        <w:t>                </w:t>
      </w:r>
      <w:r>
        <w:rPr/>
        <w:t>(1).</w:t>
      </w:r>
      <w:r>
        <w:rPr>
          <w:spacing w:val="-86"/>
        </w:rPr>
        <w:t> </w:t>
      </w:r>
      <w:r>
        <w:rPr/>
        <w:t>计价方法、使用寿命、减值测试</w:t>
      </w:r>
      <w:r>
        <w:rPr>
          <w:b w:val="0"/>
          <w:bCs w:val="0"/>
        </w:rPr>
      </w:r>
    </w:p>
    <w:p>
      <w:pPr>
        <w:pStyle w:val="BodyText"/>
        <w:spacing w:line="314" w:lineRule="auto" w:before="114"/>
        <w:ind w:right="211" w:firstLine="420"/>
        <w:jc w:val="both"/>
      </w:pPr>
      <w:r>
        <w:rPr>
          <w:spacing w:val="-3"/>
        </w:rPr>
        <w:t>无形资产按成本进行初始计量。外购的无形资产，其成本包括购买价款、相关税费以及直接归</w:t>
      </w:r>
      <w:r>
        <w:rPr/>
        <w:t> 属于使该项资产达到预定用途所发生的其他支出。</w:t>
      </w:r>
    </w:p>
    <w:p>
      <w:pPr>
        <w:pStyle w:val="BodyText"/>
        <w:spacing w:line="314" w:lineRule="auto"/>
        <w:ind w:right="211" w:firstLine="420"/>
        <w:jc w:val="both"/>
      </w:pPr>
      <w:r>
        <w:rPr>
          <w:spacing w:val="-3"/>
        </w:rPr>
        <w:t>购买无形资产的价款超过正常信用条件延期支付，实际上具有融资性质的，无形资产的成本以</w:t>
      </w:r>
      <w:r>
        <w:rPr/>
        <w:t> </w:t>
      </w:r>
      <w:r>
        <w:rPr>
          <w:spacing w:val="-3"/>
        </w:rPr>
        <w:t>购买价款的现值为基础确定。实际支付的价款与购买价款的现值之间的差额，除按照《企业会计准</w:t>
      </w:r>
      <w:r>
        <w:rPr>
          <w:spacing w:val="-78"/>
        </w:rPr>
        <w:t> </w:t>
      </w:r>
      <w:r>
        <w:rPr>
          <w:spacing w:val="-78"/>
        </w:rPr>
      </w:r>
      <w:r>
        <w:rPr/>
        <w:t>则第</w:t>
      </w:r>
      <w:r>
        <w:rPr>
          <w:spacing w:val="-70"/>
        </w:rPr>
        <w:t> </w:t>
      </w:r>
      <w:r>
        <w:rPr/>
        <w:t>17</w:t>
      </w:r>
      <w:r>
        <w:rPr>
          <w:spacing w:val="-69"/>
        </w:rPr>
        <w:t> </w:t>
      </w:r>
      <w:r>
        <w:rPr/>
        <w:t>号——借款费用》应予资本化的以外，在信用期间内计入当期损益。</w:t>
      </w:r>
    </w:p>
    <w:p>
      <w:pPr>
        <w:pStyle w:val="BodyText"/>
        <w:spacing w:line="314" w:lineRule="auto"/>
        <w:ind w:right="211" w:firstLine="420"/>
        <w:jc w:val="both"/>
      </w:pPr>
      <w:r>
        <w:rPr>
          <w:spacing w:val="-3"/>
        </w:rPr>
        <w:t>投资者投入的无形资产的成本，按照投资合同或协议约定的价值确定，在投资合同或协议约定</w:t>
      </w:r>
      <w:r>
        <w:rPr/>
        <w:t> </w:t>
      </w:r>
      <w:r>
        <w:rPr>
          <w:spacing w:val="-3"/>
        </w:rPr>
        <w:t>价值不公允的情况下，应按无形资产的公允价值入账。通过非货币性资产交换取得的无形资产，其</w:t>
      </w:r>
      <w:r>
        <w:rPr>
          <w:spacing w:val="-78"/>
        </w:rPr>
        <w:t> </w:t>
      </w:r>
      <w:r>
        <w:rPr>
          <w:spacing w:val="-78"/>
        </w:rPr>
      </w:r>
      <w:r>
        <w:rPr>
          <w:spacing w:val="-3"/>
        </w:rPr>
        <w:t>初始投资成本按照《企业会计准则第 </w:t>
      </w:r>
      <w:r>
        <w:rPr/>
        <w:t>7</w:t>
      </w:r>
      <w:r>
        <w:rPr>
          <w:spacing w:val="-80"/>
        </w:rPr>
        <w:t> </w:t>
      </w:r>
      <w:r>
        <w:rPr>
          <w:spacing w:val="-3"/>
        </w:rPr>
        <w:t>号——非货币性资产交换》确定。通过债务重组取得的无形</w:t>
      </w:r>
    </w:p>
    <w:p>
      <w:pPr>
        <w:pStyle w:val="BodyText"/>
        <w:spacing w:line="314" w:lineRule="auto"/>
        <w:ind w:right="211"/>
        <w:jc w:val="both"/>
      </w:pPr>
      <w:r>
        <w:rPr/>
        <w:t>资产，其初始投资成本按照《企业会计准则第</w:t>
      </w:r>
      <w:r>
        <w:rPr>
          <w:spacing w:val="-51"/>
        </w:rPr>
        <w:t> </w:t>
      </w:r>
      <w:r>
        <w:rPr/>
        <w:t>12</w:t>
      </w:r>
      <w:r>
        <w:rPr>
          <w:spacing w:val="-51"/>
        </w:rPr>
        <w:t> </w:t>
      </w:r>
      <w:r>
        <w:rPr/>
        <w:t>号——债务重组》确定。以同一控制下的企业合</w:t>
      </w:r>
      <w:r>
        <w:rPr/>
        <w:t> </w:t>
      </w:r>
      <w:r>
        <w:rPr>
          <w:spacing w:val="-3"/>
        </w:rPr>
        <w:t>并方式取得的无形资产按被合并方的账面价值确定其入账价值；以非同一控制下的企业合并方式取</w:t>
      </w:r>
      <w:r>
        <w:rPr>
          <w:spacing w:val="-77"/>
        </w:rPr>
        <w:t> </w:t>
      </w:r>
      <w:r>
        <w:rPr>
          <w:spacing w:val="-77"/>
        </w:rPr>
      </w:r>
      <w:r>
        <w:rPr/>
        <w:t>得的无形资产按公允价值确定其入账价值。</w:t>
      </w:r>
    </w:p>
    <w:p>
      <w:pPr>
        <w:pStyle w:val="BodyText"/>
        <w:spacing w:line="314" w:lineRule="auto"/>
        <w:ind w:right="211" w:firstLine="420"/>
        <w:jc w:val="both"/>
      </w:pPr>
      <w:r>
        <w:rPr>
          <w:spacing w:val="-3"/>
        </w:rPr>
        <w:t>公司于取得无形资产时分析判断其使用寿命。使用寿命有限的无形资产自无形资产可供使用时</w:t>
      </w:r>
      <w:r>
        <w:rPr/>
        <w:t> </w:t>
      </w:r>
      <w:r>
        <w:rPr>
          <w:spacing w:val="-3"/>
        </w:rPr>
        <w:t>起，至不再作为无形资产确认时止，采用直线法分期平均摊销，计入损益。对于使用寿命不确定的</w:t>
      </w:r>
      <w:r>
        <w:rPr>
          <w:spacing w:val="-80"/>
        </w:rPr>
        <w:t> </w:t>
      </w:r>
      <w:r>
        <w:rPr>
          <w:spacing w:val="-80"/>
        </w:rPr>
      </w:r>
      <w:r>
        <w:rPr/>
        <w:t>无形资产不进行摊销。</w:t>
      </w:r>
    </w:p>
    <w:p>
      <w:pPr>
        <w:pStyle w:val="BodyText"/>
        <w:spacing w:line="314" w:lineRule="auto"/>
        <w:ind w:right="103" w:firstLine="420"/>
        <w:jc w:val="left"/>
      </w:pPr>
      <w:r>
        <w:rPr>
          <w:spacing w:val="-3"/>
        </w:rPr>
        <w:t>公司于每年年度终了，对使用寿命有限的无形资产的使用寿命及摊销方法进行复核。如果无形</w:t>
      </w:r>
      <w:r>
        <w:rPr/>
        <w:t> </w:t>
      </w:r>
      <w:r>
        <w:rPr>
          <w:spacing w:val="-5"/>
        </w:rPr>
        <w:t>资产的使用寿命及摊销方法与以前估计不同的，改变摊销期限和摊销方法，并按会计估计变更处理。</w:t>
      </w:r>
      <w:r>
        <w:rPr>
          <w:spacing w:val="-93"/>
        </w:rPr>
        <w:t> </w:t>
      </w:r>
      <w:r>
        <w:rPr>
          <w:spacing w:val="-93"/>
        </w:rPr>
      </w:r>
      <w:r>
        <w:rPr>
          <w:spacing w:val="-3"/>
        </w:rPr>
        <w:t>公司在每个会计期间对使用寿命不确定的无形资产的使用寿命进行复核。如果有证据表明无形资产</w:t>
      </w:r>
    </w:p>
    <w:p>
      <w:pPr>
        <w:spacing w:after="0" w:line="314" w:lineRule="auto"/>
        <w:jc w:val="left"/>
        <w:sectPr>
          <w:pgSz w:w="11910" w:h="16840"/>
          <w:pgMar w:header="882" w:footer="977" w:top="1120" w:bottom="1160" w:left="15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left="561" w:right="227" w:hanging="420"/>
        <w:jc w:val="left"/>
      </w:pPr>
      <w:r>
        <w:rPr/>
        <w:t>的使用寿命是有限的，估计其使用寿命，并按上述规定处理。 无形资产的减值测试方法和减值准备计提方法详见附注五、（二十）</w:t>
      </w:r>
      <w:r>
        <w:rPr>
          <w:spacing w:val="-39"/>
        </w:rPr>
        <w:t> </w:t>
      </w:r>
      <w:r>
        <w:rPr/>
        <w:t>“长期资产减值”。</w:t>
      </w:r>
    </w:p>
    <w:p>
      <w:pPr>
        <w:spacing w:line="240" w:lineRule="auto" w:before="13"/>
        <w:rPr>
          <w:rFonts w:ascii="宋体" w:hAnsi="宋体" w:cs="宋体" w:eastAsia="宋体" w:hint="default"/>
          <w:sz w:val="20"/>
          <w:szCs w:val="20"/>
        </w:rPr>
      </w:pPr>
    </w:p>
    <w:p>
      <w:pPr>
        <w:spacing w:line="357" w:lineRule="auto" w:before="0"/>
        <w:ind w:left="561" w:right="20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2"/>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3"/>
          <w:sz w:val="21"/>
          <w:szCs w:val="21"/>
        </w:rPr>
        <w:t>研究开发项目研究阶段支出与开发阶段支出的划分标准：研究阶段支出指为获取并理解新的科</w:t>
      </w:r>
    </w:p>
    <w:p>
      <w:pPr>
        <w:pStyle w:val="BodyText"/>
        <w:spacing w:line="257" w:lineRule="exact" w:before="0"/>
        <w:ind w:right="0"/>
        <w:jc w:val="left"/>
      </w:pPr>
      <w:r>
        <w:rPr/>
        <w:t>学或技术知识而进行的独创性的有计划调查所发生的支出</w:t>
      </w:r>
      <w:r>
        <w:rPr>
          <w:spacing w:val="-101"/>
        </w:rPr>
        <w:t>；</w:t>
      </w:r>
      <w:r>
        <w:rPr/>
        <w:t>开发阶段支出是指在进行商业性产和或</w:t>
      </w:r>
    </w:p>
    <w:p>
      <w:pPr>
        <w:pStyle w:val="BodyText"/>
        <w:spacing w:line="314" w:lineRule="auto" w:before="85"/>
        <w:ind w:right="93"/>
        <w:jc w:val="left"/>
      </w:pPr>
      <w:r>
        <w:rPr/>
        <w:t>使用前，将研究成果或其他知识应用于某项计划或设计，以生产出新的或具有实质性改进的材料、 装置、产品等所发生的支出。</w:t>
      </w:r>
    </w:p>
    <w:p>
      <w:pPr>
        <w:pStyle w:val="BodyText"/>
        <w:spacing w:line="314" w:lineRule="auto"/>
        <w:ind w:right="211" w:firstLine="420"/>
        <w:jc w:val="both"/>
      </w:pPr>
      <w:r>
        <w:rPr>
          <w:spacing w:val="-3"/>
        </w:rPr>
        <w:t>公司内部自行开发的无形资产，在研究开发项目研究阶段的支出，于发生时计入当期损益。开</w:t>
      </w:r>
      <w:r>
        <w:rPr/>
        <w:t> 发项目开发阶段的支出，只有同时满足下列条件的，才能确认为无形资产：</w:t>
      </w:r>
    </w:p>
    <w:p>
      <w:pPr>
        <w:pStyle w:val="BodyText"/>
        <w:spacing w:line="240" w:lineRule="auto"/>
        <w:ind w:left="561" w:right="227"/>
        <w:jc w:val="left"/>
      </w:pPr>
      <w:r>
        <w:rPr/>
        <w:t>（1）完成该无形资产以使其能够使用或出售在技术上具有可行性。</w:t>
      </w:r>
    </w:p>
    <w:p>
      <w:pPr>
        <w:pStyle w:val="BodyText"/>
        <w:spacing w:line="240" w:lineRule="auto" w:before="85"/>
        <w:ind w:left="561" w:right="227"/>
        <w:jc w:val="left"/>
      </w:pPr>
      <w:r>
        <w:rPr/>
        <w:t>（2）具有完成该无形资产并使用或出售的意图。</w:t>
      </w:r>
    </w:p>
    <w:p>
      <w:pPr>
        <w:pStyle w:val="BodyText"/>
        <w:spacing w:line="314" w:lineRule="auto" w:before="85"/>
        <w:ind w:right="212" w:firstLine="420"/>
        <w:jc w:val="both"/>
      </w:pPr>
      <w:r>
        <w:rPr/>
        <w:t>（3）无形资产产生经济利益的方式，包括能够证明运用该无形资产生产的产品存在市场或无 形资产自身存在市场，无形资产将在内部使用的，应当证明其有用性。</w:t>
      </w:r>
    </w:p>
    <w:p>
      <w:pPr>
        <w:pStyle w:val="BodyText"/>
        <w:spacing w:line="314" w:lineRule="auto"/>
        <w:ind w:right="212" w:firstLine="420"/>
        <w:jc w:val="both"/>
      </w:pPr>
      <w:r>
        <w:rPr/>
        <w:t>（4）有足够的技术、财务资源和其他资源支持，以完成该无形资产的开发，并有能力使用或 出售无形资产。</w:t>
      </w:r>
    </w:p>
    <w:p>
      <w:pPr>
        <w:pStyle w:val="BodyText"/>
        <w:spacing w:line="314" w:lineRule="auto"/>
        <w:ind w:left="561" w:right="3348"/>
        <w:jc w:val="left"/>
      </w:pPr>
      <w:r>
        <w:rPr/>
        <w:t>（5）归属于该无形资产开发阶段的支出能够可靠地计量。 对于以前期间已经费用化的开发阶段的支出不再调整。</w:t>
      </w:r>
    </w:p>
    <w:p>
      <w:pPr>
        <w:spacing w:line="240" w:lineRule="auto" w:before="13"/>
        <w:rPr>
          <w:rFonts w:ascii="宋体" w:hAnsi="宋体" w:cs="宋体" w:eastAsia="宋体" w:hint="default"/>
          <w:sz w:val="20"/>
          <w:szCs w:val="20"/>
        </w:rPr>
      </w:pPr>
    </w:p>
    <w:p>
      <w:pPr>
        <w:spacing w:line="326" w:lineRule="auto" w:before="0"/>
        <w:ind w:left="561" w:right="203" w:hanging="421"/>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pacing w:val="-3"/>
          <w:sz w:val="21"/>
          <w:szCs w:val="21"/>
        </w:rPr>
        <w:t>长期股权投资、采用成本模式计量的投资性房地产、固定资产、在建工程、无形资产等长期资</w:t>
      </w:r>
    </w:p>
    <w:p>
      <w:pPr>
        <w:pStyle w:val="BodyText"/>
        <w:spacing w:line="314" w:lineRule="auto" w:before="9"/>
        <w:ind w:right="211"/>
        <w:jc w:val="both"/>
      </w:pPr>
      <w:r>
        <w:rPr>
          <w:spacing w:val="-3"/>
        </w:rPr>
        <w:t>产，于资产负债表日存在减值迹象的，进行减值测试。减值测试结果表明资产的可收回金额低于其</w:t>
      </w:r>
      <w:r>
        <w:rPr>
          <w:spacing w:val="-78"/>
        </w:rPr>
        <w:t> </w:t>
      </w:r>
      <w:r>
        <w:rPr>
          <w:spacing w:val="-78"/>
        </w:rPr>
      </w:r>
      <w:r>
        <w:rPr>
          <w:spacing w:val="-3"/>
        </w:rPr>
        <w:t>账面价值的，按其差额计提减值准备并计入减值损失。可收回金额为资产的公允价值减去处置费用</w:t>
      </w:r>
      <w:r>
        <w:rPr>
          <w:spacing w:val="-78"/>
        </w:rPr>
        <w:t> </w:t>
      </w:r>
      <w:r>
        <w:rPr>
          <w:spacing w:val="-78"/>
        </w:rPr>
      </w:r>
      <w:r>
        <w:rPr>
          <w:spacing w:val="-3"/>
        </w:rPr>
        <w:t>后的净额与资产预计未来现金流量的现值两者之间的较高者。资产减值准备按单项资产为基础计算</w:t>
      </w:r>
      <w:r>
        <w:rPr>
          <w:spacing w:val="-77"/>
        </w:rPr>
        <w:t> </w:t>
      </w:r>
      <w:r>
        <w:rPr>
          <w:spacing w:val="-77"/>
        </w:rPr>
      </w:r>
      <w:r>
        <w:rPr>
          <w:spacing w:val="-3"/>
        </w:rPr>
        <w:t>并确认，如果难以对单项资产的可收回金额进行估计的，以该资产所属的资产组确定资产组的可收</w:t>
      </w:r>
      <w:r>
        <w:rPr>
          <w:spacing w:val="-78"/>
        </w:rPr>
        <w:t> </w:t>
      </w:r>
      <w:r>
        <w:rPr>
          <w:spacing w:val="-78"/>
        </w:rPr>
      </w:r>
      <w:r>
        <w:rPr/>
        <w:t>回金额。资产组是能够独立产生现金流入的最小资产组合。</w:t>
      </w:r>
    </w:p>
    <w:p>
      <w:pPr>
        <w:pStyle w:val="BodyText"/>
        <w:spacing w:line="314" w:lineRule="auto"/>
        <w:ind w:right="211" w:firstLine="420"/>
        <w:jc w:val="both"/>
      </w:pPr>
      <w:r>
        <w:rPr>
          <w:spacing w:val="-3"/>
        </w:rPr>
        <w:t>商誉至少在每年年度终了进行减值测试。本公司进行商誉减值测试，对于因企业合并形成的商</w:t>
      </w:r>
      <w:r>
        <w:rPr/>
        <w:t> </w:t>
      </w:r>
      <w:r>
        <w:rPr>
          <w:spacing w:val="-3"/>
        </w:rPr>
        <w:t>誉的账面价值，自购买日起按照合理的方法分摊至相关的资产组；难以分摊至相关的资产组的，将</w:t>
      </w:r>
      <w:r>
        <w:rPr>
          <w:spacing w:val="-78"/>
        </w:rPr>
        <w:t> </w:t>
      </w:r>
      <w:r>
        <w:rPr>
          <w:spacing w:val="-78"/>
        </w:rPr>
      </w:r>
      <w:r>
        <w:rPr>
          <w:spacing w:val="-3"/>
        </w:rPr>
        <w:t>其分摊至相关的资产组组合。在将商誉的账面价值分摊至相关的资产组或者资产组组合时，按照各</w:t>
      </w:r>
      <w:r>
        <w:rPr>
          <w:spacing w:val="-78"/>
        </w:rPr>
        <w:t> </w:t>
      </w:r>
      <w:r>
        <w:rPr>
          <w:spacing w:val="-78"/>
        </w:rPr>
      </w:r>
      <w:r>
        <w:rPr>
          <w:spacing w:val="-3"/>
        </w:rPr>
        <w:t>资产组或者资产组组合的公允价值占相关资产组或者资产组组合公允价值总额的比例进行分摊。公</w:t>
      </w:r>
      <w:r>
        <w:rPr>
          <w:spacing w:val="-77"/>
        </w:rPr>
        <w:t> </w:t>
      </w:r>
      <w:r>
        <w:rPr>
          <w:spacing w:val="-77"/>
        </w:rPr>
      </w:r>
      <w:r>
        <w:rPr>
          <w:spacing w:val="-3"/>
        </w:rPr>
        <w:t>允价值难以可靠计量的，按照各资产组或者资产组组合的账面价值占相关资产组或者资产组组合账</w:t>
      </w:r>
      <w:r>
        <w:rPr>
          <w:spacing w:val="-77"/>
        </w:rPr>
        <w:t> </w:t>
      </w:r>
      <w:r>
        <w:rPr>
          <w:spacing w:val="-77"/>
        </w:rPr>
      </w:r>
      <w:r>
        <w:rPr>
          <w:spacing w:val="-3"/>
        </w:rPr>
        <w:t>面价值总额的比例进行分摊。在对包含商誉的相关资产组或者资产组组合进行减值测试时，如与商</w:t>
      </w:r>
      <w:r>
        <w:rPr>
          <w:spacing w:val="-78"/>
        </w:rPr>
        <w:t> </w:t>
      </w:r>
      <w:r>
        <w:rPr>
          <w:spacing w:val="-78"/>
        </w:rPr>
      </w:r>
      <w:r>
        <w:rPr>
          <w:spacing w:val="-3"/>
        </w:rPr>
        <w:t>誉相关的资产组或者资产组组合存在减值迹象的，先对不包含商誉的资产组或者资产组组合进行减</w:t>
      </w:r>
      <w:r>
        <w:rPr>
          <w:spacing w:val="-77"/>
        </w:rPr>
        <w:t> </w:t>
      </w:r>
      <w:r>
        <w:rPr>
          <w:spacing w:val="-77"/>
        </w:rPr>
      </w:r>
      <w:r>
        <w:rPr>
          <w:spacing w:val="-3"/>
        </w:rPr>
        <w:t>值测试，计算可收回金额，并与相关账面价值相比较，确认相应的减值损失。再对包含商誉的资产</w:t>
      </w:r>
      <w:r>
        <w:rPr>
          <w:spacing w:val="-80"/>
        </w:rPr>
        <w:t> </w:t>
      </w:r>
      <w:r>
        <w:rPr>
          <w:spacing w:val="-80"/>
        </w:rPr>
      </w:r>
      <w:r>
        <w:rPr>
          <w:spacing w:val="-3"/>
        </w:rPr>
        <w:t>组或者资产组组合进行减值测试，比较这些相关资产组或者资产组组合的账面价值（包括所分摊的</w:t>
      </w:r>
      <w:r>
        <w:rPr>
          <w:spacing w:val="-78"/>
        </w:rPr>
        <w:t> </w:t>
      </w:r>
      <w:r>
        <w:rPr>
          <w:spacing w:val="-78"/>
        </w:rPr>
      </w:r>
      <w:r>
        <w:rPr>
          <w:spacing w:val="-3"/>
        </w:rPr>
        <w:t>商誉的账面价值部分）与其可收回金额，如相关资产组或者资产组组合的可收回金额低于其账面价</w:t>
      </w:r>
      <w:r>
        <w:rPr>
          <w:spacing w:val="-78"/>
        </w:rPr>
        <w:t> </w:t>
      </w:r>
      <w:r>
        <w:rPr>
          <w:spacing w:val="-78"/>
        </w:rPr>
      </w:r>
      <w:r>
        <w:rPr/>
        <w:t>值的，确认商誉的减值损失。</w:t>
      </w:r>
    </w:p>
    <w:p>
      <w:pPr>
        <w:pStyle w:val="BodyText"/>
        <w:spacing w:line="240" w:lineRule="auto"/>
        <w:ind w:left="561" w:right="227"/>
        <w:jc w:val="left"/>
      </w:pPr>
      <w:r>
        <w:rPr/>
        <w:t>上述资产减值损失一经确认，在以后会计期间不予转回。</w:t>
      </w:r>
    </w:p>
    <w:p>
      <w:pPr>
        <w:spacing w:after="0" w:line="240" w:lineRule="auto"/>
        <w:jc w:val="left"/>
        <w:sectPr>
          <w:pgSz w:w="11910" w:h="16840"/>
          <w:pgMar w:header="882" w:footer="977" w:top="1120" w:bottom="1160" w:left="1560" w:right="1060"/>
        </w:sectPr>
      </w:pPr>
    </w:p>
    <w:p>
      <w:pPr>
        <w:spacing w:line="240" w:lineRule="auto" w:before="3"/>
        <w:rPr>
          <w:rFonts w:ascii="宋体" w:hAnsi="宋体" w:cs="宋体" w:eastAsia="宋体" w:hint="default"/>
          <w:sz w:val="25"/>
          <w:szCs w:val="25"/>
        </w:rPr>
      </w:pPr>
    </w:p>
    <w:p>
      <w:pPr>
        <w:pStyle w:val="Heading2"/>
        <w:spacing w:line="240" w:lineRule="auto"/>
        <w:ind w:left="141" w:right="0"/>
        <w:jc w:val="left"/>
        <w:rPr>
          <w:b w:val="0"/>
          <w:bCs w:val="0"/>
        </w:rPr>
      </w:pPr>
      <w:r>
        <w:rPr>
          <w:rFonts w:ascii="Calibri" w:hAnsi="Calibri" w:cs="Calibri" w:eastAsia="Calibri" w:hint="default"/>
        </w:rPr>
        <w:t>21.  </w:t>
      </w:r>
      <w:r>
        <w:rPr>
          <w:rFonts w:ascii="Calibri" w:hAnsi="Calibri" w:cs="Calibri" w:eastAsia="Calibri" w:hint="default"/>
          <w:spacing w:val="10"/>
        </w:rPr>
        <w:t> </w:t>
      </w:r>
      <w:r>
        <w:rPr/>
        <w:t>长期待摊费用</w:t>
      </w:r>
      <w:r>
        <w:rPr>
          <w:b w:val="0"/>
          <w:bCs w:val="0"/>
        </w:rPr>
      </w:r>
    </w:p>
    <w:p>
      <w:pPr>
        <w:pStyle w:val="BodyText"/>
        <w:spacing w:line="314" w:lineRule="auto" w:before="108"/>
        <w:ind w:right="131" w:firstLine="420"/>
        <w:jc w:val="both"/>
      </w:pPr>
      <w:r>
        <w:rPr/>
        <w:t>长期待摊费用是指公司已经发生但应由本期和以后各期负担的分摊期限在 1</w:t>
      </w:r>
      <w:r>
        <w:rPr>
          <w:spacing w:val="1"/>
        </w:rPr>
        <w:t> </w:t>
      </w:r>
      <w:r>
        <w:rPr/>
        <w:t>年以上的各项费</w:t>
      </w:r>
      <w:r>
        <w:rPr/>
        <w:t> </w:t>
      </w:r>
      <w:r>
        <w:rPr>
          <w:spacing w:val="-3"/>
        </w:rPr>
        <w:t>用，包括以经营租赁方式租入的固定资产发生的改良支出等。长期待摊费用在相关项目的受益期内</w:t>
      </w:r>
      <w:r>
        <w:rPr>
          <w:spacing w:val="-78"/>
        </w:rPr>
        <w:t> </w:t>
      </w:r>
      <w:r>
        <w:rPr>
          <w:spacing w:val="-78"/>
        </w:rPr>
      </w:r>
      <w:r>
        <w:rPr/>
        <w:t>平均摊销。</w:t>
      </w:r>
    </w:p>
    <w:p>
      <w:pPr>
        <w:spacing w:line="240" w:lineRule="auto" w:before="13"/>
        <w:rPr>
          <w:rFonts w:ascii="宋体" w:hAnsi="宋体" w:cs="宋体" w:eastAsia="宋体" w:hint="default"/>
          <w:sz w:val="20"/>
          <w:szCs w:val="20"/>
        </w:rPr>
      </w:pPr>
    </w:p>
    <w:p>
      <w:pPr>
        <w:pStyle w:val="Heading2"/>
        <w:spacing w:line="264" w:lineRule="auto" w:before="0"/>
        <w:ind w:left="141" w:right="6196"/>
        <w:jc w:val="left"/>
        <w:rPr>
          <w:b w:val="0"/>
          <w:bCs w:val="0"/>
        </w:rPr>
      </w:pPr>
      <w:r>
        <w:rPr>
          <w:rFonts w:ascii="Calibri" w:hAnsi="Calibri" w:cs="Calibri" w:eastAsia="Calibri" w:hint="default"/>
        </w:rPr>
        <w:t>22.</w:t>
      </w:r>
      <w:r>
        <w:rPr>
          <w:rFonts w:ascii="Calibri" w:hAnsi="Calibri" w:cs="Calibri" w:eastAsia="Calibri" w:hint="default"/>
          <w:spacing w:val="12"/>
        </w:rPr>
        <w:t> </w:t>
      </w:r>
      <w:r>
        <w:rPr/>
        <w:t>职工薪酬</w:t>
      </w:r>
      <w:r>
        <w:rPr>
          <w:spacing w:val="1"/>
          <w:w w:val="99"/>
        </w:rPr>
        <w:t> </w:t>
      </w:r>
      <w:r>
        <w:rPr/>
        <w:t>(1)、短期薪酬的会计处理方法</w:t>
      </w:r>
      <w:r>
        <w:rPr>
          <w:b w:val="0"/>
          <w:bCs w:val="0"/>
        </w:rPr>
      </w:r>
    </w:p>
    <w:p>
      <w:pPr>
        <w:pStyle w:val="BodyText"/>
        <w:spacing w:line="314" w:lineRule="auto" w:before="114"/>
        <w:ind w:right="131" w:firstLine="420"/>
        <w:jc w:val="both"/>
      </w:pPr>
      <w:r>
        <w:rPr>
          <w:spacing w:val="2"/>
        </w:rPr>
        <w:t>短期薪酬是指本公司在职工提供相关服务的年度报告期间结束后十二个月内需要全部予以支</w:t>
      </w:r>
      <w:r>
        <w:rPr/>
        <w:t> </w:t>
      </w:r>
      <w:r>
        <w:rPr>
          <w:spacing w:val="-3"/>
        </w:rPr>
        <w:t>付的职工薪酬，离职后福利和辞退福利除外。本公司在职工提供服务的会计期间，将应付的短期薪</w:t>
      </w:r>
      <w:r>
        <w:rPr>
          <w:spacing w:val="-78"/>
        </w:rPr>
        <w:t> </w:t>
      </w:r>
      <w:r>
        <w:rPr>
          <w:spacing w:val="-78"/>
        </w:rPr>
      </w:r>
      <w:r>
        <w:rPr/>
        <w:t>酬确认为负债，并根据职工提供服务的受益对象计入当期损益或相关资产成本。</w:t>
      </w:r>
    </w:p>
    <w:p>
      <w:pPr>
        <w:spacing w:line="240" w:lineRule="auto" w:before="9"/>
        <w:rPr>
          <w:rFonts w:ascii="宋体" w:hAnsi="宋体" w:cs="宋体" w:eastAsia="宋体" w:hint="default"/>
          <w:sz w:val="27"/>
          <w:szCs w:val="27"/>
        </w:rPr>
      </w:pPr>
    </w:p>
    <w:p>
      <w:pPr>
        <w:spacing w:line="357" w:lineRule="auto" w:before="0"/>
        <w:ind w:left="561" w:right="0" w:hanging="420"/>
        <w:jc w:val="left"/>
        <w:rPr>
          <w:rFonts w:ascii="宋体" w:hAnsi="宋体" w:cs="宋体" w:eastAsia="宋体" w:hint="default"/>
          <w:sz w:val="21"/>
          <w:szCs w:val="21"/>
        </w:rPr>
      </w:pPr>
      <w:r>
        <w:rPr>
          <w:rFonts w:ascii="宋体" w:hAnsi="宋体" w:cs="宋体" w:eastAsia="宋体" w:hint="default"/>
          <w:b/>
          <w:bCs/>
          <w:sz w:val="21"/>
          <w:szCs w:val="21"/>
        </w:rPr>
        <w:t>(2)、离职后福利的会计处理方法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离职后福利是指公司为获得职工提供的服务而在职工退休或与公司解除劳动关系后，提供的各</w:t>
      </w:r>
    </w:p>
    <w:p>
      <w:pPr>
        <w:pStyle w:val="BodyText"/>
        <w:spacing w:line="257" w:lineRule="exact" w:before="0"/>
        <w:ind w:right="0"/>
        <w:jc w:val="left"/>
      </w:pPr>
      <w:r>
        <w:rPr>
          <w:spacing w:val="-3"/>
        </w:rPr>
        <w:t>种形式的报酬和福利，短期薪酬和辞退福利除外。离职后福利计划包括设定提存计划和设定受益计</w:t>
      </w:r>
    </w:p>
    <w:p>
      <w:pPr>
        <w:pStyle w:val="BodyText"/>
        <w:spacing w:line="314" w:lineRule="auto" w:before="85"/>
        <w:ind w:right="0"/>
        <w:jc w:val="left"/>
      </w:pPr>
      <w:r>
        <w:rPr>
          <w:spacing w:val="-3"/>
        </w:rPr>
        <w:t>划。其中，设定提存计划，是指向独立的基金缴存固定费用后，本公司不再承担进一步支付义务的</w:t>
      </w:r>
      <w:r>
        <w:rPr>
          <w:spacing w:val="-80"/>
        </w:rPr>
        <w:t> </w:t>
      </w:r>
      <w:r>
        <w:rPr>
          <w:spacing w:val="-80"/>
        </w:rPr>
      </w:r>
      <w:r>
        <w:rPr/>
        <w:t>离职后福利计划；设定受益计划，是指除设定提存计划以外的离职后福利计划。</w:t>
      </w:r>
    </w:p>
    <w:p>
      <w:pPr>
        <w:pStyle w:val="BodyText"/>
        <w:spacing w:line="314" w:lineRule="auto"/>
        <w:ind w:left="561" w:right="0" w:firstLine="6"/>
        <w:jc w:val="left"/>
      </w:pPr>
      <w:r>
        <w:rPr/>
        <w:t>（1）设定提存计划 </w:t>
      </w:r>
      <w:r>
        <w:rPr>
          <w:spacing w:val="-3"/>
        </w:rPr>
        <w:t>设定提存计划包括基本养老保险、失业保险。在职工为本公司提供服务的会计期间，按以当地</w:t>
      </w:r>
    </w:p>
    <w:p>
      <w:pPr>
        <w:pStyle w:val="BodyText"/>
        <w:spacing w:line="240" w:lineRule="auto"/>
        <w:ind w:right="0"/>
        <w:jc w:val="left"/>
      </w:pPr>
      <w:r>
        <w:rPr/>
        <w:t>规定的缴纳基数和比例计算应缴纳金额，确认为负债，并计入当期损益或相关资产成本。</w:t>
      </w:r>
    </w:p>
    <w:p>
      <w:pPr>
        <w:pStyle w:val="BodyText"/>
        <w:spacing w:line="314" w:lineRule="auto" w:before="85"/>
        <w:ind w:left="561" w:right="0" w:firstLine="6"/>
        <w:jc w:val="left"/>
      </w:pPr>
      <w:r>
        <w:rPr/>
        <w:t>（2）设定受益计划 </w:t>
      </w:r>
      <w:r>
        <w:rPr>
          <w:spacing w:val="2"/>
        </w:rPr>
        <w:t>本公司根据预期累计福利单位法确定的公式将设定受益计划产生的福利义务归属于职工提供</w:t>
      </w:r>
    </w:p>
    <w:p>
      <w:pPr>
        <w:pStyle w:val="BodyText"/>
        <w:spacing w:line="314" w:lineRule="auto"/>
        <w:ind w:right="0"/>
        <w:jc w:val="left"/>
      </w:pPr>
      <w:r>
        <w:rPr>
          <w:spacing w:val="-3"/>
        </w:rPr>
        <w:t>服务的期间，并计入当期损益或相关资产成本。本公司设定受益计划导致的职工薪酬成本包括下列</w:t>
      </w:r>
      <w:r>
        <w:rPr>
          <w:spacing w:val="-78"/>
        </w:rPr>
        <w:t> </w:t>
      </w:r>
      <w:r>
        <w:rPr>
          <w:spacing w:val="-78"/>
        </w:rPr>
      </w:r>
      <w:r>
        <w:rPr/>
        <w:t>组成部分：</w:t>
      </w:r>
    </w:p>
    <w:p>
      <w:pPr>
        <w:pStyle w:val="BodyText"/>
        <w:spacing w:line="314" w:lineRule="auto"/>
        <w:ind w:right="131" w:firstLine="420"/>
        <w:jc w:val="both"/>
      </w:pPr>
      <w:r>
        <w:rPr/>
        <w:t>A. 服务成本，包括当期服务成本、过去服务成本和结算利得或损失。其中，当期服务成本， </w:t>
      </w:r>
      <w:r>
        <w:rPr>
          <w:spacing w:val="-3"/>
        </w:rPr>
        <w:t>是指职工当期提供服务所导致的设定受益计划义务现值的增加额；过去服务成本，是指设定受益计</w:t>
      </w:r>
      <w:r>
        <w:rPr>
          <w:spacing w:val="-78"/>
        </w:rPr>
        <w:t> </w:t>
      </w:r>
      <w:r>
        <w:rPr>
          <w:spacing w:val="-78"/>
        </w:rPr>
      </w:r>
      <w:r>
        <w:rPr/>
        <w:t>划修改所导致的与以前期间职工服务相关的设定受益计划义务现值的增加或减少。</w:t>
      </w:r>
    </w:p>
    <w:p>
      <w:pPr>
        <w:pStyle w:val="BodyText"/>
        <w:spacing w:line="314" w:lineRule="auto"/>
        <w:ind w:right="131" w:firstLine="420"/>
        <w:jc w:val="both"/>
      </w:pPr>
      <w:r>
        <w:rPr>
          <w:spacing w:val="-3"/>
        </w:rPr>
        <w:t>B.设定受益计划净负债或净资产的利息净额，包括计划资产的利息收益、设定受益计划义务的</w:t>
      </w:r>
      <w:r>
        <w:rPr/>
        <w:t> 利息费用以及资产上限影响的利息。</w:t>
      </w:r>
    </w:p>
    <w:p>
      <w:pPr>
        <w:pStyle w:val="BodyText"/>
        <w:spacing w:line="314" w:lineRule="auto"/>
        <w:ind w:left="561" w:right="119"/>
        <w:jc w:val="left"/>
      </w:pPr>
      <w:r>
        <w:rPr/>
        <w:t>C.</w:t>
      </w:r>
      <w:r>
        <w:rPr>
          <w:spacing w:val="-1"/>
        </w:rPr>
        <w:t> </w:t>
      </w:r>
      <w:r>
        <w:rPr/>
        <w:t>重新计量设定受益计划净负债或净资产所产生的变动。</w:t>
      </w:r>
      <w:r>
        <w:rPr/>
        <w:t> </w:t>
      </w:r>
      <w:r>
        <w:rPr>
          <w:spacing w:val="-4"/>
        </w:rPr>
        <w:t>除非其他会计准则要求或允许职工福利成本计入资产成本，本公司将上述第</w:t>
      </w:r>
      <w:r>
        <w:rPr>
          <w:spacing w:val="-46"/>
        </w:rPr>
        <w:t> </w:t>
      </w:r>
      <w:r>
        <w:rPr/>
        <w:t>A</w:t>
      </w:r>
      <w:r>
        <w:rPr>
          <w:spacing w:val="-45"/>
        </w:rPr>
        <w:t> </w:t>
      </w:r>
      <w:r>
        <w:rPr/>
        <w:t>和</w:t>
      </w:r>
      <w:r>
        <w:rPr>
          <w:spacing w:val="-47"/>
        </w:rPr>
        <w:t> </w:t>
      </w:r>
      <w:r>
        <w:rPr/>
        <w:t>B</w:t>
      </w:r>
      <w:r>
        <w:rPr>
          <w:spacing w:val="-46"/>
        </w:rPr>
        <w:t> </w:t>
      </w:r>
      <w:r>
        <w:rPr/>
        <w:t>项计入当期</w:t>
      </w:r>
    </w:p>
    <w:p>
      <w:pPr>
        <w:pStyle w:val="BodyText"/>
        <w:spacing w:line="314" w:lineRule="auto"/>
        <w:ind w:right="113"/>
        <w:jc w:val="left"/>
      </w:pPr>
      <w:r>
        <w:rPr>
          <w:spacing w:val="-13"/>
        </w:rPr>
        <w:t>损益；第</w:t>
      </w:r>
      <w:r>
        <w:rPr>
          <w:spacing w:val="-77"/>
        </w:rPr>
        <w:t> </w:t>
      </w:r>
      <w:r>
        <w:rPr/>
        <w:t>C</w:t>
      </w:r>
      <w:r>
        <w:rPr>
          <w:spacing w:val="-76"/>
        </w:rPr>
        <w:t> </w:t>
      </w:r>
      <w:r>
        <w:rPr/>
        <w:t>项计入其他综合收益且不会在后续会计期间转回至损益，但可以在权益范围内转移这些</w:t>
      </w:r>
      <w:r>
        <w:rPr/>
        <w:t> 在其他综合收益中确认的金额。</w:t>
      </w:r>
    </w:p>
    <w:p>
      <w:pPr>
        <w:spacing w:line="240" w:lineRule="auto" w:before="9"/>
        <w:rPr>
          <w:rFonts w:ascii="宋体" w:hAnsi="宋体" w:cs="宋体" w:eastAsia="宋体" w:hint="default"/>
          <w:sz w:val="27"/>
          <w:szCs w:val="27"/>
        </w:rPr>
      </w:pPr>
    </w:p>
    <w:p>
      <w:pPr>
        <w:spacing w:line="357" w:lineRule="auto" w:before="0"/>
        <w:ind w:left="561" w:right="0" w:hanging="420"/>
        <w:jc w:val="left"/>
        <w:rPr>
          <w:rFonts w:ascii="宋体" w:hAnsi="宋体" w:cs="宋体" w:eastAsia="宋体" w:hint="default"/>
          <w:sz w:val="21"/>
          <w:szCs w:val="21"/>
        </w:rPr>
      </w:pPr>
      <w:r>
        <w:rPr>
          <w:rFonts w:ascii="宋体" w:hAnsi="宋体" w:cs="宋体" w:eastAsia="宋体" w:hint="default"/>
          <w:b/>
          <w:bCs/>
          <w:sz w:val="21"/>
          <w:szCs w:val="21"/>
        </w:rPr>
        <w:t>(3)、辞退福利的会计处理方法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辞退福利是指公司在职工劳动合同到期之前解除与职工的劳动关系，或者为鼓励职工自愿接受</w:t>
      </w:r>
    </w:p>
    <w:p>
      <w:pPr>
        <w:pStyle w:val="BodyText"/>
        <w:spacing w:line="257" w:lineRule="exact" w:before="0"/>
        <w:ind w:right="0"/>
        <w:jc w:val="left"/>
      </w:pPr>
      <w:r>
        <w:rPr>
          <w:spacing w:val="-3"/>
        </w:rPr>
        <w:t>裁减而给予职工的补偿。公司向职工提供辞退福利的，在下列两者孰早日确认辞退福利产生的职工</w:t>
      </w:r>
    </w:p>
    <w:p>
      <w:pPr>
        <w:pStyle w:val="BodyText"/>
        <w:spacing w:line="314" w:lineRule="auto" w:before="85"/>
        <w:ind w:right="118"/>
        <w:jc w:val="left"/>
      </w:pPr>
      <w:r>
        <w:rPr/>
        <w:t>薪酬负债，并计入当期损益：（</w:t>
      </w:r>
      <w:r>
        <w:rPr>
          <w:rFonts w:ascii="宋体" w:hAnsi="宋体" w:cs="宋体" w:eastAsia="宋体" w:hint="default"/>
        </w:rPr>
        <w:t>1</w:t>
      </w:r>
      <w:r>
        <w:rPr/>
        <w:t>）公司不能单方面撤回因解除劳动关系计划或裁减建议所提供的 辞退福利时；（</w:t>
      </w:r>
      <w:r>
        <w:rPr>
          <w:rFonts w:ascii="宋体" w:hAnsi="宋体" w:cs="宋体" w:eastAsia="宋体" w:hint="default"/>
        </w:rPr>
        <w:t>2</w:t>
      </w:r>
      <w:r>
        <w:rPr/>
        <w:t>）公司确认与涉及支付辞退福利的重组相关的成本或费用时。</w:t>
      </w:r>
    </w:p>
    <w:p>
      <w:pPr>
        <w:spacing w:after="0" w:line="314" w:lineRule="auto"/>
        <w:jc w:val="left"/>
        <w:sectPr>
          <w:pgSz w:w="11910" w:h="16840"/>
          <w:pgMar w:header="882" w:footer="977" w:top="1120" w:bottom="1160" w:left="15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93" w:firstLine="420"/>
        <w:jc w:val="left"/>
      </w:pPr>
      <w:r>
        <w:rPr>
          <w:spacing w:val="-3"/>
        </w:rPr>
        <w:t>公司实行职工内部退休计划的，在正式退休日之前的经济补偿，属于辞退福利，自职工停止提</w:t>
      </w:r>
      <w:r>
        <w:rPr/>
        <w:t> 供服务日至正常退休日期间，拟支付的内退职工工资和缴纳的社会保险费等一次性计入当期损益； 职工正式退休日期之后的经济补偿（如正常养老退休金），按照离职后福利处理。</w:t>
      </w:r>
    </w:p>
    <w:p>
      <w:pPr>
        <w:spacing w:line="240" w:lineRule="auto" w:before="9"/>
        <w:rPr>
          <w:rFonts w:ascii="宋体" w:hAnsi="宋体" w:cs="宋体" w:eastAsia="宋体" w:hint="default"/>
          <w:sz w:val="27"/>
          <w:szCs w:val="27"/>
        </w:rPr>
      </w:pPr>
    </w:p>
    <w:p>
      <w:pPr>
        <w:spacing w:line="357" w:lineRule="auto" w:before="0"/>
        <w:ind w:left="561" w:right="203" w:hanging="420"/>
        <w:jc w:val="left"/>
        <w:rPr>
          <w:rFonts w:ascii="宋体" w:hAnsi="宋体" w:cs="宋体" w:eastAsia="宋体" w:hint="default"/>
          <w:sz w:val="21"/>
          <w:szCs w:val="21"/>
        </w:rPr>
      </w:pPr>
      <w:r>
        <w:rPr>
          <w:rFonts w:ascii="宋体" w:hAnsi="宋体" w:cs="宋体" w:eastAsia="宋体" w:hint="default"/>
          <w:b/>
          <w:bCs/>
          <w:sz w:val="21"/>
          <w:szCs w:val="21"/>
        </w:rPr>
        <w:t>(4)、其他长期职工福利的会计处理方法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其他长期职工福利，是指除短期薪酬、离职后福利、辞退福利之外所有的职工薪酬，包括长期</w:t>
      </w:r>
    </w:p>
    <w:p>
      <w:pPr>
        <w:pStyle w:val="BodyText"/>
        <w:spacing w:line="257" w:lineRule="exact" w:before="0"/>
        <w:ind w:right="0"/>
        <w:jc w:val="left"/>
      </w:pPr>
      <w:r>
        <w:rPr>
          <w:spacing w:val="-3"/>
        </w:rPr>
        <w:t>带薪缺勤、长期残疾福利、长期利润分享计划等。本公司向职工提供的其他长期职工福利，符合设</w:t>
      </w:r>
    </w:p>
    <w:p>
      <w:pPr>
        <w:pStyle w:val="BodyText"/>
        <w:spacing w:line="314" w:lineRule="auto" w:before="85"/>
        <w:ind w:right="93"/>
        <w:jc w:val="left"/>
      </w:pPr>
      <w:r>
        <w:rPr/>
        <w:t>定提存计划条件的，按照设定提存计划的有关规定进行处理；除上述情形外的其他长期职工福利， </w:t>
      </w:r>
      <w:r>
        <w:rPr>
          <w:spacing w:val="-3"/>
        </w:rPr>
        <w:t>按照设定受益计划的有关规定，确认和计量其他长期职工福利净负债或净资产。在报告期末，公司</w:t>
      </w:r>
      <w:r>
        <w:rPr>
          <w:spacing w:val="-78"/>
        </w:rPr>
        <w:t> </w:t>
      </w:r>
      <w:r>
        <w:rPr>
          <w:spacing w:val="-78"/>
        </w:rPr>
      </w:r>
      <w:r>
        <w:rPr/>
        <w:t>将其他长期职工福利产生的福利义务归属于职工提供服务期间，并计入当期损益或相关资产成本。</w:t>
      </w:r>
    </w:p>
    <w:p>
      <w:pPr>
        <w:spacing w:line="240" w:lineRule="auto" w:before="13"/>
        <w:rPr>
          <w:rFonts w:ascii="宋体" w:hAnsi="宋体" w:cs="宋体" w:eastAsia="宋体" w:hint="default"/>
          <w:sz w:val="20"/>
          <w:szCs w:val="20"/>
        </w:rPr>
      </w:pPr>
    </w:p>
    <w:p>
      <w:pPr>
        <w:pStyle w:val="Heading2"/>
        <w:spacing w:line="240" w:lineRule="auto" w:before="0"/>
        <w:ind w:left="141" w:right="227"/>
        <w:jc w:val="left"/>
        <w:rPr>
          <w:b w:val="0"/>
          <w:bCs w:val="0"/>
        </w:rPr>
      </w:pPr>
      <w:r>
        <w:rPr>
          <w:rFonts w:ascii="Calibri" w:hAnsi="Calibri" w:cs="Calibri" w:eastAsia="Calibri" w:hint="default"/>
        </w:rPr>
        <w:t>23.  </w:t>
      </w:r>
      <w:r>
        <w:rPr>
          <w:rFonts w:ascii="Calibri" w:hAnsi="Calibri" w:cs="Calibri" w:eastAsia="Calibri" w:hint="default"/>
          <w:spacing w:val="12"/>
        </w:rPr>
        <w:t> </w:t>
      </w:r>
      <w:r>
        <w:rPr/>
        <w:t>预计负债</w:t>
      </w:r>
      <w:r>
        <w:rPr>
          <w:b w:val="0"/>
          <w:bCs w:val="0"/>
        </w:rPr>
      </w:r>
    </w:p>
    <w:p>
      <w:pPr>
        <w:pStyle w:val="BodyText"/>
        <w:spacing w:line="314" w:lineRule="auto" w:before="108"/>
        <w:ind w:right="212" w:firstLine="420"/>
        <w:jc w:val="both"/>
      </w:pPr>
      <w:r>
        <w:rPr/>
        <w:t>公司如果发生与或有事项相关的义务且同时符合以下条件，则将其确认为预计负债：（1）该 </w:t>
      </w:r>
      <w:r>
        <w:rPr>
          <w:spacing w:val="-3"/>
        </w:rPr>
        <w:t>义务是公司承担的现时义务；（2）该义务的履行很可能导致经济利益的流出；（3）该义务的金额</w:t>
      </w:r>
      <w:r>
        <w:rPr>
          <w:spacing w:val="-76"/>
        </w:rPr>
        <w:t> </w:t>
      </w:r>
      <w:r>
        <w:rPr>
          <w:spacing w:val="-76"/>
        </w:rPr>
      </w:r>
      <w:r>
        <w:rPr/>
        <w:t>能够可靠地计量。</w:t>
      </w:r>
    </w:p>
    <w:p>
      <w:pPr>
        <w:pStyle w:val="BodyText"/>
        <w:spacing w:line="314" w:lineRule="auto"/>
        <w:ind w:right="211" w:firstLine="420"/>
        <w:jc w:val="both"/>
      </w:pPr>
      <w:r>
        <w:rPr>
          <w:spacing w:val="-3"/>
        </w:rPr>
        <w:t>预计负债按照履行相关现时义务所需支出的最佳估计数进行初始计量，并综合考虑与或有事项</w:t>
      </w:r>
      <w:r>
        <w:rPr/>
        <w:t> </w:t>
      </w:r>
      <w:r>
        <w:rPr>
          <w:spacing w:val="-3"/>
        </w:rPr>
        <w:t>有关的风险、不确定性和货币时间价值等因素。货币时间价值影响重大的，通过对相关未来现金流</w:t>
      </w:r>
      <w:r>
        <w:rPr>
          <w:spacing w:val="-78"/>
        </w:rPr>
        <w:t> </w:t>
      </w:r>
      <w:r>
        <w:rPr>
          <w:spacing w:val="-78"/>
        </w:rPr>
      </w:r>
      <w:r>
        <w:rPr/>
        <w:t>出进行折现后确定最佳估计数。</w:t>
      </w:r>
    </w:p>
    <w:p>
      <w:pPr>
        <w:pStyle w:val="BodyText"/>
        <w:spacing w:line="314" w:lineRule="auto"/>
        <w:ind w:right="211" w:firstLine="420"/>
        <w:jc w:val="both"/>
      </w:pPr>
      <w:r>
        <w:rPr>
          <w:spacing w:val="-3"/>
        </w:rPr>
        <w:t>在资产负债表日，公司对预计负债的账面价值进行复核，有确凿证据表明该账面价值不能真实</w:t>
      </w:r>
      <w:r>
        <w:rPr/>
        <w:t> 反映当前最佳估计数的，按照当前最佳估计数对该账面价值进行调整。</w:t>
      </w:r>
    </w:p>
    <w:p>
      <w:pPr>
        <w:pStyle w:val="BodyText"/>
        <w:spacing w:line="314" w:lineRule="auto"/>
        <w:ind w:right="93" w:firstLine="420"/>
        <w:jc w:val="left"/>
      </w:pPr>
      <w:r>
        <w:rPr>
          <w:spacing w:val="-3"/>
        </w:rPr>
        <w:t>如果清偿已确认预计负债所需支出全部或部分预期由第三方或其他方补偿的，补偿金额只有在</w:t>
      </w:r>
      <w:r>
        <w:rPr/>
        <w:t> 基本确定能够收到时才能作为资产单独确认，确认的补偿金额不超过所确认预计负债的账面价值。</w:t>
      </w:r>
    </w:p>
    <w:p>
      <w:pPr>
        <w:spacing w:line="240" w:lineRule="auto" w:before="13"/>
        <w:rPr>
          <w:rFonts w:ascii="宋体" w:hAnsi="宋体" w:cs="宋体" w:eastAsia="宋体" w:hint="default"/>
          <w:sz w:val="20"/>
          <w:szCs w:val="20"/>
        </w:rPr>
      </w:pPr>
    </w:p>
    <w:p>
      <w:pPr>
        <w:pStyle w:val="Heading2"/>
        <w:spacing w:line="240" w:lineRule="auto" w:before="0"/>
        <w:ind w:left="141" w:right="227"/>
        <w:jc w:val="left"/>
        <w:rPr>
          <w:b w:val="0"/>
          <w:bCs w:val="0"/>
        </w:rPr>
      </w:pPr>
      <w:r>
        <w:rPr>
          <w:rFonts w:ascii="Calibri" w:hAnsi="Calibri" w:cs="Calibri" w:eastAsia="Calibri" w:hint="default"/>
        </w:rPr>
        <w:t>24.  </w:t>
      </w:r>
      <w:r>
        <w:rPr>
          <w:rFonts w:ascii="Calibri" w:hAnsi="Calibri" w:cs="Calibri" w:eastAsia="Calibri" w:hint="default"/>
          <w:spacing w:val="12"/>
        </w:rPr>
        <w:t> </w:t>
      </w:r>
      <w:r>
        <w:rPr/>
        <w:t>股份支付</w:t>
      </w:r>
      <w:r>
        <w:rPr>
          <w:b w:val="0"/>
          <w:bCs w:val="0"/>
        </w:rPr>
      </w:r>
    </w:p>
    <w:p>
      <w:pPr>
        <w:pStyle w:val="BodyText"/>
        <w:tabs>
          <w:tab w:pos="981" w:val="left" w:leader="none"/>
        </w:tabs>
        <w:spacing w:line="314" w:lineRule="auto" w:before="108"/>
        <w:ind w:left="561" w:right="2210"/>
        <w:jc w:val="left"/>
      </w:pPr>
      <w:r>
        <w:rPr/>
        <w:t>1.</w:t>
        <w:tab/>
        <w:t>股份支付的种类 公司的股份支付分为以现金结算的股份支付和以权益结算的股份支付。</w:t>
      </w:r>
    </w:p>
    <w:p>
      <w:pPr>
        <w:pStyle w:val="BodyText"/>
        <w:spacing w:line="314" w:lineRule="auto"/>
        <w:ind w:right="211" w:firstLine="420"/>
        <w:jc w:val="both"/>
      </w:pPr>
      <w:r>
        <w:rPr/>
        <w:t>（1）以权益结算的股份支付，按授予职工权益工具的公允价值计量。授予后立即可行权的换 </w:t>
      </w:r>
      <w:r>
        <w:rPr>
          <w:spacing w:val="-3"/>
        </w:rPr>
        <w:t>取职工服务的以权益结算的股份支付，在授予日按照权益工具的公允价值计入相关成本或费用，相</w:t>
      </w:r>
      <w:r>
        <w:rPr>
          <w:spacing w:val="-78"/>
        </w:rPr>
        <w:t> </w:t>
      </w:r>
      <w:r>
        <w:rPr>
          <w:spacing w:val="-78"/>
        </w:rPr>
      </w:r>
      <w:r>
        <w:rPr>
          <w:spacing w:val="-3"/>
        </w:rPr>
        <w:t>应增加资本公积。在完成等待期内的服务或达到规定业绩条件才可行权的换取职工服务的以权益结</w:t>
      </w:r>
      <w:r>
        <w:rPr>
          <w:spacing w:val="-77"/>
        </w:rPr>
        <w:t> </w:t>
      </w:r>
      <w:r>
        <w:rPr>
          <w:spacing w:val="-77"/>
        </w:rPr>
      </w:r>
      <w:r>
        <w:rPr>
          <w:spacing w:val="-3"/>
        </w:rPr>
        <w:t>算的股份支付，在等待期内的每个资产负债表日，以对可行权权益工具数量的最佳估计为基础，按</w:t>
      </w:r>
      <w:r>
        <w:rPr>
          <w:spacing w:val="-78"/>
        </w:rPr>
        <w:t> </w:t>
      </w:r>
      <w:r>
        <w:rPr>
          <w:spacing w:val="-78"/>
        </w:rPr>
      </w:r>
      <w:r>
        <w:rPr>
          <w:spacing w:val="-3"/>
        </w:rPr>
        <w:t>照权益工具授予日的公允价值，将当期取得的服务计入相关成本或费用和资本公积。公司在可行权</w:t>
      </w:r>
      <w:r>
        <w:rPr>
          <w:spacing w:val="-78"/>
        </w:rPr>
        <w:t> </w:t>
      </w:r>
      <w:r>
        <w:rPr>
          <w:spacing w:val="-78"/>
        </w:rPr>
      </w:r>
      <w:r>
        <w:rPr/>
        <w:t>日之后不再对已确认的相关成本或费用和所有者权益总额进行调整。</w:t>
      </w:r>
    </w:p>
    <w:p>
      <w:pPr>
        <w:pStyle w:val="BodyText"/>
        <w:spacing w:line="314" w:lineRule="auto"/>
        <w:ind w:right="93" w:firstLine="420"/>
        <w:jc w:val="left"/>
      </w:pPr>
      <w:r>
        <w:rPr/>
        <w:t>（2）以现金结算的股份支付，按照公司承担的以股份或其他权益工具为基础计算确定的负债 </w:t>
      </w:r>
      <w:r>
        <w:rPr>
          <w:spacing w:val="-3"/>
        </w:rPr>
        <w:t>的公允价值计量。授予后立即可行权的以现金结算的股份支付，在授予日以公司承担负债的公允价</w:t>
      </w:r>
      <w:r>
        <w:rPr>
          <w:spacing w:val="-78"/>
        </w:rPr>
        <w:t> </w:t>
      </w:r>
      <w:r>
        <w:rPr>
          <w:spacing w:val="-78"/>
        </w:rPr>
      </w:r>
      <w:r>
        <w:rPr>
          <w:spacing w:val="-3"/>
        </w:rPr>
        <w:t>值计入相关成本或费用，相应增加负债。在完成等待期内的服务或达到规定业绩条件以后才可行权</w:t>
      </w:r>
      <w:r>
        <w:rPr>
          <w:spacing w:val="-78"/>
        </w:rPr>
        <w:t> </w:t>
      </w:r>
      <w:r>
        <w:rPr>
          <w:spacing w:val="-78"/>
        </w:rPr>
      </w:r>
      <w:r>
        <w:rPr/>
        <w:t>的以现金结算的股份支付，在等待期内的每个资产负债表日，以对可行权情况的最佳估计为基础，</w:t>
      </w:r>
      <w:r>
        <w:rPr/>
        <w:t> </w:t>
      </w:r>
      <w:r>
        <w:rPr>
          <w:spacing w:val="-3"/>
        </w:rPr>
        <w:t>按照公司承担负债的公允价值金额，将当期取得的服务计入成本或费用和相应的负债。公司在相关</w:t>
      </w:r>
      <w:r>
        <w:rPr>
          <w:spacing w:val="-78"/>
        </w:rPr>
        <w:t> </w:t>
      </w:r>
      <w:r>
        <w:rPr>
          <w:spacing w:val="-78"/>
        </w:rPr>
      </w:r>
      <w:r>
        <w:rPr/>
        <w:t>负债结算前的每个资产负债表日以及结算日，对负债的公允价值重新计量，其变动计入当期损益。</w:t>
      </w:r>
    </w:p>
    <w:p>
      <w:pPr>
        <w:spacing w:after="0" w:line="314" w:lineRule="auto"/>
        <w:jc w:val="left"/>
        <w:sectPr>
          <w:pgSz w:w="11910" w:h="16840"/>
          <w:pgMar w:header="882" w:footer="977" w:top="1120" w:bottom="1160" w:left="15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tabs>
          <w:tab w:pos="981" w:val="left" w:leader="none"/>
        </w:tabs>
        <w:spacing w:line="314" w:lineRule="auto" w:before="0"/>
        <w:ind w:left="561" w:right="208"/>
        <w:jc w:val="left"/>
      </w:pPr>
      <w:r>
        <w:rPr/>
        <w:t>2.</w:t>
        <w:tab/>
        <w:t>实施、修改、终止股份支付计划的相关会计处理 无论已授予的权益工具的条款和条件如何修改，甚至取消权益工具的授予或结算该权益工具，</w:t>
      </w:r>
    </w:p>
    <w:p>
      <w:pPr>
        <w:pStyle w:val="BodyText"/>
        <w:spacing w:line="314" w:lineRule="auto"/>
        <w:ind w:right="311"/>
        <w:jc w:val="both"/>
      </w:pPr>
      <w:r>
        <w:rPr>
          <w:spacing w:val="-3"/>
        </w:rPr>
        <w:t>公司都应至少确认按照所授予的权益工具在授予日的公允价值来计量获取的相应的服务，除非因不</w:t>
      </w:r>
      <w:r>
        <w:rPr>
          <w:spacing w:val="-77"/>
        </w:rPr>
        <w:t> </w:t>
      </w:r>
      <w:r>
        <w:rPr>
          <w:spacing w:val="-77"/>
        </w:rPr>
      </w:r>
      <w:r>
        <w:rPr/>
        <w:t>能满足权益工具的可行权条件（除市场条件外）而无法可行权。</w:t>
      </w:r>
    </w:p>
    <w:p>
      <w:pPr>
        <w:pStyle w:val="BodyText"/>
        <w:spacing w:line="314" w:lineRule="auto"/>
        <w:ind w:right="311" w:firstLine="420"/>
        <w:jc w:val="both"/>
      </w:pPr>
      <w:r>
        <w:rPr>
          <w:spacing w:val="-3"/>
        </w:rPr>
        <w:t>如果公司在等待期内取消了所授予的权益工具或结算了所授予的权益工具（因未满足可行权条</w:t>
      </w:r>
      <w:r>
        <w:rPr/>
        <w:t> 件而被取消的除外），则按以下规定处理：</w:t>
      </w:r>
    </w:p>
    <w:p>
      <w:pPr>
        <w:pStyle w:val="BodyText"/>
        <w:spacing w:line="240" w:lineRule="auto"/>
        <w:ind w:left="561" w:right="84"/>
        <w:jc w:val="left"/>
      </w:pPr>
      <w:r>
        <w:rPr/>
        <w:t>（1）将取消或结算作为加速可行权处理，立即确认原本应在剩余等待期内确认的金额。</w:t>
      </w:r>
    </w:p>
    <w:p>
      <w:pPr>
        <w:pStyle w:val="BodyText"/>
        <w:spacing w:line="314" w:lineRule="auto" w:before="85"/>
        <w:ind w:right="312" w:firstLine="420"/>
        <w:jc w:val="both"/>
      </w:pPr>
      <w:r>
        <w:rPr/>
        <w:t>（2）在取消或结算时支付给职工的所有款项均应作为权益的回购处理，回购支付的金额高于 该权益工具在回购日公允价值的部分，计入当期费用。</w:t>
      </w:r>
    </w:p>
    <w:p>
      <w:pPr>
        <w:pStyle w:val="BodyText"/>
        <w:spacing w:line="314" w:lineRule="auto"/>
        <w:ind w:right="311" w:firstLine="420"/>
        <w:jc w:val="both"/>
      </w:pPr>
      <w:r>
        <w:rPr/>
        <w:t>（3）如果向职工授予新的权益工具，并在新权益工具授予日认定所授予的新权益工具是用于 </w:t>
      </w:r>
      <w:r>
        <w:rPr>
          <w:spacing w:val="-3"/>
        </w:rPr>
        <w:t>替代被取消的权益工具的，公司应以处理原权益工具条款和条件修改相同的方式，对所授予的替代</w:t>
      </w:r>
      <w:r>
        <w:rPr>
          <w:spacing w:val="-78"/>
        </w:rPr>
        <w:t> </w:t>
      </w:r>
      <w:r>
        <w:rPr>
          <w:spacing w:val="-78"/>
        </w:rPr>
      </w:r>
      <w:r>
        <w:rPr/>
        <w:t>权益工具进行处理。</w:t>
      </w:r>
    </w:p>
    <w:p>
      <w:pPr>
        <w:spacing w:line="240" w:lineRule="auto" w:before="13"/>
        <w:rPr>
          <w:rFonts w:ascii="宋体" w:hAnsi="宋体" w:cs="宋体" w:eastAsia="宋体" w:hint="default"/>
          <w:sz w:val="20"/>
          <w:szCs w:val="20"/>
        </w:rPr>
      </w:pPr>
    </w:p>
    <w:p>
      <w:pPr>
        <w:spacing w:line="326" w:lineRule="auto" w:before="0"/>
        <w:ind w:left="561" w:right="84" w:hanging="420"/>
        <w:jc w:val="left"/>
        <w:rPr>
          <w:rFonts w:ascii="宋体" w:hAnsi="宋体" w:cs="宋体" w:eastAsia="宋体" w:hint="default"/>
          <w:sz w:val="21"/>
          <w:szCs w:val="21"/>
        </w:rPr>
      </w:pPr>
      <w:r>
        <w:rPr>
          <w:rFonts w:ascii="Calibri" w:hAnsi="Calibri" w:cs="Calibri" w:eastAsia="Calibri" w:hint="default"/>
          <w:b/>
          <w:bCs/>
          <w:sz w:val="21"/>
          <w:szCs w:val="21"/>
        </w:rPr>
        <w:t>25.</w:t>
      </w:r>
      <w:r>
        <w:rPr>
          <w:rFonts w:ascii="Calibri" w:hAnsi="Calibri" w:cs="Calibri" w:eastAsia="Calibri" w:hint="default"/>
          <w:b/>
          <w:bCs/>
          <w:spacing w:val="11"/>
          <w:sz w:val="21"/>
          <w:szCs w:val="21"/>
        </w:rPr>
        <w:t> </w:t>
      </w:r>
      <w:r>
        <w:rPr>
          <w:rFonts w:ascii="宋体" w:hAnsi="宋体" w:cs="宋体" w:eastAsia="宋体" w:hint="default"/>
          <w:b/>
          <w:bCs/>
          <w:sz w:val="21"/>
          <w:szCs w:val="21"/>
        </w:rPr>
        <w:t>优先股、永续债等其他金融工具</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公司发行的金融工具按照金融工具准则和金融负债和权益工具的区分及相关会计处理规定进</w:t>
      </w:r>
    </w:p>
    <w:p>
      <w:pPr>
        <w:pStyle w:val="BodyText"/>
        <w:spacing w:line="314" w:lineRule="auto" w:before="9"/>
        <w:ind w:right="311"/>
        <w:jc w:val="both"/>
      </w:pPr>
      <w:r>
        <w:rPr>
          <w:spacing w:val="-3"/>
        </w:rPr>
        <w:t>行初始确认和计量。其后，公司以所发行金融工具的分类为基础，确定该工具利息支出或股利分配</w:t>
      </w:r>
      <w:r>
        <w:rPr>
          <w:spacing w:val="-78"/>
        </w:rPr>
        <w:t> </w:t>
      </w:r>
      <w:r>
        <w:rPr>
          <w:spacing w:val="-78"/>
        </w:rPr>
      </w:r>
      <w:r>
        <w:rPr>
          <w:spacing w:val="-3"/>
        </w:rPr>
        <w:t>等的会计处理。对于归类为权益工具的金融工具，其利息支出或股利分配都作为发行企业的利润分</w:t>
      </w:r>
      <w:r>
        <w:rPr>
          <w:spacing w:val="-78"/>
        </w:rPr>
        <w:t> </w:t>
      </w:r>
      <w:r>
        <w:rPr>
          <w:spacing w:val="-78"/>
        </w:rPr>
      </w:r>
      <w:r>
        <w:rPr>
          <w:spacing w:val="-3"/>
        </w:rPr>
        <w:t>配，其回购、注销等作为权益的变动处理。对于归类为金融负债的金融工具，其利息支出或股利分</w:t>
      </w:r>
      <w:r>
        <w:rPr>
          <w:spacing w:val="-80"/>
        </w:rPr>
        <w:t> </w:t>
      </w:r>
      <w:r>
        <w:rPr>
          <w:spacing w:val="-80"/>
        </w:rPr>
      </w:r>
      <w:r>
        <w:rPr/>
        <w:t>配原则上按照借款费用进行处理，其回购或赎回产生的利得或损失等计入当期损益。</w:t>
      </w:r>
    </w:p>
    <w:p>
      <w:pPr>
        <w:pStyle w:val="BodyText"/>
        <w:spacing w:line="314" w:lineRule="auto"/>
        <w:ind w:right="311" w:firstLine="420"/>
        <w:jc w:val="both"/>
      </w:pPr>
      <w:r>
        <w:rPr>
          <w:spacing w:val="-3"/>
        </w:rPr>
        <w:t>发行方发行金融工具，其发生的手续费、佣金等交易费用，如分类为债务工具且以摊余成本计</w:t>
      </w:r>
      <w:r>
        <w:rPr/>
        <w:t> 量的，计入所发行工具的初始计量金额；如分类为权益工具的，从权益中扣除。</w:t>
      </w:r>
    </w:p>
    <w:p>
      <w:pPr>
        <w:spacing w:line="240" w:lineRule="auto" w:before="13"/>
        <w:rPr>
          <w:rFonts w:ascii="宋体" w:hAnsi="宋体" w:cs="宋体" w:eastAsia="宋体" w:hint="default"/>
          <w:sz w:val="20"/>
          <w:szCs w:val="20"/>
        </w:rPr>
      </w:pPr>
    </w:p>
    <w:p>
      <w:pPr>
        <w:pStyle w:val="Heading2"/>
        <w:spacing w:line="240" w:lineRule="auto" w:before="0"/>
        <w:ind w:left="141" w:right="0"/>
        <w:jc w:val="both"/>
        <w:rPr>
          <w:b w:val="0"/>
          <w:bCs w:val="0"/>
        </w:rPr>
      </w:pPr>
      <w:r>
        <w:rPr>
          <w:rFonts w:ascii="Calibri" w:hAnsi="Calibri" w:cs="Calibri" w:eastAsia="Calibri" w:hint="default"/>
        </w:rPr>
        <w:t>26.  </w:t>
      </w:r>
      <w:r>
        <w:rPr>
          <w:rFonts w:ascii="Calibri" w:hAnsi="Calibri" w:cs="Calibri" w:eastAsia="Calibri" w:hint="default"/>
          <w:spacing w:val="12"/>
        </w:rPr>
        <w:t> </w:t>
      </w:r>
      <w:r>
        <w:rPr/>
        <w:t>收入</w:t>
      </w:r>
      <w:r>
        <w:rPr>
          <w:b w:val="0"/>
          <w:bCs w:val="0"/>
        </w:rPr>
      </w:r>
    </w:p>
    <w:p>
      <w:pPr>
        <w:pStyle w:val="BodyText"/>
        <w:spacing w:line="314" w:lineRule="auto" w:before="108"/>
        <w:ind w:left="561" w:right="84"/>
        <w:jc w:val="left"/>
      </w:pPr>
      <w:r>
        <w:rPr/>
        <w:t>1、销售商品 </w:t>
      </w:r>
      <w:r>
        <w:rPr>
          <w:spacing w:val="-3"/>
        </w:rPr>
        <w:t>在公司已将商品所有权上的主要风险和报酬转移给购货方；公司既没有保留通常与所有权相联</w:t>
      </w:r>
    </w:p>
    <w:p>
      <w:pPr>
        <w:pStyle w:val="BodyText"/>
        <w:spacing w:line="314" w:lineRule="auto"/>
        <w:ind w:right="203"/>
        <w:jc w:val="left"/>
      </w:pPr>
      <w:r>
        <w:rPr>
          <w:spacing w:val="-3"/>
        </w:rPr>
        <w:t>系的继续管理权，也没有对已售出的商品实施有效控制；收入的金额能够可靠地计量；相关的经济</w:t>
      </w:r>
      <w:r>
        <w:rPr>
          <w:spacing w:val="-78"/>
        </w:rPr>
        <w:t> </w:t>
      </w:r>
      <w:r>
        <w:rPr>
          <w:spacing w:val="-78"/>
        </w:rPr>
      </w:r>
      <w:r>
        <w:rPr>
          <w:spacing w:val="-5"/>
        </w:rPr>
        <w:t>利益很可能流入企业；相关的已发生或将发生的成本能够可靠地计量时，确认销售商品收入的实现。</w:t>
      </w:r>
    </w:p>
    <w:p>
      <w:pPr>
        <w:pStyle w:val="BodyText"/>
        <w:spacing w:line="314" w:lineRule="auto"/>
        <w:ind w:left="561" w:right="84"/>
        <w:jc w:val="left"/>
      </w:pPr>
      <w:r>
        <w:rPr/>
        <w:t>2、提供劳务 </w:t>
      </w:r>
      <w:r>
        <w:rPr>
          <w:spacing w:val="-3"/>
        </w:rPr>
        <w:t>在资产负债表日提供劳务交易的结果能够可靠估计的，采用完工百分比法确认提供劳务的收入。</w:t>
      </w:r>
      <w:r>
        <w:rPr>
          <w:spacing w:val="-80"/>
        </w:rPr>
        <w:t> </w:t>
      </w:r>
      <w:r>
        <w:rPr>
          <w:spacing w:val="-80"/>
        </w:rPr>
      </w:r>
      <w:r>
        <w:rPr/>
        <w:t>在资产负债表日提供劳务交易的结果不能够可靠估计的，分别下列情况处理：</w:t>
      </w:r>
    </w:p>
    <w:p>
      <w:pPr>
        <w:pStyle w:val="BodyText"/>
        <w:spacing w:line="314" w:lineRule="auto"/>
        <w:ind w:right="312" w:firstLine="420"/>
        <w:jc w:val="both"/>
      </w:pPr>
      <w:r>
        <w:rPr/>
        <w:t>（1）已经发生的劳务成本预计能够得到补偿的，按照已经发生的劳务成本金额确认提供劳务 收入，并按相同的金额结转劳务成本。</w:t>
      </w:r>
    </w:p>
    <w:p>
      <w:pPr>
        <w:pStyle w:val="BodyText"/>
        <w:spacing w:line="314" w:lineRule="auto"/>
        <w:ind w:right="312" w:firstLine="420"/>
        <w:jc w:val="both"/>
      </w:pPr>
      <w:r>
        <w:rPr/>
        <w:t>（2）已经发生的劳务成本预计不能够得到补偿的，将已经发生的劳务成本转入当期损益，不 确认提供劳务收入。</w:t>
      </w:r>
    </w:p>
    <w:p>
      <w:pPr>
        <w:pStyle w:val="BodyText"/>
        <w:spacing w:line="314" w:lineRule="auto"/>
        <w:ind w:left="561" w:right="298"/>
        <w:jc w:val="left"/>
      </w:pPr>
      <w:r>
        <w:rPr/>
        <w:t>3、让渡资产使用权 </w:t>
      </w:r>
      <w:r>
        <w:rPr>
          <w:spacing w:val="-5"/>
        </w:rPr>
        <w:t>让渡资产使用权收入同时满足下列条件的，予以确认：（1）相关的经济利益很可能流入企业；</w:t>
      </w:r>
    </w:p>
    <w:p>
      <w:pPr>
        <w:pStyle w:val="BodyText"/>
        <w:spacing w:line="240" w:lineRule="auto"/>
        <w:ind w:right="0"/>
        <w:jc w:val="both"/>
      </w:pPr>
      <w:r>
        <w:rPr/>
        <w:t>（2）收入的金额能够可靠地计量。</w:t>
      </w:r>
    </w:p>
    <w:p>
      <w:pPr>
        <w:spacing w:after="0" w:line="240" w:lineRule="auto"/>
        <w:jc w:val="both"/>
        <w:sectPr>
          <w:pgSz w:w="11910" w:h="16840"/>
          <w:pgMar w:header="882" w:footer="977" w:top="1120" w:bottom="1160" w:left="156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211" w:firstLine="420"/>
        <w:jc w:val="both"/>
      </w:pPr>
      <w:r>
        <w:rPr>
          <w:spacing w:val="-3"/>
        </w:rPr>
        <w:t>提供资金的利息收入，按照他人使用公司货币资金的时间和实际利率计算确定；他人使用公司</w:t>
      </w:r>
      <w:r>
        <w:rPr/>
        <w:t> 非现金资产，发生的使用费收入按照有关合同或协议约定的收费时间和方法计算确定。</w:t>
      </w:r>
    </w:p>
    <w:p>
      <w:pPr>
        <w:pStyle w:val="BodyText"/>
        <w:spacing w:line="314" w:lineRule="auto"/>
        <w:ind w:left="561" w:right="203"/>
        <w:jc w:val="left"/>
      </w:pPr>
      <w:r>
        <w:rPr/>
        <w:t>4、公司主要收入类型及确认原则 </w:t>
      </w:r>
      <w:r>
        <w:rPr>
          <w:spacing w:val="-3"/>
        </w:rPr>
        <w:t>公司的经营业务主要从事电子政务信息及其他行业通用软件研发和系统集成服务，主要面向党</w:t>
      </w:r>
    </w:p>
    <w:p>
      <w:pPr>
        <w:pStyle w:val="BodyText"/>
        <w:spacing w:line="240" w:lineRule="auto"/>
        <w:ind w:right="0"/>
        <w:jc w:val="both"/>
      </w:pPr>
      <w:r>
        <w:rPr/>
        <w:t>政机关、军队、广电等领域的客户提供软件开发、系统集成服务和技术支持与服务。</w:t>
      </w:r>
    </w:p>
    <w:p>
      <w:pPr>
        <w:pStyle w:val="BodyText"/>
        <w:spacing w:line="314" w:lineRule="auto" w:before="85"/>
        <w:ind w:left="561" w:right="203"/>
        <w:jc w:val="left"/>
      </w:pPr>
      <w:r>
        <w:rPr/>
        <w:t>（1）软件开发 </w:t>
      </w:r>
      <w:r>
        <w:rPr>
          <w:spacing w:val="2"/>
        </w:rPr>
        <w:t>软件开发指公司针对客户在电子政务中的业务应用需求而提供的软件产品及应用软件定制开</w:t>
      </w:r>
    </w:p>
    <w:p>
      <w:pPr>
        <w:pStyle w:val="BodyText"/>
        <w:spacing w:line="314" w:lineRule="auto"/>
        <w:ind w:right="211"/>
        <w:jc w:val="both"/>
      </w:pPr>
      <w:r>
        <w:rPr>
          <w:spacing w:val="-3"/>
        </w:rPr>
        <w:t>发。该类收入一般在项目完工且取得客户的最终验收报告时按照销售商品收入标准确认相关收入及</w:t>
      </w:r>
      <w:r>
        <w:rPr>
          <w:spacing w:val="-77"/>
        </w:rPr>
        <w:t> </w:t>
      </w:r>
      <w:r>
        <w:rPr>
          <w:spacing w:val="-77"/>
        </w:rPr>
      </w:r>
      <w:r>
        <w:rPr>
          <w:spacing w:val="-3"/>
        </w:rPr>
        <w:t>成本。另公司在与客户签订的合同中有涉及质保金条款的，相关质保金在收到时确认收入，在项目</w:t>
      </w:r>
      <w:r>
        <w:rPr>
          <w:spacing w:val="-78"/>
        </w:rPr>
        <w:t> </w:t>
      </w:r>
      <w:r>
        <w:rPr>
          <w:spacing w:val="-78"/>
        </w:rPr>
      </w:r>
      <w:r>
        <w:rPr/>
        <w:t>完工或产品销售完成时不确认收入。</w:t>
      </w:r>
    </w:p>
    <w:p>
      <w:pPr>
        <w:pStyle w:val="BodyText"/>
        <w:spacing w:line="314" w:lineRule="auto"/>
        <w:ind w:left="561" w:right="203"/>
        <w:jc w:val="left"/>
      </w:pPr>
      <w:r>
        <w:rPr/>
        <w:t>（2）系统集成 </w:t>
      </w:r>
      <w:r>
        <w:rPr>
          <w:spacing w:val="-3"/>
        </w:rPr>
        <w:t>系统集成指公司通过应用各种相关计算机软件技术以及各种硬件设备，经过集成设计，安装调</w:t>
      </w:r>
    </w:p>
    <w:p>
      <w:pPr>
        <w:pStyle w:val="BodyText"/>
        <w:spacing w:line="314" w:lineRule="auto"/>
        <w:ind w:right="211"/>
        <w:jc w:val="both"/>
      </w:pPr>
      <w:r>
        <w:rPr>
          <w:spacing w:val="-3"/>
        </w:rPr>
        <w:t>试等大量技术性工作，提供客户所需的应用系统。该类收入一般根据合同的约定，在相关货物发出</w:t>
      </w:r>
      <w:r>
        <w:rPr>
          <w:spacing w:val="-78"/>
        </w:rPr>
        <w:t> </w:t>
      </w:r>
      <w:r>
        <w:rPr>
          <w:spacing w:val="-78"/>
        </w:rPr>
      </w:r>
      <w:r>
        <w:rPr>
          <w:spacing w:val="-3"/>
        </w:rPr>
        <w:t>并收取价款或取得收取价款的依据，并经客户验收合格后按照销售商品收入标准确认相关收入及成</w:t>
      </w:r>
      <w:r>
        <w:rPr>
          <w:spacing w:val="-77"/>
        </w:rPr>
        <w:t> </w:t>
      </w:r>
      <w:r>
        <w:rPr>
          <w:spacing w:val="-77"/>
        </w:rPr>
      </w:r>
      <w:r>
        <w:rPr>
          <w:spacing w:val="-3"/>
        </w:rPr>
        <w:t>本。另公司在与客户签订的合同中有涉及质保金条款的，相关质保金在收到时确认收入，在项目完</w:t>
      </w:r>
      <w:r>
        <w:rPr>
          <w:spacing w:val="-78"/>
        </w:rPr>
        <w:t> </w:t>
      </w:r>
      <w:r>
        <w:rPr>
          <w:spacing w:val="-78"/>
        </w:rPr>
      </w:r>
      <w:r>
        <w:rPr/>
        <w:t>工或产品销售完成时不确认收入。</w:t>
      </w:r>
    </w:p>
    <w:p>
      <w:pPr>
        <w:pStyle w:val="BodyText"/>
        <w:spacing w:line="314" w:lineRule="auto"/>
        <w:ind w:right="211" w:firstLine="420"/>
        <w:jc w:val="both"/>
      </w:pPr>
      <w:r>
        <w:rPr>
          <w:spacing w:val="-3"/>
        </w:rPr>
        <w:t>公司的数字电视终端接收机产品主要有向广电部门和个人客户的直销，以及广电部门代理销售</w:t>
      </w:r>
      <w:r>
        <w:rPr/>
        <w:t> </w:t>
      </w:r>
      <w:r>
        <w:rPr>
          <w:spacing w:val="-3"/>
        </w:rPr>
        <w:t>两种模式。直销是以产品交付并收取货款或取得收发货确认单为销售收入确认时点，代销是取得受</w:t>
      </w:r>
      <w:r>
        <w:rPr>
          <w:spacing w:val="-78"/>
        </w:rPr>
        <w:t> </w:t>
      </w:r>
      <w:r>
        <w:rPr>
          <w:spacing w:val="-78"/>
        </w:rPr>
      </w:r>
      <w:r>
        <w:rPr/>
        <w:t>托代销单位相关代销报表时确认收入。</w:t>
      </w:r>
    </w:p>
    <w:p>
      <w:pPr>
        <w:pStyle w:val="BodyText"/>
        <w:spacing w:line="314" w:lineRule="auto"/>
        <w:ind w:left="561" w:right="93"/>
        <w:jc w:val="left"/>
      </w:pPr>
      <w:r>
        <w:rPr/>
        <w:t>（3）技术支持与服务 </w:t>
      </w:r>
      <w:r>
        <w:rPr>
          <w:spacing w:val="-5"/>
        </w:rPr>
        <w:t>技术支持与服务指根据合同约定向客户提供的相关后续服务，包括系统维护、技术与应用咨询、</w:t>
      </w:r>
    </w:p>
    <w:p>
      <w:pPr>
        <w:pStyle w:val="BodyText"/>
        <w:spacing w:line="314" w:lineRule="auto"/>
        <w:ind w:right="211"/>
        <w:jc w:val="both"/>
      </w:pPr>
      <w:r>
        <w:rPr>
          <w:spacing w:val="-3"/>
        </w:rPr>
        <w:t>产品升级等。公司根据合同约定的维护期间及总金额在维护服务已经提供，收到价款或取得收款的</w:t>
      </w:r>
      <w:r>
        <w:rPr>
          <w:spacing w:val="-78"/>
        </w:rPr>
        <w:t> </w:t>
      </w:r>
      <w:r>
        <w:rPr>
          <w:spacing w:val="-78"/>
        </w:rPr>
      </w:r>
      <w:r>
        <w:rPr/>
        <w:t>依据后确认收入。</w:t>
      </w:r>
    </w:p>
    <w:p>
      <w:pPr>
        <w:spacing w:line="240" w:lineRule="auto" w:before="13"/>
        <w:rPr>
          <w:rFonts w:ascii="宋体" w:hAnsi="宋体" w:cs="宋体" w:eastAsia="宋体" w:hint="default"/>
          <w:sz w:val="20"/>
          <w:szCs w:val="20"/>
        </w:rPr>
      </w:pPr>
    </w:p>
    <w:p>
      <w:pPr>
        <w:pStyle w:val="Heading2"/>
        <w:spacing w:line="264" w:lineRule="auto" w:before="0"/>
        <w:ind w:left="141" w:right="4167"/>
        <w:jc w:val="left"/>
        <w:rPr>
          <w:b w:val="0"/>
          <w:bCs w:val="0"/>
        </w:rPr>
      </w:pPr>
      <w:r>
        <w:rPr>
          <w:rFonts w:ascii="Calibri" w:hAnsi="Calibri" w:cs="Calibri" w:eastAsia="Calibri" w:hint="default"/>
        </w:rPr>
        <w:t>27.</w:t>
      </w:r>
      <w:r>
        <w:rPr>
          <w:rFonts w:ascii="Calibri" w:hAnsi="Calibri" w:cs="Calibri" w:eastAsia="Calibri" w:hint="default"/>
          <w:spacing w:val="12"/>
        </w:rPr>
        <w:t> </w:t>
      </w:r>
      <w:r>
        <w:rPr/>
        <w:t>政府补助</w:t>
      </w:r>
      <w:r>
        <w:rPr>
          <w:spacing w:val="1"/>
          <w:w w:val="99"/>
        </w:rPr>
        <w:t> </w:t>
      </w:r>
      <w:r>
        <w:rPr/>
        <w:t>(1)、与资产相关的政府补助判断依据及会计处理方法</w:t>
      </w:r>
      <w:r>
        <w:rPr>
          <w:b w:val="0"/>
          <w:bCs w:val="0"/>
        </w:rPr>
      </w:r>
    </w:p>
    <w:p>
      <w:pPr>
        <w:pStyle w:val="BodyText"/>
        <w:spacing w:line="314" w:lineRule="auto" w:before="114"/>
        <w:ind w:right="211" w:firstLine="420"/>
        <w:jc w:val="both"/>
      </w:pPr>
      <w:r>
        <w:rPr>
          <w:spacing w:val="2"/>
        </w:rPr>
        <w:t>本公司将所取得的用于购建或以其他方式形成长期资产的政府补助界定为与资产相关的政府</w:t>
      </w:r>
      <w:r>
        <w:rPr/>
        <w:t> </w:t>
      </w:r>
      <w:r>
        <w:rPr>
          <w:spacing w:val="-3"/>
        </w:rPr>
        <w:t>补助。对于政府文件未明确规定补助对象的，能够形成长期资产的，与资产价值相对应的政府补助</w:t>
      </w:r>
      <w:r>
        <w:rPr>
          <w:spacing w:val="-78"/>
        </w:rPr>
        <w:t> </w:t>
      </w:r>
      <w:r>
        <w:rPr>
          <w:spacing w:val="-78"/>
        </w:rPr>
      </w:r>
      <w:r>
        <w:rPr>
          <w:spacing w:val="-3"/>
        </w:rPr>
        <w:t>部分作为与资产相关的政府补助，其余部分作为与收益相关的政府补助；难以区分的，将政府补助</w:t>
      </w:r>
      <w:r>
        <w:rPr>
          <w:spacing w:val="-78"/>
        </w:rPr>
        <w:t> </w:t>
      </w:r>
      <w:r>
        <w:rPr>
          <w:spacing w:val="-78"/>
        </w:rPr>
      </w:r>
      <w:r>
        <w:rPr>
          <w:spacing w:val="-3"/>
        </w:rPr>
        <w:t>整体作为与收益相关的政府补助。与资产相关的政府补助，确认为递延收益，并在相关资产使用寿</w:t>
      </w:r>
      <w:r>
        <w:rPr>
          <w:spacing w:val="-78"/>
        </w:rPr>
        <w:t> </w:t>
      </w:r>
      <w:r>
        <w:rPr>
          <w:spacing w:val="-78"/>
        </w:rPr>
      </w:r>
      <w:r>
        <w:rPr/>
        <w:t>命内平均分配，计入当期损益。按照名义金额计量的政府补助，直接计入当期损益。</w:t>
      </w:r>
    </w:p>
    <w:p>
      <w:pPr>
        <w:spacing w:line="240" w:lineRule="auto" w:before="9"/>
        <w:rPr>
          <w:rFonts w:ascii="宋体" w:hAnsi="宋体" w:cs="宋体" w:eastAsia="宋体" w:hint="default"/>
          <w:sz w:val="27"/>
          <w:szCs w:val="27"/>
        </w:rPr>
      </w:pPr>
    </w:p>
    <w:p>
      <w:pPr>
        <w:spacing w:line="357" w:lineRule="auto" w:before="0"/>
        <w:ind w:left="561" w:right="203" w:hanging="420"/>
        <w:jc w:val="left"/>
        <w:rPr>
          <w:rFonts w:ascii="宋体" w:hAnsi="宋体" w:cs="宋体" w:eastAsia="宋体" w:hint="default"/>
          <w:sz w:val="21"/>
          <w:szCs w:val="21"/>
        </w:rPr>
      </w:pPr>
      <w:r>
        <w:rPr>
          <w:rFonts w:ascii="宋体" w:hAnsi="宋体" w:cs="宋体" w:eastAsia="宋体" w:hint="default"/>
          <w:b/>
          <w:bCs/>
          <w:sz w:val="21"/>
          <w:szCs w:val="21"/>
        </w:rPr>
        <w:t>(2)、与收益相关的政府补助判断依据及会计处理方法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本公司将所取得的与资产相关的政府补助之外的政府补助界定为与收益相关的政府补助。与收</w:t>
      </w:r>
    </w:p>
    <w:p>
      <w:pPr>
        <w:pStyle w:val="BodyText"/>
        <w:spacing w:line="257" w:lineRule="exact" w:before="0"/>
        <w:ind w:right="0"/>
        <w:jc w:val="both"/>
      </w:pPr>
      <w:r>
        <w:rPr>
          <w:spacing w:val="-3"/>
        </w:rPr>
        <w:t>益相关的政府补助，用于补偿公司以后期间的相关费用或损失的，确认为递延收益，并在确认相关</w:t>
      </w:r>
    </w:p>
    <w:p>
      <w:pPr>
        <w:pStyle w:val="BodyText"/>
        <w:spacing w:line="314" w:lineRule="auto" w:before="85"/>
        <w:ind w:left="561" w:right="203" w:hanging="420"/>
        <w:jc w:val="left"/>
      </w:pPr>
      <w:r>
        <w:rPr/>
        <w:t>费用的期间，计入当期损益。用于补偿公司已发生的相关费用或损失的，直接计入当期损益。 </w:t>
      </w:r>
      <w:r>
        <w:rPr>
          <w:spacing w:val="-3"/>
        </w:rPr>
        <w:t>已确认的政府补助需要返还的，存在相关递延收益的，冲减相关递延收益账面余额，超出部分</w:t>
      </w:r>
    </w:p>
    <w:p>
      <w:pPr>
        <w:pStyle w:val="BodyText"/>
        <w:spacing w:line="240" w:lineRule="auto"/>
        <w:ind w:right="0"/>
        <w:jc w:val="both"/>
      </w:pPr>
      <w:r>
        <w:rPr/>
        <w:t>计入当期损益；不存在相关递延收益的，直接计入当期损益。</w:t>
      </w:r>
    </w:p>
    <w:p>
      <w:pPr>
        <w:spacing w:after="0" w:line="240" w:lineRule="auto"/>
        <w:jc w:val="both"/>
        <w:sectPr>
          <w:footerReference w:type="default" r:id="rId52"/>
          <w:pgSz w:w="11910" w:h="16840"/>
          <w:pgMar w:footer="977" w:header="882" w:top="1120" w:bottom="1160" w:left="15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26" w:lineRule="auto" w:before="174"/>
        <w:ind w:left="561" w:right="203" w:hanging="421"/>
        <w:jc w:val="left"/>
        <w:rPr>
          <w:rFonts w:ascii="宋体" w:hAnsi="宋体" w:cs="宋体" w:eastAsia="宋体" w:hint="default"/>
          <w:sz w:val="21"/>
          <w:szCs w:val="21"/>
        </w:rPr>
      </w:pPr>
      <w:r>
        <w:rPr>
          <w:rFonts w:ascii="Calibri" w:hAnsi="Calibri" w:cs="Calibri" w:eastAsia="Calibri" w:hint="default"/>
          <w:b/>
          <w:bCs/>
          <w:sz w:val="21"/>
          <w:szCs w:val="21"/>
        </w:rPr>
        <w:t>28.</w:t>
      </w:r>
      <w:r>
        <w:rPr>
          <w:rFonts w:ascii="Calibri" w:hAnsi="Calibri" w:cs="Calibri" w:eastAsia="Calibri" w:hint="default"/>
          <w:b/>
          <w:bCs/>
          <w:spacing w:val="1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公司在取得资产、负债时，确定其计税基础。资产、负债的账面价值与其计税基础存在的暂时</w:t>
      </w:r>
    </w:p>
    <w:p>
      <w:pPr>
        <w:pStyle w:val="BodyText"/>
        <w:spacing w:line="314" w:lineRule="auto" w:before="9"/>
        <w:ind w:left="561" w:right="2823" w:hanging="420"/>
        <w:jc w:val="left"/>
      </w:pPr>
      <w:r>
        <w:rPr/>
        <w:t>性差异，按照规定确认所产生的递延所得税资产或递延所得税负债。 1、递延所得税资产的确认</w:t>
      </w:r>
    </w:p>
    <w:p>
      <w:pPr>
        <w:pStyle w:val="BodyText"/>
        <w:spacing w:line="314" w:lineRule="auto"/>
        <w:ind w:right="211" w:firstLine="420"/>
        <w:jc w:val="both"/>
      </w:pPr>
      <w:r>
        <w:rPr/>
        <w:t>（1）公司以很可能取得用来抵扣可抵扣暂时性差异的应纳税所得额为限，确认由可抵扣暂时 </w:t>
      </w:r>
      <w:r>
        <w:rPr>
          <w:spacing w:val="-3"/>
        </w:rPr>
        <w:t>性差异产生的递延所得税资产。但是，同时具有下列特征的交易中因资产或负债的初始确认所产生</w:t>
      </w:r>
      <w:r>
        <w:rPr>
          <w:spacing w:val="-78"/>
        </w:rPr>
        <w:t> </w:t>
      </w:r>
      <w:r>
        <w:rPr>
          <w:spacing w:val="-78"/>
        </w:rPr>
      </w:r>
      <w:r>
        <w:rPr>
          <w:spacing w:val="-3"/>
        </w:rPr>
        <w:t>的递延所得税资产不予确认：①该项交易不是企业合并；②交易发生时既不影响会计利润也不影响</w:t>
      </w:r>
      <w:r>
        <w:rPr>
          <w:spacing w:val="-78"/>
        </w:rPr>
        <w:t> </w:t>
      </w:r>
      <w:r>
        <w:rPr>
          <w:spacing w:val="-78"/>
        </w:rPr>
      </w:r>
      <w:r>
        <w:rPr/>
        <w:t>应纳税所得额（或可抵扣亏损）。</w:t>
      </w:r>
    </w:p>
    <w:p>
      <w:pPr>
        <w:pStyle w:val="BodyText"/>
        <w:spacing w:line="314" w:lineRule="auto"/>
        <w:ind w:right="211" w:firstLine="420"/>
        <w:jc w:val="both"/>
      </w:pPr>
      <w:r>
        <w:rPr/>
        <w:t>（2）公司对与子公司、联营公司及合营企业投资相关的可抵扣暂时性差异，同时满足下列条 </w:t>
      </w:r>
      <w:r>
        <w:rPr>
          <w:spacing w:val="-3"/>
        </w:rPr>
        <w:t>件的，确认相应的递延所得税资产：①暂时性差异在可预见的未来很可能转回；②未来很可能获得</w:t>
      </w:r>
      <w:r>
        <w:rPr>
          <w:spacing w:val="-78"/>
        </w:rPr>
        <w:t> </w:t>
      </w:r>
      <w:r>
        <w:rPr>
          <w:spacing w:val="-78"/>
        </w:rPr>
      </w:r>
      <w:r>
        <w:rPr/>
        <w:t>用来抵扣可抵扣暂时性差异的应纳税所得额。</w:t>
      </w:r>
    </w:p>
    <w:p>
      <w:pPr>
        <w:pStyle w:val="BodyText"/>
        <w:spacing w:line="314" w:lineRule="auto"/>
        <w:ind w:right="211" w:firstLine="420"/>
        <w:jc w:val="both"/>
      </w:pPr>
      <w:r>
        <w:rPr/>
        <w:t>（3）对于按照税法规定可以结转以后年度的可抵扣亏损和税款抵减，视同可抵扣暂时性差异 </w:t>
      </w:r>
      <w:r>
        <w:rPr>
          <w:spacing w:val="-3"/>
        </w:rPr>
        <w:t>处理，以很可能获得用来抵扣可抵扣亏损和税款抵减的未来应纳税所得额为限，确认相应的递延所</w:t>
      </w:r>
      <w:r>
        <w:rPr>
          <w:spacing w:val="-78"/>
        </w:rPr>
        <w:t> </w:t>
      </w:r>
      <w:r>
        <w:rPr>
          <w:spacing w:val="-78"/>
        </w:rPr>
      </w:r>
      <w:r>
        <w:rPr/>
        <w:t>得税资产。</w:t>
      </w:r>
    </w:p>
    <w:p>
      <w:pPr>
        <w:pStyle w:val="BodyText"/>
        <w:spacing w:line="240" w:lineRule="auto"/>
        <w:ind w:left="561" w:right="227"/>
        <w:jc w:val="left"/>
      </w:pPr>
      <w:r>
        <w:rPr/>
        <w:t>2、递延所得税负债的确认</w:t>
      </w:r>
    </w:p>
    <w:p>
      <w:pPr>
        <w:pStyle w:val="BodyText"/>
        <w:spacing w:line="314" w:lineRule="auto" w:before="85"/>
        <w:ind w:right="93" w:firstLine="420"/>
        <w:jc w:val="left"/>
      </w:pPr>
      <w:r>
        <w:rPr/>
        <w:t>（1）除下列交易中产生的递延所得税负债以外，公司确认所有应纳税暂时性差异产生的递延 </w:t>
      </w:r>
      <w:r>
        <w:rPr>
          <w:spacing w:val="-5"/>
        </w:rPr>
        <w:t>所得税负债：①商誉的初始确认；②同时满足具有下列特征的交易中产生的资产或负债的初始确认：</w:t>
      </w:r>
      <w:r>
        <w:rPr>
          <w:spacing w:val="-93"/>
        </w:rPr>
        <w:t> </w:t>
      </w:r>
      <w:r>
        <w:rPr>
          <w:spacing w:val="-93"/>
        </w:rPr>
      </w:r>
      <w:r>
        <w:rPr/>
        <w:t>该项交易不是企业合并；交易发生时既不影响会计利润也不影响应纳税所得额（或可抵扣亏损）。</w:t>
      </w:r>
    </w:p>
    <w:p>
      <w:pPr>
        <w:pStyle w:val="BodyText"/>
        <w:spacing w:line="314" w:lineRule="auto"/>
        <w:ind w:right="211" w:firstLine="420"/>
        <w:jc w:val="both"/>
      </w:pPr>
      <w:r>
        <w:rPr/>
        <w:t>（2）公司对与子公司、联营公司及合营企业投资相关的应纳税暂时性差异，确认相应的递延 </w:t>
      </w:r>
      <w:r>
        <w:rPr>
          <w:spacing w:val="-3"/>
        </w:rPr>
        <w:t>所得税负债。但是，同时满足下列条件的除外：①投资企业能够控制暂时性差异转回的时间；②该</w:t>
      </w:r>
      <w:r>
        <w:rPr>
          <w:spacing w:val="-80"/>
        </w:rPr>
        <w:t> </w:t>
      </w:r>
      <w:r>
        <w:rPr>
          <w:spacing w:val="-80"/>
        </w:rPr>
      </w:r>
      <w:r>
        <w:rPr/>
        <w:t>暂时性差异在可预见的未来很可能不会转回。</w:t>
      </w:r>
    </w:p>
    <w:p>
      <w:pPr>
        <w:pStyle w:val="BodyText"/>
        <w:spacing w:line="314" w:lineRule="auto"/>
        <w:ind w:right="211" w:firstLine="420"/>
        <w:jc w:val="both"/>
      </w:pPr>
      <w:r>
        <w:rPr>
          <w:spacing w:val="-3"/>
        </w:rPr>
        <w:t>公司于资产负债表日对递延所得税资产和递延所得税负债，按照预期收回该资产或清偿该负债</w:t>
      </w:r>
      <w:r>
        <w:rPr/>
        <w:t> 期间的适用税率计量，并反映资产负债表日预期收回资产或清偿负债方式的所得税影响。</w:t>
      </w:r>
    </w:p>
    <w:p>
      <w:pPr>
        <w:pStyle w:val="BodyText"/>
        <w:spacing w:line="314" w:lineRule="auto"/>
        <w:ind w:right="211" w:firstLine="420"/>
        <w:jc w:val="both"/>
      </w:pPr>
      <w:r>
        <w:rPr>
          <w:spacing w:val="-3"/>
        </w:rPr>
        <w:t>公司于资产负债表日对递延所得税资产的账面价值进行复核。如果未来期间很可能无法获得足</w:t>
      </w:r>
      <w:r>
        <w:rPr/>
        <w:t> </w:t>
      </w:r>
      <w:r>
        <w:rPr>
          <w:spacing w:val="-3"/>
        </w:rPr>
        <w:t>够的应纳税所得额用以抵扣递延所得税资产的利益的，减记递延所得税资产的账面价值。在很可能</w:t>
      </w:r>
      <w:r>
        <w:rPr>
          <w:spacing w:val="-78"/>
        </w:rPr>
        <w:t> </w:t>
      </w:r>
      <w:r>
        <w:rPr>
          <w:spacing w:val="-78"/>
        </w:rPr>
      </w:r>
      <w:r>
        <w:rPr/>
        <w:t>获得足够的应纳税所得额时，减记的金额予以转回。</w:t>
      </w:r>
    </w:p>
    <w:p>
      <w:pPr>
        <w:spacing w:line="240" w:lineRule="auto" w:before="13"/>
        <w:rPr>
          <w:rFonts w:ascii="宋体" w:hAnsi="宋体" w:cs="宋体" w:eastAsia="宋体" w:hint="default"/>
          <w:sz w:val="20"/>
          <w:szCs w:val="20"/>
        </w:rPr>
      </w:pPr>
    </w:p>
    <w:p>
      <w:pPr>
        <w:pStyle w:val="Heading2"/>
        <w:spacing w:line="264" w:lineRule="auto" w:before="0"/>
        <w:ind w:left="141" w:right="6276"/>
        <w:jc w:val="left"/>
        <w:rPr>
          <w:b w:val="0"/>
          <w:bCs w:val="0"/>
        </w:rPr>
      </w:pPr>
      <w:r>
        <w:rPr>
          <w:rFonts w:ascii="Calibri" w:hAnsi="Calibri" w:cs="Calibri" w:eastAsia="Calibri" w:hint="default"/>
        </w:rPr>
        <w:t>29.</w:t>
      </w:r>
      <w:r>
        <w:rPr>
          <w:rFonts w:ascii="Calibri" w:hAnsi="Calibri" w:cs="Calibri" w:eastAsia="Calibri" w:hint="default"/>
          <w:spacing w:val="12"/>
        </w:rPr>
        <w:t> </w:t>
      </w:r>
      <w:r>
        <w:rPr/>
        <w:t>租赁</w:t>
      </w:r>
      <w:r>
        <w:rPr>
          <w:spacing w:val="1"/>
          <w:w w:val="99"/>
        </w:rPr>
        <w:t> </w:t>
      </w:r>
      <w:r>
        <w:rPr/>
        <w:t>(1)、经营租赁的会计处理方法</w:t>
      </w:r>
      <w:r>
        <w:rPr>
          <w:b w:val="0"/>
          <w:bCs w:val="0"/>
        </w:rPr>
      </w:r>
    </w:p>
    <w:p>
      <w:pPr>
        <w:pStyle w:val="BodyText"/>
        <w:spacing w:line="314" w:lineRule="auto" w:before="114"/>
        <w:ind w:right="211" w:firstLine="420"/>
        <w:jc w:val="both"/>
      </w:pPr>
      <w:r>
        <w:rPr>
          <w:spacing w:val="-3"/>
        </w:rPr>
        <w:t>对于经营租赁的租金，出租人、承租人在租赁期内各个期间按照直线法确认为当期损益。出租</w:t>
      </w:r>
      <w:r>
        <w:rPr/>
        <w:t> 人、承租人发生的初始直接费用，计入当期损益。或有租金在实际发生时计入当期损益。</w:t>
      </w:r>
    </w:p>
    <w:p>
      <w:pPr>
        <w:spacing w:line="240" w:lineRule="auto" w:before="9"/>
        <w:rPr>
          <w:rFonts w:ascii="宋体" w:hAnsi="宋体" w:cs="宋体" w:eastAsia="宋体" w:hint="default"/>
          <w:sz w:val="27"/>
          <w:szCs w:val="27"/>
        </w:rPr>
      </w:pPr>
    </w:p>
    <w:p>
      <w:pPr>
        <w:pStyle w:val="Heading2"/>
        <w:spacing w:line="240" w:lineRule="auto" w:before="0"/>
        <w:ind w:left="141" w:right="227"/>
        <w:jc w:val="left"/>
        <w:rPr>
          <w:b w:val="0"/>
          <w:bCs w:val="0"/>
        </w:rPr>
      </w:pPr>
      <w:r>
        <w:rPr/>
        <w:t>(2)、融资租赁的会计处理方法</w:t>
      </w:r>
      <w:r>
        <w:rPr>
          <w:b w:val="0"/>
          <w:bCs w:val="0"/>
        </w:rPr>
      </w:r>
    </w:p>
    <w:p>
      <w:pPr>
        <w:pStyle w:val="BodyText"/>
        <w:spacing w:line="314" w:lineRule="auto" w:before="135"/>
        <w:ind w:left="561" w:right="203"/>
        <w:jc w:val="left"/>
      </w:pPr>
      <w:r>
        <w:rPr/>
        <w:t>（1）公司作为承租人的会计处理 </w:t>
      </w:r>
      <w:r>
        <w:rPr>
          <w:spacing w:val="-3"/>
        </w:rPr>
        <w:t>在融资租赁期开始日，将租赁开始日租赁资产公允价值与最低租赁付款额现值两者中较低者作</w:t>
      </w:r>
    </w:p>
    <w:p>
      <w:pPr>
        <w:pStyle w:val="BodyText"/>
        <w:spacing w:line="314" w:lineRule="auto"/>
        <w:ind w:right="203"/>
        <w:jc w:val="left"/>
      </w:pPr>
      <w:r>
        <w:rPr>
          <w:spacing w:val="-3"/>
        </w:rPr>
        <w:t>为租入资产的入账价值，将最低租赁付款额作为长期应付款的入账价值，其差额作为未确认融资费</w:t>
      </w:r>
      <w:r>
        <w:rPr>
          <w:spacing w:val="-78"/>
        </w:rPr>
        <w:t> </w:t>
      </w:r>
      <w:r>
        <w:rPr>
          <w:spacing w:val="-78"/>
        </w:rPr>
      </w:r>
      <w:r>
        <w:rPr>
          <w:spacing w:val="-3"/>
        </w:rPr>
        <w:t>用。在租赁谈判和签订租赁合同过程中发生的可归属于租赁项目的手续费、律师费、差旅费、印花</w:t>
      </w:r>
    </w:p>
    <w:p>
      <w:pPr>
        <w:spacing w:after="0" w:line="314" w:lineRule="auto"/>
        <w:jc w:val="left"/>
        <w:sectPr>
          <w:footerReference w:type="default" r:id="rId53"/>
          <w:pgSz w:w="11910" w:h="16840"/>
          <w:pgMar w:footer="977" w:header="882" w:top="1120" w:bottom="1160" w:left="1560" w:right="1060"/>
          <w:pgNumType w:start="9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193"/>
        <w:jc w:val="left"/>
      </w:pPr>
      <w:r>
        <w:rPr>
          <w:spacing w:val="-3"/>
        </w:rPr>
        <w:t>税等初始直接费用（下同），计入租入资产价值。在计算最低租赁付款额的现值时，能够取得出租</w:t>
      </w:r>
      <w:r>
        <w:rPr>
          <w:spacing w:val="-81"/>
        </w:rPr>
        <w:t> </w:t>
      </w:r>
      <w:r>
        <w:rPr>
          <w:spacing w:val="-81"/>
        </w:rPr>
      </w:r>
      <w:r>
        <w:rPr/>
        <w:t>人租赁内含利率的，采用租赁内含利率作为折现率；否则，采用租赁合同规定的利率作为折现率。</w:t>
      </w:r>
      <w:r>
        <w:rPr/>
        <w:t> 无法取得出租人的租赁内含利率且租赁合同没有规定利率的，采用同期银行贷款利率作为折现率。 未确认融资费用在租赁期内按照实际利率法计算确认当期的融资费用。</w:t>
      </w:r>
    </w:p>
    <w:p>
      <w:pPr>
        <w:pStyle w:val="BodyText"/>
        <w:spacing w:line="314" w:lineRule="auto"/>
        <w:ind w:right="311" w:firstLine="420"/>
        <w:jc w:val="both"/>
      </w:pPr>
      <w:r>
        <w:rPr>
          <w:spacing w:val="-3"/>
        </w:rPr>
        <w:t>公司采用与自有固定资产相一致的折旧政策计提租赁资产折旧。能够合理确定租赁期届满时取</w:t>
      </w:r>
      <w:r>
        <w:rPr/>
        <w:t> </w:t>
      </w:r>
      <w:r>
        <w:rPr>
          <w:spacing w:val="-3"/>
        </w:rPr>
        <w:t>得租赁资产所有权的，在租赁资产使用寿命内计提折旧。无法合理确定租赁期届满时能够取得租赁</w:t>
      </w:r>
      <w:r>
        <w:rPr>
          <w:spacing w:val="-78"/>
        </w:rPr>
        <w:t> </w:t>
      </w:r>
      <w:r>
        <w:rPr>
          <w:spacing w:val="-78"/>
        </w:rPr>
      </w:r>
      <w:r>
        <w:rPr>
          <w:spacing w:val="-3"/>
        </w:rPr>
        <w:t>资产所有权的，在租赁期与租赁资产使用寿命两者中较短的期间内计提折旧。或有租金在实际发生</w:t>
      </w:r>
      <w:r>
        <w:rPr>
          <w:spacing w:val="-78"/>
        </w:rPr>
        <w:t> </w:t>
      </w:r>
      <w:r>
        <w:rPr>
          <w:spacing w:val="-78"/>
        </w:rPr>
      </w:r>
      <w:r>
        <w:rPr/>
        <w:t>时计入当期损益。</w:t>
      </w:r>
    </w:p>
    <w:p>
      <w:pPr>
        <w:pStyle w:val="BodyText"/>
        <w:spacing w:line="314" w:lineRule="auto"/>
        <w:ind w:left="561" w:right="84"/>
        <w:jc w:val="left"/>
      </w:pPr>
      <w:r>
        <w:rPr/>
        <w:t>（2）公司作为出租人的会计处理 </w:t>
      </w:r>
      <w:r>
        <w:rPr>
          <w:spacing w:val="-3"/>
        </w:rPr>
        <w:t>在租赁期开始日，出租人将租赁开始日最低租赁收款额与初始直接费用之和作为应收融资租赁</w:t>
      </w:r>
    </w:p>
    <w:p>
      <w:pPr>
        <w:pStyle w:val="BodyText"/>
        <w:spacing w:line="314" w:lineRule="auto"/>
        <w:ind w:right="84"/>
        <w:jc w:val="left"/>
      </w:pPr>
      <w:r>
        <w:rPr>
          <w:spacing w:val="-3"/>
        </w:rPr>
        <w:t>款的入账价值，同时记录未担保余值；将最低租赁收款额、初始直接费用及未担保余值之和与其现</w:t>
      </w:r>
      <w:r>
        <w:rPr>
          <w:spacing w:val="-78"/>
        </w:rPr>
        <w:t> </w:t>
      </w:r>
      <w:r>
        <w:rPr>
          <w:spacing w:val="-78"/>
        </w:rPr>
      </w:r>
      <w:r>
        <w:rPr/>
        <w:t>值之和的差额确认为未实现融资收益。</w:t>
      </w:r>
    </w:p>
    <w:p>
      <w:pPr>
        <w:pStyle w:val="BodyText"/>
        <w:spacing w:line="240" w:lineRule="auto"/>
        <w:ind w:left="561" w:right="84"/>
        <w:jc w:val="left"/>
      </w:pPr>
      <w:r>
        <w:rPr/>
        <w:t>未实现融资收益在租赁期内按照实际利率法计算确认当期的融资收入。</w:t>
      </w:r>
    </w:p>
    <w:p>
      <w:pPr>
        <w:spacing w:line="240" w:lineRule="auto" w:before="12"/>
        <w:rPr>
          <w:rFonts w:ascii="宋体" w:hAnsi="宋体" w:cs="宋体" w:eastAsia="宋体" w:hint="default"/>
          <w:sz w:val="25"/>
          <w:szCs w:val="25"/>
        </w:rPr>
      </w:pPr>
    </w:p>
    <w:p>
      <w:pPr>
        <w:pStyle w:val="Heading2"/>
        <w:spacing w:line="240" w:lineRule="auto" w:before="0"/>
        <w:ind w:left="141" w:right="84"/>
        <w:jc w:val="left"/>
        <w:rPr>
          <w:b w:val="0"/>
          <w:bCs w:val="0"/>
        </w:rPr>
      </w:pPr>
      <w:r>
        <w:rPr>
          <w:rFonts w:ascii="Calibri" w:hAnsi="Calibri" w:cs="Calibri" w:eastAsia="Calibri" w:hint="default"/>
        </w:rPr>
        <w:t>30.  </w:t>
      </w:r>
      <w:r>
        <w:rPr>
          <w:rFonts w:ascii="Calibri" w:hAnsi="Calibri" w:cs="Calibri" w:eastAsia="Calibri" w:hint="default"/>
          <w:spacing w:val="10"/>
        </w:rPr>
        <w:t> </w:t>
      </w:r>
      <w:r>
        <w:rPr/>
        <w:t>其他重要的会计政策和会计估计</w:t>
      </w:r>
      <w:r>
        <w:rPr>
          <w:b w:val="0"/>
          <w:bCs w:val="0"/>
        </w:rPr>
      </w:r>
    </w:p>
    <w:p>
      <w:pPr>
        <w:pStyle w:val="BodyText"/>
        <w:spacing w:line="314" w:lineRule="auto" w:before="108"/>
        <w:ind w:left="561" w:right="2293"/>
        <w:jc w:val="left"/>
      </w:pPr>
      <w:r>
        <w:rPr/>
        <w:t>1、回购本公司股份 公司回购自身权益工具支付的对价和交易费用，应当减少所有者权益。</w:t>
      </w:r>
    </w:p>
    <w:p>
      <w:pPr>
        <w:pStyle w:val="BodyText"/>
        <w:spacing w:line="314" w:lineRule="auto"/>
        <w:ind w:right="311" w:firstLine="420"/>
        <w:jc w:val="both"/>
      </w:pPr>
      <w:r>
        <w:rPr>
          <w:spacing w:val="-3"/>
        </w:rPr>
        <w:t>公司按法定程序报经批准采用收购本公司股票方式减资，按注销股票面值总额减少股本，购回</w:t>
      </w:r>
      <w:r>
        <w:rPr/>
        <w:t> </w:t>
      </w:r>
      <w:r>
        <w:rPr>
          <w:spacing w:val="-3"/>
        </w:rPr>
        <w:t>股票支付的价款（含交易费用）与股票面值的差额调整所有者权益，超过面值总额的部分，依次冲</w:t>
      </w:r>
      <w:r>
        <w:rPr>
          <w:spacing w:val="-80"/>
        </w:rPr>
        <w:t> </w:t>
      </w:r>
      <w:r>
        <w:rPr>
          <w:spacing w:val="-80"/>
        </w:rPr>
      </w:r>
      <w:r>
        <w:rPr>
          <w:spacing w:val="-3"/>
        </w:rPr>
        <w:t>减资本公积（股本溢价）、盈余公积和未分配利润；如低于面值总额的，低于面值总额的部分增加</w:t>
      </w:r>
      <w:r>
        <w:rPr>
          <w:spacing w:val="-81"/>
        </w:rPr>
        <w:t> </w:t>
      </w:r>
      <w:r>
        <w:rPr>
          <w:spacing w:val="-81"/>
        </w:rPr>
      </w:r>
      <w:r>
        <w:rPr/>
        <w:t>资本公积（股本溢价）。公司回购自身权益工具，不确认利得或损失。</w:t>
      </w:r>
    </w:p>
    <w:p>
      <w:pPr>
        <w:pStyle w:val="BodyText"/>
        <w:spacing w:line="314" w:lineRule="auto"/>
        <w:ind w:right="194" w:firstLine="419"/>
        <w:jc w:val="left"/>
      </w:pPr>
      <w:r>
        <w:rPr>
          <w:spacing w:val="-5"/>
        </w:rPr>
        <w:t>公司回购的股份在注销或者转让之前，作为库存股管理，回购股份的全部支出转作库存股成本，</w:t>
      </w:r>
      <w:r>
        <w:rPr/>
        <w:t> 同时进行备查登记。</w:t>
      </w:r>
    </w:p>
    <w:p>
      <w:pPr>
        <w:pStyle w:val="BodyText"/>
        <w:spacing w:line="314" w:lineRule="auto"/>
        <w:ind w:right="312" w:firstLine="420"/>
        <w:jc w:val="both"/>
      </w:pPr>
      <w:r>
        <w:rPr>
          <w:spacing w:val="-3"/>
        </w:rPr>
        <w:t>库存股转让时，转让收入高于库存股成本的部分，增加资本公积(股本溢价)；低于库存股成本</w:t>
      </w:r>
      <w:r>
        <w:rPr/>
        <w:t> 的部分，依次冲减资本公积(股本溢价)、盈余公积、未分配利润。</w:t>
      </w:r>
    </w:p>
    <w:p>
      <w:pPr>
        <w:pStyle w:val="BodyText"/>
        <w:spacing w:line="314" w:lineRule="auto"/>
        <w:ind w:right="311" w:firstLine="420"/>
        <w:jc w:val="both"/>
      </w:pPr>
      <w:r>
        <w:rPr>
          <w:spacing w:val="-3"/>
        </w:rPr>
        <w:t>公司回购其普通股形成的库存股不参与公司利润分配，公司将其作为在资产负债表中所有者权</w:t>
      </w:r>
      <w:r>
        <w:rPr/>
        <w:t> 益的备抵项目列示。</w:t>
      </w:r>
    </w:p>
    <w:p>
      <w:pPr>
        <w:pStyle w:val="BodyText"/>
        <w:spacing w:line="314" w:lineRule="auto"/>
        <w:ind w:left="561" w:right="84"/>
        <w:jc w:val="left"/>
      </w:pPr>
      <w:r>
        <w:rPr/>
        <w:t>2、资产证券化业务 </w:t>
      </w:r>
      <w:r>
        <w:rPr>
          <w:spacing w:val="-3"/>
        </w:rPr>
        <w:t>公司设立特殊目的主体作为结构化融资的载体，公司把金融资产转移到特殊目的主体，如果公</w:t>
      </w:r>
    </w:p>
    <w:p>
      <w:pPr>
        <w:pStyle w:val="BodyText"/>
        <w:spacing w:line="314" w:lineRule="auto"/>
        <w:ind w:left="561" w:right="193" w:hanging="420"/>
        <w:jc w:val="left"/>
      </w:pPr>
      <w:r>
        <w:rPr/>
        <w:t>司能够控制该特殊目的主体，这些特殊目的主体则视同为子公司而纳入公司合并财务报表的范围。</w:t>
      </w:r>
      <w:r>
        <w:rPr>
          <w:spacing w:val="-101"/>
        </w:rPr>
        <w:t> </w:t>
      </w:r>
      <w:r>
        <w:rPr>
          <w:spacing w:val="-101"/>
        </w:rPr>
      </w:r>
      <w:r>
        <w:rPr/>
        <w:t>公司出售金融资产作出承诺，已转移的金融资产将来发生信用损失时，由公司进行全额补偿，</w:t>
      </w:r>
    </w:p>
    <w:p>
      <w:pPr>
        <w:pStyle w:val="BodyText"/>
        <w:spacing w:line="314" w:lineRule="auto"/>
        <w:ind w:left="561" w:right="84" w:hanging="420"/>
        <w:jc w:val="left"/>
      </w:pPr>
      <w:r>
        <w:rPr/>
        <w:t>公司实质上保留了该金融资产所有权上几乎所有的风险和报酬</w:t>
      </w:r>
      <w:r>
        <w:rPr>
          <w:spacing w:val="-101"/>
        </w:rPr>
        <w:t>，</w:t>
      </w:r>
      <w:r>
        <w:rPr/>
        <w:t>公司未终止确认所出售的金融资产。</w:t>
      </w:r>
      <w:r>
        <w:rPr/>
        <w:t> 资产证券化募集的资金列专项应付款</w:t>
      </w:r>
      <w:r>
        <w:rPr>
          <w:spacing w:val="-104"/>
        </w:rPr>
        <w:t>，</w:t>
      </w:r>
      <w:r>
        <w:rPr/>
        <w:t>资产证券化融资费</w:t>
      </w:r>
      <w:r>
        <w:rPr>
          <w:spacing w:val="-104"/>
        </w:rPr>
        <w:t>用</w:t>
      </w:r>
      <w:r>
        <w:rPr/>
        <w:t>（包括财务顾问费</w:t>
      </w:r>
      <w:r>
        <w:rPr>
          <w:spacing w:val="-104"/>
        </w:rPr>
        <w:t>、</w:t>
      </w:r>
      <w:r>
        <w:rPr/>
        <w:t>银行担保费等）</w:t>
      </w:r>
    </w:p>
    <w:p>
      <w:pPr>
        <w:pStyle w:val="BodyText"/>
        <w:spacing w:line="314" w:lineRule="auto"/>
        <w:ind w:right="84"/>
        <w:jc w:val="left"/>
      </w:pPr>
      <w:r>
        <w:rPr>
          <w:spacing w:val="-3"/>
        </w:rPr>
        <w:t>列入当期财务费用，收益权与实际募集的委托资金差额列长期待摊费用，在存续期内按证券化实施</w:t>
      </w:r>
      <w:r>
        <w:rPr>
          <w:spacing w:val="-78"/>
        </w:rPr>
        <w:t> </w:t>
      </w:r>
      <w:r>
        <w:rPr>
          <w:spacing w:val="-78"/>
        </w:rPr>
      </w:r>
      <w:r>
        <w:rPr/>
        <w:t>的项目进行摊销列入财务费用。</w:t>
      </w:r>
    </w:p>
    <w:p>
      <w:pPr>
        <w:pStyle w:val="BodyText"/>
        <w:spacing w:line="314" w:lineRule="auto"/>
        <w:ind w:left="561" w:right="84"/>
        <w:jc w:val="left"/>
      </w:pPr>
      <w:r>
        <w:rPr/>
        <w:t>3、套期会计 </w:t>
      </w:r>
      <w:r>
        <w:rPr>
          <w:spacing w:val="2"/>
        </w:rPr>
        <w:t>套期会计方法是指在相同会计期间将套期工具和被套期项目公允价值变动的抵销结果计入当</w:t>
      </w:r>
    </w:p>
    <w:p>
      <w:pPr>
        <w:pStyle w:val="BodyText"/>
        <w:spacing w:line="240" w:lineRule="auto"/>
        <w:ind w:right="84"/>
        <w:jc w:val="left"/>
      </w:pPr>
      <w:r>
        <w:rPr/>
        <w:t>期损益的方法。</w:t>
      </w:r>
    </w:p>
    <w:p>
      <w:pPr>
        <w:spacing w:after="0" w:line="240" w:lineRule="auto"/>
        <w:jc w:val="left"/>
        <w:sectPr>
          <w:pgSz w:w="11910" w:h="16840"/>
          <w:pgMar w:header="882" w:footer="977" w:top="1120" w:bottom="1160" w:left="156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311" w:firstLine="420"/>
        <w:jc w:val="both"/>
      </w:pPr>
      <w:r>
        <w:rPr>
          <w:spacing w:val="-3"/>
        </w:rPr>
        <w:t>套期工具是指公司为规避外汇风险、利率风险、商品价格风险、股票价格风险、信用风险等所</w:t>
      </w:r>
      <w:r>
        <w:rPr/>
        <w:t> </w:t>
      </w:r>
      <w:r>
        <w:rPr>
          <w:spacing w:val="-3"/>
        </w:rPr>
        <w:t>使用的衍生工具，分为公允价值套期、现金流量套期和境外经营净投资套期。对于同时满足下列条</w:t>
      </w:r>
      <w:r>
        <w:rPr>
          <w:spacing w:val="-78"/>
        </w:rPr>
        <w:t> </w:t>
      </w:r>
      <w:r>
        <w:rPr>
          <w:spacing w:val="-78"/>
        </w:rPr>
      </w:r>
      <w:r>
        <w:rPr/>
        <w:t>件的套期工具，运用套期会计方法进行处理：</w:t>
      </w:r>
    </w:p>
    <w:p>
      <w:pPr>
        <w:pStyle w:val="BodyText"/>
        <w:spacing w:line="314" w:lineRule="auto"/>
        <w:ind w:right="312" w:firstLine="420"/>
        <w:jc w:val="both"/>
      </w:pPr>
      <w:r>
        <w:rPr/>
        <w:t>（1）在套期开始时，公司对套期关系(即套期工具和被套期项目之间的关系)有正式指定，并 准备了关于套期关系、风险管理目标和套期策略的正式书面文件；</w:t>
      </w:r>
    </w:p>
    <w:p>
      <w:pPr>
        <w:pStyle w:val="BodyText"/>
        <w:spacing w:line="240" w:lineRule="auto"/>
        <w:ind w:left="561" w:right="84"/>
        <w:jc w:val="left"/>
      </w:pPr>
      <w:r>
        <w:rPr/>
        <w:t>（2）该套期预期高度有效，且符合公司最初为该套期关系所确定的风险管理策略；</w:t>
      </w:r>
    </w:p>
    <w:p>
      <w:pPr>
        <w:pStyle w:val="BodyText"/>
        <w:spacing w:line="314" w:lineRule="auto" w:before="85"/>
        <w:ind w:right="312" w:firstLine="420"/>
        <w:jc w:val="both"/>
      </w:pPr>
      <w:r>
        <w:rPr/>
        <w:t>（3）对预期交易的现金流量套期，预期交易应当很可能发生，且必须使公司面临最终将影响 损益的现金流量变动风险；</w:t>
      </w:r>
    </w:p>
    <w:p>
      <w:pPr>
        <w:pStyle w:val="BodyText"/>
        <w:spacing w:line="240" w:lineRule="auto"/>
        <w:ind w:left="561" w:right="84"/>
        <w:jc w:val="left"/>
      </w:pPr>
      <w:r>
        <w:rPr/>
        <w:t>（4）套期有效性能够可靠地计量；</w:t>
      </w:r>
    </w:p>
    <w:p>
      <w:pPr>
        <w:pStyle w:val="BodyText"/>
        <w:spacing w:line="314" w:lineRule="auto" w:before="85"/>
        <w:ind w:right="312" w:firstLine="420"/>
        <w:jc w:val="both"/>
      </w:pPr>
      <w:r>
        <w:rPr/>
        <w:t>（5）公司持续地对套期有效性进行评价，并确保该套期在套期关系被指定的会计期间内高度 有效。</w:t>
      </w:r>
    </w:p>
    <w:p>
      <w:pPr>
        <w:pStyle w:val="BodyText"/>
        <w:spacing w:line="314" w:lineRule="auto"/>
        <w:ind w:left="561" w:right="84"/>
        <w:jc w:val="left"/>
      </w:pPr>
      <w:r>
        <w:rPr/>
        <w:t>公允价值套期满足上述条件的，公允价值变动形成的利得或损失计入当期损益。 </w:t>
      </w:r>
      <w:r>
        <w:rPr>
          <w:spacing w:val="-3"/>
        </w:rPr>
        <w:t>现金流量套期满足上述条件的，套期工具利得或损失中属于有效套期的部分计入其他综合收益，</w:t>
      </w:r>
    </w:p>
    <w:p>
      <w:pPr>
        <w:pStyle w:val="BodyText"/>
        <w:spacing w:line="314" w:lineRule="auto"/>
        <w:ind w:right="311"/>
        <w:jc w:val="both"/>
      </w:pPr>
      <w:r>
        <w:rPr>
          <w:spacing w:val="-3"/>
        </w:rPr>
        <w:t>无效部分计入当期损益。对于被套期项目为预期交易且该预期交易使公司随后确认一项金融资产或</w:t>
      </w:r>
      <w:r>
        <w:rPr>
          <w:spacing w:val="-77"/>
        </w:rPr>
        <w:t> </w:t>
      </w:r>
      <w:r>
        <w:rPr>
          <w:spacing w:val="-77"/>
        </w:rPr>
      </w:r>
      <w:r>
        <w:rPr>
          <w:spacing w:val="-3"/>
        </w:rPr>
        <w:t>一项金融负债的，原确认为其他综合收益的相关利得或损失在该金融资产或金融负债影响公司损益</w:t>
      </w:r>
      <w:r>
        <w:rPr>
          <w:spacing w:val="-77"/>
        </w:rPr>
        <w:t> </w:t>
      </w:r>
      <w:r>
        <w:rPr>
          <w:spacing w:val="-77"/>
        </w:rPr>
      </w:r>
      <w:r>
        <w:rPr>
          <w:spacing w:val="-3"/>
        </w:rPr>
        <w:t>的相同期间转出，计入当期损益。但是，公司预期原直接在所有者权益中确认的净损失全部或部分</w:t>
      </w:r>
      <w:r>
        <w:rPr>
          <w:spacing w:val="-78"/>
        </w:rPr>
        <w:t> </w:t>
      </w:r>
      <w:r>
        <w:rPr>
          <w:spacing w:val="-78"/>
        </w:rPr>
      </w:r>
      <w:r>
        <w:rPr/>
        <w:t>在未来会计期间不能弥补时，将不能弥补的部分转出，计入当期损益。</w:t>
      </w:r>
    </w:p>
    <w:p>
      <w:pPr>
        <w:pStyle w:val="BodyText"/>
        <w:spacing w:line="314" w:lineRule="auto"/>
        <w:ind w:right="311" w:firstLine="420"/>
        <w:jc w:val="both"/>
      </w:pPr>
      <w:r>
        <w:rPr>
          <w:spacing w:val="-3"/>
        </w:rPr>
        <w:t>境外经营净投资套期满足上述条件的，公司应按类似于现金流量套期会计的规定处理：套期工</w:t>
      </w:r>
      <w:r>
        <w:rPr/>
        <w:t> </w:t>
      </w:r>
      <w:r>
        <w:rPr>
          <w:spacing w:val="-3"/>
        </w:rPr>
        <w:t>具形成的利得或损失中属于有效套期的部分，直接确认为所有者权益，并单列项目反映。处置境外</w:t>
      </w:r>
      <w:r>
        <w:rPr>
          <w:spacing w:val="-78"/>
        </w:rPr>
        <w:t> </w:t>
      </w:r>
      <w:r>
        <w:rPr>
          <w:spacing w:val="-78"/>
        </w:rPr>
      </w:r>
      <w:r>
        <w:rPr/>
        <w:t>经营时，将上述在所有者权益中单列项目反映的套期工具利得或损失转出，计入当期损益。</w:t>
      </w:r>
    </w:p>
    <w:p>
      <w:pPr>
        <w:pStyle w:val="BodyText"/>
        <w:spacing w:line="314" w:lineRule="auto"/>
        <w:ind w:left="561" w:right="84"/>
        <w:jc w:val="left"/>
      </w:pPr>
      <w:r>
        <w:rPr/>
        <w:t>套期工具形成的利得或损失中属于无效套期的部分，计入当期损益。 </w:t>
      </w:r>
      <w:r>
        <w:rPr>
          <w:spacing w:val="-3"/>
        </w:rPr>
        <w:t>不符合上述条件的其他公允价值套期、现金流量套期和境外净投资套期，其公允价值变动直接</w:t>
      </w:r>
    </w:p>
    <w:p>
      <w:pPr>
        <w:pStyle w:val="BodyText"/>
        <w:spacing w:line="314" w:lineRule="auto"/>
        <w:ind w:left="561" w:right="7648" w:hanging="420"/>
        <w:jc w:val="left"/>
      </w:pPr>
      <w:r>
        <w:rPr/>
        <w:t>计入当期损益。 4、建造合同</w:t>
      </w:r>
    </w:p>
    <w:p>
      <w:pPr>
        <w:pStyle w:val="BodyText"/>
        <w:spacing w:line="314" w:lineRule="auto"/>
        <w:ind w:right="311" w:firstLine="420"/>
        <w:jc w:val="both"/>
      </w:pPr>
      <w:r>
        <w:rPr>
          <w:spacing w:val="-3"/>
        </w:rPr>
        <w:t>在建造合同的结果能够可靠估计的情况下，本公司于资产负债表日按照完工百分比法确认合同</w:t>
      </w:r>
      <w:r>
        <w:rPr/>
        <w:t> 收入和合同费用。</w:t>
      </w:r>
    </w:p>
    <w:p>
      <w:pPr>
        <w:pStyle w:val="BodyText"/>
        <w:spacing w:line="314" w:lineRule="auto"/>
        <w:ind w:right="311" w:firstLine="420"/>
        <w:jc w:val="both"/>
      </w:pPr>
      <w:r>
        <w:rPr>
          <w:spacing w:val="-3"/>
        </w:rPr>
        <w:t>建造合同的结果能够可靠估计是指同时满足：①合同总收入能够可靠地计量；②与合同相关的</w:t>
      </w:r>
      <w:r>
        <w:rPr/>
        <w:t> </w:t>
      </w:r>
      <w:r>
        <w:rPr>
          <w:spacing w:val="-3"/>
        </w:rPr>
        <w:t>经济利益很可能流入企业；③实际发生的合同成本能够清楚地区分和可靠地计量；④合同完工进度</w:t>
      </w:r>
      <w:r>
        <w:rPr>
          <w:spacing w:val="-78"/>
        </w:rPr>
        <w:t> </w:t>
      </w:r>
      <w:r>
        <w:rPr>
          <w:spacing w:val="-78"/>
        </w:rPr>
      </w:r>
      <w:r>
        <w:rPr/>
        <w:t>和为完成合同尚需发生的成本能够可靠地确定。</w:t>
      </w:r>
    </w:p>
    <w:p>
      <w:pPr>
        <w:pStyle w:val="BodyText"/>
        <w:spacing w:line="314" w:lineRule="auto"/>
        <w:ind w:right="311" w:firstLine="420"/>
        <w:jc w:val="both"/>
      </w:pPr>
      <w:r>
        <w:rPr>
          <w:spacing w:val="2"/>
        </w:rPr>
        <w:t>本公司于资产负债表日按照合同总收入乘以完工程度扣除以前会计期间累计已确认收入后的</w:t>
      </w:r>
      <w:r>
        <w:rPr/>
        <w:t> </w:t>
      </w:r>
      <w:r>
        <w:rPr>
          <w:spacing w:val="-3"/>
        </w:rPr>
        <w:t>金额，确认为当期合同收入；同时，按照合同预计总成本乘以完工程度扣除以前会计期间累计已确</w:t>
      </w:r>
      <w:r>
        <w:rPr>
          <w:spacing w:val="-78"/>
        </w:rPr>
        <w:t> </w:t>
      </w:r>
      <w:r>
        <w:rPr>
          <w:spacing w:val="-78"/>
        </w:rPr>
      </w:r>
      <w:r>
        <w:rPr/>
        <w:t>认费用后的金额，确认为当期合同费用。</w:t>
      </w:r>
    </w:p>
    <w:p>
      <w:pPr>
        <w:pStyle w:val="BodyText"/>
        <w:spacing w:line="314" w:lineRule="auto"/>
        <w:ind w:left="561" w:right="2713"/>
        <w:jc w:val="left"/>
      </w:pPr>
      <w:r>
        <w:rPr/>
        <w:t>合同预计总成本超过合同总收入的，将预计损失确认为当期费用。 5、附回购条件的资产转让</w:t>
      </w:r>
    </w:p>
    <w:p>
      <w:pPr>
        <w:pStyle w:val="BodyText"/>
        <w:spacing w:line="314" w:lineRule="auto"/>
        <w:ind w:right="311" w:firstLine="420"/>
        <w:jc w:val="both"/>
      </w:pPr>
      <w:r>
        <w:rPr>
          <w:spacing w:val="-3"/>
        </w:rPr>
        <w:t>售后回购是指销售商品的同时，公司同意日后再将同样或类似的商品购回的销售方式。公司根</w:t>
      </w:r>
      <w:r>
        <w:rPr/>
        <w:t> </w:t>
      </w:r>
      <w:r>
        <w:rPr>
          <w:spacing w:val="-3"/>
        </w:rPr>
        <w:t>据合同或协议条款判断销售商品是否满足收入确认条件。若售后回购交易属于融资交易的，商品所</w:t>
      </w:r>
      <w:r>
        <w:rPr>
          <w:spacing w:val="-78"/>
        </w:rPr>
        <w:t> </w:t>
      </w:r>
      <w:r>
        <w:rPr>
          <w:spacing w:val="-78"/>
        </w:rPr>
      </w:r>
      <w:r>
        <w:rPr>
          <w:spacing w:val="-3"/>
        </w:rPr>
        <w:t>有权上的主要风险和报酬没有转移，不应确认收入；回购价格大于原售价的差额，公司在回购期间</w:t>
      </w:r>
      <w:r>
        <w:rPr>
          <w:spacing w:val="-78"/>
        </w:rPr>
        <w:t> </w:t>
      </w:r>
      <w:r>
        <w:rPr>
          <w:spacing w:val="-78"/>
        </w:rPr>
      </w:r>
      <w:r>
        <w:rPr/>
        <w:t>按期计提利息费用，计入财务费用。</w:t>
      </w:r>
    </w:p>
    <w:p>
      <w:pPr>
        <w:spacing w:after="0" w:line="314" w:lineRule="auto"/>
        <w:jc w:val="both"/>
        <w:sectPr>
          <w:pgSz w:w="11910" w:h="16840"/>
          <w:pgMar w:header="882" w:footer="977" w:top="1120" w:bottom="1160" w:left="156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left="641" w:right="193"/>
        <w:jc w:val="left"/>
      </w:pPr>
      <w:r>
        <w:rPr/>
        <w:t>6、衍生金融工具 衍生金融工具初始以衍生交易合同签订当日的公允价值计量，并以其公允价值进行后续计量。</w:t>
      </w:r>
    </w:p>
    <w:p>
      <w:pPr>
        <w:pStyle w:val="BodyText"/>
        <w:spacing w:line="314" w:lineRule="auto"/>
        <w:ind w:left="641" w:right="84" w:hanging="420"/>
        <w:jc w:val="left"/>
      </w:pPr>
      <w:r>
        <w:rPr/>
        <w:t>公允价值为正数的衍生金融工具确认为一项资产</w:t>
      </w:r>
      <w:r>
        <w:rPr>
          <w:spacing w:val="-101"/>
        </w:rPr>
        <w:t>，</w:t>
      </w:r>
      <w:r>
        <w:rPr/>
        <w:t>公允价值为负数的衍生金融工具确认为一项负债。</w:t>
      </w:r>
      <w:r>
        <w:rPr/>
        <w:t> 公司根据政策管理衍生金融工具的应用</w:t>
      </w:r>
      <w:r>
        <w:rPr>
          <w:spacing w:val="-101"/>
        </w:rPr>
        <w:t>，</w:t>
      </w:r>
      <w:r>
        <w:rPr/>
        <w:t>并以书面方式列明与公司风险管理策略一致的衍生金</w:t>
      </w:r>
    </w:p>
    <w:p>
      <w:pPr>
        <w:pStyle w:val="BodyText"/>
        <w:spacing w:line="314" w:lineRule="auto"/>
        <w:ind w:left="641" w:right="193" w:hanging="420"/>
        <w:jc w:val="left"/>
      </w:pPr>
      <w:r>
        <w:rPr/>
        <w:t>融工具应用原则。 </w:t>
      </w:r>
      <w:r>
        <w:rPr>
          <w:spacing w:val="-3"/>
        </w:rPr>
        <w:t>衍生金融工具的后续计量时，因公允价值变动而产生的利得或损失在利润表中确认。对于符合</w:t>
      </w:r>
    </w:p>
    <w:p>
      <w:pPr>
        <w:pStyle w:val="BodyText"/>
        <w:spacing w:line="314" w:lineRule="auto"/>
        <w:ind w:left="221" w:right="193"/>
        <w:jc w:val="left"/>
      </w:pPr>
      <w:r>
        <w:rPr>
          <w:spacing w:val="-3"/>
        </w:rPr>
        <w:t>套期会计处理的衍生金融工具，确认任何产生的利得或损失取决于被套期项目的性质。不符合套期</w:t>
      </w:r>
      <w:r>
        <w:rPr>
          <w:spacing w:val="-78"/>
        </w:rPr>
        <w:t> </w:t>
      </w:r>
      <w:r>
        <w:rPr>
          <w:spacing w:val="-78"/>
        </w:rPr>
      </w:r>
      <w:r>
        <w:rPr/>
        <w:t>会计处理的衍生金融工具分类为以公允价值计量且其变动计入当期损益的金融资产及金融负债。</w:t>
      </w:r>
    </w:p>
    <w:p>
      <w:pPr>
        <w:spacing w:line="240" w:lineRule="auto" w:before="13"/>
        <w:rPr>
          <w:rFonts w:ascii="宋体" w:hAnsi="宋体" w:cs="宋体" w:eastAsia="宋体" w:hint="default"/>
          <w:sz w:val="20"/>
          <w:szCs w:val="20"/>
        </w:rPr>
      </w:pPr>
    </w:p>
    <w:p>
      <w:pPr>
        <w:pStyle w:val="Heading2"/>
        <w:spacing w:line="264" w:lineRule="auto" w:before="0"/>
        <w:ind w:right="3770"/>
        <w:jc w:val="left"/>
        <w:rPr>
          <w:b w:val="0"/>
          <w:bCs w:val="0"/>
        </w:rPr>
      </w:pPr>
      <w:r>
        <w:rPr>
          <w:rFonts w:ascii="Calibri" w:hAnsi="Calibri" w:cs="Calibri" w:eastAsia="Calibri" w:hint="default"/>
        </w:rPr>
        <w:t>31.</w:t>
      </w:r>
      <w:r>
        <w:rPr>
          <w:rFonts w:ascii="Calibri" w:hAnsi="Calibri" w:cs="Calibri" w:eastAsia="Calibri" w:hint="default"/>
          <w:spacing w:val="10"/>
        </w:rPr>
        <w:t> </w:t>
      </w:r>
      <w:r>
        <w:rPr/>
        <w:t>重要会计政策和会计估计的变更</w:t>
      </w:r>
      <w:r>
        <w:rPr>
          <w:spacing w:val="1"/>
          <w:w w:val="99"/>
        </w:rPr>
        <w:t> </w:t>
      </w:r>
      <w:r>
        <w:rPr/>
        <w:t>(1)、重要会计政策变更</w:t>
      </w:r>
      <w:r>
        <w:rPr>
          <w:b w:val="0"/>
          <w:bCs w:val="0"/>
        </w:rPr>
      </w:r>
    </w:p>
    <w:p>
      <w:pPr>
        <w:pStyle w:val="BodyText"/>
        <w:spacing w:line="240" w:lineRule="auto" w:before="36"/>
        <w:ind w:left="221" w:right="193"/>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410"/>
        <w:gridCol w:w="2292"/>
        <w:gridCol w:w="1444"/>
      </w:tblGrid>
      <w:tr>
        <w:trPr>
          <w:trHeight w:val="282" w:hRule="exact"/>
        </w:trPr>
        <w:tc>
          <w:tcPr>
            <w:tcW w:w="5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97" w:hRule="exact"/>
        </w:trPr>
        <w:tc>
          <w:tcPr>
            <w:tcW w:w="5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1"/>
                <w:sz w:val="21"/>
                <w:szCs w:val="21"/>
              </w:rPr>
              <w:t>执行财政部</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修</w:t>
            </w:r>
            <w:r>
              <w:rPr>
                <w:rFonts w:ascii="宋体" w:hAnsi="宋体" w:cs="宋体" w:eastAsia="宋体" w:hint="default"/>
                <w:spacing w:val="-1"/>
                <w:sz w:val="21"/>
                <w:szCs w:val="21"/>
              </w:rPr>
              <w:t>订及新颁布的准则</w:t>
            </w:r>
            <w:r>
              <w:rPr>
                <w:rFonts w:ascii="宋体" w:hAnsi="宋体" w:cs="宋体" w:eastAsia="宋体" w:hint="default"/>
                <w:spacing w:val="-161"/>
                <w:sz w:val="21"/>
                <w:szCs w:val="21"/>
              </w:rPr>
              <w:t>：</w:t>
            </w:r>
            <w:r>
              <w:rPr>
                <w:rFonts w:ascii="宋体" w:hAnsi="宋体" w:cs="宋体" w:eastAsia="宋体" w:hint="default"/>
                <w:sz w:val="21"/>
                <w:szCs w:val="21"/>
              </w:rPr>
              <w:t>《企业会计准</w:t>
            </w:r>
          </w:p>
        </w:tc>
        <w:tc>
          <w:tcPr>
            <w:tcW w:w="2292" w:type="dxa"/>
            <w:tcBorders>
              <w:top w:val="single" w:sz="4" w:space="0" w:color="000000"/>
              <w:left w:val="single" w:sz="4" w:space="0" w:color="000000"/>
              <w:bottom w:val="nil" w:sz="6" w:space="0" w:color="auto"/>
              <w:right w:val="single" w:sz="4" w:space="0" w:color="000000"/>
            </w:tcBorders>
          </w:tcPr>
          <w:p>
            <w:pPr/>
          </w:p>
        </w:tc>
        <w:tc>
          <w:tcPr>
            <w:tcW w:w="1444" w:type="dxa"/>
            <w:vMerge w:val="restart"/>
            <w:tcBorders>
              <w:top w:val="single" w:sz="4" w:space="0" w:color="000000"/>
              <w:left w:val="single" w:sz="4" w:space="0" w:color="000000"/>
              <w:right w:val="single" w:sz="4" w:space="0" w:color="000000"/>
            </w:tcBorders>
          </w:tcPr>
          <w:p>
            <w:pPr/>
          </w:p>
        </w:tc>
      </w:tr>
      <w:tr>
        <w:trPr>
          <w:trHeight w:val="360" w:hRule="exact"/>
        </w:trPr>
        <w:tc>
          <w:tcPr>
            <w:tcW w:w="5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则—基本准则</w:t>
            </w:r>
            <w:r>
              <w:rPr>
                <w:rFonts w:ascii="宋体" w:hAnsi="宋体" w:cs="宋体" w:eastAsia="宋体" w:hint="default"/>
                <w:spacing w:val="-105"/>
                <w:sz w:val="21"/>
                <w:szCs w:val="21"/>
              </w:rPr>
              <w:t>》</w:t>
            </w:r>
            <w:r>
              <w:rPr>
                <w:rFonts w:ascii="宋体" w:hAnsi="宋体" w:cs="宋体" w:eastAsia="宋体" w:hint="default"/>
                <w:sz w:val="21"/>
                <w:szCs w:val="21"/>
              </w:rPr>
              <w:t>（修订</w:t>
            </w:r>
            <w:r>
              <w:rPr>
                <w:rFonts w:ascii="宋体" w:hAnsi="宋体" w:cs="宋体" w:eastAsia="宋体" w:hint="default"/>
                <w:spacing w:val="-106"/>
                <w:sz w:val="21"/>
                <w:szCs w:val="21"/>
              </w:rPr>
              <w:t>）、</w:t>
            </w:r>
            <w:r>
              <w:rPr>
                <w:rFonts w:ascii="宋体" w:hAnsi="宋体" w:cs="宋体" w:eastAsia="宋体" w:hint="default"/>
                <w:sz w:val="21"/>
                <w:szCs w:val="21"/>
              </w:rPr>
              <w:t>《企业会计准则第</w:t>
            </w:r>
            <w:r>
              <w:rPr>
                <w:rFonts w:ascii="宋体" w:hAnsi="宋体" w:cs="宋体" w:eastAsia="宋体" w:hint="default"/>
                <w:spacing w:val="-29"/>
                <w:sz w:val="21"/>
                <w:szCs w:val="21"/>
              </w:rPr>
              <w:t> </w:t>
            </w:r>
            <w:r>
              <w:rPr>
                <w:rFonts w:ascii="宋体" w:hAnsi="宋体" w:cs="宋体" w:eastAsia="宋体" w:hint="default"/>
                <w:sz w:val="21"/>
                <w:szCs w:val="21"/>
              </w:rPr>
              <w:t>2</w:t>
            </w:r>
            <w:r>
              <w:rPr>
                <w:rFonts w:ascii="宋体" w:hAnsi="宋体" w:cs="宋体" w:eastAsia="宋体" w:hint="default"/>
                <w:spacing w:val="-28"/>
                <w:sz w:val="21"/>
                <w:szCs w:val="21"/>
              </w:rPr>
              <w:t> </w:t>
            </w:r>
            <w:r>
              <w:rPr>
                <w:rFonts w:ascii="宋体" w:hAnsi="宋体" w:cs="宋体" w:eastAsia="宋体" w:hint="default"/>
                <w:sz w:val="21"/>
                <w:szCs w:val="21"/>
              </w:rPr>
              <w:t>号——长期</w:t>
            </w:r>
          </w:p>
        </w:tc>
        <w:tc>
          <w:tcPr>
            <w:tcW w:w="2292" w:type="dxa"/>
            <w:tcBorders>
              <w:top w:val="nil" w:sz="6" w:space="0" w:color="auto"/>
              <w:left w:val="single" w:sz="4" w:space="0" w:color="000000"/>
              <w:bottom w:val="nil" w:sz="6" w:space="0" w:color="auto"/>
              <w:right w:val="single" w:sz="4" w:space="0" w:color="000000"/>
            </w:tcBorders>
          </w:tcPr>
          <w:p>
            <w:pPr/>
          </w:p>
        </w:tc>
        <w:tc>
          <w:tcPr>
            <w:tcW w:w="1444" w:type="dxa"/>
            <w:vMerge/>
            <w:tcBorders>
              <w:left w:val="single" w:sz="4" w:space="0" w:color="000000"/>
              <w:right w:val="single" w:sz="4" w:space="0" w:color="000000"/>
            </w:tcBorders>
          </w:tcPr>
          <w:p>
            <w:pPr/>
          </w:p>
        </w:tc>
      </w:tr>
      <w:tr>
        <w:trPr>
          <w:trHeight w:val="1800" w:hRule="exact"/>
        </w:trPr>
        <w:tc>
          <w:tcPr>
            <w:tcW w:w="5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3"/>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pacing w:val="-13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修订</w:t>
            </w:r>
            <w:r>
              <w:rPr>
                <w:rFonts w:ascii="宋体" w:hAnsi="宋体" w:cs="宋体" w:eastAsia="宋体" w:hint="default"/>
                <w:spacing w:val="-105"/>
                <w:sz w:val="21"/>
                <w:szCs w:val="21"/>
              </w:rPr>
              <w:t>）</w:t>
            </w:r>
            <w:r>
              <w:rPr>
                <w:rFonts w:ascii="宋体" w:hAnsi="宋体" w:cs="宋体" w:eastAsia="宋体" w:hint="default"/>
                <w:spacing w:val="-132"/>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企</w:t>
            </w:r>
            <w:r>
              <w:rPr>
                <w:rFonts w:ascii="宋体" w:hAnsi="宋体" w:cs="宋体" w:eastAsia="宋体" w:hint="default"/>
                <w:sz w:val="21"/>
                <w:szCs w:val="21"/>
              </w:rPr>
              <w:t>业会计准则第</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w:t>
            </w:r>
            <w:r>
              <w:rPr>
                <w:rFonts w:ascii="宋体" w:hAnsi="宋体" w:cs="宋体" w:eastAsia="宋体" w:hint="default"/>
                <w:sz w:val="21"/>
                <w:szCs w:val="21"/>
              </w:rPr>
              <w:t>职工薪酬》</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（修订</w:t>
            </w:r>
            <w:r>
              <w:rPr>
                <w:rFonts w:ascii="宋体" w:hAnsi="宋体" w:cs="宋体" w:eastAsia="宋体" w:hint="default"/>
                <w:spacing w:val="-105"/>
                <w:sz w:val="21"/>
                <w:szCs w:val="21"/>
              </w:rPr>
              <w:t>）</w:t>
            </w:r>
            <w:r>
              <w:rPr>
                <w:rFonts w:ascii="宋体" w:hAnsi="宋体" w:cs="宋体" w:eastAsia="宋体" w:hint="default"/>
                <w:spacing w:val="-132"/>
                <w:sz w:val="21"/>
                <w:szCs w:val="21"/>
              </w:rPr>
              <w:t>、</w:t>
            </w:r>
            <w:r>
              <w:rPr>
                <w:rFonts w:ascii="宋体" w:hAnsi="宋体" w:cs="宋体" w:eastAsia="宋体" w:hint="default"/>
                <w:spacing w:val="-2"/>
                <w:sz w:val="21"/>
                <w:szCs w:val="21"/>
              </w:rPr>
              <w:t>《</w:t>
            </w:r>
            <w:r>
              <w:rPr>
                <w:rFonts w:ascii="宋体" w:hAnsi="宋体" w:cs="宋体" w:eastAsia="宋体" w:hint="default"/>
                <w:spacing w:val="-1"/>
                <w:sz w:val="21"/>
                <w:szCs w:val="21"/>
              </w:rPr>
              <w:t>企业会计准则</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号</w:t>
            </w:r>
            <w:r>
              <w:rPr>
                <w:rFonts w:ascii="宋体" w:hAnsi="宋体" w:cs="宋体" w:eastAsia="宋体" w:hint="default"/>
                <w:spacing w:val="-2"/>
                <w:sz w:val="21"/>
                <w:szCs w:val="21"/>
              </w:rPr>
              <w:t>—</w:t>
            </w:r>
            <w:r>
              <w:rPr>
                <w:rFonts w:ascii="宋体" w:hAnsi="宋体" w:cs="宋体" w:eastAsia="宋体" w:hint="default"/>
                <w:spacing w:val="-1"/>
                <w:sz w:val="21"/>
                <w:szCs w:val="21"/>
              </w:rPr>
              <w:t>—财务报表列报</w:t>
            </w:r>
            <w:r>
              <w:rPr>
                <w:rFonts w:ascii="宋体" w:hAnsi="宋体" w:cs="宋体" w:eastAsia="宋体" w:hint="default"/>
                <w:spacing w:val="-132"/>
                <w:sz w:val="21"/>
                <w:szCs w:val="21"/>
              </w:rPr>
              <w:t>》</w:t>
            </w:r>
            <w:r>
              <w:rPr>
                <w:rFonts w:ascii="宋体" w:hAnsi="宋体" w:cs="宋体" w:eastAsia="宋体" w:hint="default"/>
                <w:sz w:val="21"/>
                <w:szCs w:val="21"/>
              </w:rPr>
              <w:t>（修</w:t>
            </w:r>
          </w:p>
          <w:p>
            <w:pPr>
              <w:pStyle w:val="TableParagraph"/>
              <w:spacing w:line="240" w:lineRule="auto" w:before="85"/>
              <w:ind w:left="103" w:right="-3"/>
              <w:jc w:val="left"/>
              <w:rPr>
                <w:rFonts w:ascii="宋体" w:hAnsi="宋体" w:cs="宋体" w:eastAsia="宋体" w:hint="default"/>
                <w:sz w:val="21"/>
                <w:szCs w:val="21"/>
              </w:rPr>
            </w:pPr>
            <w:r>
              <w:rPr>
                <w:rFonts w:ascii="宋体" w:hAnsi="宋体" w:cs="宋体" w:eastAsia="宋体" w:hint="default"/>
                <w:sz w:val="21"/>
                <w:szCs w:val="21"/>
              </w:rPr>
              <w:t>订</w:t>
            </w:r>
            <w:r>
              <w:rPr>
                <w:rFonts w:ascii="宋体" w:hAnsi="宋体" w:cs="宋体" w:eastAsia="宋体" w:hint="default"/>
                <w:spacing w:val="-105"/>
                <w:sz w:val="21"/>
                <w:szCs w:val="21"/>
              </w:rPr>
              <w:t>）</w:t>
            </w:r>
            <w:r>
              <w:rPr>
                <w:rFonts w:ascii="宋体" w:hAnsi="宋体" w:cs="宋体" w:eastAsia="宋体" w:hint="default"/>
                <w:spacing w:val="-132"/>
                <w:sz w:val="21"/>
                <w:szCs w:val="21"/>
              </w:rPr>
              <w:t>、</w:t>
            </w:r>
            <w:r>
              <w:rPr>
                <w:rFonts w:ascii="宋体" w:hAnsi="宋体" w:cs="宋体" w:eastAsia="宋体" w:hint="default"/>
                <w:spacing w:val="-1"/>
                <w:sz w:val="21"/>
                <w:szCs w:val="21"/>
              </w:rPr>
              <w:t>《企</w:t>
            </w:r>
            <w:r>
              <w:rPr>
                <w:rFonts w:ascii="宋体" w:hAnsi="宋体" w:cs="宋体" w:eastAsia="宋体" w:hint="default"/>
                <w:spacing w:val="-2"/>
                <w:sz w:val="21"/>
                <w:szCs w:val="21"/>
              </w:rPr>
              <w:t>业</w:t>
            </w:r>
            <w:r>
              <w:rPr>
                <w:rFonts w:ascii="宋体" w:hAnsi="宋体" w:cs="宋体" w:eastAsia="宋体" w:hint="default"/>
                <w:spacing w:val="-1"/>
                <w:sz w:val="21"/>
                <w:szCs w:val="21"/>
              </w:rPr>
              <w:t>会计准则</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1"/>
                <w:sz w:val="21"/>
                <w:szCs w:val="21"/>
              </w:rPr>
              <w:t>号——合</w:t>
            </w:r>
            <w:r>
              <w:rPr>
                <w:rFonts w:ascii="宋体" w:hAnsi="宋体" w:cs="宋体" w:eastAsia="宋体" w:hint="default"/>
                <w:spacing w:val="-2"/>
                <w:sz w:val="21"/>
                <w:szCs w:val="21"/>
              </w:rPr>
              <w:t>并</w:t>
            </w:r>
            <w:r>
              <w:rPr>
                <w:rFonts w:ascii="宋体" w:hAnsi="宋体" w:cs="宋体" w:eastAsia="宋体" w:hint="default"/>
                <w:spacing w:val="-1"/>
                <w:sz w:val="21"/>
                <w:szCs w:val="21"/>
              </w:rPr>
              <w:t>财务报表</w:t>
            </w:r>
            <w:r>
              <w:rPr>
                <w:rFonts w:ascii="宋体" w:hAnsi="宋体" w:cs="宋体" w:eastAsia="宋体" w:hint="default"/>
                <w:spacing w:val="-13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修订</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pacing w:val="-1"/>
                <w:sz w:val="21"/>
                <w:szCs w:val="21"/>
              </w:rPr>
              <w:t>《企业会计准则</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2"/>
                <w:sz w:val="21"/>
                <w:szCs w:val="21"/>
              </w:rPr>
              <w:t>号</w:t>
            </w:r>
            <w:r>
              <w:rPr>
                <w:rFonts w:ascii="宋体" w:hAnsi="宋体" w:cs="宋体" w:eastAsia="宋体" w:hint="default"/>
                <w:spacing w:val="-1"/>
                <w:sz w:val="21"/>
                <w:szCs w:val="21"/>
              </w:rPr>
              <w:t>——金融工具列报</w:t>
            </w:r>
            <w:r>
              <w:rPr>
                <w:rFonts w:ascii="宋体" w:hAnsi="宋体" w:cs="宋体" w:eastAsia="宋体" w:hint="default"/>
                <w:spacing w:val="-132"/>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修</w:t>
            </w:r>
            <w:r>
              <w:rPr>
                <w:rFonts w:ascii="宋体" w:hAnsi="宋体" w:cs="宋体" w:eastAsia="宋体" w:hint="default"/>
                <w:sz w:val="21"/>
                <w:szCs w:val="21"/>
              </w:rPr>
              <w:t>订</w:t>
            </w:r>
            <w:r>
              <w:rPr>
                <w:rFonts w:ascii="宋体" w:hAnsi="宋体" w:cs="宋体" w:eastAsia="宋体" w:hint="default"/>
                <w:spacing w:val="-105"/>
                <w:sz w:val="21"/>
                <w:szCs w:val="21"/>
              </w:rPr>
              <w:t>）</w:t>
            </w:r>
            <w:r>
              <w:rPr>
                <w:rFonts w:ascii="宋体" w:hAnsi="宋体" w:cs="宋体" w:eastAsia="宋体" w:hint="default"/>
                <w:spacing w:val="-132"/>
                <w:sz w:val="21"/>
                <w:szCs w:val="21"/>
              </w:rPr>
              <w:t>、</w:t>
            </w:r>
            <w:r>
              <w:rPr>
                <w:rFonts w:ascii="宋体" w:hAnsi="宋体" w:cs="宋体" w:eastAsia="宋体" w:hint="default"/>
                <w:sz w:val="21"/>
                <w:szCs w:val="21"/>
              </w:rPr>
              <w:t>《企</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29"/>
                <w:sz w:val="21"/>
                <w:szCs w:val="21"/>
              </w:rPr>
              <w:t> </w:t>
            </w:r>
            <w:r>
              <w:rPr>
                <w:rFonts w:ascii="宋体" w:hAnsi="宋体" w:cs="宋体" w:eastAsia="宋体" w:hint="default"/>
                <w:sz w:val="21"/>
                <w:szCs w:val="21"/>
              </w:rPr>
              <w:t>39</w:t>
            </w:r>
            <w:r>
              <w:rPr>
                <w:rFonts w:ascii="宋体" w:hAnsi="宋体" w:cs="宋体" w:eastAsia="宋体" w:hint="default"/>
                <w:spacing w:val="-28"/>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w:t>
            </w:r>
            <w:r>
              <w:rPr>
                <w:rFonts w:ascii="宋体" w:hAnsi="宋体" w:cs="宋体" w:eastAsia="宋体" w:hint="default"/>
                <w:sz w:val="21"/>
                <w:szCs w:val="21"/>
              </w:rPr>
              <w:t>公允价值计量</w:t>
            </w:r>
            <w:r>
              <w:rPr>
                <w:rFonts w:ascii="宋体" w:hAnsi="宋体" w:cs="宋体" w:eastAsia="宋体" w:hint="default"/>
                <w:spacing w:val="-105"/>
                <w:sz w:val="21"/>
                <w:szCs w:val="21"/>
              </w:rPr>
              <w:t>》、</w:t>
            </w:r>
            <w:r>
              <w:rPr>
                <w:rFonts w:ascii="宋体" w:hAnsi="宋体" w:cs="宋体" w:eastAsia="宋体" w:hint="default"/>
                <w:sz w:val="21"/>
                <w:szCs w:val="21"/>
              </w:rPr>
              <w:t>《企</w:t>
            </w:r>
            <w:r>
              <w:rPr>
                <w:rFonts w:ascii="宋体" w:hAnsi="宋体" w:cs="宋体" w:eastAsia="宋体" w:hint="default"/>
                <w:spacing w:val="-2"/>
                <w:sz w:val="21"/>
                <w:szCs w:val="21"/>
              </w:rPr>
              <w:t>业</w:t>
            </w:r>
            <w:r>
              <w:rPr>
                <w:rFonts w:ascii="宋体" w:hAnsi="宋体" w:cs="宋体" w:eastAsia="宋体" w:hint="default"/>
                <w:sz w:val="21"/>
                <w:szCs w:val="21"/>
              </w:rPr>
              <w:t>会计准则</w:t>
            </w:r>
          </w:p>
        </w:tc>
        <w:tc>
          <w:tcPr>
            <w:tcW w:w="22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03" w:right="79"/>
              <w:jc w:val="left"/>
              <w:rPr>
                <w:rFonts w:ascii="宋体" w:hAnsi="宋体" w:cs="宋体" w:eastAsia="宋体" w:hint="default"/>
                <w:sz w:val="21"/>
                <w:szCs w:val="21"/>
              </w:rPr>
            </w:pPr>
            <w:r>
              <w:rPr>
                <w:rFonts w:ascii="宋体" w:hAnsi="宋体" w:cs="宋体" w:eastAsia="宋体" w:hint="default"/>
                <w:spacing w:val="20"/>
                <w:sz w:val="21"/>
                <w:szCs w:val="21"/>
              </w:rPr>
              <w:t>公司第二届董事会第</w:t>
            </w:r>
            <w:r>
              <w:rPr>
                <w:rFonts w:ascii="宋体" w:hAnsi="宋体" w:cs="宋体" w:eastAsia="宋体" w:hint="default"/>
                <w:spacing w:val="-83"/>
                <w:sz w:val="21"/>
                <w:szCs w:val="21"/>
              </w:rPr>
              <w:t> </w:t>
            </w:r>
            <w:r>
              <w:rPr>
                <w:rFonts w:ascii="宋体" w:hAnsi="宋体" w:cs="宋体" w:eastAsia="宋体" w:hint="default"/>
                <w:sz w:val="21"/>
                <w:szCs w:val="21"/>
              </w:rPr>
              <w:t>八次会议于</w:t>
            </w:r>
            <w:r>
              <w:rPr>
                <w:rFonts w:ascii="宋体" w:hAnsi="宋体" w:cs="宋体" w:eastAsia="宋体" w:hint="default"/>
                <w:spacing w:val="-46"/>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p>
          <w:p>
            <w:pPr>
              <w:pStyle w:val="TableParagraph"/>
              <w:spacing w:line="314" w:lineRule="auto" w:before="20"/>
              <w:ind w:left="103" w:right="101"/>
              <w:jc w:val="left"/>
              <w:rPr>
                <w:rFonts w:ascii="宋体" w:hAnsi="宋体" w:cs="宋体" w:eastAsia="宋体" w:hint="default"/>
                <w:sz w:val="21"/>
                <w:szCs w:val="21"/>
              </w:rPr>
            </w:pPr>
            <w:r>
              <w:rPr>
                <w:rFonts w:ascii="宋体" w:hAnsi="宋体" w:cs="宋体" w:eastAsia="宋体" w:hint="default"/>
                <w:sz w:val="21"/>
                <w:szCs w:val="21"/>
              </w:rPr>
              <w:t>月 10</w:t>
            </w:r>
            <w:r>
              <w:rPr>
                <w:rFonts w:ascii="宋体" w:hAnsi="宋体" w:cs="宋体" w:eastAsia="宋体" w:hint="default"/>
                <w:spacing w:val="-25"/>
                <w:sz w:val="21"/>
                <w:szCs w:val="21"/>
              </w:rPr>
              <w:t> </w:t>
            </w:r>
            <w:r>
              <w:rPr>
                <w:rFonts w:ascii="宋体" w:hAnsi="宋体" w:cs="宋体" w:eastAsia="宋体" w:hint="default"/>
                <w:sz w:val="21"/>
                <w:szCs w:val="21"/>
              </w:rPr>
              <w:t>日审议通过了相</w:t>
            </w:r>
            <w:r>
              <w:rPr>
                <w:rFonts w:ascii="宋体" w:hAnsi="宋体" w:cs="宋体" w:eastAsia="宋体" w:hint="default"/>
                <w:sz w:val="21"/>
                <w:szCs w:val="21"/>
              </w:rPr>
              <w:t> 关会计政策变更事项</w:t>
            </w:r>
          </w:p>
        </w:tc>
        <w:tc>
          <w:tcPr>
            <w:tcW w:w="1444" w:type="dxa"/>
            <w:vMerge/>
            <w:tcBorders>
              <w:left w:val="single" w:sz="4" w:space="0" w:color="000000"/>
              <w:right w:val="single" w:sz="4" w:space="0" w:color="000000"/>
            </w:tcBorders>
          </w:tcPr>
          <w:p>
            <w:pPr/>
          </w:p>
        </w:tc>
      </w:tr>
      <w:tr>
        <w:trPr>
          <w:trHeight w:val="360" w:hRule="exact"/>
        </w:trPr>
        <w:tc>
          <w:tcPr>
            <w:tcW w:w="5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4</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w:t>
            </w:r>
            <w:r>
              <w:rPr>
                <w:rFonts w:ascii="宋体" w:hAnsi="宋体" w:cs="宋体" w:eastAsia="宋体" w:hint="default"/>
                <w:sz w:val="21"/>
                <w:szCs w:val="21"/>
              </w:rPr>
              <w:t>合营安排</w:t>
            </w:r>
            <w:r>
              <w:rPr>
                <w:rFonts w:ascii="宋体" w:hAnsi="宋体" w:cs="宋体" w:eastAsia="宋体" w:hint="default"/>
                <w:spacing w:val="-105"/>
                <w:sz w:val="21"/>
                <w:szCs w:val="21"/>
              </w:rPr>
              <w:t>》</w:t>
            </w:r>
            <w:r>
              <w:rPr>
                <w:rFonts w:ascii="宋体" w:hAnsi="宋体" w:cs="宋体" w:eastAsia="宋体" w:hint="default"/>
                <w:spacing w:val="-161"/>
                <w:sz w:val="21"/>
                <w:szCs w:val="21"/>
              </w:rPr>
              <w:t>、</w:t>
            </w:r>
            <w:r>
              <w:rPr>
                <w:rFonts w:ascii="宋体" w:hAnsi="宋体" w:cs="宋体" w:eastAsia="宋体" w:hint="default"/>
                <w:spacing w:val="-2"/>
                <w:sz w:val="21"/>
                <w:szCs w:val="21"/>
              </w:rPr>
              <w:t>《</w:t>
            </w:r>
            <w:r>
              <w:rPr>
                <w:rFonts w:ascii="宋体" w:hAnsi="宋体" w:cs="宋体" w:eastAsia="宋体" w:hint="default"/>
                <w:spacing w:val="-1"/>
                <w:sz w:val="21"/>
                <w:szCs w:val="21"/>
              </w:rPr>
              <w:t>企业会计准则</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4</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号</w:t>
            </w:r>
            <w:r>
              <w:rPr>
                <w:rFonts w:ascii="宋体" w:hAnsi="宋体" w:cs="宋体" w:eastAsia="宋体" w:hint="default"/>
                <w:spacing w:val="-2"/>
                <w:sz w:val="21"/>
                <w:szCs w:val="21"/>
              </w:rPr>
              <w:t>—</w:t>
            </w:r>
            <w:r>
              <w:rPr>
                <w:rFonts w:ascii="宋体" w:hAnsi="宋体" w:cs="宋体" w:eastAsia="宋体" w:hint="default"/>
                <w:spacing w:val="-1"/>
                <w:sz w:val="21"/>
                <w:szCs w:val="21"/>
              </w:rPr>
              <w:t>—在其</w:t>
            </w:r>
            <w:r>
              <w:rPr>
                <w:rFonts w:ascii="宋体" w:hAnsi="宋体" w:cs="宋体" w:eastAsia="宋体" w:hint="default"/>
                <w:sz w:val="21"/>
                <w:szCs w:val="21"/>
              </w:rPr>
            </w:r>
          </w:p>
        </w:tc>
        <w:tc>
          <w:tcPr>
            <w:tcW w:w="2292" w:type="dxa"/>
            <w:tcBorders>
              <w:top w:val="nil" w:sz="6" w:space="0" w:color="auto"/>
              <w:left w:val="single" w:sz="4" w:space="0" w:color="000000"/>
              <w:bottom w:val="nil" w:sz="6" w:space="0" w:color="auto"/>
              <w:right w:val="single" w:sz="4" w:space="0" w:color="000000"/>
            </w:tcBorders>
          </w:tcPr>
          <w:p>
            <w:pPr/>
          </w:p>
        </w:tc>
        <w:tc>
          <w:tcPr>
            <w:tcW w:w="1444" w:type="dxa"/>
            <w:vMerge/>
            <w:tcBorders>
              <w:left w:val="single" w:sz="4" w:space="0" w:color="000000"/>
              <w:right w:val="single" w:sz="4" w:space="0" w:color="000000"/>
            </w:tcBorders>
          </w:tcPr>
          <w:p>
            <w:pPr/>
          </w:p>
        </w:tc>
      </w:tr>
      <w:tr>
        <w:trPr>
          <w:trHeight w:val="333" w:hRule="exact"/>
        </w:trPr>
        <w:tc>
          <w:tcPr>
            <w:tcW w:w="5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他主体中权益的披露》</w:t>
            </w:r>
          </w:p>
        </w:tc>
        <w:tc>
          <w:tcPr>
            <w:tcW w:w="2292" w:type="dxa"/>
            <w:tcBorders>
              <w:top w:val="nil" w:sz="6" w:space="0" w:color="auto"/>
              <w:left w:val="single" w:sz="4" w:space="0" w:color="000000"/>
              <w:bottom w:val="single" w:sz="4" w:space="0" w:color="000000"/>
              <w:right w:val="single" w:sz="4" w:space="0" w:color="000000"/>
            </w:tcBorders>
          </w:tcPr>
          <w:p>
            <w:pPr/>
          </w:p>
        </w:tc>
        <w:tc>
          <w:tcPr>
            <w:tcW w:w="1444" w:type="dxa"/>
            <w:vMerge/>
            <w:tcBorders>
              <w:left w:val="single" w:sz="4" w:space="0" w:color="000000"/>
              <w:bottom w:val="single" w:sz="4" w:space="0" w:color="000000"/>
              <w:right w:val="single" w:sz="4" w:space="0" w:color="000000"/>
            </w:tcBorders>
          </w:tcPr>
          <w:p>
            <w:pPr/>
          </w:p>
        </w:tc>
      </w:tr>
    </w:tbl>
    <w:p>
      <w:pPr>
        <w:pStyle w:val="BodyText"/>
        <w:spacing w:line="240" w:lineRule="exact" w:before="0"/>
        <w:ind w:left="221" w:right="0"/>
        <w:jc w:val="both"/>
      </w:pPr>
      <w:r>
        <w:rPr/>
        <w:t>其他说明：</w:t>
      </w:r>
    </w:p>
    <w:p>
      <w:pPr>
        <w:pStyle w:val="BodyText"/>
        <w:spacing w:line="314" w:lineRule="auto" w:before="75"/>
        <w:ind w:left="221" w:right="311" w:firstLine="420"/>
        <w:jc w:val="left"/>
      </w:pPr>
      <w:r>
        <w:rPr>
          <w:spacing w:val="-1"/>
        </w:rPr>
        <w:t>本公司</w:t>
      </w:r>
      <w:r>
        <w:rPr/>
        <w:t>自</w:t>
      </w:r>
      <w:r>
        <w:rPr>
          <w:spacing w:val="-53"/>
        </w:rPr>
        <w:t> </w:t>
      </w:r>
      <w:r>
        <w:rPr>
          <w:spacing w:val="-1"/>
        </w:rPr>
        <w:t>201</w:t>
      </w:r>
      <w:r>
        <w:rPr/>
        <w:t>4</w:t>
      </w:r>
      <w:r>
        <w:rPr>
          <w:spacing w:val="-52"/>
        </w:rPr>
        <w:t> </w:t>
      </w:r>
      <w:r>
        <w:rPr/>
        <w:t>年</w:t>
      </w:r>
      <w:r>
        <w:rPr>
          <w:spacing w:val="-54"/>
        </w:rPr>
        <w:t> </w:t>
      </w:r>
      <w:r>
        <w:rPr/>
        <w:t>7</w:t>
      </w:r>
      <w:r>
        <w:rPr>
          <w:spacing w:val="-52"/>
        </w:rPr>
        <w:t> </w:t>
      </w:r>
      <w:r>
        <w:rPr/>
        <w:t>月</w:t>
      </w:r>
      <w:r>
        <w:rPr>
          <w:spacing w:val="-54"/>
        </w:rPr>
        <w:t> </w:t>
      </w:r>
      <w:r>
        <w:rPr/>
        <w:t>1</w:t>
      </w:r>
      <w:r>
        <w:rPr>
          <w:spacing w:val="-52"/>
        </w:rPr>
        <w:t> </w:t>
      </w:r>
      <w:r>
        <w:rPr>
          <w:spacing w:val="-2"/>
        </w:rPr>
        <w:t>日</w:t>
      </w:r>
      <w:r>
        <w:rPr>
          <w:spacing w:val="-1"/>
        </w:rPr>
        <w:t>开始执行财政部</w:t>
      </w:r>
      <w:r>
        <w:rPr/>
        <w:t>于</w:t>
      </w:r>
      <w:r>
        <w:rPr>
          <w:spacing w:val="-53"/>
        </w:rPr>
        <w:t> </w:t>
      </w:r>
      <w:r>
        <w:rPr>
          <w:spacing w:val="-1"/>
        </w:rPr>
        <w:t>201</w:t>
      </w:r>
      <w:r>
        <w:rPr/>
        <w:t>4</w:t>
      </w:r>
      <w:r>
        <w:rPr>
          <w:spacing w:val="-53"/>
        </w:rPr>
        <w:t> </w:t>
      </w:r>
      <w:r>
        <w:rPr>
          <w:spacing w:val="-1"/>
        </w:rPr>
        <w:t>年修订或发布的新会计准则</w:t>
      </w:r>
      <w:r>
        <w:rPr>
          <w:spacing w:val="-103"/>
        </w:rPr>
        <w:t>，</w:t>
      </w:r>
      <w:r>
        <w:rPr/>
        <w:t>具体包括</w:t>
      </w:r>
      <w:r>
        <w:rPr>
          <w:spacing w:val="-207"/>
        </w:rPr>
        <w:t>：</w:t>
      </w:r>
      <w:r>
        <w:rPr/>
        <w:t>《企</w:t>
      </w:r>
      <w:r>
        <w:rPr/>
        <w:t> </w:t>
      </w:r>
      <w:r>
        <w:rPr>
          <w:spacing w:val="-1"/>
        </w:rPr>
        <w:t>业会计准则-基本准则</w:t>
      </w:r>
      <w:r>
        <w:rPr>
          <w:spacing w:val="-104"/>
        </w:rPr>
        <w:t>》</w:t>
      </w:r>
      <w:r>
        <w:rPr>
          <w:spacing w:val="-2"/>
        </w:rPr>
        <w:t>（</w:t>
      </w:r>
      <w:r>
        <w:rPr/>
        <w:t>2014</w:t>
      </w:r>
      <w:r>
        <w:rPr>
          <w:spacing w:val="-52"/>
        </w:rPr>
        <w:t> </w:t>
      </w:r>
      <w:r>
        <w:rPr/>
        <w:t>年修</w:t>
      </w:r>
      <w:r>
        <w:rPr>
          <w:spacing w:val="-2"/>
        </w:rPr>
        <w:t>订</w:t>
      </w:r>
      <w:r>
        <w:rPr>
          <w:spacing w:val="-52"/>
        </w:rPr>
        <w:t>）</w:t>
      </w:r>
      <w:r>
        <w:rPr>
          <w:spacing w:val="-104"/>
        </w:rPr>
        <w:t>、</w:t>
      </w:r>
      <w:r>
        <w:rPr/>
        <w:t>《企业</w:t>
      </w:r>
      <w:r>
        <w:rPr>
          <w:spacing w:val="-2"/>
        </w:rPr>
        <w:t>会</w:t>
      </w:r>
      <w:r>
        <w:rPr/>
        <w:t>计准则第</w:t>
      </w:r>
      <w:r>
        <w:rPr>
          <w:spacing w:val="-53"/>
        </w:rPr>
        <w:t> </w:t>
      </w:r>
      <w:r>
        <w:rPr/>
        <w:t>2</w:t>
      </w:r>
      <w:r>
        <w:rPr>
          <w:spacing w:val="-53"/>
        </w:rPr>
        <w:t> </w:t>
      </w:r>
      <w:r>
        <w:rPr/>
        <w:t>号-长期股</w:t>
      </w:r>
      <w:r>
        <w:rPr>
          <w:spacing w:val="-2"/>
        </w:rPr>
        <w:t>权</w:t>
      </w:r>
      <w:r>
        <w:rPr/>
        <w:t>投资</w:t>
      </w:r>
      <w:r>
        <w:rPr>
          <w:spacing w:val="-104"/>
        </w:rPr>
        <w:t>》</w:t>
      </w:r>
      <w:r>
        <w:rPr>
          <w:spacing w:val="-1"/>
        </w:rPr>
        <w:t>（201</w:t>
      </w:r>
      <w:r>
        <w:rPr/>
        <w:t>4</w:t>
      </w:r>
      <w:r>
        <w:rPr>
          <w:spacing w:val="-53"/>
        </w:rPr>
        <w:t> </w:t>
      </w:r>
      <w:r>
        <w:rPr>
          <w:spacing w:val="-1"/>
        </w:rPr>
        <w:t>年修订</w:t>
      </w:r>
      <w:r>
        <w:rPr>
          <w:spacing w:val="-52"/>
        </w:rPr>
        <w:t>）</w:t>
      </w:r>
      <w:r>
        <w:rPr/>
        <w:t>、</w:t>
      </w:r>
    </w:p>
    <w:p>
      <w:pPr>
        <w:pStyle w:val="BodyText"/>
        <w:spacing w:line="240" w:lineRule="auto"/>
        <w:ind w:left="221" w:right="0"/>
        <w:jc w:val="both"/>
      </w:pPr>
      <w:r>
        <w:rPr>
          <w:spacing w:val="-1"/>
        </w:rPr>
        <w:t>《企业会计准则</w:t>
      </w:r>
      <w:r>
        <w:rPr/>
        <w:t>第</w:t>
      </w:r>
      <w:r>
        <w:rPr>
          <w:spacing w:val="-53"/>
        </w:rPr>
        <w:t> </w:t>
      </w:r>
      <w:r>
        <w:rPr/>
        <w:t>9</w:t>
      </w:r>
      <w:r>
        <w:rPr>
          <w:spacing w:val="-52"/>
        </w:rPr>
        <w:t> </w:t>
      </w:r>
      <w:r>
        <w:rPr>
          <w:spacing w:val="-2"/>
        </w:rPr>
        <w:t>号</w:t>
      </w:r>
      <w:r>
        <w:rPr>
          <w:spacing w:val="-1"/>
        </w:rPr>
        <w:t>-职工薪酬</w:t>
      </w:r>
      <w:r>
        <w:rPr>
          <w:spacing w:val="-135"/>
        </w:rPr>
        <w:t>》</w:t>
      </w:r>
      <w:r>
        <w:rPr/>
        <w:t>（2014</w:t>
      </w:r>
      <w:r>
        <w:rPr>
          <w:spacing w:val="-52"/>
        </w:rPr>
        <w:t> </w:t>
      </w:r>
      <w:r>
        <w:rPr/>
        <w:t>年修</w:t>
      </w:r>
      <w:r>
        <w:rPr>
          <w:spacing w:val="-2"/>
        </w:rPr>
        <w:t>订</w:t>
      </w:r>
      <w:r>
        <w:rPr>
          <w:spacing w:val="-68"/>
        </w:rPr>
        <w:t>）</w:t>
      </w:r>
      <w:r>
        <w:rPr>
          <w:spacing w:val="-135"/>
        </w:rPr>
        <w:t>、</w:t>
      </w:r>
      <w:r>
        <w:rPr>
          <w:spacing w:val="-1"/>
        </w:rPr>
        <w:t>《企业</w:t>
      </w:r>
      <w:r>
        <w:rPr>
          <w:spacing w:val="1"/>
        </w:rPr>
        <w:t>会</w:t>
      </w:r>
      <w:r>
        <w:rPr>
          <w:spacing w:val="-1"/>
        </w:rPr>
        <w:t>计准则</w:t>
      </w:r>
      <w:r>
        <w:rPr/>
        <w:t>第</w:t>
      </w:r>
      <w:r>
        <w:rPr>
          <w:spacing w:val="-53"/>
        </w:rPr>
        <w:t> </w:t>
      </w:r>
      <w:r>
        <w:rPr>
          <w:spacing w:val="-1"/>
        </w:rPr>
        <w:t>3</w:t>
      </w:r>
      <w:r>
        <w:rPr/>
        <w:t>0</w:t>
      </w:r>
      <w:r>
        <w:rPr>
          <w:spacing w:val="-53"/>
        </w:rPr>
        <w:t> </w:t>
      </w:r>
      <w:r>
        <w:rPr>
          <w:spacing w:val="-1"/>
        </w:rPr>
        <w:t>号-财务报</w:t>
      </w:r>
      <w:r>
        <w:rPr>
          <w:spacing w:val="-2"/>
        </w:rPr>
        <w:t>表</w:t>
      </w:r>
      <w:r>
        <w:rPr>
          <w:spacing w:val="-1"/>
        </w:rPr>
        <w:t>列报</w:t>
      </w:r>
      <w:r>
        <w:rPr>
          <w:spacing w:val="-134"/>
        </w:rPr>
        <w:t>》</w:t>
      </w:r>
      <w:r>
        <w:rPr/>
        <w:t>（2014</w:t>
      </w:r>
    </w:p>
    <w:p>
      <w:pPr>
        <w:pStyle w:val="BodyText"/>
        <w:spacing w:line="314" w:lineRule="auto" w:before="85"/>
        <w:ind w:left="221" w:right="311"/>
        <w:jc w:val="both"/>
      </w:pPr>
      <w:r>
        <w:rPr/>
        <w:pict>
          <v:shape style="position:absolute;margin-left:79.440002pt;margin-top:74.113213pt;width:455.25pt;height:168.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1"/>
                    <w:gridCol w:w="2268"/>
                    <w:gridCol w:w="1559"/>
                    <w:gridCol w:w="1656"/>
                    <w:gridCol w:w="1656"/>
                  </w:tblGrid>
                  <w:tr>
                    <w:trPr>
                      <w:trHeight w:val="716"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21"/>
                            <w:szCs w:val="21"/>
                          </w:rPr>
                        </w:pPr>
                        <w:r>
                          <w:rPr>
                            <w:rFonts w:ascii="宋体" w:hAnsi="宋体" w:cs="宋体" w:eastAsia="宋体" w:hint="default"/>
                            <w:sz w:val="21"/>
                            <w:szCs w:val="21"/>
                          </w:rPr>
                          <w:t>企业会计准则名称</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314" w:lineRule="auto"/>
                          <w:ind w:left="182" w:right="184"/>
                          <w:jc w:val="center"/>
                          <w:rPr>
                            <w:rFonts w:ascii="宋体" w:hAnsi="宋体" w:cs="宋体" w:eastAsia="宋体" w:hint="default"/>
                            <w:sz w:val="21"/>
                            <w:szCs w:val="21"/>
                          </w:rPr>
                        </w:pPr>
                        <w:r>
                          <w:rPr>
                            <w:rFonts w:ascii="宋体" w:hAnsi="宋体" w:cs="宋体" w:eastAsia="宋体" w:hint="default"/>
                            <w:sz w:val="21"/>
                            <w:szCs w:val="21"/>
                          </w:rPr>
                          <w:t>会计政策变更的内容 及对本公司的影响说 明</w:t>
                        </w:r>
                      </w:p>
                    </w:tc>
                    <w:tc>
                      <w:tcPr>
                        <w:tcW w:w="48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74" w:right="0"/>
                          <w:jc w:val="left"/>
                          <w:rPr>
                            <w:rFonts w:ascii="宋体" w:hAnsi="宋体" w:cs="宋体" w:eastAsia="宋体" w:hint="default"/>
                            <w:sz w:val="21"/>
                            <w:szCs w:val="21"/>
                          </w:rPr>
                        </w:pPr>
                        <w:r>
                          <w:rPr>
                            <w:rFonts w:ascii="宋体" w:hAnsi="宋体" w:cs="宋体" w:eastAsia="宋体" w:hint="default"/>
                            <w:sz w:val="21"/>
                            <w:szCs w:val="21"/>
                          </w:rPr>
                          <w:t>相关财务报表项目的影响金额</w:t>
                        </w:r>
                      </w:p>
                    </w:tc>
                  </w:tr>
                  <w:tr>
                    <w:trPr>
                      <w:trHeight w:val="730" w:hRule="exact"/>
                    </w:trPr>
                    <w:tc>
                      <w:tcPr>
                        <w:tcW w:w="1951"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39" w:right="140" w:firstLine="26"/>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年影响金 额增加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0" w:right="139" w:firstLine="26"/>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年影响金 额增加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r>
                  <w:tr>
                    <w:trPr>
                      <w:trHeight w:val="954"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03" w:right="-2" w:firstLine="27"/>
                          <w:jc w:val="left"/>
                          <w:rPr>
                            <w:rFonts w:ascii="宋体" w:hAnsi="宋体" w:cs="宋体" w:eastAsia="宋体" w:hint="default"/>
                            <w:sz w:val="21"/>
                            <w:szCs w:val="21"/>
                          </w:rPr>
                        </w:pPr>
                        <w:r>
                          <w:rPr>
                            <w:rFonts w:ascii="宋体" w:hAnsi="宋体" w:cs="宋体" w:eastAsia="宋体" w:hint="default"/>
                            <w:sz w:val="21"/>
                            <w:szCs w:val="21"/>
                          </w:rPr>
                          <w:t>《企业会计准则第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财务报表列 </w:t>
                        </w:r>
                        <w:r>
                          <w:rPr>
                            <w:rFonts w:ascii="宋体" w:hAnsi="宋体" w:cs="宋体" w:eastAsia="宋体" w:hint="default"/>
                            <w:spacing w:val="-15"/>
                            <w:sz w:val="21"/>
                            <w:szCs w:val="21"/>
                          </w:rPr>
                          <w:t>报》（</w:t>
                        </w:r>
                        <w:r>
                          <w:rPr>
                            <w:rFonts w:ascii="宋体" w:hAnsi="宋体" w:cs="宋体" w:eastAsia="宋体" w:hint="default"/>
                            <w:spacing w:val="-15"/>
                            <w:sz w:val="21"/>
                            <w:szCs w:val="21"/>
                          </w:rPr>
                          <w:t>2014</w:t>
                        </w:r>
                        <w:r>
                          <w:rPr>
                            <w:rFonts w:ascii="宋体" w:hAnsi="宋体" w:cs="宋体" w:eastAsia="宋体" w:hint="default"/>
                            <w:spacing w:val="-50"/>
                            <w:sz w:val="21"/>
                            <w:szCs w:val="21"/>
                          </w:rPr>
                          <w:t> </w:t>
                        </w:r>
                        <w:r>
                          <w:rPr>
                            <w:rFonts w:ascii="宋体" w:hAnsi="宋体" w:cs="宋体" w:eastAsia="宋体" w:hint="default"/>
                            <w:spacing w:val="-1"/>
                            <w:sz w:val="21"/>
                            <w:szCs w:val="21"/>
                          </w:rPr>
                          <w:t>年修订）</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pacing w:val="-5"/>
                            <w:sz w:val="21"/>
                            <w:szCs w:val="21"/>
                          </w:rPr>
                          <w:t>按照《企业会计准则第</w:t>
                        </w:r>
                      </w:p>
                      <w:p>
                        <w:pPr>
                          <w:pStyle w:val="TableParagraph"/>
                          <w:spacing w:line="240" w:lineRule="auto" w:before="85"/>
                          <w:ind w:left="104"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财务报表列报》</w:t>
                        </w:r>
                      </w:p>
                      <w:p>
                        <w:pPr>
                          <w:pStyle w:val="TableParagraph"/>
                          <w:spacing w:line="314" w:lineRule="auto" w:before="85"/>
                          <w:ind w:left="392" w:right="102" w:hanging="291"/>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2014</w:t>
                        </w:r>
                        <w:r>
                          <w:rPr>
                            <w:rFonts w:ascii="宋体" w:hAnsi="宋体" w:cs="宋体" w:eastAsia="宋体" w:hint="default"/>
                            <w:spacing w:val="-48"/>
                            <w:sz w:val="21"/>
                            <w:szCs w:val="21"/>
                          </w:rPr>
                          <w:t> </w:t>
                        </w:r>
                        <w:r>
                          <w:rPr>
                            <w:rFonts w:ascii="宋体" w:hAnsi="宋体" w:cs="宋体" w:eastAsia="宋体" w:hint="default"/>
                            <w:spacing w:val="-15"/>
                            <w:sz w:val="21"/>
                            <w:szCs w:val="21"/>
                          </w:rPr>
                          <w:t>年修订）及应用</w:t>
                        </w:r>
                        <w:r>
                          <w:rPr>
                            <w:rFonts w:ascii="宋体" w:hAnsi="宋体" w:cs="宋体" w:eastAsia="宋体" w:hint="default"/>
                            <w:sz w:val="21"/>
                            <w:szCs w:val="21"/>
                          </w:rPr>
                          <w:t> 指南的相关规定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7,472,814.92</w:t>
                        </w:r>
                        <w:r>
                          <w:rPr>
                            <w:rFonts w:ascii="宋体"/>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81" w:right="0"/>
                          <w:jc w:val="center"/>
                          <w:rPr>
                            <w:rFonts w:ascii="宋体" w:hAnsi="宋体" w:cs="宋体" w:eastAsia="宋体" w:hint="default"/>
                            <w:sz w:val="21"/>
                            <w:szCs w:val="21"/>
                          </w:rPr>
                        </w:pPr>
                        <w:r>
                          <w:rPr>
                            <w:rFonts w:ascii="宋体"/>
                            <w:sz w:val="21"/>
                          </w:rPr>
                          <w:t>5,394,569.26</w:t>
                        </w:r>
                      </w:p>
                    </w:tc>
                  </w:tr>
                  <w:tr>
                    <w:trPr>
                      <w:trHeight w:val="955" w:hRule="exact"/>
                    </w:trPr>
                    <w:tc>
                      <w:tcPr>
                        <w:tcW w:w="1951"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55"/>
                          <w:ind w:left="248" w:right="144" w:hanging="106"/>
                          <w:jc w:val="left"/>
                          <w:rPr>
                            <w:rFonts w:ascii="宋体" w:hAnsi="宋体" w:cs="宋体" w:eastAsia="宋体" w:hint="default"/>
                            <w:sz w:val="21"/>
                            <w:szCs w:val="21"/>
                          </w:rPr>
                        </w:pPr>
                        <w:r>
                          <w:rPr>
                            <w:rFonts w:ascii="宋体" w:hAnsi="宋体" w:cs="宋体" w:eastAsia="宋体" w:hint="default"/>
                            <w:sz w:val="21"/>
                            <w:szCs w:val="21"/>
                          </w:rPr>
                          <w:t>一年内到期的 非流动负债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-5,535,314.92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76" w:right="0"/>
                          <w:jc w:val="center"/>
                          <w:rPr>
                            <w:rFonts w:ascii="宋体" w:hAnsi="宋体" w:cs="宋体" w:eastAsia="宋体" w:hint="default"/>
                            <w:sz w:val="21"/>
                            <w:szCs w:val="21"/>
                          </w:rPr>
                        </w:pPr>
                        <w:r>
                          <w:rPr>
                            <w:rFonts w:ascii="宋体"/>
                            <w:sz w:val="21"/>
                          </w:rPr>
                          <w:t>-5,366,739.07</w:t>
                        </w:r>
                      </w:p>
                    </w:tc>
                  </w:tr>
                </w:tbl>
                <w:p>
                  <w:pPr/>
                </w:p>
              </w:txbxContent>
            </v:textbox>
            <w10:wrap type="none"/>
          </v:shape>
        </w:pict>
      </w:r>
      <w:r>
        <w:rPr/>
        <w:t>年修订）、《企业会计准则第</w:t>
      </w:r>
      <w:r>
        <w:rPr>
          <w:spacing w:val="-43"/>
        </w:rPr>
        <w:t> </w:t>
      </w:r>
      <w:r>
        <w:rPr/>
        <w:t>33</w:t>
      </w:r>
      <w:r>
        <w:rPr>
          <w:spacing w:val="-42"/>
        </w:rPr>
        <w:t> </w:t>
      </w:r>
      <w:r>
        <w:rPr/>
        <w:t>号-合并财务报表》（2014</w:t>
      </w:r>
      <w:r>
        <w:rPr>
          <w:spacing w:val="-43"/>
        </w:rPr>
        <w:t> </w:t>
      </w:r>
      <w:r>
        <w:rPr/>
        <w:t>年修订）、《企业会计准则第</w:t>
      </w:r>
      <w:r>
        <w:rPr>
          <w:spacing w:val="-43"/>
        </w:rPr>
        <w:t> </w:t>
      </w:r>
      <w:r>
        <w:rPr/>
        <w:t>37</w:t>
      </w:r>
      <w:r>
        <w:rPr>
          <w:spacing w:val="-42"/>
        </w:rPr>
        <w:t> </w:t>
      </w:r>
      <w:r>
        <w:rPr/>
        <w:t>号-</w:t>
      </w:r>
      <w:r>
        <w:rPr/>
        <w:t> 金融工具列报》（2014</w:t>
      </w:r>
      <w:r>
        <w:rPr>
          <w:spacing w:val="-36"/>
        </w:rPr>
        <w:t> </w:t>
      </w:r>
      <w:r>
        <w:rPr/>
        <w:t>年修订）、《企业会计准则第</w:t>
      </w:r>
      <w:r>
        <w:rPr>
          <w:spacing w:val="-36"/>
        </w:rPr>
        <w:t> </w:t>
      </w:r>
      <w:r>
        <w:rPr/>
        <w:t>39</w:t>
      </w:r>
      <w:r>
        <w:rPr>
          <w:spacing w:val="-35"/>
        </w:rPr>
        <w:t> </w:t>
      </w:r>
      <w:r>
        <w:rPr/>
        <w:t>号-公允价值计量》、《企业会计准则第</w:t>
      </w:r>
      <w:r>
        <w:rPr/>
        <w:t> 40</w:t>
      </w:r>
      <w:r>
        <w:rPr>
          <w:spacing w:val="-55"/>
        </w:rPr>
        <w:t> </w:t>
      </w:r>
      <w:r>
        <w:rPr>
          <w:spacing w:val="-3"/>
        </w:rPr>
        <w:t>号-合营安排》、《企业会计准则第</w:t>
      </w:r>
      <w:r>
        <w:rPr>
          <w:spacing w:val="-56"/>
        </w:rPr>
        <w:t> </w:t>
      </w:r>
      <w:r>
        <w:rPr/>
        <w:t>41</w:t>
      </w:r>
      <w:r>
        <w:rPr>
          <w:spacing w:val="-55"/>
        </w:rPr>
        <w:t> </w:t>
      </w:r>
      <w:r>
        <w:rPr/>
        <w:t>号-在其他主体中权益的披露》。并采用追溯调整法对相</w:t>
      </w:r>
      <w:r>
        <w:rPr/>
        <w:t> 关事项进行追溯调整。本公司执行上述企业会计准则对本期及上期财务报表的主要影响如下：</w:t>
      </w:r>
    </w:p>
    <w:p>
      <w:pPr>
        <w:spacing w:after="0" w:line="314" w:lineRule="auto"/>
        <w:jc w:val="both"/>
        <w:sectPr>
          <w:pgSz w:w="11910" w:h="16840"/>
          <w:pgMar w:header="882" w:footer="977" w:top="1120" w:bottom="1160" w:left="14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951"/>
        <w:gridCol w:w="2268"/>
        <w:gridCol w:w="1559"/>
        <w:gridCol w:w="1656"/>
        <w:gridCol w:w="1656"/>
      </w:tblGrid>
      <w:tr>
        <w:trPr>
          <w:trHeight w:val="95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54"/>
              <w:ind w:left="668" w:right="144" w:hanging="526"/>
              <w:jc w:val="left"/>
              <w:rPr>
                <w:rFonts w:ascii="宋体" w:hAnsi="宋体" w:cs="宋体" w:eastAsia="宋体" w:hint="default"/>
                <w:sz w:val="21"/>
                <w:szCs w:val="21"/>
              </w:rPr>
            </w:pPr>
            <w:r>
              <w:rPr>
                <w:rFonts w:ascii="宋体" w:hAnsi="宋体" w:cs="宋体" w:eastAsia="宋体" w:hint="default"/>
                <w:sz w:val="21"/>
                <w:szCs w:val="21"/>
              </w:rPr>
              <w:t>其他非流动负 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21"/>
                <w:szCs w:val="21"/>
              </w:rPr>
            </w:pPr>
            <w:r>
              <w:rPr>
                <w:rFonts w:ascii="宋体"/>
                <w:sz w:val="21"/>
              </w:rPr>
              <w:t>-1,937,500.00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93" w:right="0"/>
              <w:jc w:val="left"/>
              <w:rPr>
                <w:rFonts w:ascii="宋体" w:hAnsi="宋体" w:cs="宋体" w:eastAsia="宋体" w:hint="default"/>
                <w:sz w:val="21"/>
                <w:szCs w:val="21"/>
              </w:rPr>
            </w:pPr>
            <w:r>
              <w:rPr>
                <w:rFonts w:ascii="宋体"/>
                <w:sz w:val="21"/>
              </w:rPr>
              <w:t>-27,830.19</w:t>
            </w:r>
          </w:p>
        </w:tc>
      </w:tr>
    </w:tbl>
    <w:p>
      <w:pPr>
        <w:pStyle w:val="BodyText"/>
        <w:spacing w:line="314" w:lineRule="auto" w:before="42"/>
        <w:ind w:left="221" w:right="171" w:firstLine="420"/>
        <w:jc w:val="both"/>
      </w:pPr>
      <w:r>
        <w:rPr/>
        <w:t>本次会计政策变更，仅对上述财务报表列示项目产生影响，对</w:t>
      </w:r>
      <w:r>
        <w:rPr>
          <w:spacing w:val="-53"/>
        </w:rPr>
        <w:t> </w:t>
      </w:r>
      <w:r>
        <w:rPr>
          <w:rFonts w:ascii="宋体" w:hAnsi="宋体" w:cs="宋体" w:eastAsia="宋体" w:hint="default"/>
        </w:rPr>
        <w:t>2012</w:t>
      </w:r>
      <w:r>
        <w:rPr/>
        <w:t>、</w:t>
      </w:r>
      <w:r>
        <w:rPr>
          <w:rFonts w:ascii="宋体" w:hAnsi="宋体" w:cs="宋体" w:eastAsia="宋体" w:hint="default"/>
        </w:rPr>
        <w:t>2013</w:t>
      </w:r>
      <w:r>
        <w:rPr>
          <w:rFonts w:ascii="宋体" w:hAnsi="宋体" w:cs="宋体" w:eastAsia="宋体" w:hint="default"/>
          <w:spacing w:val="-53"/>
        </w:rPr>
        <w:t> </w:t>
      </w:r>
      <w:r>
        <w:rPr/>
        <w:t>年末资产、负债总 额和净资产以及</w:t>
      </w:r>
      <w:r>
        <w:rPr>
          <w:spacing w:val="-57"/>
        </w:rPr>
        <w:t> </w:t>
      </w:r>
      <w:r>
        <w:rPr>
          <w:rFonts w:ascii="宋体" w:hAnsi="宋体" w:cs="宋体" w:eastAsia="宋体" w:hint="default"/>
        </w:rPr>
        <w:t>2012</w:t>
      </w:r>
      <w:r>
        <w:rPr/>
        <w:t>、</w:t>
      </w:r>
      <w:r>
        <w:rPr>
          <w:rFonts w:ascii="宋体" w:hAnsi="宋体" w:cs="宋体" w:eastAsia="宋体" w:hint="default"/>
        </w:rPr>
        <w:t>2013</w:t>
      </w:r>
      <w:r>
        <w:rPr>
          <w:rFonts w:ascii="宋体" w:hAnsi="宋体" w:cs="宋体" w:eastAsia="宋体" w:hint="default"/>
          <w:spacing w:val="-56"/>
        </w:rPr>
        <w:t> </w:t>
      </w:r>
      <w:r>
        <w:rPr/>
        <w:t>年度净利润未产生影响。</w:t>
      </w:r>
    </w:p>
    <w:p>
      <w:pPr>
        <w:pStyle w:val="BodyText"/>
        <w:spacing w:line="240" w:lineRule="auto"/>
        <w:ind w:left="641" w:right="0"/>
        <w:jc w:val="left"/>
      </w:pPr>
      <w:r>
        <w:rPr/>
        <w:t>除上述影响外，报告期不存在受本次会计政策变更影响需要追溯调整的事项。</w:t>
      </w:r>
    </w:p>
    <w:p>
      <w:pPr>
        <w:spacing w:line="240" w:lineRule="auto" w:before="12"/>
        <w:rPr>
          <w:rFonts w:ascii="宋体" w:hAnsi="宋体" w:cs="宋体" w:eastAsia="宋体" w:hint="default"/>
          <w:sz w:val="25"/>
          <w:szCs w:val="25"/>
        </w:rPr>
      </w:pPr>
    </w:p>
    <w:p>
      <w:pPr>
        <w:pStyle w:val="Heading2"/>
        <w:spacing w:line="240" w:lineRule="auto" w:before="0"/>
        <w:ind w:right="0"/>
        <w:jc w:val="left"/>
        <w:rPr>
          <w:b w:val="0"/>
          <w:bCs w:val="0"/>
        </w:rPr>
      </w:pPr>
      <w:r>
        <w:rPr/>
        <w:t>(2)、重要会计估计变更</w:t>
      </w:r>
      <w:r>
        <w:rPr>
          <w:b w:val="0"/>
          <w:bCs w:val="0"/>
        </w:rPr>
      </w:r>
    </w:p>
    <w:p>
      <w:pPr>
        <w:pStyle w:val="BodyText"/>
        <w:spacing w:line="240" w:lineRule="auto" w:before="57"/>
        <w:ind w:left="221"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Calibri" w:hAnsi="Calibri" w:cs="Calibri" w:eastAsia="Calibri" w:hint="default"/>
        </w:rPr>
        <w:t>32.  </w:t>
      </w:r>
      <w:r>
        <w:rPr>
          <w:rFonts w:ascii="Calibri" w:hAnsi="Calibri" w:cs="Calibri" w:eastAsia="Calibri" w:hint="default"/>
          <w:spacing w:val="12"/>
        </w:rPr>
        <w:t> </w:t>
      </w:r>
      <w:r>
        <w:rPr/>
        <w:t>其他</w:t>
      </w:r>
      <w:r>
        <w:rPr>
          <w:b w:val="0"/>
          <w:bCs w:val="0"/>
        </w:rPr>
      </w:r>
    </w:p>
    <w:p>
      <w:pPr>
        <w:pStyle w:val="BodyText"/>
        <w:spacing w:line="314" w:lineRule="auto" w:before="108"/>
        <w:ind w:left="221" w:right="171" w:firstLine="420"/>
        <w:jc w:val="both"/>
      </w:pPr>
      <w:r>
        <w:rPr>
          <w:spacing w:val="-3"/>
        </w:rPr>
        <w:t>对投资者进行投资决策有重要影响的财务信息，不论本规则是否有明确规定，公司均应充分披</w:t>
      </w:r>
      <w:r>
        <w:rPr/>
        <w:t> 露。</w:t>
      </w:r>
    </w:p>
    <w:p>
      <w:pPr>
        <w:pStyle w:val="BodyText"/>
        <w:spacing w:line="314" w:lineRule="auto"/>
        <w:ind w:left="221" w:right="171" w:firstLine="420"/>
        <w:jc w:val="both"/>
      </w:pPr>
      <w:r>
        <w:rPr>
          <w:spacing w:val="-3"/>
        </w:rPr>
        <w:t>特殊行业财务报告披露另有规定的，公司还应当遵循其规定。《公开发行证券的公司信息披露</w:t>
      </w:r>
      <w:r>
        <w:rPr/>
        <w:t> 编报规则第</w:t>
      </w:r>
      <w:r>
        <w:rPr>
          <w:spacing w:val="-62"/>
        </w:rPr>
        <w:t> </w:t>
      </w:r>
      <w:r>
        <w:rPr/>
        <w:t>15</w:t>
      </w:r>
      <w:r>
        <w:rPr>
          <w:spacing w:val="-62"/>
        </w:rPr>
        <w:t> </w:t>
      </w:r>
      <w:r>
        <w:rPr>
          <w:spacing w:val="-3"/>
        </w:rPr>
        <w:t>号——财务报告的一般规定》（2014</w:t>
      </w:r>
      <w:r>
        <w:rPr>
          <w:spacing w:val="-62"/>
        </w:rPr>
        <w:t> </w:t>
      </w:r>
      <w:r>
        <w:rPr/>
        <w:t>年修订）的某些具体要求对特殊行业确实不适</w:t>
      </w:r>
      <w:r>
        <w:rPr>
          <w:spacing w:val="-1"/>
        </w:rPr>
        <w:t> </w:t>
      </w:r>
      <w:r>
        <w:rPr/>
        <w:t>用的，公司应予以说明。</w:t>
      </w:r>
    </w:p>
    <w:p>
      <w:pPr>
        <w:spacing w:line="240" w:lineRule="auto" w:before="13"/>
        <w:rPr>
          <w:rFonts w:ascii="宋体" w:hAnsi="宋体" w:cs="宋体" w:eastAsia="宋体" w:hint="default"/>
          <w:sz w:val="20"/>
          <w:szCs w:val="20"/>
        </w:rPr>
      </w:pPr>
    </w:p>
    <w:p>
      <w:pPr>
        <w:pStyle w:val="Heading2"/>
        <w:spacing w:line="240" w:lineRule="auto" w:before="0"/>
        <w:ind w:right="0"/>
        <w:jc w:val="left"/>
        <w:rPr>
          <w:b w:val="0"/>
          <w:bCs w:val="0"/>
        </w:rPr>
      </w:pPr>
      <w:r>
        <w:rPr/>
        <w:t>六、税项</w:t>
      </w:r>
      <w:r>
        <w:rPr>
          <w:b w:val="0"/>
          <w:bCs w:val="0"/>
        </w:rPr>
      </w:r>
    </w:p>
    <w:p>
      <w:pPr>
        <w:pStyle w:val="Heading2"/>
        <w:tabs>
          <w:tab w:pos="646" w:val="left" w:leader="none"/>
        </w:tabs>
        <w:spacing w:line="240" w:lineRule="auto" w:before="57"/>
        <w:ind w:right="0"/>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2812"/>
        <w:gridCol w:w="3179"/>
        <w:gridCol w:w="3001"/>
      </w:tblGrid>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销售货物或提供应税劳务过程中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产生的增值额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pacing w:val="-1"/>
                <w:sz w:val="21"/>
                <w:szCs w:val="21"/>
              </w:rPr>
              <w:t>17%、3%、6%</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sz w:val="21"/>
              </w:rPr>
              <w:t>/</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应纳税销售收入</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pacing w:val="-1"/>
                <w:sz w:val="21"/>
                <w:szCs w:val="21"/>
              </w:rPr>
              <w:t>3%、5%</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15%、25%</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地方教育附加</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应纳税销售收入</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0.09%</w:t>
            </w:r>
          </w:p>
        </w:tc>
      </w:tr>
    </w:tbl>
    <w:p>
      <w:pPr>
        <w:spacing w:line="240" w:lineRule="auto" w:before="0"/>
        <w:rPr>
          <w:rFonts w:ascii="宋体" w:hAnsi="宋体" w:cs="宋体" w:eastAsia="宋体" w:hint="default"/>
          <w:b/>
          <w:bCs/>
          <w:sz w:val="20"/>
          <w:szCs w:val="20"/>
        </w:rPr>
      </w:pPr>
    </w:p>
    <w:p>
      <w:pPr>
        <w:pStyle w:val="Heading2"/>
        <w:spacing w:line="240" w:lineRule="auto"/>
        <w:ind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税收优惠</w:t>
      </w:r>
      <w:r>
        <w:rPr>
          <w:b w:val="0"/>
          <w:bCs w:val="0"/>
        </w:rPr>
      </w:r>
    </w:p>
    <w:p>
      <w:pPr>
        <w:pStyle w:val="BodyText"/>
        <w:spacing w:line="240" w:lineRule="auto" w:before="108"/>
        <w:ind w:left="641" w:right="0"/>
        <w:jc w:val="left"/>
      </w:pPr>
      <w:r>
        <w:rPr/>
        <w:t>（1</w:t>
      </w:r>
      <w:r>
        <w:rPr>
          <w:spacing w:val="-104"/>
        </w:rPr>
        <w:t>）</w:t>
      </w:r>
      <w:r>
        <w:rPr/>
        <w:t>依据国务院下发</w:t>
      </w:r>
      <w:r>
        <w:rPr>
          <w:spacing w:val="-104"/>
        </w:rPr>
        <w:t>的</w:t>
      </w:r>
      <w:r>
        <w:rPr/>
        <w:t>《关于印发进一步鼓励软件产业和集成电路产业发展若干政策的通知》</w:t>
      </w:r>
    </w:p>
    <w:p>
      <w:pPr>
        <w:pStyle w:val="BodyText"/>
        <w:spacing w:line="314" w:lineRule="auto" w:before="85"/>
        <w:ind w:left="221" w:right="171"/>
        <w:jc w:val="both"/>
      </w:pPr>
      <w:r>
        <w:rPr>
          <w:spacing w:val="-5"/>
        </w:rPr>
        <w:t>（国发〔2011〕4</w:t>
      </w:r>
      <w:r>
        <w:rPr>
          <w:spacing w:val="-17"/>
        </w:rPr>
        <w:t> </w:t>
      </w:r>
      <w:r>
        <w:rPr>
          <w:spacing w:val="-7"/>
        </w:rPr>
        <w:t>号）第</w:t>
      </w:r>
      <w:r>
        <w:rPr>
          <w:spacing w:val="-63"/>
        </w:rPr>
        <w:t> </w:t>
      </w:r>
      <w:r>
        <w:rPr/>
        <w:t>1</w:t>
      </w:r>
      <w:r>
        <w:rPr>
          <w:spacing w:val="-61"/>
        </w:rPr>
        <w:t> </w:t>
      </w:r>
      <w:r>
        <w:rPr/>
        <w:t>条及财政部、国家税务总局联合下发的《关于软件产品增值税政策的通</w:t>
      </w:r>
      <w:r>
        <w:rPr/>
        <w:t> 知》（财税〔2011〕100</w:t>
      </w:r>
      <w:r>
        <w:rPr>
          <w:spacing w:val="-53"/>
        </w:rPr>
        <w:t> </w:t>
      </w:r>
      <w:r>
        <w:rPr/>
        <w:t>号）的规定，公司销售其自行开发生产的软件产品，按</w:t>
      </w:r>
      <w:r>
        <w:rPr>
          <w:spacing w:val="-53"/>
        </w:rPr>
        <w:t> </w:t>
      </w:r>
      <w:r>
        <w:rPr/>
        <w:t>17%的法定税率征</w:t>
      </w:r>
      <w:r>
        <w:rPr/>
        <w:t> 收增值税后，享受增值税实际税负超过</w:t>
      </w:r>
      <w:r>
        <w:rPr>
          <w:spacing w:val="-55"/>
        </w:rPr>
        <w:t> </w:t>
      </w:r>
      <w:r>
        <w:rPr/>
        <w:t>3%的部分实行即征即退的优惠政策。</w:t>
      </w:r>
    </w:p>
    <w:p>
      <w:pPr>
        <w:pStyle w:val="BodyText"/>
        <w:spacing w:line="314" w:lineRule="auto"/>
        <w:ind w:left="221" w:right="172" w:firstLine="420"/>
        <w:jc w:val="both"/>
      </w:pPr>
      <w:r>
        <w:rPr/>
        <w:t>（2）根据《高新技术企业认定管理办法》（国科发火〔2008〕172 号）、《高新技术企业认 </w:t>
      </w:r>
      <w:r>
        <w:rPr>
          <w:spacing w:val="-8"/>
        </w:rPr>
        <w:t>定管理工作指引》（国科发火〔2008〕362</w:t>
      </w:r>
      <w:r>
        <w:rPr>
          <w:spacing w:val="-51"/>
        </w:rPr>
        <w:t> </w:t>
      </w:r>
      <w:r>
        <w:rPr>
          <w:spacing w:val="-15"/>
        </w:rPr>
        <w:t>号），公司于</w:t>
      </w:r>
      <w:r>
        <w:rPr>
          <w:spacing w:val="-52"/>
        </w:rPr>
        <w:t> </w:t>
      </w:r>
      <w:r>
        <w:rPr/>
        <w:t>2014</w:t>
      </w:r>
      <w:r>
        <w:rPr>
          <w:spacing w:val="-51"/>
        </w:rPr>
        <w:t> </w:t>
      </w:r>
      <w:r>
        <w:rPr/>
        <w:t>年</w:t>
      </w:r>
      <w:r>
        <w:rPr>
          <w:spacing w:val="-53"/>
        </w:rPr>
        <w:t> </w:t>
      </w:r>
      <w:r>
        <w:rPr/>
        <w:t>8</w:t>
      </w:r>
      <w:r>
        <w:rPr>
          <w:spacing w:val="-51"/>
        </w:rPr>
        <w:t> </w:t>
      </w:r>
      <w:r>
        <w:rPr/>
        <w:t>月</w:t>
      </w:r>
      <w:r>
        <w:rPr>
          <w:spacing w:val="-53"/>
        </w:rPr>
        <w:t> </w:t>
      </w:r>
      <w:r>
        <w:rPr/>
        <w:t>14</w:t>
      </w:r>
      <w:r>
        <w:rPr>
          <w:spacing w:val="-51"/>
        </w:rPr>
        <w:t> </w:t>
      </w:r>
      <w:r>
        <w:rPr>
          <w:spacing w:val="-1"/>
        </w:rPr>
        <w:t>日被认定为高新技术企业，</w:t>
      </w:r>
      <w:r>
        <w:rPr/>
        <w:t> 有效期三年，2014</w:t>
      </w:r>
      <w:r>
        <w:rPr>
          <w:spacing w:val="-54"/>
        </w:rPr>
        <w:t> </w:t>
      </w:r>
      <w:r>
        <w:rPr/>
        <w:t>年企业所得税暂按</w:t>
      </w:r>
      <w:r>
        <w:rPr>
          <w:spacing w:val="-55"/>
        </w:rPr>
        <w:t> </w:t>
      </w:r>
      <w:r>
        <w:rPr/>
        <w:t>15%的所得税税率预缴。</w:t>
      </w:r>
    </w:p>
    <w:p>
      <w:pPr>
        <w:pStyle w:val="BodyText"/>
        <w:spacing w:line="314" w:lineRule="auto"/>
        <w:ind w:left="221" w:right="171" w:firstLine="420"/>
        <w:jc w:val="both"/>
      </w:pPr>
      <w:r>
        <w:rPr/>
        <w:t>（3）根据财税字〔1999〕273</w:t>
      </w:r>
      <w:r>
        <w:rPr>
          <w:spacing w:val="1"/>
        </w:rPr>
        <w:t> </w:t>
      </w:r>
      <w:r>
        <w:rPr/>
        <w:t>号，财政部、国家税务总局关于贯彻落实《中共中央国务院关</w:t>
      </w:r>
      <w:r>
        <w:rPr/>
        <w:t> </w:t>
      </w:r>
      <w:r>
        <w:rPr>
          <w:spacing w:val="-3"/>
        </w:rPr>
        <w:t>于加强技术创新，发展高科技，实现产业化的决定》有关税收问题的通知的规定，公司取得的经税</w:t>
      </w:r>
      <w:r>
        <w:rPr>
          <w:spacing w:val="-80"/>
        </w:rPr>
        <w:t> </w:t>
      </w:r>
      <w:r>
        <w:rPr>
          <w:spacing w:val="-80"/>
        </w:rPr>
      </w:r>
      <w:r>
        <w:rPr>
          <w:spacing w:val="-3"/>
        </w:rPr>
        <w:t>务主管部门核准后的技术转让、技术开发业务和与之相关的技术咨询、技术服务业务收入免征营业</w:t>
      </w:r>
    </w:p>
    <w:p>
      <w:pPr>
        <w:spacing w:after="0" w:line="314" w:lineRule="auto"/>
        <w:jc w:val="both"/>
        <w:sectPr>
          <w:pgSz w:w="11910" w:h="16840"/>
          <w:pgMar w:header="882" w:footer="977" w:top="1120" w:bottom="1160" w:left="148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197"/>
        <w:jc w:val="left"/>
      </w:pPr>
      <w:r>
        <w:rPr>
          <w:spacing w:val="-3"/>
        </w:rPr>
        <w:t>税。根据财税〔2011〕111</w:t>
      </w:r>
      <w:r>
        <w:rPr>
          <w:spacing w:val="-59"/>
        </w:rPr>
        <w:t> </w:t>
      </w:r>
      <w:r>
        <w:rPr/>
        <w:t>号文规定，营改增后经税务主管部门核准后的技术转让、技术开发业务</w:t>
      </w:r>
      <w:r>
        <w:rPr/>
        <w:t> 和与之相关的技术咨询、技术服务业务收入免征增值税。</w:t>
      </w:r>
    </w:p>
    <w:p>
      <w:pPr>
        <w:pStyle w:val="BodyText"/>
        <w:spacing w:line="314" w:lineRule="auto"/>
        <w:ind w:right="93" w:firstLine="420"/>
        <w:jc w:val="left"/>
      </w:pPr>
      <w:r>
        <w:rPr>
          <w:spacing w:val="-3"/>
        </w:rPr>
        <w:t>（4）根据昌吉市国家税务局</w:t>
      </w:r>
      <w:r>
        <w:rPr>
          <w:spacing w:val="-52"/>
        </w:rPr>
        <w:t> </w:t>
      </w:r>
      <w:r>
        <w:rPr/>
        <w:t>2012</w:t>
      </w:r>
      <w:r>
        <w:rPr>
          <w:spacing w:val="-51"/>
        </w:rPr>
        <w:t> </w:t>
      </w:r>
      <w:r>
        <w:rPr/>
        <w:t>年</w:t>
      </w:r>
      <w:r>
        <w:rPr>
          <w:spacing w:val="-53"/>
        </w:rPr>
        <w:t> </w:t>
      </w:r>
      <w:r>
        <w:rPr/>
        <w:t>11</w:t>
      </w:r>
      <w:r>
        <w:rPr>
          <w:spacing w:val="-51"/>
        </w:rPr>
        <w:t> </w:t>
      </w:r>
      <w:r>
        <w:rPr>
          <w:spacing w:val="-5"/>
        </w:rPr>
        <w:t>月昌市国税减免备字〔2012〕年</w:t>
      </w:r>
      <w:r>
        <w:rPr>
          <w:spacing w:val="-53"/>
        </w:rPr>
        <w:t> </w:t>
      </w:r>
      <w:r>
        <w:rPr/>
        <w:t>59</w:t>
      </w:r>
      <w:r>
        <w:rPr>
          <w:spacing w:val="-52"/>
        </w:rPr>
        <w:t> </w:t>
      </w:r>
      <w:r>
        <w:rPr/>
        <w:t>号税收减免登记备</w:t>
      </w:r>
      <w:r>
        <w:rPr/>
        <w:t> 案告知书文，公司子公司昌吉州南威软件有限公司享受新办企业“两免三减半”所得税优惠政策。 该税收优惠政策自</w:t>
      </w:r>
      <w:r>
        <w:rPr>
          <w:spacing w:val="-40"/>
        </w:rPr>
        <w:t> </w:t>
      </w:r>
      <w:r>
        <w:rPr/>
        <w:t>2012</w:t>
      </w:r>
      <w:r>
        <w:rPr>
          <w:spacing w:val="-40"/>
        </w:rPr>
        <w:t> </w:t>
      </w:r>
      <w:r>
        <w:rPr/>
        <w:t>年</w:t>
      </w:r>
      <w:r>
        <w:rPr>
          <w:spacing w:val="-40"/>
        </w:rPr>
        <w:t> </w:t>
      </w:r>
      <w:r>
        <w:rPr/>
        <w:t>1</w:t>
      </w:r>
      <w:r>
        <w:rPr>
          <w:spacing w:val="-39"/>
        </w:rPr>
        <w:t> </w:t>
      </w:r>
      <w:r>
        <w:rPr/>
        <w:t>月至</w:t>
      </w:r>
      <w:r>
        <w:rPr>
          <w:spacing w:val="-41"/>
        </w:rPr>
        <w:t> </w:t>
      </w:r>
      <w:r>
        <w:rPr/>
        <w:t>2022</w:t>
      </w:r>
      <w:r>
        <w:rPr>
          <w:spacing w:val="-40"/>
        </w:rPr>
        <w:t> </w:t>
      </w:r>
      <w:r>
        <w:rPr/>
        <w:t>年</w:t>
      </w:r>
      <w:r>
        <w:rPr>
          <w:spacing w:val="-40"/>
        </w:rPr>
        <w:t> </w:t>
      </w:r>
      <w:r>
        <w:rPr/>
        <w:t>12</w:t>
      </w:r>
      <w:r>
        <w:rPr>
          <w:spacing w:val="-39"/>
        </w:rPr>
        <w:t> </w:t>
      </w:r>
      <w:r>
        <w:rPr/>
        <w:t>月取得软件销售收入执行。报告期内，公司自</w:t>
      </w:r>
      <w:r>
        <w:rPr>
          <w:spacing w:val="-40"/>
        </w:rPr>
        <w:t> </w:t>
      </w:r>
      <w:r>
        <w:rPr/>
        <w:t>2014</w:t>
      </w:r>
    </w:p>
    <w:p>
      <w:pPr>
        <w:pStyle w:val="BodyText"/>
        <w:spacing w:line="240" w:lineRule="auto"/>
        <w:ind w:right="227"/>
        <w:jc w:val="left"/>
      </w:pPr>
      <w:r>
        <w:rPr/>
        <w:t>年开始取得软件销售收入，自</w:t>
      </w:r>
      <w:r>
        <w:rPr>
          <w:spacing w:val="-68"/>
        </w:rPr>
        <w:t> </w:t>
      </w:r>
      <w:r>
        <w:rPr/>
        <w:t>2014</w:t>
      </w:r>
      <w:r>
        <w:rPr>
          <w:spacing w:val="-68"/>
        </w:rPr>
        <w:t> </w:t>
      </w:r>
      <w:r>
        <w:rPr/>
        <w:t>年始享受两免三减半所得税优惠；</w:t>
      </w:r>
    </w:p>
    <w:p>
      <w:pPr>
        <w:pStyle w:val="BodyText"/>
        <w:spacing w:line="240" w:lineRule="auto" w:before="85"/>
        <w:ind w:left="561" w:right="203"/>
        <w:jc w:val="left"/>
      </w:pPr>
      <w:r>
        <w:rPr/>
        <w:t>（5）根据西安经济技术开发区国家税务局</w:t>
      </w:r>
      <w:r>
        <w:rPr>
          <w:spacing w:val="-62"/>
        </w:rPr>
        <w:t> </w:t>
      </w:r>
      <w:r>
        <w:rPr/>
        <w:t>2014</w:t>
      </w:r>
      <w:r>
        <w:rPr>
          <w:spacing w:val="-62"/>
        </w:rPr>
        <w:t> </w:t>
      </w:r>
      <w:r>
        <w:rPr/>
        <w:t>年</w:t>
      </w:r>
      <w:r>
        <w:rPr>
          <w:spacing w:val="-62"/>
        </w:rPr>
        <w:t> </w:t>
      </w:r>
      <w:r>
        <w:rPr/>
        <w:t>2</w:t>
      </w:r>
      <w:r>
        <w:rPr>
          <w:spacing w:val="-61"/>
        </w:rPr>
        <w:t> </w:t>
      </w:r>
      <w:r>
        <w:rPr>
          <w:spacing w:val="-3"/>
        </w:rPr>
        <w:t>月经开国税备字（2014）017</w:t>
      </w:r>
      <w:r>
        <w:rPr>
          <w:spacing w:val="-61"/>
        </w:rPr>
        <w:t> </w:t>
      </w:r>
      <w:r>
        <w:rPr/>
        <w:t>号企业所得</w:t>
      </w:r>
    </w:p>
    <w:p>
      <w:pPr>
        <w:pStyle w:val="BodyText"/>
        <w:spacing w:line="314" w:lineRule="auto" w:before="85"/>
        <w:ind w:right="197"/>
        <w:jc w:val="left"/>
      </w:pPr>
      <w:r>
        <w:rPr/>
        <w:t>税优惠政策备案通知书文，公司子公司西安南威信息科技有限责任公司自</w:t>
      </w:r>
      <w:r>
        <w:rPr>
          <w:spacing w:val="-52"/>
        </w:rPr>
        <w:t> </w:t>
      </w:r>
      <w:r>
        <w:rPr/>
        <w:t>2013</w:t>
      </w:r>
      <w:r>
        <w:rPr>
          <w:spacing w:val="-52"/>
        </w:rPr>
        <w:t> </w:t>
      </w:r>
      <w:r>
        <w:rPr/>
        <w:t>年始享受两免三减</w:t>
      </w:r>
      <w:r>
        <w:rPr/>
        <w:t> 半所得税优惠。</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977" w:top="1120" w:bottom="1160" w:left="1560" w:right="1060"/>
        </w:sectPr>
      </w:pPr>
    </w:p>
    <w:p>
      <w:pPr>
        <w:pStyle w:val="Heading2"/>
        <w:spacing w:line="290" w:lineRule="auto"/>
        <w:ind w:left="141" w:right="-17" w:hanging="1"/>
        <w:jc w:val="left"/>
        <w:rPr>
          <w:b w:val="0"/>
          <w:bCs w:val="0"/>
        </w:rPr>
      </w:pPr>
      <w:r>
        <w:rPr/>
        <w:t>七、合并财务报表项目注释</w:t>
      </w:r>
      <w:r>
        <w:rPr>
          <w:w w:val="99"/>
        </w:rPr>
        <w:t> </w:t>
      </w:r>
      <w:r>
        <w:rPr/>
        <w:t>1、</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1" w:val="left" w:leader="none"/>
        </w:tabs>
        <w:spacing w:line="240" w:lineRule="auto" w:before="176"/>
        <w:ind w:right="0"/>
        <w:jc w:val="left"/>
      </w:pPr>
      <w:r>
        <w:rPr/>
        <w:t>单位：元</w:t>
        <w:tab/>
        <w:t>币种：人民币</w:t>
      </w:r>
    </w:p>
    <w:p>
      <w:pPr>
        <w:spacing w:after="0" w:line="240" w:lineRule="auto"/>
        <w:jc w:val="left"/>
        <w:sectPr>
          <w:type w:val="continuous"/>
          <w:pgSz w:w="11910" w:h="16840"/>
          <w:pgMar w:top="1120" w:bottom="1160" w:left="1560" w:right="1060"/>
          <w:cols w:num="2" w:equalWidth="0">
            <w:col w:w="2674" w:space="3945"/>
            <w:col w:w="2671"/>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20"/>
        <w:gridCol w:w="2722"/>
        <w:gridCol w:w="3151"/>
      </w:tblGrid>
      <w:tr>
        <w:trPr>
          <w:trHeight w:val="287"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55,661.90</w:t>
            </w:r>
            <w:r>
              <w:rPr>
                <w:rFonts w:ascii="宋体"/>
                <w:sz w:val="21"/>
              </w:rPr>
            </w:r>
          </w:p>
        </w:tc>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48,415.80</w:t>
            </w:r>
            <w:r>
              <w:rPr>
                <w:rFonts w:ascii="宋体"/>
                <w:sz w:val="21"/>
              </w:rPr>
            </w:r>
          </w:p>
        </w:tc>
      </w:tr>
      <w:tr>
        <w:trPr>
          <w:trHeight w:val="287"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576,522,231.11</w:t>
            </w:r>
            <w:r>
              <w:rPr>
                <w:rFonts w:ascii="宋体"/>
                <w:sz w:val="21"/>
              </w:rPr>
            </w:r>
          </w:p>
        </w:tc>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159,131,106.74</w:t>
            </w:r>
            <w:r>
              <w:rPr>
                <w:rFonts w:ascii="宋体"/>
                <w:sz w:val="21"/>
              </w:rPr>
            </w:r>
          </w:p>
        </w:tc>
      </w:tr>
      <w:tr>
        <w:trPr>
          <w:trHeight w:val="287"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39,454,611.47</w:t>
            </w:r>
          </w:p>
        </w:tc>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17,698,457.21</w:t>
            </w:r>
            <w:r>
              <w:rPr>
                <w:rFonts w:ascii="宋体"/>
                <w:sz w:val="21"/>
              </w:rPr>
            </w:r>
          </w:p>
        </w:tc>
      </w:tr>
      <w:tr>
        <w:trPr>
          <w:trHeight w:val="28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616,032,504.48</w:t>
            </w:r>
          </w:p>
        </w:tc>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176,877,979.75</w:t>
            </w:r>
          </w:p>
        </w:tc>
      </w:tr>
      <w:tr>
        <w:trPr>
          <w:trHeight w:val="287"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0.00</w:t>
            </w:r>
          </w:p>
        </w:tc>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0.00</w:t>
            </w:r>
          </w:p>
        </w:tc>
      </w:tr>
    </w:tbl>
    <w:p>
      <w:pPr>
        <w:pStyle w:val="BodyText"/>
        <w:spacing w:line="241" w:lineRule="exact" w:before="0"/>
        <w:ind w:right="227"/>
        <w:jc w:val="left"/>
      </w:pPr>
      <w:r>
        <w:rPr/>
        <w:t>其他说明</w:t>
      </w:r>
    </w:p>
    <w:p>
      <w:pPr>
        <w:pStyle w:val="BodyText"/>
        <w:spacing w:line="240" w:lineRule="auto" w:before="75"/>
        <w:ind w:left="561" w:right="203"/>
        <w:jc w:val="left"/>
      </w:pPr>
      <w:r>
        <w:rPr>
          <w:spacing w:val="-1"/>
        </w:rPr>
        <w:t>期末其他货币资金为票据保证金及保函保证</w:t>
      </w:r>
      <w:r>
        <w:rPr/>
        <w:t>金</w:t>
      </w:r>
      <w:r>
        <w:rPr>
          <w:spacing w:val="-53"/>
        </w:rPr>
        <w:t> </w:t>
      </w:r>
      <w:r>
        <w:rPr>
          <w:spacing w:val="-1"/>
        </w:rPr>
        <w:t>39,454,611.4</w:t>
      </w:r>
      <w:r>
        <w:rPr/>
        <w:t>7</w:t>
      </w:r>
      <w:r>
        <w:rPr>
          <w:spacing w:val="-52"/>
        </w:rPr>
        <w:t> </w:t>
      </w:r>
      <w:r>
        <w:rPr>
          <w:spacing w:val="-1"/>
        </w:rPr>
        <w:t>元</w:t>
      </w:r>
      <w:r>
        <w:rPr>
          <w:spacing w:val="-101"/>
        </w:rPr>
        <w:t>；</w:t>
      </w:r>
      <w:r>
        <w:rPr/>
        <w:t>期初</w:t>
      </w:r>
      <w:r>
        <w:rPr>
          <w:spacing w:val="-2"/>
        </w:rPr>
        <w:t>其</w:t>
      </w:r>
      <w:r>
        <w:rPr/>
        <w:t>他货币资金为票据保</w:t>
      </w:r>
    </w:p>
    <w:p>
      <w:pPr>
        <w:pStyle w:val="BodyText"/>
        <w:spacing w:line="314" w:lineRule="auto" w:before="85"/>
        <w:ind w:right="199"/>
        <w:jc w:val="left"/>
      </w:pPr>
      <w:r>
        <w:rPr/>
        <w:t>证金及保函保证金</w:t>
      </w:r>
      <w:r>
        <w:rPr>
          <w:spacing w:val="-50"/>
        </w:rPr>
        <w:t> </w:t>
      </w:r>
      <w:r>
        <w:rPr/>
        <w:t>17,698,457.21</w:t>
      </w:r>
      <w:r>
        <w:rPr>
          <w:spacing w:val="-49"/>
        </w:rPr>
        <w:t> </w:t>
      </w:r>
      <w:r>
        <w:rPr>
          <w:spacing w:val="-4"/>
        </w:rPr>
        <w:t>元；票据保证金及保函保证金，使用受限，故在现金流量表内不</w:t>
      </w:r>
      <w:r>
        <w:rPr/>
        <w:t> 体现为现金及现金等价物，除了其他货币资金外，不存在使用受限及冻结的货币资金。</w:t>
      </w:r>
    </w:p>
    <w:p>
      <w:pPr>
        <w:spacing w:line="240" w:lineRule="auto" w:before="13"/>
        <w:rPr>
          <w:rFonts w:ascii="宋体" w:hAnsi="宋体" w:cs="宋体" w:eastAsia="宋体" w:hint="default"/>
          <w:sz w:val="20"/>
          <w:szCs w:val="20"/>
        </w:rPr>
      </w:pPr>
    </w:p>
    <w:p>
      <w:pPr>
        <w:pStyle w:val="Heading2"/>
        <w:spacing w:line="240" w:lineRule="auto" w:before="0"/>
        <w:ind w:left="141" w:right="227"/>
        <w:jc w:val="left"/>
        <w:rPr>
          <w:b w:val="0"/>
          <w:bCs w:val="0"/>
        </w:rPr>
      </w:pPr>
      <w:r>
        <w:rPr/>
        <w:t>2、</w:t>
      </w:r>
      <w:r>
        <w:rPr>
          <w:spacing w:val="-6"/>
        </w:rPr>
        <w:t> </w:t>
      </w:r>
      <w:r>
        <w:rPr/>
        <w:t>衍生金融资产</w:t>
      </w:r>
      <w:r>
        <w:rPr>
          <w:b w:val="0"/>
          <w:bCs w:val="0"/>
        </w:rPr>
      </w:r>
    </w:p>
    <w:p>
      <w:pPr>
        <w:pStyle w:val="BodyText"/>
        <w:spacing w:line="240" w:lineRule="auto" w:before="57"/>
        <w:ind w:right="227"/>
        <w:jc w:val="left"/>
      </w:pPr>
      <w:r>
        <w:rPr/>
        <w:t>□适用</w:t>
      </w:r>
      <w:r>
        <w:rPr>
          <w:spacing w:val="-2"/>
        </w:rPr>
        <w:t> </w:t>
      </w:r>
      <w:r>
        <w:rPr/>
        <w:t>√不适用</w:t>
      </w:r>
    </w:p>
    <w:p>
      <w:pPr>
        <w:spacing w:after="0" w:line="240" w:lineRule="auto"/>
        <w:jc w:val="left"/>
        <w:sectPr>
          <w:type w:val="continuous"/>
          <w:pgSz w:w="11910" w:h="16840"/>
          <w:pgMar w:top="1120" w:bottom="1160" w:left="1560" w:right="1060"/>
        </w:sectPr>
      </w:pPr>
    </w:p>
    <w:p>
      <w:pPr>
        <w:spacing w:before="22"/>
        <w:ind w:left="0" w:right="146"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3pt;height:.75pt;mso-position-horizontal-relative:char;mso-position-vertical-relative:line" coordorigin="0,0" coordsize="13926,15">
            <v:group style="position:absolute;left:7;top:7;width:13912;height:2" coordorigin="7,7" coordsize="13912,2">
              <v:shape style="position:absolute;left:7;top:7;width:13912;height:2" coordorigin="7,7" coordsize="13912,0" path="m7,7l1391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54"/>
          <w:footerReference w:type="default" r:id="rId55"/>
          <w:pgSz w:w="16840" w:h="11910" w:orient="landscape"/>
          <w:pgMar w:header="0" w:footer="0" w:top="800" w:bottom="280" w:left="1300" w:right="1400"/>
        </w:sectPr>
      </w:pPr>
    </w:p>
    <w:p>
      <w:pPr>
        <w:pStyle w:val="Heading2"/>
        <w:spacing w:line="240" w:lineRule="auto"/>
        <w:ind w:left="139" w:right="-16"/>
        <w:jc w:val="left"/>
        <w:rPr>
          <w:b w:val="0"/>
          <w:bCs w:val="0"/>
        </w:rPr>
      </w:pPr>
      <w:r>
        <w:rPr/>
        <w:t>3、</w:t>
      </w:r>
      <w:r>
        <w:rPr>
          <w:spacing w:val="-3"/>
        </w:rPr>
        <w:t> </w:t>
      </w:r>
      <w:r>
        <w:rPr/>
        <w:t>应收账款</w:t>
      </w:r>
      <w:r>
        <w:rPr>
          <w:b w:val="0"/>
          <w:bCs w:val="0"/>
        </w:rPr>
      </w:r>
    </w:p>
    <w:p>
      <w:pPr>
        <w:pStyle w:val="Heading2"/>
        <w:spacing w:line="240" w:lineRule="auto" w:before="56"/>
        <w:ind w:left="139" w:right="-16"/>
        <w:jc w:val="left"/>
        <w:rPr>
          <w:b w:val="0"/>
          <w:bCs w:val="0"/>
        </w:rPr>
      </w:pPr>
      <w:r>
        <w:rPr/>
        <w:t>(1).</w:t>
      </w:r>
      <w:r>
        <w:rPr>
          <w:spacing w:val="41"/>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5"/>
        <w:ind w:left="139" w:right="0"/>
        <w:jc w:val="left"/>
      </w:pPr>
      <w:r>
        <w:rPr/>
        <w:t>单位：元</w:t>
        <w:tab/>
        <w:t>币种：人民币</w:t>
      </w:r>
    </w:p>
    <w:p>
      <w:pPr>
        <w:spacing w:after="0" w:line="240" w:lineRule="auto"/>
        <w:jc w:val="left"/>
        <w:sectPr>
          <w:type w:val="continuous"/>
          <w:pgSz w:w="16840" w:h="11910" w:orient="landscape"/>
          <w:pgMar w:top="1120" w:bottom="1160" w:left="1300" w:right="1400"/>
          <w:cols w:num="2" w:equalWidth="0">
            <w:col w:w="2401" w:space="9057"/>
            <w:col w:w="268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22"/>
        <w:gridCol w:w="1595"/>
        <w:gridCol w:w="828"/>
        <w:gridCol w:w="1643"/>
        <w:gridCol w:w="781"/>
        <w:gridCol w:w="1574"/>
        <w:gridCol w:w="1646"/>
        <w:gridCol w:w="828"/>
        <w:gridCol w:w="1374"/>
        <w:gridCol w:w="685"/>
        <w:gridCol w:w="1638"/>
      </w:tblGrid>
      <w:tr>
        <w:trPr>
          <w:trHeight w:val="283" w:hRule="exact"/>
        </w:trPr>
        <w:tc>
          <w:tcPr>
            <w:tcW w:w="11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122" w:type="dxa"/>
            <w:vMerge/>
            <w:tcBorders>
              <w:left w:val="single" w:sz="4" w:space="0" w:color="000000"/>
              <w:right w:val="single" w:sz="4" w:space="0" w:color="000000"/>
            </w:tcBorders>
          </w:tcPr>
          <w:p>
            <w:pPr/>
          </w:p>
        </w:tc>
        <w:tc>
          <w:tcPr>
            <w:tcW w:w="2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572" w:right="570"/>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603" w:right="602"/>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1122"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3" w:right="68" w:hanging="53"/>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1574"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81" w:right="125"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1638" w:type="dxa"/>
            <w:vMerge/>
            <w:tcBorders>
              <w:left w:val="single" w:sz="4" w:space="0" w:color="000000"/>
              <w:bottom w:val="single" w:sz="4" w:space="0" w:color="000000"/>
              <w:right w:val="single" w:sz="4" w:space="0" w:color="000000"/>
            </w:tcBorders>
          </w:tcPr>
          <w:p>
            <w:pPr/>
          </w:p>
        </w:tc>
      </w:tr>
      <w:tr>
        <w:trPr>
          <w:trHeight w:val="1099" w:hRule="exact"/>
        </w:trPr>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72" w:lineRule="exact" w:before="26"/>
              <w:ind w:left="26" w:right="22"/>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96"/>
                <w:sz w:val="21"/>
                <w:szCs w:val="21"/>
              </w:rPr>
              <w:t> </w:t>
            </w:r>
            <w:r>
              <w:rPr>
                <w:rFonts w:ascii="宋体" w:hAnsi="宋体" w:cs="宋体" w:eastAsia="宋体" w:hint="default"/>
                <w:sz w:val="21"/>
                <w:szCs w:val="21"/>
              </w:rPr>
              <w:t>提坏账准备</w:t>
            </w:r>
            <w:r>
              <w:rPr>
                <w:rFonts w:ascii="宋体" w:hAnsi="宋体" w:cs="宋体" w:eastAsia="宋体" w:hint="default"/>
                <w:spacing w:val="-96"/>
                <w:sz w:val="21"/>
                <w:szCs w:val="21"/>
              </w:rPr>
              <w:t> </w:t>
            </w:r>
            <w:r>
              <w:rPr>
                <w:rFonts w:ascii="宋体" w:hAnsi="宋体" w:cs="宋体" w:eastAsia="宋体" w:hint="default"/>
                <w:sz w:val="21"/>
                <w:szCs w:val="21"/>
              </w:rPr>
              <w:t>的应收账款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before="1"/>
              <w:ind w:left="26" w:right="22"/>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96"/>
                <w:sz w:val="21"/>
                <w:szCs w:val="21"/>
              </w:rPr>
              <w:t> </w:t>
            </w:r>
            <w:r>
              <w:rPr>
                <w:rFonts w:ascii="宋体" w:hAnsi="宋体" w:cs="宋体" w:eastAsia="宋体" w:hint="default"/>
                <w:sz w:val="21"/>
                <w:szCs w:val="21"/>
              </w:rPr>
              <w:t>提坏账准备</w:t>
            </w:r>
            <w:r>
              <w:rPr>
                <w:rFonts w:ascii="宋体" w:hAnsi="宋体" w:cs="宋体" w:eastAsia="宋体" w:hint="default"/>
                <w:spacing w:val="-96"/>
                <w:sz w:val="21"/>
                <w:szCs w:val="21"/>
              </w:rPr>
              <w:t> </w:t>
            </w:r>
            <w:r>
              <w:rPr>
                <w:rFonts w:ascii="宋体" w:hAnsi="宋体" w:cs="宋体" w:eastAsia="宋体" w:hint="default"/>
                <w:sz w:val="21"/>
                <w:szCs w:val="21"/>
              </w:rPr>
              <w:t>的应收账款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112,982,622.05</w:t>
            </w:r>
            <w:r>
              <w:rPr>
                <w:rFonts w:ascii="宋体"/>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pacing w:val="-1"/>
                <w:sz w:val="21"/>
              </w:rPr>
              <w:t>99.58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10,287,330.14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9.11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102,695,291.91</w:t>
            </w:r>
            <w:r>
              <w:rPr>
                <w:rFonts w:ascii="宋体"/>
                <w:sz w:val="21"/>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15" w:right="0"/>
              <w:jc w:val="center"/>
              <w:rPr>
                <w:rFonts w:ascii="宋体" w:hAnsi="宋体" w:cs="宋体" w:eastAsia="宋体" w:hint="default"/>
                <w:sz w:val="21"/>
                <w:szCs w:val="21"/>
              </w:rPr>
            </w:pPr>
            <w:r>
              <w:rPr>
                <w:rFonts w:ascii="宋体"/>
                <w:sz w:val="21"/>
              </w:rPr>
              <w:t>122,076,030.25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100.00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53" w:right="0"/>
              <w:jc w:val="center"/>
              <w:rPr>
                <w:rFonts w:ascii="宋体" w:hAnsi="宋体" w:cs="宋体" w:eastAsia="宋体" w:hint="default"/>
                <w:sz w:val="21"/>
                <w:szCs w:val="21"/>
              </w:rPr>
            </w:pPr>
            <w:r>
              <w:rPr>
                <w:rFonts w:ascii="宋体"/>
                <w:sz w:val="21"/>
              </w:rPr>
              <w:t>8,039,507.00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6.59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114,036,523.25</w:t>
            </w:r>
          </w:p>
        </w:tc>
      </w:tr>
      <w:tr>
        <w:trPr>
          <w:trHeight w:val="1373" w:hRule="exact"/>
        </w:trPr>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72" w:lineRule="exact" w:before="26"/>
              <w:ind w:left="26" w:right="22"/>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96"/>
                <w:sz w:val="21"/>
                <w:szCs w:val="21"/>
              </w:rPr>
              <w:t> </w:t>
            </w:r>
            <w:r>
              <w:rPr>
                <w:rFonts w:ascii="宋体" w:hAnsi="宋体" w:cs="宋体" w:eastAsia="宋体" w:hint="default"/>
                <w:sz w:val="21"/>
                <w:szCs w:val="21"/>
              </w:rPr>
              <w:t>计提坏账准</w:t>
            </w:r>
            <w:r>
              <w:rPr>
                <w:rFonts w:ascii="宋体" w:hAnsi="宋体" w:cs="宋体" w:eastAsia="宋体" w:hint="default"/>
                <w:spacing w:val="-96"/>
                <w:sz w:val="21"/>
                <w:szCs w:val="21"/>
              </w:rPr>
              <w:t> </w:t>
            </w:r>
            <w:r>
              <w:rPr>
                <w:rFonts w:ascii="宋体" w:hAnsi="宋体" w:cs="宋体" w:eastAsia="宋体" w:hint="default"/>
                <w:sz w:val="21"/>
                <w:szCs w:val="21"/>
              </w:rPr>
              <w:t>备的应收账</w:t>
            </w:r>
            <w:r>
              <w:rPr>
                <w:rFonts w:ascii="宋体" w:hAnsi="宋体" w:cs="宋体" w:eastAsia="宋体" w:hint="default"/>
                <w:spacing w:val="-96"/>
                <w:sz w:val="21"/>
                <w:szCs w:val="21"/>
              </w:rPr>
              <w:t> </w:t>
            </w:r>
            <w:r>
              <w:rPr>
                <w:rFonts w:ascii="宋体" w:hAnsi="宋体" w:cs="宋体" w:eastAsia="宋体" w:hint="default"/>
                <w:sz w:val="21"/>
                <w:szCs w:val="21"/>
              </w:rPr>
              <w:t>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474,800.00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5"/>
              <w:jc w:val="right"/>
              <w:rPr>
                <w:rFonts w:ascii="宋体" w:hAnsi="宋体" w:cs="宋体" w:eastAsia="宋体" w:hint="default"/>
                <w:sz w:val="21"/>
                <w:szCs w:val="21"/>
              </w:rPr>
            </w:pPr>
            <w:r>
              <w:rPr>
                <w:rFonts w:ascii="宋体"/>
                <w:spacing w:val="-1"/>
                <w:sz w:val="21"/>
              </w:rPr>
              <w:t>0.42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474,800.00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宋体" w:hAnsi="宋体" w:cs="宋体" w:eastAsia="宋体" w:hint="default"/>
                <w:sz w:val="21"/>
                <w:szCs w:val="21"/>
              </w:rPr>
            </w:pPr>
            <w:r>
              <w:rPr>
                <w:rFonts w:ascii="宋体"/>
                <w:spacing w:val="-1"/>
                <w:sz w:val="21"/>
              </w:rPr>
              <w:t>113,457,422.05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1"/>
                <w:szCs w:val="21"/>
              </w:rPr>
            </w:pPr>
            <w:r>
              <w:rPr>
                <w:rFonts w:ascii="宋体"/>
                <w:sz w:val="21"/>
              </w:rPr>
              <w:t>/</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宋体" w:hAnsi="宋体" w:cs="宋体" w:eastAsia="宋体" w:hint="default"/>
                <w:sz w:val="21"/>
                <w:szCs w:val="21"/>
              </w:rPr>
            </w:pPr>
            <w:r>
              <w:rPr>
                <w:rFonts w:ascii="宋体"/>
                <w:spacing w:val="-1"/>
                <w:sz w:val="21"/>
              </w:rPr>
              <w:t>10,762,130.14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1"/>
              <w:jc w:val="right"/>
              <w:rPr>
                <w:rFonts w:ascii="宋体" w:hAnsi="宋体" w:cs="宋体" w:eastAsia="宋体" w:hint="default"/>
                <w:sz w:val="21"/>
                <w:szCs w:val="21"/>
              </w:rPr>
            </w:pPr>
            <w:r>
              <w:rPr>
                <w:rFonts w:ascii="宋体"/>
                <w:sz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宋体" w:hAnsi="宋体" w:cs="宋体" w:eastAsia="宋体" w:hint="default"/>
                <w:sz w:val="21"/>
                <w:szCs w:val="21"/>
              </w:rPr>
            </w:pPr>
            <w:r>
              <w:rPr>
                <w:rFonts w:ascii="宋体"/>
                <w:spacing w:val="-1"/>
                <w:sz w:val="21"/>
              </w:rPr>
              <w:t>102,695,291.91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6" w:right="0"/>
              <w:jc w:val="center"/>
              <w:rPr>
                <w:rFonts w:ascii="宋体" w:hAnsi="宋体" w:cs="宋体" w:eastAsia="宋体" w:hint="default"/>
                <w:sz w:val="21"/>
                <w:szCs w:val="21"/>
              </w:rPr>
            </w:pPr>
            <w:r>
              <w:rPr>
                <w:rFonts w:ascii="宋体"/>
                <w:sz w:val="21"/>
              </w:rPr>
              <w:t>122,076,030.25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1"/>
                <w:szCs w:val="21"/>
              </w:rPr>
            </w:pPr>
            <w:r>
              <w:rPr>
                <w:rFonts w:ascii="宋体"/>
                <w:sz w:val="21"/>
              </w:rPr>
              <w:t>/</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 w:right="0"/>
              <w:jc w:val="center"/>
              <w:rPr>
                <w:rFonts w:ascii="宋体" w:hAnsi="宋体" w:cs="宋体" w:eastAsia="宋体" w:hint="default"/>
                <w:sz w:val="21"/>
                <w:szCs w:val="21"/>
              </w:rPr>
            </w:pPr>
            <w:r>
              <w:rPr>
                <w:rFonts w:ascii="宋体"/>
                <w:sz w:val="21"/>
              </w:rPr>
              <w:t>8,039,507.00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2"/>
              <w:jc w:val="right"/>
              <w:rPr>
                <w:rFonts w:ascii="宋体" w:hAnsi="宋体" w:cs="宋体" w:eastAsia="宋体" w:hint="default"/>
                <w:sz w:val="21"/>
                <w:szCs w:val="21"/>
              </w:rPr>
            </w:pPr>
            <w:r>
              <w:rPr>
                <w:rFonts w:ascii="宋体"/>
                <w:sz w:val="21"/>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1"/>
                <w:szCs w:val="21"/>
              </w:rPr>
            </w:pPr>
            <w:r>
              <w:rPr>
                <w:rFonts w:ascii="宋体"/>
                <w:spacing w:val="-1"/>
                <w:sz w:val="21"/>
              </w:rPr>
              <w:t>114,036,523.25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63"/>
        <w:ind w:left="6706" w:right="6695" w:firstLine="0"/>
        <w:jc w:val="center"/>
        <w:rPr>
          <w:rFonts w:ascii="Calibri" w:hAnsi="Calibri" w:cs="Calibri" w:eastAsia="Calibri" w:hint="default"/>
          <w:sz w:val="18"/>
          <w:szCs w:val="18"/>
        </w:rPr>
      </w:pPr>
      <w:r>
        <w:rPr>
          <w:rFonts w:ascii="Calibri"/>
          <w:b/>
          <w:sz w:val="18"/>
        </w:rPr>
        <w:t>97 </w:t>
      </w:r>
      <w:r>
        <w:rPr>
          <w:rFonts w:ascii="Calibri"/>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400"/>
        </w:sect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56"/>
          <w:pgSz w:w="11910" w:h="16840"/>
          <w:pgMar w:footer="977" w:header="0" w:top="1120" w:bottom="1160" w:left="1380" w:right="1020"/>
          <w:pgNumType w:start="98"/>
        </w:sectPr>
      </w:pPr>
    </w:p>
    <w:p>
      <w:pPr>
        <w:pStyle w:val="BodyText"/>
        <w:spacing w:line="274" w:lineRule="exact" w:before="35"/>
        <w:ind w:left="321" w:right="-20"/>
        <w:jc w:val="left"/>
      </w:pPr>
      <w:r>
        <w:rPr/>
        <w:t>期末单项金额重大并单项计提坏帐准备的应收账款</w:t>
      </w:r>
    </w:p>
    <w:p>
      <w:pPr>
        <w:pStyle w:val="BodyText"/>
        <w:spacing w:line="272" w:lineRule="exact" w:before="26"/>
        <w:ind w:left="321" w:right="-20"/>
        <w:jc w:val="left"/>
      </w:pPr>
      <w:r>
        <w:rPr/>
        <w:t>□适用</w:t>
      </w:r>
      <w:r>
        <w:rPr>
          <w:spacing w:val="-1"/>
        </w:rPr>
        <w:t> </w:t>
      </w:r>
      <w:r>
        <w:rPr/>
        <w:t>√不适用</w:t>
      </w:r>
      <w:r>
        <w:rPr/>
        <w:t> 组合中，按账龄分析法计提坏账准备的应收账款：</w:t>
      </w:r>
    </w:p>
    <w:p>
      <w:pPr>
        <w:pStyle w:val="BodyText"/>
        <w:spacing w:line="248" w:lineRule="exact" w:before="0"/>
        <w:ind w:left="321"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371" w:val="left" w:leader="none"/>
        </w:tabs>
        <w:spacing w:line="240" w:lineRule="auto" w:before="0"/>
        <w:ind w:left="321" w:right="0"/>
        <w:jc w:val="left"/>
      </w:pPr>
      <w:r>
        <w:rPr/>
        <w:t>单位：元</w:t>
        <w:tab/>
        <w:t>币种：人民币</w:t>
      </w:r>
    </w:p>
    <w:p>
      <w:pPr>
        <w:spacing w:after="0" w:line="240" w:lineRule="auto"/>
        <w:jc w:val="left"/>
        <w:sectPr>
          <w:type w:val="continuous"/>
          <w:pgSz w:w="11910" w:h="16840"/>
          <w:pgMar w:top="1120" w:bottom="1160" w:left="1380" w:right="1020"/>
          <w:cols w:num="2" w:equalWidth="0">
            <w:col w:w="4942" w:space="1677"/>
            <w:col w:w="2891"/>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070"/>
        <w:gridCol w:w="2308"/>
        <w:gridCol w:w="2341"/>
        <w:gridCol w:w="2273"/>
      </w:tblGrid>
      <w:tr>
        <w:trPr>
          <w:trHeight w:val="282" w:hRule="exact"/>
        </w:trPr>
        <w:tc>
          <w:tcPr>
            <w:tcW w:w="2070"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9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70" w:type="dxa"/>
            <w:vMerge/>
            <w:tcBorders>
              <w:left w:val="single" w:sz="4" w:space="0" w:color="000000"/>
              <w:bottom w:val="single" w:sz="4" w:space="0" w:color="000000"/>
              <w:right w:val="single" w:sz="4" w:space="0" w:color="000000"/>
            </w:tcBorders>
          </w:tcPr>
          <w:p>
            <w:pP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9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年以内小</w:t>
            </w:r>
            <w:r>
              <w:rPr>
                <w:rFonts w:ascii="宋体" w:hAnsi="宋体" w:cs="宋体" w:eastAsia="宋体" w:hint="default"/>
                <w:spacing w:val="-106"/>
                <w:sz w:val="21"/>
                <w:szCs w:val="21"/>
              </w:rPr>
              <w:t>计</w:t>
            </w:r>
            <w:r>
              <w:rPr>
                <w:rFonts w:ascii="宋体" w:hAnsi="宋体" w:cs="宋体" w:eastAsia="宋体" w:hint="default"/>
                <w:sz w:val="21"/>
                <w:szCs w:val="21"/>
              </w:rPr>
              <w:t>（含</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tabs>
                <w:tab w:pos="907" w:val="left" w:leader="none"/>
              </w:tabs>
              <w:spacing w:line="240" w:lineRule="exact"/>
              <w:ind w:left="-141" w:right="23"/>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81,754,988.79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1"/>
                <w:sz w:val="21"/>
              </w:rPr>
              <w:t>2,452,649.66</w:t>
            </w:r>
            <w:r>
              <w:rPr>
                <w:rFonts w:ascii="宋体"/>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3.00</w:t>
            </w:r>
          </w:p>
        </w:tc>
      </w:tr>
      <w:tr>
        <w:trPr>
          <w:trHeight w:val="28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14,138,893.65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1"/>
                <w:sz w:val="21"/>
              </w:rPr>
              <w:t>1,413,889.37</w:t>
            </w:r>
            <w:r>
              <w:rPr>
                <w:rFonts w:ascii="宋体"/>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10.00</w:t>
            </w:r>
          </w:p>
        </w:tc>
      </w:tr>
      <w:tr>
        <w:trPr>
          <w:trHeight w:val="28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8,343,396.42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pacing w:val="-1"/>
                <w:sz w:val="21"/>
              </w:rPr>
              <w:t>1,668,679.28</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20.00</w:t>
            </w:r>
          </w:p>
        </w:tc>
      </w:tr>
      <w:tr>
        <w:trPr>
          <w:trHeight w:val="28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7,756,107.80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1"/>
                <w:sz w:val="21"/>
              </w:rPr>
              <w:t>3,878,053.90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50.00</w:t>
            </w:r>
          </w:p>
        </w:tc>
      </w:tr>
      <w:tr>
        <w:trPr>
          <w:trHeight w:val="28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575,887.29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460,709.83</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80.00</w:t>
            </w:r>
          </w:p>
        </w:tc>
      </w:tr>
      <w:tr>
        <w:trPr>
          <w:trHeight w:val="28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413,348.10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1"/>
                <w:sz w:val="21"/>
              </w:rPr>
              <w:t>413,348.10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100.00</w:t>
            </w:r>
          </w:p>
        </w:tc>
      </w:tr>
      <w:tr>
        <w:trPr>
          <w:trHeight w:val="28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112,982,622.05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10,287,330.14</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9.11</w:t>
            </w:r>
          </w:p>
        </w:tc>
      </w:tr>
    </w:tbl>
    <w:p>
      <w:pPr>
        <w:pStyle w:val="BodyText"/>
        <w:spacing w:line="238" w:lineRule="exact" w:before="0"/>
        <w:ind w:left="321" w:right="0"/>
        <w:jc w:val="left"/>
      </w:pPr>
      <w:r>
        <w:rPr/>
        <w:t>确定该组合依据的说明：</w:t>
      </w:r>
    </w:p>
    <w:p>
      <w:pPr>
        <w:pStyle w:val="BodyText"/>
        <w:spacing w:line="274" w:lineRule="exact" w:before="0"/>
        <w:ind w:left="321" w:right="0"/>
        <w:jc w:val="left"/>
      </w:pPr>
      <w:r>
        <w:rPr/>
        <w:t>无。</w:t>
      </w:r>
    </w:p>
    <w:p>
      <w:pPr>
        <w:spacing w:line="240" w:lineRule="auto" w:before="8"/>
        <w:rPr>
          <w:rFonts w:ascii="宋体" w:hAnsi="宋体" w:cs="宋体" w:eastAsia="宋体" w:hint="default"/>
          <w:sz w:val="20"/>
          <w:szCs w:val="20"/>
        </w:rPr>
      </w:pPr>
    </w:p>
    <w:p>
      <w:pPr>
        <w:pStyle w:val="BodyText"/>
        <w:spacing w:line="274" w:lineRule="exact" w:before="0"/>
        <w:ind w:left="321" w:right="0"/>
        <w:jc w:val="left"/>
      </w:pPr>
      <w:r>
        <w:rPr/>
        <w:t>组合中，采用余额百分比法计提坏账准备的应收账款：</w:t>
      </w:r>
    </w:p>
    <w:p>
      <w:pPr>
        <w:pStyle w:val="BodyText"/>
        <w:spacing w:line="274" w:lineRule="exact" w:before="0"/>
        <w:ind w:left="321" w:right="0"/>
        <w:jc w:val="left"/>
      </w:pPr>
      <w:r>
        <w:rPr/>
        <w:t>□适用√不适用</w:t>
      </w:r>
    </w:p>
    <w:p>
      <w:pPr>
        <w:spacing w:line="240" w:lineRule="auto" w:before="10"/>
        <w:rPr>
          <w:rFonts w:ascii="宋体" w:hAnsi="宋体" w:cs="宋体" w:eastAsia="宋体" w:hint="default"/>
          <w:sz w:val="22"/>
          <w:szCs w:val="22"/>
        </w:rPr>
      </w:pPr>
    </w:p>
    <w:p>
      <w:pPr>
        <w:pStyle w:val="BodyText"/>
        <w:spacing w:line="272" w:lineRule="exact" w:before="0"/>
        <w:ind w:left="321" w:right="4543"/>
        <w:jc w:val="left"/>
      </w:pPr>
      <w:r>
        <w:rPr/>
        <w:t>组合中，采用其他方法计提坏账准备的应收账款： 不适用。</w:t>
      </w:r>
    </w:p>
    <w:p>
      <w:pPr>
        <w:spacing w:line="240" w:lineRule="auto" w:before="4"/>
        <w:rPr>
          <w:rFonts w:ascii="宋体" w:hAnsi="宋体" w:cs="宋体" w:eastAsia="宋体" w:hint="default"/>
          <w:sz w:val="23"/>
          <w:szCs w:val="23"/>
        </w:rPr>
      </w:pPr>
    </w:p>
    <w:p>
      <w:pPr>
        <w:pStyle w:val="Heading2"/>
        <w:spacing w:line="240" w:lineRule="auto" w:before="0"/>
        <w:ind w:left="321" w:right="0"/>
        <w:jc w:val="left"/>
        <w:rPr>
          <w:b w:val="0"/>
          <w:bCs w:val="0"/>
        </w:rPr>
      </w:pPr>
      <w:r>
        <w:rPr/>
        <w:t>(2).</w:t>
      </w:r>
      <w:r>
        <w:rPr>
          <w:spacing w:val="38"/>
        </w:rPr>
        <w:t> </w:t>
      </w:r>
      <w:r>
        <w:rPr/>
        <w:t>本期计提、收回或转回的坏账准备情况：</w:t>
      </w:r>
      <w:r>
        <w:rPr>
          <w:b w:val="0"/>
          <w:bCs w:val="0"/>
        </w:rPr>
      </w:r>
    </w:p>
    <w:p>
      <w:pPr>
        <w:pStyle w:val="BodyText"/>
        <w:spacing w:line="240" w:lineRule="auto" w:before="57"/>
        <w:ind w:left="321" w:right="0"/>
        <w:jc w:val="left"/>
      </w:pPr>
      <w:r>
        <w:rPr/>
        <w:t>本期计提坏账准备金额</w:t>
      </w:r>
      <w:r>
        <w:rPr>
          <w:spacing w:val="-62"/>
        </w:rPr>
        <w:t> </w:t>
      </w:r>
      <w:r>
        <w:rPr/>
        <w:t>2,722,623.14</w:t>
      </w:r>
      <w:r>
        <w:rPr>
          <w:spacing w:val="-62"/>
        </w:rPr>
        <w:t> </w:t>
      </w:r>
      <w:r>
        <w:rPr/>
        <w:t>元；本期收回或转回坏账准备金额</w:t>
      </w:r>
      <w:r>
        <w:rPr>
          <w:spacing w:val="-62"/>
        </w:rPr>
        <w:t> </w:t>
      </w:r>
      <w:r>
        <w:rPr/>
        <w:t>0</w:t>
      </w:r>
      <w:r>
        <w:rPr>
          <w:spacing w:val="-61"/>
        </w:rPr>
        <w:t> </w:t>
      </w:r>
      <w:r>
        <w:rPr/>
        <w:t>元。</w:t>
      </w:r>
    </w:p>
    <w:p>
      <w:pPr>
        <w:spacing w:line="240" w:lineRule="auto" w:before="2"/>
        <w:rPr>
          <w:rFonts w:ascii="宋体" w:hAnsi="宋体" w:cs="宋体" w:eastAsia="宋体" w:hint="default"/>
          <w:sz w:val="25"/>
          <w:szCs w:val="25"/>
        </w:rPr>
      </w:pPr>
    </w:p>
    <w:p>
      <w:pPr>
        <w:pStyle w:val="Heading2"/>
        <w:spacing w:line="240" w:lineRule="auto" w:before="0"/>
        <w:ind w:left="321" w:right="0"/>
        <w:jc w:val="left"/>
        <w:rPr>
          <w:b w:val="0"/>
          <w:bCs w:val="0"/>
        </w:rPr>
      </w:pPr>
      <w:r>
        <w:rPr/>
        <w:t>(3).</w:t>
      </w:r>
      <w:r>
        <w:rPr>
          <w:spacing w:val="36"/>
        </w:rPr>
        <w:t> </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03" w:type="dxa"/>
        <w:tblLayout w:type="fixed"/>
        <w:tblCellMar>
          <w:top w:w="0" w:type="dxa"/>
          <w:left w:w="0" w:type="dxa"/>
          <w:bottom w:w="0" w:type="dxa"/>
          <w:right w:w="0" w:type="dxa"/>
        </w:tblCellMar>
        <w:tblLook w:val="01E0"/>
      </w:tblPr>
      <w:tblGrid>
        <w:gridCol w:w="2623"/>
        <w:gridCol w:w="2126"/>
        <w:gridCol w:w="2262"/>
        <w:gridCol w:w="2263"/>
      </w:tblGrid>
      <w:tr>
        <w:trPr>
          <w:trHeight w:val="556"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客户一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7,760,215.11</w:t>
            </w:r>
            <w:r>
              <w:rPr>
                <w:rFonts w:ascii="宋体"/>
                <w:sz w:val="21"/>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6.84</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232,806.45</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客户二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6,792,050.00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5.99</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2,758,563.79</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客户三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4,900,000.00</w:t>
            </w:r>
            <w:r>
              <w:rPr>
                <w:rFonts w:ascii="宋体"/>
                <w:sz w:val="21"/>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4.32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147,000.00</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客户四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4,887,054.00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4.31</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1,203,373.31</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客户五</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4,589,466.46</w:t>
            </w:r>
            <w:r>
              <w:rPr>
                <w:rFonts w:ascii="宋体"/>
                <w:sz w:val="21"/>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4.05</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137,683.99</w:t>
            </w:r>
          </w:p>
        </w:tc>
      </w:tr>
      <w:tr>
        <w:trPr>
          <w:trHeight w:val="408"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28,928,785.57</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25.51</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4,479,427.54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367" w:lineRule="auto"/>
        <w:ind w:left="637" w:right="4800" w:hanging="316"/>
        <w:jc w:val="left"/>
        <w:rPr>
          <w:rFonts w:ascii="宋体" w:hAnsi="宋体" w:cs="宋体" w:eastAsia="宋体" w:hint="default"/>
          <w:b w:val="0"/>
          <w:bCs w:val="0"/>
        </w:rPr>
      </w:pPr>
      <w:r>
        <w:rPr/>
        <w:t>(4).</w:t>
      </w:r>
      <w:r>
        <w:rPr>
          <w:spacing w:val="39"/>
        </w:rPr>
        <w:t> </w:t>
      </w:r>
      <w:r>
        <w:rPr/>
        <w:t>因金融资产转移而终止确认的应收账款：</w:t>
      </w:r>
      <w:r>
        <w:rPr>
          <w:spacing w:val="1"/>
          <w:w w:val="99"/>
        </w:rPr>
        <w:t> </w:t>
      </w:r>
      <w:r>
        <w:rPr>
          <w:rFonts w:ascii="宋体" w:hAnsi="宋体" w:cs="宋体" w:eastAsia="宋体" w:hint="default"/>
          <w:b w:val="0"/>
          <w:bCs w:val="0"/>
        </w:rPr>
        <w:t>无</w:t>
      </w:r>
    </w:p>
    <w:p>
      <w:pPr>
        <w:spacing w:after="0" w:line="367" w:lineRule="auto"/>
        <w:jc w:val="left"/>
        <w:rPr>
          <w:rFonts w:ascii="宋体" w:hAnsi="宋体" w:cs="宋体" w:eastAsia="宋体" w:hint="default"/>
        </w:rPr>
        <w:sectPr>
          <w:type w:val="continuous"/>
          <w:pgSz w:w="11910" w:h="16840"/>
          <w:pgMar w:top="1120" w:bottom="1160" w:left="1380" w:right="1020"/>
        </w:sectPr>
      </w:pPr>
    </w:p>
    <w:p>
      <w:pPr>
        <w:spacing w:line="240" w:lineRule="auto" w:before="3"/>
        <w:rPr>
          <w:rFonts w:ascii="宋体" w:hAnsi="宋体" w:cs="宋体" w:eastAsia="宋体" w:hint="default"/>
          <w:sz w:val="25"/>
          <w:szCs w:val="25"/>
        </w:rPr>
      </w:pPr>
    </w:p>
    <w:p>
      <w:pPr>
        <w:pStyle w:val="Heading2"/>
        <w:spacing w:line="367" w:lineRule="auto"/>
        <w:ind w:left="457" w:right="3859" w:hanging="316"/>
        <w:jc w:val="left"/>
        <w:rPr>
          <w:rFonts w:ascii="宋体" w:hAnsi="宋体" w:cs="宋体" w:eastAsia="宋体" w:hint="default"/>
          <w:b w:val="0"/>
          <w:bCs w:val="0"/>
        </w:rPr>
      </w:pPr>
      <w:r>
        <w:rPr/>
        <w:t>(5).</w:t>
      </w:r>
      <w:r>
        <w:rPr>
          <w:spacing w:val="37"/>
        </w:rPr>
        <w:t> </w:t>
      </w:r>
      <w:r>
        <w:rPr/>
        <w:t>转移应收账款且继续涉入形成的资产、负债金额：</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977" w:top="1120" w:bottom="1160" w:left="1560" w:right="1120"/>
        </w:sectPr>
      </w:pPr>
    </w:p>
    <w:p>
      <w:pPr>
        <w:pStyle w:val="Heading2"/>
        <w:spacing w:line="240" w:lineRule="auto"/>
        <w:ind w:left="141" w:right="-15"/>
        <w:jc w:val="left"/>
        <w:rPr>
          <w:b w:val="0"/>
          <w:bCs w:val="0"/>
        </w:rPr>
      </w:pPr>
      <w:r>
        <w:rPr/>
        <w:t>4、</w:t>
      </w:r>
      <w:r>
        <w:rPr>
          <w:spacing w:val="-3"/>
        </w:rPr>
        <w:t> </w:t>
      </w:r>
      <w:r>
        <w:rPr/>
        <w:t>预付款项</w:t>
      </w:r>
      <w:r>
        <w:rPr>
          <w:b w:val="0"/>
          <w:bCs w:val="0"/>
        </w:rPr>
      </w:r>
    </w:p>
    <w:p>
      <w:pPr>
        <w:pStyle w:val="Heading2"/>
        <w:spacing w:line="240" w:lineRule="auto" w:before="57"/>
        <w:ind w:left="141" w:right="-15"/>
        <w:jc w:val="left"/>
        <w:rPr>
          <w:b w:val="0"/>
          <w:bCs w:val="0"/>
        </w:rPr>
      </w:pPr>
      <w:r>
        <w:rPr/>
        <w:t>(1).</w:t>
      </w:r>
      <w:r>
        <w:rPr>
          <w:spacing w:val="83"/>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1" w:val="left" w:leader="none"/>
        </w:tabs>
        <w:spacing w:line="240" w:lineRule="auto" w:before="176"/>
        <w:ind w:right="0"/>
        <w:jc w:val="left"/>
      </w:pPr>
      <w:r>
        <w:rPr/>
        <w:t>单位：元</w:t>
        <w:tab/>
        <w:t>币种：人民币</w:t>
      </w:r>
    </w:p>
    <w:p>
      <w:pPr>
        <w:spacing w:after="0" w:line="240" w:lineRule="auto"/>
        <w:jc w:val="left"/>
        <w:sectPr>
          <w:type w:val="continuous"/>
          <w:pgSz w:w="11910" w:h="16840"/>
          <w:pgMar w:top="1120" w:bottom="1160" w:left="1560" w:right="1120"/>
          <w:cols w:num="2" w:equalWidth="0">
            <w:col w:w="2656" w:space="3963"/>
            <w:col w:w="261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78"/>
        <w:gridCol w:w="1910"/>
        <w:gridCol w:w="1897"/>
        <w:gridCol w:w="1895"/>
        <w:gridCol w:w="1912"/>
      </w:tblGrid>
      <w:tr>
        <w:trPr>
          <w:trHeight w:val="287" w:hRule="exact"/>
        </w:trPr>
        <w:tc>
          <w:tcPr>
            <w:tcW w:w="1378"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78" w:type="dxa"/>
            <w:vMerge/>
            <w:tcBorders>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74"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3,893,467.32</w:t>
            </w:r>
            <w:r>
              <w:rPr>
                <w:rFonts w:ascii="宋体"/>
                <w:sz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91.97</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8"/>
              <w:jc w:val="right"/>
              <w:rPr>
                <w:rFonts w:ascii="宋体" w:hAnsi="宋体" w:cs="宋体" w:eastAsia="宋体" w:hint="default"/>
                <w:sz w:val="21"/>
                <w:szCs w:val="21"/>
              </w:rPr>
            </w:pPr>
            <w:r>
              <w:rPr>
                <w:rFonts w:ascii="宋体"/>
                <w:spacing w:val="-1"/>
                <w:sz w:val="21"/>
              </w:rPr>
              <w:t>4,780,309.37</w:t>
            </w:r>
            <w:r>
              <w:rPr>
                <w:rFonts w:ascii="宋体"/>
                <w:sz w:val="21"/>
              </w:rPr>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95.55</w:t>
            </w:r>
          </w:p>
        </w:tc>
      </w:tr>
      <w:tr>
        <w:trPr>
          <w:trHeight w:val="376"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279,020.71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6.59</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pacing w:val="-1"/>
                <w:sz w:val="21"/>
              </w:rPr>
              <w:t>222,839.37</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5"/>
              <w:jc w:val="right"/>
              <w:rPr>
                <w:rFonts w:ascii="宋体" w:hAnsi="宋体" w:cs="宋体" w:eastAsia="宋体" w:hint="default"/>
                <w:sz w:val="21"/>
                <w:szCs w:val="21"/>
              </w:rPr>
            </w:pPr>
            <w:r>
              <w:rPr>
                <w:rFonts w:ascii="宋体"/>
                <w:spacing w:val="-1"/>
                <w:sz w:val="21"/>
              </w:rPr>
              <w:t>4.45</w:t>
            </w:r>
          </w:p>
        </w:tc>
      </w:tr>
      <w:tr>
        <w:trPr>
          <w:trHeight w:val="374"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60,948.39</w:t>
            </w:r>
            <w:r>
              <w:rPr>
                <w:rFonts w:ascii="宋体"/>
                <w:sz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1.44</w:t>
            </w:r>
          </w:p>
        </w:tc>
        <w:tc>
          <w:tcPr>
            <w:tcW w:w="1895" w:type="dxa"/>
            <w:tcBorders>
              <w:top w:val="single" w:sz="6" w:space="0" w:color="000000"/>
              <w:left w:val="single" w:sz="6" w:space="0" w:color="000000"/>
              <w:bottom w:val="single" w:sz="6" w:space="0" w:color="000000"/>
              <w:right w:val="single" w:sz="6" w:space="0" w:color="000000"/>
            </w:tcBorders>
          </w:tcPr>
          <w:p>
            <w:pPr/>
          </w:p>
        </w:tc>
        <w:tc>
          <w:tcPr>
            <w:tcW w:w="1912" w:type="dxa"/>
            <w:tcBorders>
              <w:top w:val="single" w:sz="6" w:space="0" w:color="000000"/>
              <w:left w:val="single" w:sz="6" w:space="0" w:color="000000"/>
              <w:bottom w:val="single" w:sz="6" w:space="0" w:color="000000"/>
              <w:right w:val="single" w:sz="6" w:space="0" w:color="000000"/>
            </w:tcBorders>
          </w:tcPr>
          <w:p>
            <w:pPr/>
          </w:p>
        </w:tc>
      </w:tr>
      <w:tr>
        <w:trPr>
          <w:trHeight w:val="376"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10"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912"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5"/>
              <w:jc w:val="right"/>
              <w:rPr>
                <w:rFonts w:ascii="宋体" w:hAnsi="宋体" w:cs="宋体" w:eastAsia="宋体" w:hint="default"/>
                <w:sz w:val="21"/>
                <w:szCs w:val="21"/>
              </w:rPr>
            </w:pPr>
            <w:r>
              <w:rPr>
                <w:rFonts w:ascii="宋体"/>
                <w:spacing w:val="-1"/>
                <w:sz w:val="21"/>
              </w:rPr>
              <w:t>4,233,436.42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5"/>
              <w:jc w:val="right"/>
              <w:rPr>
                <w:rFonts w:ascii="宋体" w:hAnsi="宋体" w:cs="宋体" w:eastAsia="宋体" w:hint="default"/>
                <w:sz w:val="21"/>
                <w:szCs w:val="21"/>
              </w:rPr>
            </w:pPr>
            <w:r>
              <w:rPr>
                <w:rFonts w:ascii="宋体"/>
                <w:spacing w:val="-1"/>
                <w:sz w:val="21"/>
              </w:rPr>
              <w:t>100.00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5,003,148.74</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5"/>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pStyle w:val="Heading2"/>
        <w:spacing w:line="240" w:lineRule="auto"/>
        <w:ind w:left="141" w:right="139"/>
        <w:jc w:val="left"/>
        <w:rPr>
          <w:b w:val="0"/>
          <w:bCs w:val="0"/>
        </w:rPr>
      </w:pPr>
      <w:r>
        <w:rPr/>
        <w:t>(2).</w:t>
      </w:r>
      <w:r>
        <w:rPr>
          <w:spacing w:val="78"/>
        </w:rPr>
        <w:t> </w:t>
      </w:r>
      <w:r>
        <w:rPr/>
        <w:t>按预付对象归集的期末余额前五名的预付款情况：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21" w:type="dxa"/>
        <w:tblLayout w:type="fixed"/>
        <w:tblCellMar>
          <w:top w:w="0" w:type="dxa"/>
          <w:left w:w="0" w:type="dxa"/>
          <w:bottom w:w="0" w:type="dxa"/>
          <w:right w:w="0" w:type="dxa"/>
        </w:tblCellMar>
        <w:tblLook w:val="01E0"/>
      </w:tblPr>
      <w:tblGrid>
        <w:gridCol w:w="3418"/>
        <w:gridCol w:w="2694"/>
        <w:gridCol w:w="2693"/>
      </w:tblGrid>
      <w:tr>
        <w:trPr>
          <w:trHeight w:val="556"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占预付账款合计数的比例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6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预付供应商一</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1,800,000.00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42.52</w:t>
            </w:r>
          </w:p>
        </w:tc>
      </w:tr>
      <w:tr>
        <w:trPr>
          <w:trHeight w:val="46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预付供应商二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293,682.60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6.94</w:t>
            </w:r>
          </w:p>
        </w:tc>
      </w:tr>
      <w:tr>
        <w:trPr>
          <w:trHeight w:val="46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预付供应商三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252,000.00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5.95</w:t>
            </w:r>
          </w:p>
        </w:tc>
      </w:tr>
      <w:tr>
        <w:trPr>
          <w:trHeight w:val="46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预付供应商四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183,789.06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4.34</w:t>
            </w:r>
          </w:p>
        </w:tc>
      </w:tr>
      <w:tr>
        <w:trPr>
          <w:trHeight w:val="46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预付供应商五</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178,886.48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4.23</w:t>
            </w:r>
          </w:p>
        </w:tc>
      </w:tr>
      <w:tr>
        <w:trPr>
          <w:trHeight w:val="46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2,708,358.14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63.98</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120" w:bottom="1160" w:left="1560" w:right="1120"/>
        </w:sectPr>
      </w:pPr>
    </w:p>
    <w:p>
      <w:pPr>
        <w:pStyle w:val="Heading2"/>
        <w:spacing w:line="240" w:lineRule="auto"/>
        <w:ind w:left="141" w:right="-16"/>
        <w:jc w:val="left"/>
        <w:rPr>
          <w:b w:val="0"/>
          <w:bCs w:val="0"/>
        </w:rPr>
      </w:pPr>
      <w:r>
        <w:rPr/>
        <w:t>5、</w:t>
      </w:r>
      <w:r>
        <w:rPr>
          <w:spacing w:val="-3"/>
        </w:rPr>
        <w:t> </w:t>
      </w:r>
      <w:r>
        <w:rPr/>
        <w:t>应收利息</w:t>
      </w:r>
      <w:r>
        <w:rPr>
          <w:b w:val="0"/>
          <w:bCs w:val="0"/>
        </w:rPr>
      </w:r>
    </w:p>
    <w:p>
      <w:pPr>
        <w:pStyle w:val="Heading2"/>
        <w:spacing w:line="240" w:lineRule="auto" w:before="57"/>
        <w:ind w:left="141" w:right="-16"/>
        <w:jc w:val="left"/>
        <w:rPr>
          <w:b w:val="0"/>
          <w:bCs w:val="0"/>
        </w:rPr>
      </w:pPr>
      <w:r>
        <w:rPr/>
        <w:t>(1).</w:t>
      </w:r>
      <w:r>
        <w:rPr>
          <w:spacing w:val="12"/>
        </w:rPr>
        <w:t> </w:t>
      </w:r>
      <w:r>
        <w:rPr/>
        <w:t>应收利息分类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1" w:val="left" w:leader="none"/>
        </w:tabs>
        <w:spacing w:line="240" w:lineRule="auto" w:before="176"/>
        <w:ind w:right="0"/>
        <w:jc w:val="left"/>
      </w:pPr>
      <w:r>
        <w:rPr/>
        <w:t>单位：元</w:t>
        <w:tab/>
        <w:t>币种：人民币</w:t>
      </w:r>
    </w:p>
    <w:p>
      <w:pPr>
        <w:spacing w:after="0" w:line="240" w:lineRule="auto"/>
        <w:jc w:val="left"/>
        <w:sectPr>
          <w:type w:val="continuous"/>
          <w:pgSz w:w="11910" w:h="16840"/>
          <w:pgMar w:top="1120" w:bottom="1160" w:left="1560" w:right="1120"/>
          <w:cols w:num="2" w:equalWidth="0">
            <w:col w:w="1952" w:space="4668"/>
            <w:col w:w="2610"/>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809"/>
        <w:gridCol w:w="3080"/>
        <w:gridCol w:w="3100"/>
      </w:tblGrid>
      <w:tr>
        <w:trPr>
          <w:trHeight w:val="287"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87"/>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4"/>
              <w:jc w:val="right"/>
              <w:rPr>
                <w:rFonts w:ascii="宋体" w:hAnsi="宋体" w:cs="宋体" w:eastAsia="宋体" w:hint="default"/>
                <w:sz w:val="21"/>
                <w:szCs w:val="21"/>
              </w:rPr>
            </w:pPr>
            <w:r>
              <w:rPr>
                <w:rFonts w:ascii="宋体"/>
                <w:spacing w:val="-1"/>
                <w:sz w:val="21"/>
              </w:rPr>
              <w:t>3,519,781.60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457,110.88</w:t>
            </w:r>
            <w:r>
              <w:rPr>
                <w:rFonts w:ascii="宋体"/>
                <w:sz w:val="21"/>
              </w:rPr>
            </w:r>
          </w:p>
        </w:tc>
      </w:tr>
      <w:tr>
        <w:trPr>
          <w:trHeight w:val="287"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8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8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pacing w:val="-1"/>
                <w:sz w:val="21"/>
              </w:rPr>
              <w:t>3,519,781.60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pacing w:val="-1"/>
                <w:sz w:val="21"/>
              </w:rPr>
              <w:t>457,110.88</w:t>
            </w:r>
          </w:p>
        </w:tc>
      </w:tr>
    </w:tbl>
    <w:p>
      <w:pPr>
        <w:spacing w:after="0" w:line="240" w:lineRule="exact"/>
        <w:jc w:val="right"/>
        <w:rPr>
          <w:rFonts w:ascii="宋体" w:hAnsi="宋体" w:cs="宋体" w:eastAsia="宋体" w:hint="default"/>
          <w:sz w:val="21"/>
          <w:szCs w:val="21"/>
        </w:rPr>
        <w:sectPr>
          <w:type w:val="continuous"/>
          <w:pgSz w:w="11910" w:h="16840"/>
          <w:pgMar w:top="1120" w:bottom="1160" w:left="1560" w:right="1120"/>
        </w:sectPr>
      </w:pPr>
    </w:p>
    <w:p>
      <w:pPr>
        <w:spacing w:before="22"/>
        <w:ind w:left="0" w:right="161"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696.3pt;height:.75pt;mso-position-horizontal-relative:char;mso-position-vertical-relative:line" coordorigin="0,0" coordsize="13926,15">
            <v:group style="position:absolute;left:7;top:7;width:13912;height:2" coordorigin="7,7" coordsize="13912,2">
              <v:shape style="position:absolute;left:7;top:7;width:13912;height:2" coordorigin="7,7" coordsize="13912,0" path="m7,7l1391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7"/>
          <w:footerReference w:type="default" r:id="rId58"/>
          <w:pgSz w:w="16840" w:h="11910" w:orient="landscape"/>
          <w:pgMar w:header="0" w:footer="0" w:top="800" w:bottom="280" w:left="1380" w:right="1300"/>
        </w:sectPr>
      </w:pPr>
    </w:p>
    <w:p>
      <w:pPr>
        <w:pStyle w:val="Heading2"/>
        <w:spacing w:line="240" w:lineRule="auto" w:before="179"/>
        <w:ind w:left="145" w:right="-17"/>
        <w:jc w:val="left"/>
        <w:rPr>
          <w:b w:val="0"/>
          <w:bCs w:val="0"/>
        </w:rPr>
      </w:pPr>
      <w:r>
        <w:rPr/>
        <w:t>6、</w:t>
      </w:r>
      <w:r>
        <w:rPr>
          <w:spacing w:val="-5"/>
        </w:rPr>
        <w:t> </w:t>
      </w:r>
      <w:r>
        <w:rPr/>
        <w:t>其他应收款</w:t>
      </w:r>
      <w:r>
        <w:rPr>
          <w:b w:val="0"/>
          <w:bCs w:val="0"/>
        </w:rPr>
      </w:r>
    </w:p>
    <w:p>
      <w:pPr>
        <w:pStyle w:val="Heading2"/>
        <w:spacing w:line="240" w:lineRule="auto" w:before="57"/>
        <w:ind w:left="145" w:right="-17"/>
        <w:jc w:val="left"/>
        <w:rPr>
          <w:b w:val="0"/>
          <w:bCs w:val="0"/>
        </w:rPr>
      </w:pPr>
      <w:r>
        <w:rPr/>
        <w:t>(1).</w:t>
      </w:r>
      <w:r>
        <w:rPr>
          <w:spacing w:val="56"/>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pStyle w:val="BodyText"/>
        <w:tabs>
          <w:tab w:pos="1194" w:val="left" w:leader="none"/>
        </w:tabs>
        <w:spacing w:line="240" w:lineRule="auto" w:before="0"/>
        <w:ind w:left="145" w:right="0"/>
        <w:jc w:val="left"/>
      </w:pPr>
      <w:r>
        <w:rPr/>
        <w:t>单位：元</w:t>
        <w:tab/>
        <w:t>币种：人民币</w:t>
      </w:r>
    </w:p>
    <w:p>
      <w:pPr>
        <w:spacing w:after="0" w:line="240" w:lineRule="auto"/>
        <w:jc w:val="left"/>
        <w:sectPr>
          <w:type w:val="continuous"/>
          <w:pgSz w:w="16840" w:h="11910" w:orient="landscape"/>
          <w:pgMar w:top="1120" w:bottom="1160" w:left="1380" w:right="1300"/>
          <w:cols w:num="2" w:equalWidth="0">
            <w:col w:w="2632" w:space="8826"/>
            <w:col w:w="2702"/>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30"/>
        <w:gridCol w:w="1427"/>
        <w:gridCol w:w="1009"/>
        <w:gridCol w:w="1321"/>
        <w:gridCol w:w="1018"/>
        <w:gridCol w:w="1427"/>
        <w:gridCol w:w="1427"/>
        <w:gridCol w:w="965"/>
        <w:gridCol w:w="1321"/>
        <w:gridCol w:w="965"/>
        <w:gridCol w:w="1427"/>
      </w:tblGrid>
      <w:tr>
        <w:trPr>
          <w:trHeight w:val="293" w:hRule="exact"/>
        </w:trPr>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30" w:type="dxa"/>
            <w:vMerge/>
            <w:tcBorders>
              <w:left w:val="single" w:sz="4" w:space="0" w:color="000000"/>
              <w:right w:val="single" w:sz="4" w:space="0" w:color="000000"/>
            </w:tcBorders>
          </w:tcPr>
          <w:p>
            <w:pP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7" w:right="497"/>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7" w:right="497"/>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630"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r>
      <w:tr>
        <w:trPr>
          <w:trHeight w:val="827"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121"/>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42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121"/>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17,271,221.13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2,099,996.48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12.16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15,171,224.65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25,832,598.63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2,171,173.46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8.40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23,661,425.17</w:t>
            </w:r>
          </w:p>
        </w:tc>
      </w:tr>
      <w:tr>
        <w:trPr>
          <w:trHeight w:val="1099"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1"/>
              <w:ind w:left="26" w:right="121"/>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42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17,271,221.13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2,099,996.48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15,171,224.65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sz w:val="21"/>
              </w:rPr>
              <w:t>25,832,598.63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2,171,173.46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23,661,425.17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63"/>
        <w:ind w:left="6711" w:right="6709" w:firstLine="0"/>
        <w:jc w:val="center"/>
        <w:rPr>
          <w:rFonts w:ascii="Calibri" w:hAnsi="Calibri" w:cs="Calibri" w:eastAsia="Calibri" w:hint="default"/>
          <w:sz w:val="18"/>
          <w:szCs w:val="18"/>
        </w:rPr>
      </w:pPr>
      <w:r>
        <w:rPr>
          <w:rFonts w:ascii="Calibri"/>
          <w:b/>
          <w:sz w:val="18"/>
        </w:rPr>
        <w:t>100 </w:t>
      </w:r>
      <w:r>
        <w:rPr>
          <w:rFonts w:ascii="Calibri"/>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80" w:right="1300"/>
        </w:sect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29"/>
          <w:szCs w:val="29"/>
        </w:rPr>
      </w:pPr>
    </w:p>
    <w:p>
      <w:pPr>
        <w:pStyle w:val="BodyText"/>
        <w:spacing w:line="274" w:lineRule="exact" w:before="35"/>
        <w:ind w:left="221" w:right="84"/>
        <w:jc w:val="left"/>
      </w:pPr>
      <w:r>
        <w:rPr/>
        <w:t>期末单项金额重大并单项计提坏帐准备的其他应收款</w:t>
      </w:r>
    </w:p>
    <w:p>
      <w:pPr>
        <w:pStyle w:val="BodyText"/>
        <w:spacing w:line="274" w:lineRule="exact" w:before="0"/>
        <w:ind w:left="221" w:right="84"/>
        <w:jc w:val="left"/>
      </w:pPr>
      <w:r>
        <w:rPr/>
        <w:t>□适用</w:t>
      </w:r>
      <w:r>
        <w:rPr>
          <w:spacing w:val="-2"/>
        </w:rPr>
        <w:t> </w:t>
      </w:r>
      <w:r>
        <w:rPr/>
        <w:t>√不适用</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9"/>
          <w:pgSz w:w="11910" w:h="16840"/>
          <w:pgMar w:footer="977" w:header="0" w:top="1120" w:bottom="1160" w:left="1480" w:right="1040"/>
          <w:pgNumType w:start="101"/>
        </w:sectPr>
      </w:pPr>
    </w:p>
    <w:p>
      <w:pPr>
        <w:pStyle w:val="BodyText"/>
        <w:spacing w:line="274" w:lineRule="exact" w:before="35"/>
        <w:ind w:left="221" w:right="-20"/>
        <w:jc w:val="left"/>
      </w:pPr>
      <w:r>
        <w:rPr/>
        <w:t>组合中，按账龄分析法计提坏账准备的其他应收款：</w:t>
      </w:r>
    </w:p>
    <w:p>
      <w:pPr>
        <w:pStyle w:val="BodyText"/>
        <w:spacing w:line="274" w:lineRule="exact" w:before="0"/>
        <w:ind w:left="221"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71" w:val="left" w:leader="none"/>
        </w:tabs>
        <w:spacing w:line="240" w:lineRule="auto" w:before="0"/>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5052" w:space="1567"/>
            <w:col w:w="2771"/>
          </w:cols>
        </w:sectPr>
      </w:pP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399"/>
        <w:gridCol w:w="2226"/>
        <w:gridCol w:w="2154"/>
        <w:gridCol w:w="2213"/>
      </w:tblGrid>
      <w:tr>
        <w:trPr>
          <w:trHeight w:val="282" w:hRule="exact"/>
        </w:trPr>
        <w:tc>
          <w:tcPr>
            <w:tcW w:w="23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99" w:type="dxa"/>
            <w:vMerge/>
            <w:tcBorders>
              <w:left w:val="single" w:sz="4" w:space="0" w:color="000000"/>
              <w:bottom w:val="single" w:sz="4" w:space="0" w:color="000000"/>
              <w:right w:val="single" w:sz="4" w:space="0" w:color="000000"/>
            </w:tcBorders>
          </w:tcPr>
          <w:p>
            <w:pP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93"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9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9,308,328.11</w:t>
            </w:r>
            <w:r>
              <w:rPr>
                <w:rFonts w:ascii="宋体"/>
                <w:sz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279,249.84</w:t>
            </w:r>
            <w:r>
              <w:rPr>
                <w:rFonts w:ascii="宋体"/>
                <w:sz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3.00</w:t>
            </w:r>
          </w:p>
        </w:tc>
      </w:tr>
      <w:tr>
        <w:trPr>
          <w:trHeight w:val="28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4,006,422.74</w:t>
            </w:r>
            <w:r>
              <w:rPr>
                <w:rFonts w:ascii="宋体"/>
                <w:sz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400,642.28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10.00</w:t>
            </w:r>
          </w:p>
        </w:tc>
      </w:tr>
      <w:tr>
        <w:trPr>
          <w:trHeight w:val="28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2,527,602.60</w:t>
            </w:r>
            <w:r>
              <w:rPr>
                <w:rFonts w:ascii="宋体"/>
                <w:sz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505,520.52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20.00</w:t>
            </w:r>
          </w:p>
        </w:tc>
      </w:tr>
      <w:tr>
        <w:trPr>
          <w:trHeight w:val="28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26" w:type="dxa"/>
            <w:tcBorders>
              <w:top w:val="single" w:sz="4" w:space="0" w:color="000000"/>
              <w:left w:val="single" w:sz="4"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1,008,567.68</w:t>
            </w:r>
            <w:r>
              <w:rPr>
                <w:rFonts w:ascii="宋体"/>
                <w:sz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504,283.84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50.00</w:t>
            </w:r>
          </w:p>
        </w:tc>
      </w:tr>
      <w:tr>
        <w:trPr>
          <w:trHeight w:val="28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50,000.00</w:t>
            </w:r>
            <w:r>
              <w:rPr>
                <w:rFonts w:ascii="宋体"/>
                <w:sz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40,000.00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80.00</w:t>
            </w:r>
          </w:p>
        </w:tc>
      </w:tr>
      <w:tr>
        <w:trPr>
          <w:trHeight w:val="28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370,300.00</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370,300.00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100.00</w:t>
            </w:r>
          </w:p>
        </w:tc>
      </w:tr>
      <w:tr>
        <w:trPr>
          <w:trHeight w:val="28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17,271,221.13</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2,099,996.48</w:t>
            </w:r>
            <w:r>
              <w:rPr>
                <w:rFonts w:ascii="宋体"/>
                <w:sz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12.16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221" w:right="84"/>
        <w:jc w:val="left"/>
      </w:pPr>
      <w:r>
        <w:rPr/>
        <w:t>组合中，采用余额百分比法计提坏账准备的其他应收款：</w:t>
      </w:r>
    </w:p>
    <w:p>
      <w:pPr>
        <w:pStyle w:val="BodyText"/>
        <w:spacing w:line="274" w:lineRule="exact" w:before="0"/>
        <w:ind w:left="221" w:right="84"/>
        <w:jc w:val="left"/>
      </w:pPr>
      <w:r>
        <w:rPr/>
        <w:t>□适用√不适用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74" w:lineRule="exact" w:before="0"/>
        <w:ind w:left="221" w:right="84"/>
        <w:jc w:val="left"/>
      </w:pPr>
      <w:r>
        <w:rPr/>
        <w:t>组合中，采用其他方法计提坏账准备的其他应收款：</w:t>
      </w:r>
    </w:p>
    <w:p>
      <w:pPr>
        <w:pStyle w:val="BodyText"/>
        <w:spacing w:line="274" w:lineRule="exact" w:before="0"/>
        <w:ind w:left="221" w:right="8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0"/>
        <w:ind w:right="84"/>
        <w:jc w:val="left"/>
        <w:rPr>
          <w:b w:val="0"/>
          <w:bCs w:val="0"/>
        </w:rPr>
      </w:pPr>
      <w:r>
        <w:rPr/>
        <w:t>(2).</w:t>
      </w:r>
      <w:r>
        <w:rPr>
          <w:spacing w:val="53"/>
        </w:rPr>
        <w:t> </w:t>
      </w:r>
      <w:r>
        <w:rPr/>
        <w:t>本期计提、收回或转回的坏账准备情况：</w:t>
      </w:r>
      <w:r>
        <w:rPr>
          <w:b w:val="0"/>
          <w:bCs w:val="0"/>
        </w:rPr>
      </w:r>
    </w:p>
    <w:p>
      <w:pPr>
        <w:pStyle w:val="BodyText"/>
        <w:spacing w:line="240" w:lineRule="auto" w:before="135"/>
        <w:ind w:left="641" w:right="84"/>
        <w:jc w:val="left"/>
      </w:pPr>
      <w:r>
        <w:rPr/>
        <w:t>本期计提坏账准备金额</w:t>
      </w:r>
      <w:r>
        <w:rPr>
          <w:spacing w:val="-57"/>
        </w:rPr>
        <w:t> </w:t>
      </w:r>
      <w:r>
        <w:rPr/>
        <w:t>91,777.99</w:t>
      </w:r>
      <w:r>
        <w:rPr>
          <w:spacing w:val="-56"/>
        </w:rPr>
        <w:t> </w:t>
      </w:r>
      <w:r>
        <w:rPr/>
        <w:t>元；本期收回或转回坏账准备金额</w:t>
      </w:r>
      <w:r>
        <w:rPr>
          <w:spacing w:val="-57"/>
        </w:rPr>
        <w:t> </w:t>
      </w:r>
      <w:r>
        <w:rPr/>
        <w:t>162,954.97</w:t>
      </w:r>
      <w:r>
        <w:rPr>
          <w:spacing w:val="-56"/>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240" w:lineRule="auto" w:before="0"/>
        <w:ind w:right="84"/>
        <w:jc w:val="left"/>
        <w:rPr>
          <w:b w:val="0"/>
          <w:bCs w:val="0"/>
        </w:rPr>
      </w:pPr>
      <w:r>
        <w:rPr/>
        <w:t>(3).</w:t>
      </w:r>
      <w:r>
        <w:rPr>
          <w:spacing w:val="55"/>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110"/>
        <w:gridCol w:w="3012"/>
        <w:gridCol w:w="3023"/>
      </w:tblGrid>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7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10,962,775.85</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13,095,674.70</w:t>
            </w:r>
            <w:r>
              <w:rPr>
                <w:rFonts w:ascii="宋体"/>
                <w:sz w:val="21"/>
              </w:rPr>
            </w:r>
          </w:p>
        </w:tc>
      </w:tr>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271,882.40</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863,619.91</w:t>
            </w:r>
          </w:p>
        </w:tc>
      </w:tr>
      <w:tr>
        <w:trPr>
          <w:trHeight w:val="283"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招投标保证金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3,209,563.65</w:t>
            </w:r>
            <w:r>
              <w:rPr>
                <w:rFonts w:ascii="宋体"/>
                <w:sz w:val="21"/>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2,969,850.10</w:t>
            </w:r>
            <w:r>
              <w:rPr>
                <w:rFonts w:ascii="宋体"/>
                <w:sz w:val="21"/>
              </w:rPr>
            </w:r>
          </w:p>
        </w:tc>
      </w:tr>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日常业务预付款</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1,262,746.73</w:t>
            </w:r>
            <w:r>
              <w:rPr>
                <w:rFonts w:ascii="宋体"/>
                <w:sz w:val="21"/>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4,734,176.15</w:t>
            </w:r>
            <w:r>
              <w:rPr>
                <w:rFonts w:ascii="宋体"/>
                <w:sz w:val="21"/>
              </w:rPr>
            </w:r>
          </w:p>
        </w:tc>
      </w:tr>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1,156,766.18</w:t>
            </w:r>
            <w:r>
              <w:rPr>
                <w:rFonts w:ascii="宋体"/>
                <w:sz w:val="21"/>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809,964.22</w:t>
            </w:r>
            <w:r>
              <w:rPr>
                <w:rFonts w:ascii="宋体"/>
                <w:sz w:val="21"/>
              </w:rPr>
            </w:r>
          </w:p>
        </w:tc>
      </w:tr>
      <w:tr>
        <w:trPr>
          <w:trHeight w:val="283"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407,486.32</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190,917.32</w:t>
            </w:r>
          </w:p>
        </w:tc>
      </w:tr>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3"/>
                <w:sz w:val="21"/>
                <w:szCs w:val="21"/>
              </w:rPr>
              <w:t> </w:t>
            </w:r>
            <w:r>
              <w:rPr>
                <w:rFonts w:ascii="宋体" w:hAnsi="宋体" w:cs="宋体" w:eastAsia="宋体" w:hint="default"/>
                <w:sz w:val="21"/>
                <w:szCs w:val="21"/>
              </w:rPr>
              <w:t>费用</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3,168,396.23</w:t>
            </w:r>
          </w:p>
        </w:tc>
      </w:tr>
      <w:tr>
        <w:trPr>
          <w:trHeight w:val="283"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17,271,221.13</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25,832,598.63</w:t>
            </w:r>
          </w:p>
        </w:tc>
      </w:tr>
    </w:tbl>
    <w:p>
      <w:pPr>
        <w:spacing w:line="240" w:lineRule="auto" w:before="12"/>
        <w:rPr>
          <w:rFonts w:ascii="宋体" w:hAnsi="宋体" w:cs="宋体" w:eastAsia="宋体" w:hint="default"/>
          <w:b/>
          <w:bCs/>
          <w:sz w:val="19"/>
          <w:szCs w:val="19"/>
        </w:rPr>
      </w:pPr>
    </w:p>
    <w:p>
      <w:pPr>
        <w:pStyle w:val="Heading2"/>
        <w:spacing w:line="240" w:lineRule="auto"/>
        <w:ind w:right="84"/>
        <w:jc w:val="left"/>
        <w:rPr>
          <w:b w:val="0"/>
          <w:bCs w:val="0"/>
        </w:rPr>
      </w:pPr>
      <w:r>
        <w:rPr/>
        <w:t>(4).</w:t>
      </w:r>
      <w:r>
        <w:rPr>
          <w:spacing w:val="52"/>
        </w:rPr>
        <w:t> </w:t>
      </w:r>
      <w:r>
        <w:rPr/>
        <w:t>按欠款方归集的期末余额前五名的其他应收款情况：</w:t>
      </w:r>
      <w:r>
        <w:rPr>
          <w:b w:val="0"/>
          <w:bCs w:val="0"/>
        </w:rPr>
      </w:r>
    </w:p>
    <w:p>
      <w:pPr>
        <w:pStyle w:val="BodyText"/>
        <w:tabs>
          <w:tab w:pos="1049" w:val="left" w:leader="none"/>
        </w:tabs>
        <w:spacing w:line="240" w:lineRule="auto" w:before="57"/>
        <w:ind w:left="0" w:right="231"/>
        <w:jc w:val="right"/>
      </w:pPr>
      <w:r>
        <w:rPr/>
        <w:t>单位：元</w:t>
        <w:tab/>
        <w:t>币种：人民币</w:t>
      </w:r>
    </w:p>
    <w:p>
      <w:pPr>
        <w:spacing w:after="0" w:line="240" w:lineRule="auto"/>
        <w:jc w:val="right"/>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301"/>
        <w:gridCol w:w="316"/>
        <w:gridCol w:w="389"/>
        <w:gridCol w:w="1548"/>
        <w:gridCol w:w="2713"/>
        <w:gridCol w:w="1415"/>
        <w:gridCol w:w="1309"/>
      </w:tblGrid>
      <w:tr>
        <w:trPr>
          <w:trHeight w:val="83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16" w:type="dxa"/>
            <w:tcBorders>
              <w:top w:val="single" w:sz="6" w:space="0" w:color="000000"/>
              <w:left w:val="single" w:sz="6" w:space="0" w:color="000000"/>
              <w:bottom w:val="single" w:sz="6" w:space="0" w:color="000000"/>
              <w:right w:val="nil" w:sz="6" w:space="0" w:color="auto"/>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款</w:t>
            </w:r>
          </w:p>
          <w:p>
            <w:pPr>
              <w:pStyle w:val="TableParagraph"/>
              <w:spacing w:line="272" w:lineRule="exact" w:before="26"/>
              <w:ind w:left="23" w:right="73"/>
              <w:jc w:val="left"/>
              <w:rPr>
                <w:rFonts w:ascii="宋体" w:hAnsi="宋体" w:cs="宋体" w:eastAsia="宋体" w:hint="default"/>
                <w:sz w:val="21"/>
                <w:szCs w:val="21"/>
              </w:rPr>
            </w:pPr>
            <w:r>
              <w:rPr>
                <w:rFonts w:ascii="宋体" w:hAnsi="宋体" w:cs="宋体" w:eastAsia="宋体" w:hint="default"/>
                <w:sz w:val="21"/>
                <w:szCs w:val="21"/>
              </w:rPr>
              <w:t>的 质</w:t>
            </w:r>
          </w:p>
        </w:tc>
        <w:tc>
          <w:tcPr>
            <w:tcW w:w="389" w:type="dxa"/>
            <w:tcBorders>
              <w:top w:val="single" w:sz="6" w:space="0" w:color="000000"/>
              <w:left w:val="nil" w:sz="6" w:space="0" w:color="auto"/>
              <w:bottom w:val="single" w:sz="6" w:space="0" w:color="000000"/>
              <w:right w:val="single" w:sz="6" w:space="0" w:color="000000"/>
            </w:tcBorders>
          </w:tcPr>
          <w:p>
            <w:pPr>
              <w:pStyle w:val="TableParagraph"/>
              <w:spacing w:line="238" w:lineRule="exact"/>
              <w:ind w:left="74"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74" w:right="0"/>
              <w:jc w:val="left"/>
              <w:rPr>
                <w:rFonts w:ascii="宋体" w:hAnsi="宋体" w:cs="宋体" w:eastAsia="宋体" w:hint="default"/>
                <w:sz w:val="21"/>
                <w:szCs w:val="21"/>
              </w:rPr>
            </w:pPr>
            <w:r>
              <w:rPr>
                <w:rFonts w:ascii="宋体" w:hAnsi="宋体" w:cs="宋体" w:eastAsia="宋体" w:hint="default"/>
                <w:sz w:val="21"/>
                <w:szCs w:val="21"/>
              </w:rPr>
              <w:t>性</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6"/>
              <w:ind w:left="121" w:right="71" w:hanging="53"/>
              <w:jc w:val="left"/>
              <w:rPr>
                <w:rFonts w:ascii="宋体" w:hAnsi="宋体" w:cs="宋体" w:eastAsia="宋体" w:hint="default"/>
                <w:sz w:val="21"/>
                <w:szCs w:val="21"/>
              </w:rPr>
            </w:pPr>
            <w:r>
              <w:rPr>
                <w:rFonts w:ascii="宋体" w:hAnsi="宋体" w:cs="宋体" w:eastAsia="宋体" w:hint="default"/>
                <w:sz w:val="21"/>
                <w:szCs w:val="21"/>
              </w:rPr>
              <w:t>期末余额合计 数的比例(%)</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25" w:right="227"/>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833"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4" w:right="126"/>
              <w:jc w:val="left"/>
              <w:rPr>
                <w:rFonts w:ascii="宋体" w:hAnsi="宋体" w:cs="宋体" w:eastAsia="宋体" w:hint="default"/>
                <w:sz w:val="21"/>
                <w:szCs w:val="21"/>
              </w:rPr>
            </w:pPr>
            <w:r>
              <w:rPr>
                <w:rFonts w:ascii="宋体" w:hAnsi="宋体" w:cs="宋体" w:eastAsia="宋体" w:hint="default"/>
                <w:spacing w:val="16"/>
                <w:sz w:val="21"/>
                <w:szCs w:val="21"/>
              </w:rPr>
              <w:t>其他应收客</w:t>
            </w:r>
            <w:r>
              <w:rPr>
                <w:rFonts w:ascii="宋体" w:hAnsi="宋体" w:cs="宋体" w:eastAsia="宋体" w:hint="default"/>
                <w:sz w:val="21"/>
                <w:szCs w:val="21"/>
              </w:rPr>
              <w:t> 户一</w:t>
            </w:r>
          </w:p>
        </w:tc>
        <w:tc>
          <w:tcPr>
            <w:tcW w:w="316"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履</w:t>
            </w:r>
          </w:p>
          <w:p>
            <w:pPr>
              <w:pStyle w:val="TableParagraph"/>
              <w:spacing w:line="272" w:lineRule="exact" w:before="26"/>
              <w:ind w:left="24" w:right="73"/>
              <w:jc w:val="left"/>
              <w:rPr>
                <w:rFonts w:ascii="宋体" w:hAnsi="宋体" w:cs="宋体" w:eastAsia="宋体" w:hint="default"/>
                <w:sz w:val="21"/>
                <w:szCs w:val="21"/>
              </w:rPr>
            </w:pPr>
            <w:r>
              <w:rPr>
                <w:rFonts w:ascii="宋体" w:hAnsi="宋体" w:cs="宋体" w:eastAsia="宋体" w:hint="default"/>
                <w:sz w:val="21"/>
                <w:szCs w:val="21"/>
              </w:rPr>
              <w:t>保 金</w:t>
            </w:r>
          </w:p>
        </w:tc>
        <w:tc>
          <w:tcPr>
            <w:tcW w:w="38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5" w:right="0"/>
              <w:jc w:val="left"/>
              <w:rPr>
                <w:rFonts w:ascii="宋体" w:hAnsi="宋体" w:cs="宋体" w:eastAsia="宋体" w:hint="default"/>
                <w:sz w:val="21"/>
                <w:szCs w:val="21"/>
              </w:rPr>
            </w:pPr>
            <w:r>
              <w:rPr>
                <w:rFonts w:ascii="宋体" w:hAnsi="宋体" w:cs="宋体" w:eastAsia="宋体" w:hint="default"/>
                <w:sz w:val="21"/>
                <w:szCs w:val="21"/>
              </w:rPr>
              <w:t>约</w:t>
            </w:r>
          </w:p>
          <w:p>
            <w:pPr>
              <w:pStyle w:val="TableParagraph"/>
              <w:spacing w:line="274" w:lineRule="exact"/>
              <w:ind w:left="75" w:right="0"/>
              <w:jc w:val="left"/>
              <w:rPr>
                <w:rFonts w:ascii="宋体" w:hAnsi="宋体" w:cs="宋体" w:eastAsia="宋体" w:hint="default"/>
                <w:sz w:val="21"/>
                <w:szCs w:val="21"/>
              </w:rPr>
            </w:pPr>
            <w:r>
              <w:rPr>
                <w:rFonts w:ascii="宋体" w:hAnsi="宋体" w:cs="宋体" w:eastAsia="宋体" w:hint="default"/>
                <w:sz w:val="21"/>
                <w:szCs w:val="21"/>
              </w:rPr>
              <w:t>证</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1,124,901.00</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年以</w:t>
            </w:r>
            <w:r>
              <w:rPr>
                <w:rFonts w:ascii="宋体" w:hAnsi="宋体" w:cs="宋体" w:eastAsia="宋体" w:hint="default"/>
                <w:sz w:val="21"/>
                <w:szCs w:val="21"/>
              </w:rPr>
              <w:t>内</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1"/>
                <w:sz w:val="21"/>
                <w:szCs w:val="21"/>
              </w:rPr>
              <w:t>76</w:t>
            </w:r>
            <w:r>
              <w:rPr>
                <w:rFonts w:ascii="宋体" w:hAnsi="宋体" w:cs="宋体" w:eastAsia="宋体" w:hint="default"/>
                <w:sz w:val="21"/>
                <w:szCs w:val="21"/>
              </w:rPr>
              <w:t>,</w:t>
            </w:r>
            <w:r>
              <w:rPr>
                <w:rFonts w:ascii="宋体" w:hAnsi="宋体" w:cs="宋体" w:eastAsia="宋体" w:hint="default"/>
                <w:spacing w:val="-1"/>
                <w:sz w:val="21"/>
                <w:szCs w:val="21"/>
              </w:rPr>
              <w:t>4</w:t>
            </w:r>
            <w:r>
              <w:rPr>
                <w:rFonts w:ascii="宋体" w:hAnsi="宋体" w:cs="宋体" w:eastAsia="宋体" w:hint="default"/>
                <w:sz w:val="21"/>
                <w:szCs w:val="21"/>
              </w:rPr>
              <w:t>0</w:t>
            </w:r>
            <w:r>
              <w:rPr>
                <w:rFonts w:ascii="宋体" w:hAnsi="宋体" w:cs="宋体" w:eastAsia="宋体" w:hint="default"/>
                <w:spacing w:val="-1"/>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元</w:t>
            </w:r>
            <w:r>
              <w:rPr>
                <w:rFonts w:ascii="宋体" w:hAnsi="宋体" w:cs="宋体" w:eastAsia="宋体" w:hint="default"/>
                <w:spacing w:val="-100"/>
                <w:sz w:val="21"/>
                <w:szCs w:val="21"/>
              </w:rPr>
              <w:t>，</w:t>
            </w:r>
            <w:r>
              <w:rPr>
                <w:rFonts w:ascii="宋体" w:hAnsi="宋体" w:cs="宋体" w:eastAsia="宋体" w:hint="default"/>
                <w:spacing w:val="-1"/>
                <w:sz w:val="21"/>
                <w:szCs w:val="21"/>
              </w:rPr>
              <w:t>1</w:t>
            </w:r>
            <w:r>
              <w:rPr>
                <w:rFonts w:ascii="宋体" w:hAnsi="宋体" w:cs="宋体" w:eastAsia="宋体" w:hint="default"/>
                <w:sz w:val="21"/>
                <w:szCs w:val="21"/>
              </w:rPr>
              <w:t>-2</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248,500.00</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6.51</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51,142.03</w:t>
            </w:r>
            <w:r>
              <w:rPr>
                <w:rFonts w:ascii="宋体"/>
                <w:sz w:val="21"/>
              </w:rPr>
            </w:r>
          </w:p>
        </w:tc>
      </w:tr>
      <w:tr>
        <w:trPr>
          <w:trHeight w:val="83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4" w:right="126"/>
              <w:jc w:val="left"/>
              <w:rPr>
                <w:rFonts w:ascii="宋体" w:hAnsi="宋体" w:cs="宋体" w:eastAsia="宋体" w:hint="default"/>
                <w:sz w:val="21"/>
                <w:szCs w:val="21"/>
              </w:rPr>
            </w:pPr>
            <w:r>
              <w:rPr>
                <w:rFonts w:ascii="宋体" w:hAnsi="宋体" w:cs="宋体" w:eastAsia="宋体" w:hint="default"/>
                <w:spacing w:val="16"/>
                <w:sz w:val="21"/>
                <w:szCs w:val="21"/>
              </w:rPr>
              <w:t>其他应收客</w:t>
            </w:r>
            <w:r>
              <w:rPr>
                <w:rFonts w:ascii="宋体" w:hAnsi="宋体" w:cs="宋体" w:eastAsia="宋体" w:hint="default"/>
                <w:sz w:val="21"/>
                <w:szCs w:val="21"/>
              </w:rPr>
              <w:t> 户二</w:t>
            </w:r>
          </w:p>
        </w:tc>
        <w:tc>
          <w:tcPr>
            <w:tcW w:w="316" w:type="dxa"/>
            <w:tcBorders>
              <w:top w:val="single" w:sz="6" w:space="0" w:color="000000"/>
              <w:left w:val="single" w:sz="6" w:space="0" w:color="000000"/>
              <w:bottom w:val="single" w:sz="6" w:space="0" w:color="000000"/>
              <w:right w:val="nil" w:sz="6" w:space="0" w:color="auto"/>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履</w:t>
            </w:r>
          </w:p>
          <w:p>
            <w:pPr>
              <w:pStyle w:val="TableParagraph"/>
              <w:spacing w:line="272" w:lineRule="exact" w:before="26"/>
              <w:ind w:left="24" w:right="73"/>
              <w:jc w:val="left"/>
              <w:rPr>
                <w:rFonts w:ascii="宋体" w:hAnsi="宋体" w:cs="宋体" w:eastAsia="宋体" w:hint="default"/>
                <w:sz w:val="21"/>
                <w:szCs w:val="21"/>
              </w:rPr>
            </w:pPr>
            <w:r>
              <w:rPr>
                <w:rFonts w:ascii="宋体" w:hAnsi="宋体" w:cs="宋体" w:eastAsia="宋体" w:hint="default"/>
                <w:sz w:val="21"/>
                <w:szCs w:val="21"/>
              </w:rPr>
              <w:t>保 金</w:t>
            </w:r>
          </w:p>
        </w:tc>
        <w:tc>
          <w:tcPr>
            <w:tcW w:w="389" w:type="dxa"/>
            <w:tcBorders>
              <w:top w:val="single" w:sz="6" w:space="0" w:color="000000"/>
              <w:left w:val="nil" w:sz="6" w:space="0" w:color="auto"/>
              <w:bottom w:val="single" w:sz="6" w:space="0" w:color="000000"/>
              <w:right w:val="single" w:sz="6" w:space="0" w:color="000000"/>
            </w:tcBorders>
          </w:tcPr>
          <w:p>
            <w:pPr>
              <w:pStyle w:val="TableParagraph"/>
              <w:spacing w:line="238" w:lineRule="exact"/>
              <w:ind w:left="75" w:right="0"/>
              <w:jc w:val="left"/>
              <w:rPr>
                <w:rFonts w:ascii="宋体" w:hAnsi="宋体" w:cs="宋体" w:eastAsia="宋体" w:hint="default"/>
                <w:sz w:val="21"/>
                <w:szCs w:val="21"/>
              </w:rPr>
            </w:pPr>
            <w:r>
              <w:rPr>
                <w:rFonts w:ascii="宋体" w:hAnsi="宋体" w:cs="宋体" w:eastAsia="宋体" w:hint="default"/>
                <w:sz w:val="21"/>
                <w:szCs w:val="21"/>
              </w:rPr>
              <w:t>约</w:t>
            </w:r>
          </w:p>
          <w:p>
            <w:pPr>
              <w:pStyle w:val="TableParagraph"/>
              <w:spacing w:line="274" w:lineRule="exact"/>
              <w:ind w:left="75" w:right="0"/>
              <w:jc w:val="left"/>
              <w:rPr>
                <w:rFonts w:ascii="宋体" w:hAnsi="宋体" w:cs="宋体" w:eastAsia="宋体" w:hint="default"/>
                <w:sz w:val="21"/>
                <w:szCs w:val="21"/>
              </w:rPr>
            </w:pPr>
            <w:r>
              <w:rPr>
                <w:rFonts w:ascii="宋体" w:hAnsi="宋体" w:cs="宋体" w:eastAsia="宋体" w:hint="default"/>
                <w:sz w:val="21"/>
                <w:szCs w:val="21"/>
              </w:rPr>
              <w:t>证</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1,067,190.15</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6.18</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106,719.02</w:t>
            </w:r>
          </w:p>
        </w:tc>
      </w:tr>
      <w:tr>
        <w:trPr>
          <w:trHeight w:val="1104"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 w:right="126"/>
              <w:jc w:val="left"/>
              <w:rPr>
                <w:rFonts w:ascii="宋体" w:hAnsi="宋体" w:cs="宋体" w:eastAsia="宋体" w:hint="default"/>
                <w:sz w:val="21"/>
                <w:szCs w:val="21"/>
              </w:rPr>
            </w:pPr>
            <w:r>
              <w:rPr>
                <w:rFonts w:ascii="宋体" w:hAnsi="宋体" w:cs="宋体" w:eastAsia="宋体" w:hint="default"/>
                <w:spacing w:val="16"/>
                <w:sz w:val="21"/>
                <w:szCs w:val="21"/>
              </w:rPr>
              <w:t>其他应收客</w:t>
            </w:r>
            <w:r>
              <w:rPr>
                <w:rFonts w:ascii="宋体" w:hAnsi="宋体" w:cs="宋体" w:eastAsia="宋体" w:hint="default"/>
                <w:sz w:val="21"/>
                <w:szCs w:val="21"/>
              </w:rPr>
              <w:t> 户三</w:t>
            </w:r>
          </w:p>
        </w:tc>
        <w:tc>
          <w:tcPr>
            <w:tcW w:w="316"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129"/>
              <w:ind w:left="24" w:right="73"/>
              <w:jc w:val="both"/>
              <w:rPr>
                <w:rFonts w:ascii="宋体" w:hAnsi="宋体" w:cs="宋体" w:eastAsia="宋体" w:hint="default"/>
                <w:sz w:val="21"/>
                <w:szCs w:val="21"/>
              </w:rPr>
            </w:pPr>
            <w:r>
              <w:rPr>
                <w:rFonts w:ascii="宋体" w:hAnsi="宋体" w:cs="宋体" w:eastAsia="宋体" w:hint="default"/>
                <w:sz w:val="21"/>
                <w:szCs w:val="21"/>
              </w:rPr>
              <w:t>履 保 金</w:t>
            </w:r>
          </w:p>
        </w:tc>
        <w:tc>
          <w:tcPr>
            <w:tcW w:w="389"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129"/>
              <w:ind w:left="75" w:right="95"/>
              <w:jc w:val="left"/>
              <w:rPr>
                <w:rFonts w:ascii="宋体" w:hAnsi="宋体" w:cs="宋体" w:eastAsia="宋体" w:hint="default"/>
                <w:sz w:val="21"/>
                <w:szCs w:val="21"/>
              </w:rPr>
            </w:pPr>
            <w:r>
              <w:rPr>
                <w:rFonts w:ascii="宋体" w:hAnsi="宋体" w:cs="宋体" w:eastAsia="宋体" w:hint="default"/>
                <w:sz w:val="21"/>
                <w:szCs w:val="21"/>
              </w:rPr>
              <w:t>约 证</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1,056,076.00</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年以</w:t>
            </w:r>
            <w:r>
              <w:rPr>
                <w:rFonts w:ascii="宋体" w:hAnsi="宋体" w:cs="宋体" w:eastAsia="宋体" w:hint="default"/>
                <w:sz w:val="21"/>
                <w:szCs w:val="21"/>
              </w:rPr>
              <w:t>内</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1"/>
                <w:sz w:val="21"/>
                <w:szCs w:val="21"/>
              </w:rPr>
              <w:t>10</w:t>
            </w:r>
            <w:r>
              <w:rPr>
                <w:rFonts w:ascii="宋体" w:hAnsi="宋体" w:cs="宋体" w:eastAsia="宋体" w:hint="default"/>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7</w:t>
            </w:r>
            <w:r>
              <w:rPr>
                <w:rFonts w:ascii="宋体" w:hAnsi="宋体" w:cs="宋体" w:eastAsia="宋体" w:hint="default"/>
                <w:spacing w:val="-1"/>
                <w:sz w:val="21"/>
                <w:szCs w:val="21"/>
              </w:rPr>
              <w:t>6</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元</w:t>
            </w:r>
            <w:r>
              <w:rPr>
                <w:rFonts w:ascii="宋体" w:hAnsi="宋体" w:cs="宋体" w:eastAsia="宋体" w:hint="default"/>
                <w:spacing w:val="-100"/>
                <w:sz w:val="21"/>
                <w:szCs w:val="21"/>
              </w:rPr>
              <w:t>，</w:t>
            </w:r>
            <w:r>
              <w:rPr>
                <w:rFonts w:ascii="宋体" w:hAnsi="宋体" w:cs="宋体" w:eastAsia="宋体" w:hint="default"/>
                <w:spacing w:val="-1"/>
                <w:sz w:val="21"/>
                <w:szCs w:val="21"/>
              </w:rPr>
              <w:t>1</w:t>
            </w:r>
            <w:r>
              <w:rPr>
                <w:rFonts w:ascii="宋体" w:hAnsi="宋体" w:cs="宋体" w:eastAsia="宋体" w:hint="default"/>
                <w:sz w:val="21"/>
                <w:szCs w:val="21"/>
              </w:rPr>
              <w:t>-2</w:t>
            </w:r>
          </w:p>
          <w:p>
            <w:pPr>
              <w:pStyle w:val="TableParagraph"/>
              <w:tabs>
                <w:tab w:pos="1192" w:val="left" w:leader="none"/>
                <w:tab w:pos="2391" w:val="left" w:leader="none"/>
              </w:tabs>
              <w:spacing w:line="272" w:lineRule="exact" w:before="26"/>
              <w:ind w:left="22" w:right="95"/>
              <w:jc w:val="left"/>
              <w:rPr>
                <w:rFonts w:ascii="宋体" w:hAnsi="宋体" w:cs="宋体" w:eastAsia="宋体" w:hint="default"/>
                <w:sz w:val="21"/>
                <w:szCs w:val="21"/>
              </w:rPr>
            </w:pPr>
            <w:r>
              <w:rPr>
                <w:rFonts w:ascii="宋体" w:hAnsi="宋体" w:cs="宋体" w:eastAsia="宋体" w:hint="default"/>
                <w:sz w:val="21"/>
                <w:szCs w:val="21"/>
              </w:rPr>
              <w:t>年 273,000.00 </w:t>
            </w:r>
            <w:r>
              <w:rPr>
                <w:rFonts w:ascii="宋体" w:hAnsi="宋体" w:cs="宋体" w:eastAsia="宋体" w:hint="default"/>
                <w:spacing w:val="4"/>
                <w:sz w:val="21"/>
                <w:szCs w:val="21"/>
              </w:rPr>
              <w:t>元，2-3</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r>
              <w:rPr>
                <w:rFonts w:ascii="宋体" w:hAnsi="宋体" w:cs="宋体" w:eastAsia="宋体" w:hint="default"/>
                <w:spacing w:val="-1"/>
                <w:sz w:val="21"/>
                <w:szCs w:val="21"/>
              </w:rPr>
              <w:t>14,800.00</w:t>
              <w:tab/>
            </w:r>
            <w:r>
              <w:rPr>
                <w:rFonts w:ascii="宋体" w:hAnsi="宋体" w:cs="宋体" w:eastAsia="宋体" w:hint="default"/>
                <w:sz w:val="21"/>
                <w:szCs w:val="21"/>
              </w:rPr>
              <w:t>元 ，</w:t>
            </w:r>
            <w:r>
              <w:rPr>
                <w:rFonts w:ascii="宋体" w:hAnsi="宋体" w:cs="宋体" w:eastAsia="宋体" w:hint="default"/>
                <w:spacing w:val="32"/>
                <w:sz w:val="21"/>
                <w:szCs w:val="21"/>
              </w:rPr>
              <w:t> </w:t>
            </w:r>
            <w:r>
              <w:rPr>
                <w:rFonts w:ascii="宋体" w:hAnsi="宋体" w:cs="宋体" w:eastAsia="宋体" w:hint="default"/>
                <w:spacing w:val="-1"/>
                <w:sz w:val="21"/>
                <w:szCs w:val="21"/>
              </w:rPr>
              <w:t>3-4</w:t>
              <w:tab/>
            </w:r>
            <w:r>
              <w:rPr>
                <w:rFonts w:ascii="宋体" w:hAnsi="宋体" w:cs="宋体" w:eastAsia="宋体" w:hint="default"/>
                <w:sz w:val="21"/>
                <w:szCs w:val="21"/>
              </w:rPr>
              <w:t>年</w:t>
            </w:r>
          </w:p>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sz w:val="21"/>
                <w:szCs w:val="21"/>
              </w:rPr>
              <w:t>58,000.00</w:t>
            </w:r>
            <w:r>
              <w:rPr>
                <w:rFonts w:ascii="宋体" w:hAnsi="宋体" w:cs="宋体" w:eastAsia="宋体" w:hint="default"/>
                <w:spacing w:val="-58"/>
                <w:sz w:val="21"/>
                <w:szCs w:val="21"/>
              </w:rPr>
              <w:t> </w:t>
            </w:r>
            <w:r>
              <w:rPr>
                <w:rFonts w:ascii="宋体" w:hAnsi="宋体" w:cs="宋体" w:eastAsia="宋体" w:hint="default"/>
                <w:sz w:val="21"/>
                <w:szCs w:val="21"/>
              </w:rPr>
              <w:t>元；</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6.11</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80,568.28</w:t>
            </w:r>
            <w:r>
              <w:rPr>
                <w:rFonts w:ascii="宋体"/>
                <w:sz w:val="21"/>
              </w:rPr>
            </w:r>
          </w:p>
        </w:tc>
      </w:tr>
      <w:tr>
        <w:trPr>
          <w:trHeight w:val="833"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4" w:right="126"/>
              <w:jc w:val="left"/>
              <w:rPr>
                <w:rFonts w:ascii="宋体" w:hAnsi="宋体" w:cs="宋体" w:eastAsia="宋体" w:hint="default"/>
                <w:sz w:val="21"/>
                <w:szCs w:val="21"/>
              </w:rPr>
            </w:pPr>
            <w:r>
              <w:rPr>
                <w:rFonts w:ascii="宋体" w:hAnsi="宋体" w:cs="宋体" w:eastAsia="宋体" w:hint="default"/>
                <w:spacing w:val="16"/>
                <w:sz w:val="21"/>
                <w:szCs w:val="21"/>
              </w:rPr>
              <w:t>其他应收客</w:t>
            </w:r>
            <w:r>
              <w:rPr>
                <w:rFonts w:ascii="宋体" w:hAnsi="宋体" w:cs="宋体" w:eastAsia="宋体" w:hint="default"/>
                <w:sz w:val="21"/>
                <w:szCs w:val="21"/>
              </w:rPr>
              <w:t> 户四</w:t>
            </w:r>
          </w:p>
        </w:tc>
        <w:tc>
          <w:tcPr>
            <w:tcW w:w="316"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履</w:t>
            </w:r>
          </w:p>
          <w:p>
            <w:pPr>
              <w:pStyle w:val="TableParagraph"/>
              <w:spacing w:line="272" w:lineRule="exact" w:before="26"/>
              <w:ind w:left="24" w:right="73"/>
              <w:jc w:val="left"/>
              <w:rPr>
                <w:rFonts w:ascii="宋体" w:hAnsi="宋体" w:cs="宋体" w:eastAsia="宋体" w:hint="default"/>
                <w:sz w:val="21"/>
                <w:szCs w:val="21"/>
              </w:rPr>
            </w:pPr>
            <w:r>
              <w:rPr>
                <w:rFonts w:ascii="宋体" w:hAnsi="宋体" w:cs="宋体" w:eastAsia="宋体" w:hint="default"/>
                <w:sz w:val="21"/>
                <w:szCs w:val="21"/>
              </w:rPr>
              <w:t>保 金</w:t>
            </w:r>
          </w:p>
        </w:tc>
        <w:tc>
          <w:tcPr>
            <w:tcW w:w="38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5" w:right="0"/>
              <w:jc w:val="left"/>
              <w:rPr>
                <w:rFonts w:ascii="宋体" w:hAnsi="宋体" w:cs="宋体" w:eastAsia="宋体" w:hint="default"/>
                <w:sz w:val="21"/>
                <w:szCs w:val="21"/>
              </w:rPr>
            </w:pPr>
            <w:r>
              <w:rPr>
                <w:rFonts w:ascii="宋体" w:hAnsi="宋体" w:cs="宋体" w:eastAsia="宋体" w:hint="default"/>
                <w:sz w:val="21"/>
                <w:szCs w:val="21"/>
              </w:rPr>
              <w:t>约</w:t>
            </w:r>
          </w:p>
          <w:p>
            <w:pPr>
              <w:pStyle w:val="TableParagraph"/>
              <w:spacing w:line="274" w:lineRule="exact"/>
              <w:ind w:left="75" w:right="0"/>
              <w:jc w:val="left"/>
              <w:rPr>
                <w:rFonts w:ascii="宋体" w:hAnsi="宋体" w:cs="宋体" w:eastAsia="宋体" w:hint="default"/>
                <w:sz w:val="21"/>
                <w:szCs w:val="21"/>
              </w:rPr>
            </w:pPr>
            <w:r>
              <w:rPr>
                <w:rFonts w:ascii="宋体" w:hAnsi="宋体" w:cs="宋体" w:eastAsia="宋体" w:hint="default"/>
                <w:sz w:val="21"/>
                <w:szCs w:val="21"/>
              </w:rPr>
              <w:t>证</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828,130.00</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4.79</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24,843.90</w:t>
            </w:r>
          </w:p>
        </w:tc>
      </w:tr>
      <w:tr>
        <w:trPr>
          <w:trHeight w:val="83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4" w:right="126"/>
              <w:jc w:val="left"/>
              <w:rPr>
                <w:rFonts w:ascii="宋体" w:hAnsi="宋体" w:cs="宋体" w:eastAsia="宋体" w:hint="default"/>
                <w:sz w:val="21"/>
                <w:szCs w:val="21"/>
              </w:rPr>
            </w:pPr>
            <w:r>
              <w:rPr>
                <w:rFonts w:ascii="宋体" w:hAnsi="宋体" w:cs="宋体" w:eastAsia="宋体" w:hint="default"/>
                <w:spacing w:val="16"/>
                <w:sz w:val="21"/>
                <w:szCs w:val="21"/>
              </w:rPr>
              <w:t>其他应收客</w:t>
            </w:r>
            <w:r>
              <w:rPr>
                <w:rFonts w:ascii="宋体" w:hAnsi="宋体" w:cs="宋体" w:eastAsia="宋体" w:hint="default"/>
                <w:sz w:val="21"/>
                <w:szCs w:val="21"/>
              </w:rPr>
              <w:t> 户五</w:t>
            </w:r>
          </w:p>
        </w:tc>
        <w:tc>
          <w:tcPr>
            <w:tcW w:w="316" w:type="dxa"/>
            <w:tcBorders>
              <w:top w:val="single" w:sz="6" w:space="0" w:color="000000"/>
              <w:left w:val="single" w:sz="6" w:space="0" w:color="000000"/>
              <w:bottom w:val="single" w:sz="6" w:space="0" w:color="000000"/>
              <w:right w:val="nil" w:sz="6" w:space="0" w:color="auto"/>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履</w:t>
            </w:r>
          </w:p>
          <w:p>
            <w:pPr>
              <w:pStyle w:val="TableParagraph"/>
              <w:spacing w:line="272" w:lineRule="exact" w:before="26"/>
              <w:ind w:left="24" w:right="73"/>
              <w:jc w:val="left"/>
              <w:rPr>
                <w:rFonts w:ascii="宋体" w:hAnsi="宋体" w:cs="宋体" w:eastAsia="宋体" w:hint="default"/>
                <w:sz w:val="21"/>
                <w:szCs w:val="21"/>
              </w:rPr>
            </w:pPr>
            <w:r>
              <w:rPr>
                <w:rFonts w:ascii="宋体" w:hAnsi="宋体" w:cs="宋体" w:eastAsia="宋体" w:hint="default"/>
                <w:sz w:val="21"/>
                <w:szCs w:val="21"/>
              </w:rPr>
              <w:t>保 金</w:t>
            </w:r>
          </w:p>
        </w:tc>
        <w:tc>
          <w:tcPr>
            <w:tcW w:w="389" w:type="dxa"/>
            <w:tcBorders>
              <w:top w:val="single" w:sz="6" w:space="0" w:color="000000"/>
              <w:left w:val="nil" w:sz="6" w:space="0" w:color="auto"/>
              <w:bottom w:val="single" w:sz="6" w:space="0" w:color="000000"/>
              <w:right w:val="single" w:sz="6" w:space="0" w:color="000000"/>
            </w:tcBorders>
          </w:tcPr>
          <w:p>
            <w:pPr>
              <w:pStyle w:val="TableParagraph"/>
              <w:spacing w:line="238" w:lineRule="exact"/>
              <w:ind w:left="75" w:right="0"/>
              <w:jc w:val="left"/>
              <w:rPr>
                <w:rFonts w:ascii="宋体" w:hAnsi="宋体" w:cs="宋体" w:eastAsia="宋体" w:hint="default"/>
                <w:sz w:val="21"/>
                <w:szCs w:val="21"/>
              </w:rPr>
            </w:pPr>
            <w:r>
              <w:rPr>
                <w:rFonts w:ascii="宋体" w:hAnsi="宋体" w:cs="宋体" w:eastAsia="宋体" w:hint="default"/>
                <w:sz w:val="21"/>
                <w:szCs w:val="21"/>
              </w:rPr>
              <w:t>约</w:t>
            </w:r>
          </w:p>
          <w:p>
            <w:pPr>
              <w:pStyle w:val="TableParagraph"/>
              <w:spacing w:line="274" w:lineRule="exact"/>
              <w:ind w:left="75" w:right="0"/>
              <w:jc w:val="left"/>
              <w:rPr>
                <w:rFonts w:ascii="宋体" w:hAnsi="宋体" w:cs="宋体" w:eastAsia="宋体" w:hint="default"/>
                <w:sz w:val="21"/>
                <w:szCs w:val="21"/>
              </w:rPr>
            </w:pPr>
            <w:r>
              <w:rPr>
                <w:rFonts w:ascii="宋体" w:hAnsi="宋体" w:cs="宋体" w:eastAsia="宋体" w:hint="default"/>
                <w:sz w:val="21"/>
                <w:szCs w:val="21"/>
              </w:rPr>
              <w:t>证</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676,307.10</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年以</w:t>
            </w:r>
            <w:r>
              <w:rPr>
                <w:rFonts w:ascii="宋体" w:hAnsi="宋体" w:cs="宋体" w:eastAsia="宋体" w:hint="default"/>
                <w:sz w:val="21"/>
                <w:szCs w:val="21"/>
              </w:rPr>
              <w:t>内</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46</w:t>
            </w:r>
            <w:r>
              <w:rPr>
                <w:rFonts w:ascii="宋体" w:hAnsi="宋体" w:cs="宋体" w:eastAsia="宋体" w:hint="default"/>
                <w:sz w:val="21"/>
                <w:szCs w:val="21"/>
              </w:rPr>
              <w:t>,</w:t>
            </w:r>
            <w:r>
              <w:rPr>
                <w:rFonts w:ascii="宋体" w:hAnsi="宋体" w:cs="宋体" w:eastAsia="宋体" w:hint="default"/>
                <w:spacing w:val="-1"/>
                <w:sz w:val="21"/>
                <w:szCs w:val="21"/>
              </w:rPr>
              <w:t>3</w:t>
            </w:r>
            <w:r>
              <w:rPr>
                <w:rFonts w:ascii="宋体" w:hAnsi="宋体" w:cs="宋体" w:eastAsia="宋体" w:hint="default"/>
                <w:sz w:val="21"/>
                <w:szCs w:val="21"/>
              </w:rPr>
              <w:t>7</w:t>
            </w:r>
            <w:r>
              <w:rPr>
                <w:rFonts w:ascii="宋体" w:hAnsi="宋体" w:cs="宋体" w:eastAsia="宋体" w:hint="default"/>
                <w:spacing w:val="-1"/>
                <w:sz w:val="21"/>
                <w:szCs w:val="21"/>
              </w:rPr>
              <w:t>5</w:t>
            </w:r>
            <w:r>
              <w:rPr>
                <w:rFonts w:ascii="宋体" w:hAnsi="宋体" w:cs="宋体" w:eastAsia="宋体" w:hint="default"/>
                <w:sz w:val="21"/>
                <w:szCs w:val="21"/>
              </w:rPr>
              <w:t>.</w:t>
            </w:r>
            <w:r>
              <w:rPr>
                <w:rFonts w:ascii="宋体" w:hAnsi="宋体" w:cs="宋体" w:eastAsia="宋体" w:hint="default"/>
                <w:spacing w:val="-1"/>
                <w:sz w:val="21"/>
                <w:szCs w:val="21"/>
              </w:rPr>
              <w:t>8</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1"/>
                <w:sz w:val="21"/>
                <w:szCs w:val="21"/>
              </w:rPr>
              <w:t>元</w:t>
            </w:r>
            <w:r>
              <w:rPr>
                <w:rFonts w:ascii="宋体" w:hAnsi="宋体" w:cs="宋体" w:eastAsia="宋体" w:hint="default"/>
                <w:spacing w:val="-100"/>
                <w:sz w:val="21"/>
                <w:szCs w:val="21"/>
              </w:rPr>
              <w:t>，</w:t>
            </w:r>
            <w:r>
              <w:rPr>
                <w:rFonts w:ascii="宋体" w:hAnsi="宋体" w:cs="宋体" w:eastAsia="宋体" w:hint="default"/>
                <w:spacing w:val="-1"/>
                <w:sz w:val="21"/>
                <w:szCs w:val="21"/>
              </w:rPr>
              <w:t>1</w:t>
            </w:r>
            <w:r>
              <w:rPr>
                <w:rFonts w:ascii="宋体" w:hAnsi="宋体" w:cs="宋体" w:eastAsia="宋体" w:hint="default"/>
                <w:sz w:val="21"/>
                <w:szCs w:val="21"/>
              </w:rPr>
              <w:t>-2</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429,931.25</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3.92</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50,384.41</w:t>
            </w:r>
            <w:r>
              <w:rPr>
                <w:rFonts w:ascii="宋体"/>
                <w:sz w:val="21"/>
              </w:rPr>
            </w:r>
          </w:p>
        </w:tc>
      </w:tr>
      <w:tr>
        <w:trPr>
          <w:trHeight w:val="41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sz w:val="21"/>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5"/>
              <w:jc w:val="right"/>
              <w:rPr>
                <w:rFonts w:ascii="宋体" w:hAnsi="宋体" w:cs="宋体" w:eastAsia="宋体" w:hint="default"/>
                <w:sz w:val="21"/>
                <w:szCs w:val="21"/>
              </w:rPr>
            </w:pPr>
            <w:r>
              <w:rPr>
                <w:rFonts w:ascii="宋体"/>
                <w:spacing w:val="-1"/>
                <w:sz w:val="21"/>
              </w:rPr>
              <w:t>4,752,604.25</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5"/>
              <w:jc w:val="right"/>
              <w:rPr>
                <w:rFonts w:ascii="宋体" w:hAnsi="宋体" w:cs="宋体" w:eastAsia="宋体" w:hint="default"/>
                <w:sz w:val="21"/>
                <w:szCs w:val="21"/>
              </w:rPr>
            </w:pPr>
            <w:r>
              <w:rPr>
                <w:rFonts w:ascii="宋体"/>
                <w:sz w:val="21"/>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27.51</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313,657.64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290" w:lineRule="auto" w:before="35"/>
        <w:ind w:left="561" w:right="4943" w:hanging="42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58"/>
          <w:sz w:val="21"/>
          <w:szCs w:val="21"/>
        </w:rPr>
        <w:t> </w:t>
      </w:r>
      <w:r>
        <w:rPr>
          <w:rFonts w:ascii="宋体" w:hAnsi="宋体" w:cs="宋体" w:eastAsia="宋体" w:hint="default"/>
          <w:b/>
          <w:bCs/>
          <w:sz w:val="21"/>
          <w:szCs w:val="21"/>
        </w:rPr>
        <w:t>涉及政府补助的应收款项</w:t>
      </w:r>
      <w:r>
        <w:rPr>
          <w:rFonts w:ascii="宋体" w:hAnsi="宋体" w:cs="宋体" w:eastAsia="宋体" w:hint="default"/>
          <w:b/>
          <w:bCs/>
          <w:w w:val="99"/>
          <w:sz w:val="21"/>
          <w:szCs w:val="21"/>
        </w:rPr>
        <w:t> </w:t>
      </w:r>
      <w:r>
        <w:rPr>
          <w:rFonts w:ascii="宋体" w:hAnsi="宋体" w:cs="宋体" w:eastAsia="宋体" w:hint="default"/>
          <w:sz w:val="21"/>
          <w:szCs w:val="21"/>
        </w:rPr>
        <w:t>本公司期末无涉及政府补助的应收款项。</w:t>
      </w:r>
    </w:p>
    <w:p>
      <w:pPr>
        <w:pStyle w:val="Heading2"/>
        <w:spacing w:line="290" w:lineRule="auto" w:before="13"/>
        <w:ind w:left="561" w:right="4554" w:hanging="420"/>
        <w:jc w:val="left"/>
        <w:rPr>
          <w:rFonts w:ascii="宋体" w:hAnsi="宋体" w:cs="宋体" w:eastAsia="宋体" w:hint="default"/>
          <w:b w:val="0"/>
          <w:bCs w:val="0"/>
        </w:rPr>
      </w:pPr>
      <w:r>
        <w:rPr/>
        <w:t>(6).</w:t>
      </w:r>
      <w:r>
        <w:rPr>
          <w:spacing w:val="54"/>
        </w:rPr>
        <w:t> </w:t>
      </w:r>
      <w:r>
        <w:rPr/>
        <w:t>因金融资产转移而终止确认的其他应收款：</w:t>
      </w:r>
      <w:r>
        <w:rPr>
          <w:spacing w:val="1"/>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1"/>
          <w:szCs w:val="21"/>
        </w:rPr>
      </w:pPr>
    </w:p>
    <w:p>
      <w:pPr>
        <w:pStyle w:val="Heading2"/>
        <w:spacing w:line="290" w:lineRule="auto" w:before="0"/>
        <w:ind w:left="561" w:right="3501" w:hanging="420"/>
        <w:jc w:val="left"/>
        <w:rPr>
          <w:rFonts w:ascii="宋体" w:hAnsi="宋体" w:cs="宋体" w:eastAsia="宋体" w:hint="default"/>
          <w:b w:val="0"/>
          <w:bCs w:val="0"/>
        </w:rPr>
      </w:pPr>
      <w:r>
        <w:rPr/>
        <w:t>(7).</w:t>
      </w:r>
      <w:r>
        <w:rPr>
          <w:spacing w:val="53"/>
        </w:rPr>
        <w:t> </w:t>
      </w:r>
      <w:r>
        <w:rPr/>
        <w:t>转移其他应收款且继续涉入形成的资产、负债的金额：</w:t>
      </w:r>
      <w:r>
        <w:rPr>
          <w:spacing w:val="1"/>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7" w:top="1120" w:bottom="1160" w:left="1560" w:right="1040"/>
        </w:sectPr>
      </w:pPr>
    </w:p>
    <w:p>
      <w:pPr>
        <w:pStyle w:val="Heading2"/>
        <w:spacing w:line="240" w:lineRule="auto"/>
        <w:ind w:left="141" w:right="-18"/>
        <w:jc w:val="left"/>
        <w:rPr>
          <w:b w:val="0"/>
          <w:bCs w:val="0"/>
        </w:rPr>
      </w:pPr>
      <w:r>
        <w:rPr/>
        <w:t>7、</w:t>
      </w:r>
      <w:r>
        <w:rPr>
          <w:spacing w:val="-4"/>
        </w:rPr>
        <w:t> </w:t>
      </w:r>
      <w:r>
        <w:rPr/>
        <w:t>存货</w:t>
      </w:r>
      <w:r>
        <w:rPr>
          <w:b w:val="0"/>
          <w:bCs w:val="0"/>
        </w:rPr>
      </w:r>
    </w:p>
    <w:p>
      <w:pPr>
        <w:pStyle w:val="Heading2"/>
        <w:tabs>
          <w:tab w:pos="771" w:val="left" w:leader="none"/>
        </w:tabs>
        <w:spacing w:line="240" w:lineRule="auto" w:before="57"/>
        <w:ind w:left="141" w:right="-18"/>
        <w:jc w:val="left"/>
        <w:rPr>
          <w:b w:val="0"/>
          <w:bCs w:val="0"/>
        </w:rPr>
      </w:pPr>
      <w:r>
        <w:rPr>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1" w:val="left" w:leader="none"/>
        </w:tabs>
        <w:spacing w:line="240" w:lineRule="auto" w:before="176"/>
        <w:ind w:right="0"/>
        <w:jc w:val="left"/>
      </w:pPr>
      <w:r>
        <w:rPr/>
        <w:t>单位：元</w:t>
        <w:tab/>
        <w:t>币种：人民币</w:t>
      </w:r>
    </w:p>
    <w:p>
      <w:pPr>
        <w:spacing w:after="0" w:line="240" w:lineRule="auto"/>
        <w:jc w:val="left"/>
        <w:sectPr>
          <w:type w:val="continuous"/>
          <w:pgSz w:w="11910" w:h="16840"/>
          <w:pgMar w:top="1120" w:bottom="1160" w:left="1560" w:right="1040"/>
          <w:cols w:num="2" w:equalWidth="0">
            <w:col w:w="1617" w:space="5002"/>
            <w:col w:w="269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52"/>
        <w:gridCol w:w="1554"/>
        <w:gridCol w:w="769"/>
        <w:gridCol w:w="1554"/>
        <w:gridCol w:w="1553"/>
        <w:gridCol w:w="1129"/>
        <w:gridCol w:w="1553"/>
      </w:tblGrid>
      <w:tr>
        <w:trPr>
          <w:trHeight w:val="288" w:hRule="exact"/>
        </w:trPr>
        <w:tc>
          <w:tcPr>
            <w:tcW w:w="95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952" w:type="dxa"/>
            <w:vMerge/>
            <w:tcBorders>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5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50" w:right="0"/>
              <w:jc w:val="left"/>
              <w:rPr>
                <w:rFonts w:ascii="宋体" w:hAnsi="宋体" w:cs="宋体" w:eastAsia="宋体" w:hint="default"/>
                <w:sz w:val="21"/>
                <w:szCs w:val="21"/>
              </w:rPr>
            </w:pPr>
            <w:r>
              <w:rPr>
                <w:rFonts w:ascii="宋体"/>
                <w:sz w:val="21"/>
              </w:rPr>
              <w:t>2,616,715.65</w:t>
            </w:r>
          </w:p>
        </w:tc>
        <w:tc>
          <w:tcPr>
            <w:tcW w:w="769"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50" w:right="0"/>
              <w:jc w:val="left"/>
              <w:rPr>
                <w:rFonts w:ascii="宋体" w:hAnsi="宋体" w:cs="宋体" w:eastAsia="宋体" w:hint="default"/>
                <w:sz w:val="21"/>
                <w:szCs w:val="21"/>
              </w:rPr>
            </w:pPr>
            <w:r>
              <w:rPr>
                <w:rFonts w:ascii="宋体"/>
                <w:sz w:val="21"/>
              </w:rPr>
              <w:t>2,616,715.65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9" w:right="0"/>
              <w:jc w:val="left"/>
              <w:rPr>
                <w:rFonts w:ascii="宋体" w:hAnsi="宋体" w:cs="宋体" w:eastAsia="宋体" w:hint="default"/>
                <w:sz w:val="21"/>
                <w:szCs w:val="21"/>
              </w:rPr>
            </w:pPr>
            <w:r>
              <w:rPr>
                <w:rFonts w:ascii="宋体"/>
                <w:sz w:val="21"/>
              </w:rPr>
              <w:t>4,767,041.01</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 w:right="0"/>
              <w:jc w:val="center"/>
              <w:rPr>
                <w:rFonts w:ascii="宋体" w:hAnsi="宋体" w:cs="宋体" w:eastAsia="宋体" w:hint="default"/>
                <w:sz w:val="21"/>
                <w:szCs w:val="21"/>
              </w:rPr>
            </w:pPr>
            <w:r>
              <w:rPr>
                <w:rFonts w:ascii="宋体"/>
                <w:sz w:val="21"/>
              </w:rPr>
              <w:t>991,547.21</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9" w:right="0"/>
              <w:jc w:val="left"/>
              <w:rPr>
                <w:rFonts w:ascii="宋体" w:hAnsi="宋体" w:cs="宋体" w:eastAsia="宋体" w:hint="default"/>
                <w:sz w:val="21"/>
                <w:szCs w:val="21"/>
              </w:rPr>
            </w:pPr>
            <w:r>
              <w:rPr>
                <w:rFonts w:ascii="宋体"/>
                <w:sz w:val="21"/>
              </w:rPr>
              <w:t>3,775,493.80</w:t>
            </w:r>
          </w:p>
        </w:tc>
      </w:tr>
      <w:tr>
        <w:trPr>
          <w:trHeight w:val="354"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5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物资产</w:t>
            </w:r>
          </w:p>
        </w:tc>
        <w:tc>
          <w:tcPr>
            <w:tcW w:w="155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建造合同</w:t>
            </w:r>
          </w:p>
          <w:p>
            <w:pPr>
              <w:pStyle w:val="TableParagraph"/>
              <w:spacing w:line="272" w:lineRule="exact" w:before="26"/>
              <w:ind w:left="24" w:right="71"/>
              <w:jc w:val="both"/>
              <w:rPr>
                <w:rFonts w:ascii="宋体" w:hAnsi="宋体" w:cs="宋体" w:eastAsia="宋体" w:hint="default"/>
                <w:sz w:val="21"/>
                <w:szCs w:val="21"/>
              </w:rPr>
            </w:pPr>
            <w:r>
              <w:rPr>
                <w:rFonts w:ascii="宋体" w:hAnsi="宋体" w:cs="宋体" w:eastAsia="宋体" w:hint="default"/>
                <w:sz w:val="21"/>
                <w:szCs w:val="21"/>
              </w:rPr>
              <w:t>形成的已 完工未结 算资产</w:t>
            </w:r>
          </w:p>
        </w:tc>
        <w:tc>
          <w:tcPr>
            <w:tcW w:w="155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952"/>
        <w:gridCol w:w="1554"/>
        <w:gridCol w:w="769"/>
        <w:gridCol w:w="1554"/>
        <w:gridCol w:w="1553"/>
        <w:gridCol w:w="1129"/>
        <w:gridCol w:w="1553"/>
      </w:tblGrid>
      <w:tr>
        <w:trPr>
          <w:trHeight w:val="355"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7"/>
              <w:jc w:val="center"/>
              <w:rPr>
                <w:rFonts w:ascii="宋体" w:hAnsi="宋体" w:cs="宋体" w:eastAsia="宋体" w:hint="default"/>
                <w:sz w:val="21"/>
                <w:szCs w:val="21"/>
              </w:rPr>
            </w:pPr>
            <w:r>
              <w:rPr>
                <w:rFonts w:ascii="宋体" w:hAnsi="宋体" w:cs="宋体" w:eastAsia="宋体" w:hint="default"/>
                <w:sz w:val="21"/>
                <w:szCs w:val="21"/>
              </w:rPr>
              <w:t>在建系统</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 w:right="0"/>
              <w:jc w:val="center"/>
              <w:rPr>
                <w:rFonts w:ascii="宋体" w:hAnsi="宋体" w:cs="宋体" w:eastAsia="宋体" w:hint="default"/>
                <w:sz w:val="21"/>
                <w:szCs w:val="21"/>
              </w:rPr>
            </w:pPr>
            <w:r>
              <w:rPr>
                <w:rFonts w:ascii="宋体"/>
                <w:sz w:val="21"/>
              </w:rPr>
              <w:t>165,839,792.73</w:t>
            </w:r>
          </w:p>
        </w:tc>
        <w:tc>
          <w:tcPr>
            <w:tcW w:w="769"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 w:right="0"/>
              <w:jc w:val="center"/>
              <w:rPr>
                <w:rFonts w:ascii="宋体" w:hAnsi="宋体" w:cs="宋体" w:eastAsia="宋体" w:hint="default"/>
                <w:sz w:val="21"/>
                <w:szCs w:val="21"/>
              </w:rPr>
            </w:pPr>
            <w:r>
              <w:rPr>
                <w:rFonts w:ascii="宋体"/>
                <w:sz w:val="21"/>
              </w:rPr>
              <w:t>165,839,792.73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sz w:val="21"/>
              </w:rPr>
              <w:t>105,960,791.96</w:t>
            </w:r>
          </w:p>
        </w:tc>
        <w:tc>
          <w:tcPr>
            <w:tcW w:w="112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sz w:val="21"/>
              </w:rPr>
              <w:t>105,960,791.96</w:t>
            </w:r>
          </w:p>
        </w:tc>
      </w:tr>
      <w:tr>
        <w:trPr>
          <w:trHeight w:val="354" w:hRule="exact"/>
        </w:trPr>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1" w:right="0"/>
              <w:jc w:val="center"/>
              <w:rPr>
                <w:rFonts w:ascii="宋体" w:hAnsi="宋体" w:cs="宋体" w:eastAsia="宋体" w:hint="default"/>
                <w:sz w:val="21"/>
                <w:szCs w:val="21"/>
              </w:rPr>
            </w:pPr>
            <w:r>
              <w:rPr>
                <w:rFonts w:ascii="宋体"/>
                <w:sz w:val="21"/>
              </w:rPr>
              <w:t>168,456,508.38</w:t>
            </w:r>
          </w:p>
        </w:tc>
        <w:tc>
          <w:tcPr>
            <w:tcW w:w="769"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1" w:right="0"/>
              <w:jc w:val="center"/>
              <w:rPr>
                <w:rFonts w:ascii="宋体" w:hAnsi="宋体" w:cs="宋体" w:eastAsia="宋体" w:hint="default"/>
                <w:sz w:val="21"/>
                <w:szCs w:val="21"/>
              </w:rPr>
            </w:pPr>
            <w:r>
              <w:rPr>
                <w:rFonts w:ascii="宋体"/>
                <w:sz w:val="21"/>
              </w:rPr>
              <w:t>168,456,508.38</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 w:right="0"/>
              <w:jc w:val="center"/>
              <w:rPr>
                <w:rFonts w:ascii="宋体" w:hAnsi="宋体" w:cs="宋体" w:eastAsia="宋体" w:hint="default"/>
                <w:sz w:val="21"/>
                <w:szCs w:val="21"/>
              </w:rPr>
            </w:pPr>
            <w:r>
              <w:rPr>
                <w:rFonts w:ascii="宋体"/>
                <w:sz w:val="21"/>
              </w:rPr>
              <w:t>110,727,832.97</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 w:right="0"/>
              <w:jc w:val="left"/>
              <w:rPr>
                <w:rFonts w:ascii="宋体" w:hAnsi="宋体" w:cs="宋体" w:eastAsia="宋体" w:hint="default"/>
                <w:sz w:val="21"/>
                <w:szCs w:val="21"/>
              </w:rPr>
            </w:pPr>
            <w:r>
              <w:rPr>
                <w:rFonts w:ascii="宋体"/>
                <w:sz w:val="21"/>
              </w:rPr>
              <w:t>991,547.21</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 w:right="0"/>
              <w:jc w:val="center"/>
              <w:rPr>
                <w:rFonts w:ascii="宋体" w:hAnsi="宋体" w:cs="宋体" w:eastAsia="宋体" w:hint="default"/>
                <w:sz w:val="21"/>
                <w:szCs w:val="21"/>
              </w:rPr>
            </w:pPr>
            <w:r>
              <w:rPr>
                <w:rFonts w:ascii="宋体"/>
                <w:sz w:val="21"/>
              </w:rPr>
              <w:t>109,736,285.76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tabs>
          <w:tab w:pos="851" w:val="left" w:leader="none"/>
        </w:tabs>
        <w:spacing w:line="240" w:lineRule="auto"/>
        <w:ind w:right="84"/>
        <w:jc w:val="left"/>
        <w:rPr>
          <w:b w:val="0"/>
          <w:bCs w:val="0"/>
        </w:rPr>
      </w:pPr>
      <w:r>
        <w:rPr>
          <w:w w:val="95"/>
        </w:rPr>
        <w:t>(2).</w:t>
        <w:tab/>
      </w:r>
      <w:r>
        <w:rPr/>
        <w:t>存货跌价准备</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51"/>
        <w:gridCol w:w="1595"/>
        <w:gridCol w:w="1402"/>
        <w:gridCol w:w="887"/>
        <w:gridCol w:w="1555"/>
        <w:gridCol w:w="769"/>
        <w:gridCol w:w="1286"/>
      </w:tblGrid>
      <w:tr>
        <w:trPr>
          <w:trHeight w:val="282" w:hRule="exact"/>
        </w:trPr>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0"/>
              <w:ind w:left="3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120"/>
              <w:ind w:left="2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1" w:hRule="exact"/>
        </w:trPr>
        <w:tc>
          <w:tcPr>
            <w:tcW w:w="1651"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转回或转销</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6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6" w:type="dxa"/>
            <w:vMerge/>
            <w:tcBorders>
              <w:left w:val="single" w:sz="4" w:space="0" w:color="000000"/>
              <w:bottom w:val="single" w:sz="4" w:space="0" w:color="000000"/>
              <w:right w:val="single" w:sz="4" w:space="0" w:color="000000"/>
            </w:tcBorders>
          </w:tcPr>
          <w:p>
            <w:pP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9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宋体" w:hAnsi="宋体" w:cs="宋体" w:eastAsia="宋体" w:hint="default"/>
                <w:sz w:val="21"/>
                <w:szCs w:val="21"/>
              </w:rPr>
            </w:pPr>
            <w:r>
              <w:rPr>
                <w:rFonts w:ascii="宋体"/>
                <w:sz w:val="21"/>
              </w:rPr>
              <w:t>991,547.21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116,596.21</w:t>
            </w:r>
          </w:p>
        </w:tc>
        <w:tc>
          <w:tcPr>
            <w:tcW w:w="88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 w:right="0"/>
              <w:jc w:val="center"/>
              <w:rPr>
                <w:rFonts w:ascii="宋体" w:hAnsi="宋体" w:cs="宋体" w:eastAsia="宋体" w:hint="default"/>
                <w:sz w:val="21"/>
                <w:szCs w:val="21"/>
              </w:rPr>
            </w:pPr>
            <w:r>
              <w:rPr>
                <w:rFonts w:ascii="宋体"/>
                <w:sz w:val="21"/>
              </w:rPr>
              <w:t>1,108,143.42</w:t>
            </w:r>
          </w:p>
        </w:tc>
        <w:tc>
          <w:tcPr>
            <w:tcW w:w="76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9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72" w:lineRule="exact" w:before="26"/>
              <w:ind w:left="103" w:right="276"/>
              <w:jc w:val="left"/>
              <w:rPr>
                <w:rFonts w:ascii="宋体" w:hAnsi="宋体" w:cs="宋体" w:eastAsia="宋体" w:hint="default"/>
                <w:sz w:val="21"/>
                <w:szCs w:val="21"/>
              </w:rPr>
            </w:pPr>
            <w:r>
              <w:rPr>
                <w:rFonts w:ascii="宋体" w:hAnsi="宋体" w:cs="宋体" w:eastAsia="宋体" w:hint="default"/>
                <w:sz w:val="21"/>
                <w:szCs w:val="21"/>
              </w:rPr>
              <w:t>的已完工未结 算资产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991,547.21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116,596.21</w:t>
            </w:r>
          </w:p>
        </w:tc>
        <w:tc>
          <w:tcPr>
            <w:tcW w:w="88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 w:right="0"/>
              <w:jc w:val="center"/>
              <w:rPr>
                <w:rFonts w:ascii="宋体" w:hAnsi="宋体" w:cs="宋体" w:eastAsia="宋体" w:hint="default"/>
                <w:sz w:val="21"/>
                <w:szCs w:val="21"/>
              </w:rPr>
            </w:pPr>
            <w:r>
              <w:rPr>
                <w:rFonts w:ascii="宋体"/>
                <w:sz w:val="21"/>
              </w:rPr>
              <w:t>1,108,143.42</w:t>
            </w:r>
          </w:p>
        </w:tc>
        <w:tc>
          <w:tcPr>
            <w:tcW w:w="76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2"/>
        <w:ind w:left="221" w:right="231" w:firstLine="420"/>
        <w:jc w:val="both"/>
      </w:pPr>
      <w:r>
        <w:rPr/>
        <w:t>注：由于</w:t>
      </w:r>
      <w:r>
        <w:rPr>
          <w:spacing w:val="-51"/>
        </w:rPr>
        <w:t> </w:t>
      </w:r>
      <w:r>
        <w:rPr/>
        <w:t>2013</w:t>
      </w:r>
      <w:r>
        <w:rPr>
          <w:spacing w:val="-51"/>
        </w:rPr>
        <w:t> </w:t>
      </w:r>
      <w:r>
        <w:rPr/>
        <w:t>年公司没有入围福建广电网络集团数字电视终端接收机采购招标，根据公司与</w:t>
      </w:r>
      <w:r>
        <w:rPr/>
        <w:t> </w:t>
      </w:r>
      <w:r>
        <w:rPr>
          <w:spacing w:val="-3"/>
        </w:rPr>
        <w:t>福建广电网络集团股份有限公司泉州分公司签订《采购意向函》确定的数字电视终端接收机采购单</w:t>
      </w:r>
      <w:r>
        <w:rPr>
          <w:spacing w:val="-78"/>
        </w:rPr>
        <w:t> </w:t>
      </w:r>
      <w:r>
        <w:rPr>
          <w:spacing w:val="-78"/>
        </w:rPr>
      </w:r>
      <w:r>
        <w:rPr/>
        <w:t>价，本期计提存货跌价准备</w:t>
      </w:r>
      <w:r>
        <w:rPr>
          <w:spacing w:val="-52"/>
        </w:rPr>
        <w:t> </w:t>
      </w:r>
      <w:r>
        <w:rPr/>
        <w:t>116,596.21</w:t>
      </w:r>
      <w:r>
        <w:rPr>
          <w:spacing w:val="-52"/>
        </w:rPr>
        <w:t> </w:t>
      </w:r>
      <w:r>
        <w:rPr/>
        <w:t>元。本期公司已将库存的数字电视终端接收机全部售出，</w:t>
      </w:r>
      <w:r>
        <w:rPr/>
        <w:t> 故本期将全部的存货跌价准备进行转销。</w:t>
      </w:r>
    </w:p>
    <w:p>
      <w:pPr>
        <w:pStyle w:val="Heading2"/>
        <w:tabs>
          <w:tab w:pos="851" w:val="left" w:leader="none"/>
        </w:tabs>
        <w:spacing w:line="357" w:lineRule="auto" w:before="2"/>
        <w:ind w:left="641" w:right="4106" w:hanging="420"/>
        <w:jc w:val="left"/>
        <w:rPr>
          <w:rFonts w:ascii="宋体" w:hAnsi="宋体" w:cs="宋体" w:eastAsia="宋体" w:hint="default"/>
          <w:b w:val="0"/>
          <w:bCs w:val="0"/>
        </w:rPr>
      </w:pPr>
      <w:r>
        <w:rPr>
          <w:w w:val="95"/>
        </w:rPr>
        <w:t>(3).</w:t>
        <w:tab/>
      </w:r>
      <w:r>
        <w:rPr/>
        <w:t>存货期末余额含有借款费用资本化金额的说明：</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15"/>
          <w:szCs w:val="15"/>
        </w:rPr>
      </w:pPr>
    </w:p>
    <w:p>
      <w:pPr>
        <w:pStyle w:val="Heading2"/>
        <w:spacing w:line="240" w:lineRule="auto"/>
        <w:ind w:right="84"/>
        <w:jc w:val="left"/>
        <w:rPr>
          <w:b w:val="0"/>
          <w:bCs w:val="0"/>
        </w:rPr>
      </w:pPr>
      <w:r>
        <w:rPr/>
        <w:t>8、</w:t>
      </w:r>
      <w:r>
        <w:rPr>
          <w:spacing w:val="-6"/>
        </w:rPr>
        <w:t> </w:t>
      </w:r>
      <w:r>
        <w:rPr/>
        <w:t>其他流动资产</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322"/>
        <w:gridCol w:w="2948"/>
        <w:gridCol w:w="2722"/>
      </w:tblGrid>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5"/>
              <w:jc w:val="right"/>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588,439.74</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496,132.57</w:t>
            </w:r>
          </w:p>
        </w:tc>
      </w:tr>
      <w:tr>
        <w:trPr>
          <w:trHeight w:val="282"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宽带费</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1"/>
              <w:jc w:val="right"/>
              <w:rPr>
                <w:rFonts w:ascii="宋体" w:hAnsi="宋体" w:cs="宋体" w:eastAsia="宋体" w:hint="default"/>
                <w:sz w:val="21"/>
                <w:szCs w:val="21"/>
              </w:rPr>
            </w:pPr>
            <w:r>
              <w:rPr>
                <w:rFonts w:ascii="宋体"/>
                <w:sz w:val="21"/>
              </w:rPr>
              <w:t>945.00</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3,445.00</w:t>
            </w:r>
          </w:p>
        </w:tc>
      </w:tr>
      <w:tr>
        <w:trPr>
          <w:trHeight w:val="282"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48"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7"/>
              <w:jc w:val="right"/>
              <w:rPr>
                <w:rFonts w:ascii="宋体" w:hAnsi="宋体" w:cs="宋体" w:eastAsia="宋体" w:hint="default"/>
                <w:sz w:val="21"/>
                <w:szCs w:val="21"/>
              </w:rPr>
            </w:pPr>
            <w:r>
              <w:rPr>
                <w:rFonts w:ascii="宋体"/>
                <w:spacing w:val="-1"/>
                <w:sz w:val="21"/>
              </w:rPr>
              <w:t>25,000,000.00</w:t>
            </w:r>
            <w:r>
              <w:rPr>
                <w:rFonts w:ascii="宋体"/>
                <w:sz w:val="21"/>
              </w:rPr>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预缴房产税</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77,898.84</w:t>
            </w: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6"/>
              <w:jc w:val="right"/>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667,283.58</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25,499,577.57</w:t>
            </w:r>
          </w:p>
        </w:tc>
      </w:tr>
    </w:tbl>
    <w:p>
      <w:pPr>
        <w:pStyle w:val="BodyText"/>
        <w:spacing w:line="240" w:lineRule="exact" w:before="0"/>
        <w:ind w:left="221" w:right="84"/>
        <w:jc w:val="left"/>
      </w:pPr>
      <w:r>
        <w:rPr/>
        <w:t>其他说明</w:t>
      </w:r>
    </w:p>
    <w:p>
      <w:pPr>
        <w:pStyle w:val="BodyText"/>
        <w:spacing w:line="240" w:lineRule="auto" w:before="75"/>
        <w:ind w:left="641" w:right="84"/>
        <w:jc w:val="left"/>
      </w:pPr>
      <w:r>
        <w:rPr/>
        <w:t>无</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77" w:top="1120" w:bottom="1160" w:left="1480" w:right="1040"/>
        </w:sectPr>
      </w:pPr>
    </w:p>
    <w:p>
      <w:pPr>
        <w:pStyle w:val="Heading2"/>
        <w:spacing w:line="240" w:lineRule="auto"/>
        <w:ind w:right="-16"/>
        <w:jc w:val="left"/>
        <w:rPr>
          <w:b w:val="0"/>
          <w:bCs w:val="0"/>
        </w:rPr>
      </w:pPr>
      <w:r>
        <w:rPr/>
        <w:t>9、</w:t>
      </w:r>
      <w:r>
        <w:rPr>
          <w:spacing w:val="-5"/>
        </w:rPr>
        <w:t> </w:t>
      </w:r>
      <w:r>
        <w:rPr/>
        <w:t>长期应收款</w:t>
      </w:r>
      <w:r>
        <w:rPr>
          <w:b w:val="0"/>
          <w:bCs w:val="0"/>
        </w:rPr>
      </w:r>
    </w:p>
    <w:p>
      <w:pPr>
        <w:pStyle w:val="Heading2"/>
        <w:spacing w:line="240" w:lineRule="auto" w:before="57"/>
        <w:ind w:right="-16"/>
        <w:jc w:val="left"/>
        <w:rPr>
          <w:b w:val="0"/>
          <w:bCs w:val="0"/>
        </w:rPr>
      </w:pPr>
      <w:r>
        <w:rPr/>
        <w:t>(1)</w:t>
      </w:r>
      <w:r>
        <w:rPr>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2334" w:space="4285"/>
            <w:col w:w="2771"/>
          </w:cols>
        </w:sectPr>
      </w:pP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2136"/>
        <w:gridCol w:w="1111"/>
        <w:gridCol w:w="587"/>
        <w:gridCol w:w="1112"/>
        <w:gridCol w:w="937"/>
        <w:gridCol w:w="938"/>
        <w:gridCol w:w="959"/>
        <w:gridCol w:w="862"/>
      </w:tblGrid>
      <w:tr>
        <w:trPr>
          <w:trHeight w:val="284" w:hRule="exact"/>
        </w:trPr>
        <w:tc>
          <w:tcPr>
            <w:tcW w:w="21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34"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862" w:type="dxa"/>
            <w:vMerge w:val="restart"/>
            <w:tcBorders>
              <w:top w:val="single" w:sz="4" w:space="0" w:color="000000"/>
              <w:left w:val="single" w:sz="4" w:space="0" w:color="000000"/>
              <w:right w:val="single" w:sz="4" w:space="0" w:color="000000"/>
            </w:tcBorders>
          </w:tcPr>
          <w:p>
            <w:pPr>
              <w:pStyle w:val="TableParagraph"/>
              <w:spacing w:line="272" w:lineRule="exact" w:before="136"/>
              <w:ind w:left="214" w:right="110" w:hanging="106"/>
              <w:jc w:val="left"/>
              <w:rPr>
                <w:rFonts w:ascii="宋体" w:hAnsi="宋体" w:cs="宋体" w:eastAsia="宋体" w:hint="default"/>
                <w:sz w:val="21"/>
                <w:szCs w:val="21"/>
              </w:rPr>
            </w:pPr>
            <w:r>
              <w:rPr>
                <w:rFonts w:ascii="宋体" w:hAnsi="宋体" w:cs="宋体" w:eastAsia="宋体" w:hint="default"/>
                <w:sz w:val="21"/>
                <w:szCs w:val="21"/>
              </w:rPr>
              <w:t>折现率 区间</w:t>
            </w:r>
          </w:p>
        </w:tc>
      </w:tr>
      <w:tr>
        <w:trPr>
          <w:trHeight w:val="560" w:hRule="exact"/>
        </w:trPr>
        <w:tc>
          <w:tcPr>
            <w:tcW w:w="2136" w:type="dxa"/>
            <w:vMerge/>
            <w:tcBorders>
              <w:left w:val="single" w:sz="4" w:space="0" w:color="000000"/>
              <w:bottom w:val="single" w:sz="6" w:space="0" w:color="000000"/>
              <w:right w:val="single" w:sz="4" w:space="0" w:color="000000"/>
            </w:tcBorders>
          </w:tcPr>
          <w:p>
            <w:pPr/>
          </w:p>
        </w:tc>
        <w:tc>
          <w:tcPr>
            <w:tcW w:w="11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7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5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62" w:type="dxa"/>
            <w:vMerge/>
            <w:tcBorders>
              <w:left w:val="single" w:sz="4" w:space="0" w:color="000000"/>
              <w:bottom w:val="single" w:sz="6" w:space="0" w:color="000000"/>
              <w:right w:val="single" w:sz="4" w:space="0" w:color="000000"/>
            </w:tcBorders>
          </w:tcPr>
          <w:p>
            <w:pPr/>
          </w:p>
        </w:tc>
      </w:tr>
      <w:tr>
        <w:trPr>
          <w:trHeight w:val="287"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441,136.49</w:t>
            </w:r>
          </w:p>
        </w:tc>
        <w:tc>
          <w:tcPr>
            <w:tcW w:w="58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441,136.49</w:t>
            </w:r>
          </w:p>
        </w:tc>
        <w:tc>
          <w:tcPr>
            <w:tcW w:w="937"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300" w:right="0"/>
              <w:jc w:val="left"/>
              <w:rPr>
                <w:rFonts w:ascii="宋体" w:hAnsi="宋体" w:cs="宋体" w:eastAsia="宋体" w:hint="default"/>
                <w:sz w:val="21"/>
                <w:szCs w:val="21"/>
              </w:rPr>
            </w:pPr>
            <w:r>
              <w:rPr>
                <w:rFonts w:ascii="宋体"/>
                <w:sz w:val="21"/>
              </w:rPr>
              <w:t>6.37%</w:t>
            </w: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111"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111"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60" w:type="dxa"/>
        <w:tblLayout w:type="fixed"/>
        <w:tblCellMar>
          <w:top w:w="0" w:type="dxa"/>
          <w:left w:w="0" w:type="dxa"/>
          <w:bottom w:w="0" w:type="dxa"/>
          <w:right w:w="0" w:type="dxa"/>
        </w:tblCellMar>
        <w:tblLook w:val="01E0"/>
      </w:tblPr>
      <w:tblGrid>
        <w:gridCol w:w="2136"/>
        <w:gridCol w:w="1111"/>
        <w:gridCol w:w="587"/>
        <w:gridCol w:w="1112"/>
        <w:gridCol w:w="937"/>
        <w:gridCol w:w="938"/>
        <w:gridCol w:w="959"/>
        <w:gridCol w:w="862"/>
      </w:tblGrid>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441,136.49</w:t>
            </w:r>
          </w:p>
        </w:tc>
        <w:tc>
          <w:tcPr>
            <w:tcW w:w="58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441,136.49</w:t>
            </w:r>
          </w:p>
        </w:tc>
        <w:tc>
          <w:tcPr>
            <w:tcW w:w="937"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357" w:lineRule="auto" w:before="35"/>
        <w:ind w:left="641" w:right="3473" w:hanging="421"/>
        <w:jc w:val="left"/>
        <w:rPr>
          <w:rFonts w:ascii="宋体" w:hAnsi="宋体" w:cs="宋体" w:eastAsia="宋体" w:hint="default"/>
          <w:sz w:val="21"/>
          <w:szCs w:val="21"/>
        </w:rPr>
      </w:pPr>
      <w:r>
        <w:rPr>
          <w:rFonts w:ascii="宋体" w:hAnsi="宋体" w:cs="宋体" w:eastAsia="宋体" w:hint="default"/>
          <w:b/>
          <w:bCs/>
          <w:sz w:val="21"/>
          <w:szCs w:val="21"/>
        </w:rPr>
        <w:t>(2) 因金融资产转移而终止确认的长期应收款</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本公司期末无因金融资产转移而终止确认的长期应收款。</w:t>
      </w:r>
    </w:p>
    <w:p>
      <w:pPr>
        <w:spacing w:line="240" w:lineRule="auto" w:before="1"/>
        <w:rPr>
          <w:rFonts w:ascii="宋体" w:hAnsi="宋体" w:cs="宋体" w:eastAsia="宋体" w:hint="default"/>
          <w:sz w:val="18"/>
          <w:szCs w:val="18"/>
        </w:rPr>
      </w:pPr>
    </w:p>
    <w:p>
      <w:pPr>
        <w:spacing w:line="357" w:lineRule="auto" w:before="0"/>
        <w:ind w:left="641" w:right="2423" w:hanging="421"/>
        <w:jc w:val="left"/>
        <w:rPr>
          <w:rFonts w:ascii="宋体" w:hAnsi="宋体" w:cs="宋体" w:eastAsia="宋体" w:hint="default"/>
          <w:sz w:val="21"/>
          <w:szCs w:val="21"/>
        </w:rPr>
      </w:pPr>
      <w:r>
        <w:rPr>
          <w:rFonts w:ascii="宋体" w:hAnsi="宋体" w:cs="宋体" w:eastAsia="宋体" w:hint="default"/>
          <w:b/>
          <w:bCs/>
          <w:sz w:val="21"/>
          <w:szCs w:val="21"/>
        </w:rPr>
        <w:t>(3) 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t>本公司期末无转移长期应收款且继续涉入形成的资产、负债的金额。</w:t>
      </w:r>
    </w:p>
    <w:p>
      <w:pPr>
        <w:spacing w:line="240" w:lineRule="auto" w:before="5"/>
        <w:rPr>
          <w:rFonts w:ascii="宋体" w:hAnsi="宋体" w:cs="宋体" w:eastAsia="宋体" w:hint="default"/>
          <w:sz w:val="15"/>
          <w:szCs w:val="15"/>
        </w:rPr>
      </w:pPr>
    </w:p>
    <w:p>
      <w:pPr>
        <w:pStyle w:val="Heading2"/>
        <w:spacing w:line="240" w:lineRule="auto"/>
        <w:ind w:right="84"/>
        <w:jc w:val="left"/>
        <w:rPr>
          <w:b w:val="0"/>
          <w:bCs w:val="0"/>
        </w:rPr>
      </w:pPr>
      <w:r>
        <w:rPr/>
        <w:t>10、</w:t>
      </w:r>
      <w:r>
        <w:rPr>
          <w:spacing w:val="-29"/>
        </w:rPr>
        <w:t> </w:t>
      </w:r>
      <w:r>
        <w:rPr/>
        <w:t>长期股权投资</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32"/>
        <w:gridCol w:w="1283"/>
        <w:gridCol w:w="426"/>
        <w:gridCol w:w="432"/>
        <w:gridCol w:w="1436"/>
        <w:gridCol w:w="720"/>
        <w:gridCol w:w="432"/>
        <w:gridCol w:w="431"/>
        <w:gridCol w:w="354"/>
        <w:gridCol w:w="444"/>
        <w:gridCol w:w="1344"/>
        <w:gridCol w:w="728"/>
      </w:tblGrid>
      <w:tr>
        <w:trPr>
          <w:trHeight w:val="283" w:hRule="exact"/>
        </w:trPr>
        <w:tc>
          <w:tcPr>
            <w:tcW w:w="8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6"/>
              <w:ind w:left="200" w:right="199"/>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72" w:lineRule="exact"/>
              <w:ind w:left="426" w:right="425"/>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46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72" w:lineRule="exact"/>
              <w:ind w:left="456" w:right="456"/>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148" w:right="147"/>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3006" w:hRule="exact"/>
        </w:trPr>
        <w:tc>
          <w:tcPr>
            <w:tcW w:w="832" w:type="dxa"/>
            <w:vMerge/>
            <w:tcBorders>
              <w:left w:val="single" w:sz="4" w:space="0" w:color="000000"/>
              <w:bottom w:val="single" w:sz="4" w:space="0" w:color="000000"/>
              <w:right w:val="single" w:sz="4" w:space="0" w:color="000000"/>
            </w:tcBorders>
          </w:tcPr>
          <w:p>
            <w:pPr/>
          </w:p>
        </w:tc>
        <w:tc>
          <w:tcPr>
            <w:tcW w:w="1283"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2" w:right="102"/>
              <w:jc w:val="both"/>
              <w:rPr>
                <w:rFonts w:ascii="宋体" w:hAnsi="宋体" w:cs="宋体" w:eastAsia="宋体" w:hint="default"/>
                <w:sz w:val="21"/>
                <w:szCs w:val="21"/>
              </w:rPr>
            </w:pPr>
            <w:r>
              <w:rPr>
                <w:rFonts w:ascii="宋体" w:hAnsi="宋体" w:cs="宋体" w:eastAsia="宋体" w:hint="default"/>
                <w:sz w:val="21"/>
                <w:szCs w:val="21"/>
              </w:rPr>
              <w:t>追 加 投 资</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4" w:right="107"/>
              <w:jc w:val="both"/>
              <w:rPr>
                <w:rFonts w:ascii="宋体" w:hAnsi="宋体" w:cs="宋体" w:eastAsia="宋体" w:hint="default"/>
                <w:sz w:val="21"/>
                <w:szCs w:val="21"/>
              </w:rPr>
            </w:pPr>
            <w:r>
              <w:rPr>
                <w:rFonts w:ascii="宋体" w:hAnsi="宋体" w:cs="宋体" w:eastAsia="宋体" w:hint="default"/>
                <w:sz w:val="21"/>
                <w:szCs w:val="21"/>
              </w:rPr>
              <w:t>减 少 投 资</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87" w:right="187"/>
              <w:jc w:val="center"/>
              <w:rPr>
                <w:rFonts w:ascii="宋体" w:hAnsi="宋体" w:cs="宋体" w:eastAsia="宋体" w:hint="default"/>
                <w:sz w:val="21"/>
                <w:szCs w:val="21"/>
              </w:rPr>
            </w:pPr>
            <w:r>
              <w:rPr>
                <w:rFonts w:ascii="宋体" w:hAnsi="宋体" w:cs="宋体" w:eastAsia="宋体" w:hint="default"/>
                <w:sz w:val="21"/>
                <w:szCs w:val="21"/>
              </w:rPr>
              <w:t>权益法下确 认的投资损 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45" w:right="143"/>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05" w:right="104"/>
              <w:jc w:val="both"/>
              <w:rPr>
                <w:rFonts w:ascii="宋体" w:hAnsi="宋体" w:cs="宋体" w:eastAsia="宋体" w:hint="default"/>
                <w:sz w:val="21"/>
                <w:szCs w:val="21"/>
              </w:rPr>
            </w:pPr>
            <w:r>
              <w:rPr>
                <w:rFonts w:ascii="宋体" w:hAnsi="宋体" w:cs="宋体" w:eastAsia="宋体" w:hint="default"/>
                <w:sz w:val="21"/>
                <w:szCs w:val="21"/>
              </w:rPr>
              <w:t>其 他 权 益 变 动</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both"/>
              <w:rPr>
                <w:rFonts w:ascii="宋体" w:hAnsi="宋体" w:cs="宋体" w:eastAsia="宋体" w:hint="default"/>
                <w:sz w:val="21"/>
                <w:szCs w:val="21"/>
              </w:rPr>
            </w:pPr>
            <w:r>
              <w:rPr>
                <w:rFonts w:ascii="宋体" w:hAnsi="宋体" w:cs="宋体" w:eastAsia="宋体" w:hint="default"/>
                <w:sz w:val="21"/>
                <w:szCs w:val="21"/>
              </w:rPr>
              <w:t>宣</w:t>
            </w:r>
          </w:p>
          <w:p>
            <w:pPr>
              <w:pStyle w:val="TableParagraph"/>
              <w:spacing w:line="272" w:lineRule="exact" w:before="26"/>
              <w:ind w:left="105" w:right="103"/>
              <w:jc w:val="both"/>
              <w:rPr>
                <w:rFonts w:ascii="宋体" w:hAnsi="宋体" w:cs="宋体" w:eastAsia="宋体" w:hint="default"/>
                <w:sz w:val="21"/>
                <w:szCs w:val="21"/>
              </w:rPr>
            </w:pPr>
            <w:r>
              <w:rPr>
                <w:rFonts w:ascii="宋体" w:hAnsi="宋体" w:cs="宋体" w:eastAsia="宋体" w:hint="default"/>
                <w:sz w:val="21"/>
                <w:szCs w:val="21"/>
              </w:rPr>
              <w:t>告 发 放 现 金 股 利 或 利 润</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03" w:right="29"/>
              <w:jc w:val="both"/>
              <w:rPr>
                <w:rFonts w:ascii="宋体" w:hAnsi="宋体" w:cs="宋体" w:eastAsia="宋体" w:hint="default"/>
                <w:sz w:val="21"/>
                <w:szCs w:val="21"/>
              </w:rPr>
            </w:pPr>
            <w:r>
              <w:rPr>
                <w:rFonts w:ascii="宋体" w:hAnsi="宋体" w:cs="宋体" w:eastAsia="宋体" w:hint="default"/>
                <w:sz w:val="21"/>
                <w:szCs w:val="21"/>
              </w:rPr>
              <w:t>计 提 减 值 准 备</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0"/>
              <w:ind w:left="111" w:right="110"/>
              <w:jc w:val="left"/>
              <w:rPr>
                <w:rFonts w:ascii="宋体" w:hAnsi="宋体" w:cs="宋体" w:eastAsia="宋体" w:hint="default"/>
                <w:sz w:val="21"/>
                <w:szCs w:val="21"/>
              </w:rPr>
            </w:pPr>
            <w:r>
              <w:rPr>
                <w:rFonts w:ascii="宋体" w:hAnsi="宋体" w:cs="宋体" w:eastAsia="宋体" w:hint="default"/>
                <w:sz w:val="21"/>
                <w:szCs w:val="21"/>
              </w:rPr>
              <w:t>其 他</w:t>
            </w:r>
          </w:p>
        </w:tc>
        <w:tc>
          <w:tcPr>
            <w:tcW w:w="1344"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r>
      <w:tr>
        <w:trPr>
          <w:trHeight w:val="827" w:hRule="exact"/>
        </w:trPr>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二、联</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90"/>
                <w:sz w:val="21"/>
                <w:szCs w:val="21"/>
              </w:rPr>
              <w:t> </w:t>
            </w:r>
            <w:r>
              <w:rPr>
                <w:rFonts w:ascii="宋体" w:hAnsi="宋体" w:cs="宋体" w:eastAsia="宋体" w:hint="default"/>
                <w:sz w:val="21"/>
                <w:szCs w:val="21"/>
              </w:rPr>
              <w:t>企</w:t>
            </w:r>
            <w:r>
              <w:rPr>
                <w:rFonts w:ascii="宋体" w:hAnsi="宋体" w:cs="宋体" w:eastAsia="宋体" w:hint="default"/>
                <w:sz w:val="21"/>
                <w:szCs w:val="21"/>
              </w:rPr>
              <w:t> 业</w:t>
            </w:r>
          </w:p>
        </w:tc>
        <w:tc>
          <w:tcPr>
            <w:tcW w:w="12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90"/>
                <w:sz w:val="21"/>
                <w:szCs w:val="21"/>
              </w:rPr>
              <w:t> </w:t>
            </w:r>
            <w:r>
              <w:rPr>
                <w:rFonts w:ascii="宋体" w:hAnsi="宋体" w:cs="宋体" w:eastAsia="宋体" w:hint="default"/>
                <w:sz w:val="21"/>
                <w:szCs w:val="21"/>
              </w:rPr>
              <w:t>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伍</w:t>
            </w:r>
            <w:r>
              <w:rPr>
                <w:rFonts w:ascii="宋体" w:hAnsi="宋体" w:cs="宋体" w:eastAsia="宋体" w:hint="default"/>
                <w:spacing w:val="90"/>
                <w:sz w:val="21"/>
                <w:szCs w:val="21"/>
              </w:rPr>
              <w:t> </w:t>
            </w:r>
            <w:r>
              <w:rPr>
                <w:rFonts w:ascii="宋体" w:hAnsi="宋体" w:cs="宋体" w:eastAsia="宋体" w:hint="default"/>
                <w:sz w:val="21"/>
                <w:szCs w:val="21"/>
              </w:rPr>
              <w:t>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90"/>
                <w:sz w:val="21"/>
                <w:szCs w:val="21"/>
              </w:rPr>
              <w:t> </w:t>
            </w:r>
            <w:r>
              <w:rPr>
                <w:rFonts w:ascii="宋体" w:hAnsi="宋体" w:cs="宋体" w:eastAsia="宋体" w:hint="default"/>
                <w:sz w:val="21"/>
                <w:szCs w:val="21"/>
              </w:rPr>
              <w:t>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90"/>
                <w:sz w:val="21"/>
                <w:szCs w:val="21"/>
              </w:rPr>
              <w:t> </w:t>
            </w:r>
            <w:r>
              <w:rPr>
                <w:rFonts w:ascii="宋体" w:hAnsi="宋体" w:cs="宋体" w:eastAsia="宋体" w:hint="default"/>
                <w:sz w:val="21"/>
                <w:szCs w:val="21"/>
              </w:rPr>
              <w:t>技</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0"/>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199,055.60</w:t>
            </w:r>
          </w:p>
        </w:tc>
        <w:tc>
          <w:tcPr>
            <w:tcW w:w="42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8" w:right="0"/>
              <w:jc w:val="left"/>
              <w:rPr>
                <w:rFonts w:ascii="宋体" w:hAnsi="宋体" w:cs="宋体" w:eastAsia="宋体" w:hint="default"/>
                <w:sz w:val="21"/>
                <w:szCs w:val="21"/>
              </w:rPr>
            </w:pPr>
            <w:r>
              <w:rPr>
                <w:rFonts w:ascii="宋体"/>
                <w:sz w:val="21"/>
              </w:rPr>
              <w:t>-17,677.78</w:t>
            </w:r>
          </w:p>
        </w:tc>
        <w:tc>
          <w:tcPr>
            <w:tcW w:w="72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78" w:right="0"/>
              <w:jc w:val="center"/>
              <w:rPr>
                <w:rFonts w:ascii="宋体" w:hAnsi="宋体" w:cs="宋体" w:eastAsia="宋体" w:hint="default"/>
                <w:sz w:val="21"/>
                <w:szCs w:val="21"/>
              </w:rPr>
            </w:pPr>
            <w:r>
              <w:rPr>
                <w:rFonts w:ascii="宋体"/>
                <w:sz w:val="21"/>
              </w:rPr>
              <w:t>181,377.82</w:t>
            </w: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199,055.60</w:t>
            </w:r>
          </w:p>
        </w:tc>
        <w:tc>
          <w:tcPr>
            <w:tcW w:w="42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-17,677.78</w:t>
            </w:r>
          </w:p>
        </w:tc>
        <w:tc>
          <w:tcPr>
            <w:tcW w:w="72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181,377.82</w:t>
            </w: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199,055.60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sz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-17,677.78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jc w:val="left"/>
              <w:rPr>
                <w:rFonts w:ascii="宋体" w:hAnsi="宋体" w:cs="宋体" w:eastAsia="宋体" w:hint="default"/>
                <w:sz w:val="21"/>
                <w:szCs w:val="21"/>
              </w:rPr>
            </w:pPr>
            <w:r>
              <w:rPr>
                <w:rFonts w:ascii="宋体"/>
                <w:sz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sz w:val="21"/>
              </w:rPr>
              <w:t>-</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sz w:val="21"/>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181,377.82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bl>
    <w:p>
      <w:pPr>
        <w:pStyle w:val="BodyText"/>
        <w:spacing w:line="238" w:lineRule="exact" w:before="0"/>
        <w:ind w:left="221" w:right="84"/>
        <w:jc w:val="left"/>
      </w:pPr>
      <w:r>
        <w:rPr/>
        <w:t>其他说明</w:t>
      </w:r>
    </w:p>
    <w:p>
      <w:pPr>
        <w:pStyle w:val="BodyText"/>
        <w:spacing w:line="274" w:lineRule="exact" w:before="0"/>
        <w:ind w:left="221" w:right="84"/>
        <w:jc w:val="left"/>
      </w:pPr>
      <w:r>
        <w:rPr/>
        <w:t>无。</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7" w:top="1120" w:bottom="1160" w:left="1480" w:right="1040"/>
        </w:sectPr>
      </w:pPr>
    </w:p>
    <w:p>
      <w:pPr>
        <w:spacing w:line="290" w:lineRule="auto" w:before="35"/>
        <w:ind w:left="221" w:right="1656"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2"/>
        <w:spacing w:line="240" w:lineRule="auto" w:before="12"/>
        <w:ind w:right="-15"/>
        <w:jc w:val="left"/>
        <w:rPr>
          <w:b w:val="0"/>
          <w:bCs w:val="0"/>
        </w:rPr>
      </w:pPr>
      <w:r>
        <w:rPr/>
        <w:t>(1).</w:t>
      </w:r>
      <w:r>
        <w:rPr>
          <w:spacing w:val="80"/>
        </w:rPr>
        <w:t> </w:t>
      </w:r>
      <w:r>
        <w:rPr/>
        <w:t>采用成本计量模式的投资性房地产</w:t>
      </w:r>
      <w:r>
        <w:rPr>
          <w:b w:val="0"/>
          <w:bCs w:val="0"/>
        </w:rPr>
      </w:r>
    </w:p>
    <w:p>
      <w:pPr>
        <w:pStyle w:val="BodyText"/>
        <w:spacing w:line="240" w:lineRule="auto" w:before="57"/>
        <w:ind w:left="221" w:right="1656"/>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71" w:val="left" w:leader="none"/>
        </w:tabs>
        <w:spacing w:line="240" w:lineRule="auto" w:before="0"/>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3998" w:space="2621"/>
            <w:col w:w="277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822"/>
        <w:gridCol w:w="1598"/>
        <w:gridCol w:w="1571"/>
        <w:gridCol w:w="1556"/>
        <w:gridCol w:w="1597"/>
      </w:tblGrid>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sz w:val="21"/>
              </w:rPr>
              <w:t>36,434,226.13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36,434,226.13</w:t>
            </w:r>
            <w:r>
              <w:rPr>
                <w:rFonts w:ascii="宋体"/>
                <w:sz w:val="21"/>
              </w:rPr>
            </w: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（1）外购</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pacing w:val="6"/>
                <w:sz w:val="21"/>
                <w:szCs w:val="21"/>
              </w:rPr>
              <w:t>（2）存货\固定资产\在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36,434,226.13</w:t>
            </w: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36,434,226.13</w:t>
            </w:r>
          </w:p>
        </w:tc>
      </w:tr>
    </w:tbl>
    <w:p>
      <w:pPr>
        <w:spacing w:after="0" w:line="241" w:lineRule="exact"/>
        <w:jc w:val="right"/>
        <w:rPr>
          <w:rFonts w:ascii="宋体" w:hAnsi="宋体" w:cs="宋体" w:eastAsia="宋体" w:hint="default"/>
          <w:sz w:val="21"/>
          <w:szCs w:val="21"/>
        </w:rPr>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822"/>
        <w:gridCol w:w="1598"/>
        <w:gridCol w:w="1571"/>
        <w:gridCol w:w="1556"/>
        <w:gridCol w:w="1597"/>
      </w:tblGrid>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（3）企业合并增加</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3.本期减少金额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（2）其他转出</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36,434,226.13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36,434,226.13</w:t>
            </w:r>
            <w:r>
              <w:rPr>
                <w:rFonts w:ascii="宋体"/>
                <w:sz w:val="21"/>
              </w:rPr>
            </w: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902,221.95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902,221.95</w:t>
            </w: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（1）计提或摊销</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902,221.95</w:t>
            </w: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902,221.95</w:t>
            </w: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3.本期减少金额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（2）其他转出</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902,221.95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902,221.95</w:t>
            </w: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3、本期减少金额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（2）其他转出</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1.期末账面价值</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35,532,004.18</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35,532,004.18</w:t>
            </w:r>
          </w:p>
        </w:tc>
      </w:tr>
      <w:tr>
        <w:trPr>
          <w:trHeight w:val="300"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8" w:right="0"/>
              <w:jc w:val="left"/>
              <w:rPr>
                <w:rFonts w:ascii="宋体" w:hAnsi="宋体" w:cs="宋体" w:eastAsia="宋体" w:hint="default"/>
                <w:sz w:val="21"/>
                <w:szCs w:val="21"/>
              </w:rPr>
            </w:pPr>
            <w:r>
              <w:rPr>
                <w:rFonts w:ascii="宋体" w:hAnsi="宋体" w:cs="宋体" w:eastAsia="宋体" w:hint="default"/>
                <w:sz w:val="21"/>
                <w:szCs w:val="21"/>
              </w:rPr>
              <w:t>2.期初账面价值</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(2).</w:t>
      </w:r>
      <w:r>
        <w:rPr>
          <w:spacing w:val="79"/>
        </w:rPr>
        <w:t> </w:t>
      </w:r>
      <w:r>
        <w:rPr/>
        <w:t>未办妥产权证书的投资性房地产情况：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344"/>
        <w:gridCol w:w="2893"/>
        <w:gridCol w:w="2908"/>
      </w:tblGrid>
      <w:tr>
        <w:trPr>
          <w:trHeight w:val="28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6"/>
              <w:jc w:val="right"/>
              <w:rPr>
                <w:rFonts w:ascii="宋体" w:hAnsi="宋体" w:cs="宋体" w:eastAsia="宋体" w:hint="default"/>
                <w:sz w:val="21"/>
                <w:szCs w:val="21"/>
              </w:rPr>
            </w:pPr>
            <w:r>
              <w:rPr>
                <w:rFonts w:ascii="宋体" w:hAnsi="宋体" w:cs="宋体" w:eastAsia="宋体" w:hint="default"/>
                <w:sz w:val="21"/>
                <w:szCs w:val="21"/>
              </w:rPr>
              <w:t>项目</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3"/>
                <w:sz w:val="21"/>
                <w:szCs w:val="21"/>
              </w:rPr>
              <w:t> </w:t>
            </w:r>
            <w:r>
              <w:rPr>
                <w:rFonts w:ascii="宋体" w:hAnsi="宋体" w:cs="宋体" w:eastAsia="宋体" w:hint="default"/>
                <w:sz w:val="21"/>
                <w:szCs w:val="21"/>
              </w:rPr>
              <w:t>2#楼</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35,532,004.18</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2" w:right="0"/>
              <w:jc w:val="left"/>
              <w:rPr>
                <w:rFonts w:ascii="宋体" w:hAnsi="宋体" w:cs="宋体" w:eastAsia="宋体" w:hint="default"/>
                <w:sz w:val="21"/>
                <w:szCs w:val="21"/>
              </w:rPr>
            </w:pPr>
            <w:r>
              <w:rPr>
                <w:rFonts w:ascii="宋体" w:hAnsi="宋体" w:cs="宋体" w:eastAsia="宋体" w:hint="default"/>
                <w:sz w:val="21"/>
                <w:szCs w:val="21"/>
              </w:rPr>
              <w:t>房产证办理中</w:t>
            </w: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35,532,004.18</w:t>
            </w:r>
          </w:p>
        </w:tc>
        <w:tc>
          <w:tcPr>
            <w:tcW w:w="29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977" w:top="1120" w:bottom="1160" w:left="1480" w:right="420"/>
        </w:sectPr>
      </w:pPr>
    </w:p>
    <w:p>
      <w:pPr>
        <w:pStyle w:val="Heading2"/>
        <w:spacing w:line="240" w:lineRule="auto"/>
        <w:ind w:right="-16"/>
        <w:jc w:val="left"/>
        <w:rPr>
          <w:b w:val="0"/>
          <w:bCs w:val="0"/>
        </w:rPr>
      </w:pPr>
      <w:r>
        <w:rPr/>
        <w:t>12、</w:t>
      </w:r>
      <w:r>
        <w:rPr>
          <w:spacing w:val="-26"/>
        </w:rPr>
        <w:t> </w:t>
      </w:r>
      <w:r>
        <w:rPr/>
        <w:t>固定资产</w:t>
      </w:r>
      <w:r>
        <w:rPr>
          <w:b w:val="0"/>
          <w:bCs w:val="0"/>
        </w:rPr>
      </w:r>
    </w:p>
    <w:p>
      <w:pPr>
        <w:pStyle w:val="Heading2"/>
        <w:spacing w:line="240" w:lineRule="auto" w:before="57"/>
        <w:ind w:right="-16"/>
        <w:jc w:val="left"/>
        <w:rPr>
          <w:b w:val="0"/>
          <w:bCs w:val="0"/>
        </w:rPr>
      </w:pPr>
      <w:r>
        <w:rPr/>
        <w:t>(1).</w:t>
      </w:r>
      <w:r>
        <w:rPr>
          <w:spacing w:val="54"/>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420"/>
          <w:cols w:num="2" w:equalWidth="0">
            <w:col w:w="2074" w:space="4546"/>
            <w:col w:w="3390"/>
          </w:cols>
        </w:sectPr>
      </w:pP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598"/>
        <w:gridCol w:w="1487"/>
        <w:gridCol w:w="1334"/>
        <w:gridCol w:w="1573"/>
        <w:gridCol w:w="287"/>
        <w:gridCol w:w="1505"/>
        <w:gridCol w:w="1344"/>
        <w:gridCol w:w="1558"/>
      </w:tblGrid>
      <w:tr>
        <w:trPr>
          <w:trHeight w:val="1104"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z w:val="21"/>
                <w:szCs w:val="21"/>
              </w:rPr>
              <w:t>软件开发设备</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42"/>
              <w:jc w:val="right"/>
              <w:rPr>
                <w:rFonts w:ascii="宋体" w:hAnsi="宋体" w:cs="宋体" w:eastAsia="宋体" w:hint="default"/>
                <w:sz w:val="21"/>
                <w:szCs w:val="21"/>
              </w:rPr>
            </w:pPr>
            <w:r>
              <w:rPr>
                <w:rFonts w:ascii="宋体" w:hAnsi="宋体" w:cs="宋体" w:eastAsia="宋体" w:hint="default"/>
                <w:sz w:val="21"/>
                <w:szCs w:val="21"/>
              </w:rPr>
              <w:t>办公设备及其他</w:t>
            </w:r>
          </w:p>
        </w:tc>
        <w:tc>
          <w:tcPr>
            <w:tcW w:w="2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 w:right="0"/>
              <w:jc w:val="both"/>
              <w:rPr>
                <w:rFonts w:ascii="宋体" w:hAnsi="宋体" w:cs="宋体" w:eastAsia="宋体" w:hint="default"/>
                <w:sz w:val="21"/>
                <w:szCs w:val="21"/>
              </w:rPr>
            </w:pPr>
            <w:r>
              <w:rPr>
                <w:rFonts w:ascii="宋体" w:hAnsi="宋体" w:cs="宋体" w:eastAsia="宋体" w:hint="default"/>
                <w:sz w:val="21"/>
                <w:szCs w:val="21"/>
              </w:rPr>
              <w:t>机</w:t>
            </w:r>
          </w:p>
          <w:p>
            <w:pPr>
              <w:pStyle w:val="TableParagraph"/>
              <w:spacing w:line="272" w:lineRule="exact" w:before="26"/>
              <w:ind w:left="31" w:right="29"/>
              <w:jc w:val="both"/>
              <w:rPr>
                <w:rFonts w:ascii="宋体" w:hAnsi="宋体" w:cs="宋体" w:eastAsia="宋体" w:hint="default"/>
                <w:sz w:val="21"/>
                <w:szCs w:val="21"/>
              </w:rPr>
            </w:pPr>
            <w:r>
              <w:rPr>
                <w:rFonts w:ascii="宋体" w:hAnsi="宋体" w:cs="宋体" w:eastAsia="宋体" w:hint="default"/>
                <w:sz w:val="21"/>
                <w:szCs w:val="21"/>
              </w:rPr>
              <w:t>器 设 备</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9" w:right="32" w:hanging="315"/>
              <w:jc w:val="left"/>
              <w:rPr>
                <w:rFonts w:ascii="宋体" w:hAnsi="宋体" w:cs="宋体" w:eastAsia="宋体" w:hint="default"/>
                <w:sz w:val="21"/>
                <w:szCs w:val="21"/>
              </w:rPr>
            </w:pPr>
            <w:r>
              <w:rPr>
                <w:rFonts w:ascii="宋体" w:hAnsi="宋体" w:cs="宋体" w:eastAsia="宋体" w:hint="default"/>
                <w:sz w:val="21"/>
                <w:szCs w:val="21"/>
              </w:rPr>
              <w:t>道路及绿化建 设工程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33"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3"/>
                <w:sz w:val="21"/>
                <w:szCs w:val="21"/>
              </w:rPr>
              <w:t>、</w:t>
            </w:r>
            <w:r>
              <w:rPr>
                <w:rFonts w:ascii="宋体" w:hAnsi="宋体" w:cs="宋体" w:eastAsia="宋体" w:hint="default"/>
                <w:sz w:val="21"/>
                <w:szCs w:val="21"/>
              </w:rPr>
              <w:t>账</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面原 值：</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1.期</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初余 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4,819,847.74</w:t>
            </w:r>
            <w:r>
              <w:rPr>
                <w:rFonts w:ascii="宋体"/>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6,243,020.20</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5,119,704.55</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16,182,572.49</w:t>
            </w:r>
          </w:p>
        </w:tc>
      </w:tr>
      <w:tr>
        <w:trPr>
          <w:trHeight w:val="559"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期增</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3" w:right="0"/>
              <w:jc w:val="left"/>
              <w:rPr>
                <w:rFonts w:ascii="宋体" w:hAnsi="宋体" w:cs="宋体" w:eastAsia="宋体" w:hint="default"/>
                <w:sz w:val="21"/>
                <w:szCs w:val="21"/>
              </w:rPr>
            </w:pPr>
            <w:r>
              <w:rPr>
                <w:rFonts w:ascii="宋体"/>
                <w:sz w:val="21"/>
              </w:rPr>
              <w:t>66,721,376.59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10,820.51</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7,325,485.25</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848,762.93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 w:right="0"/>
              <w:jc w:val="left"/>
              <w:rPr>
                <w:rFonts w:ascii="宋体" w:hAnsi="宋体" w:cs="宋体" w:eastAsia="宋体" w:hint="default"/>
                <w:sz w:val="21"/>
                <w:szCs w:val="21"/>
              </w:rPr>
            </w:pPr>
            <w:r>
              <w:rPr>
                <w:rFonts w:ascii="宋体"/>
                <w:sz w:val="21"/>
              </w:rPr>
              <w:t>1,564,000.00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76,470,445.28</w:t>
            </w:r>
          </w:p>
        </w:tc>
      </w:tr>
    </w:tbl>
    <w:p>
      <w:pPr>
        <w:spacing w:after="0" w:line="240" w:lineRule="auto"/>
        <w:jc w:val="right"/>
        <w:rPr>
          <w:rFonts w:ascii="宋体" w:hAnsi="宋体" w:cs="宋体" w:eastAsia="宋体" w:hint="default"/>
          <w:sz w:val="21"/>
          <w:szCs w:val="21"/>
        </w:rPr>
        <w:sectPr>
          <w:type w:val="continuous"/>
          <w:pgSz w:w="11910" w:h="16840"/>
          <w:pgMar w:top="1120" w:bottom="1160" w:left="1480" w:right="4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98"/>
        <w:gridCol w:w="1487"/>
        <w:gridCol w:w="1334"/>
        <w:gridCol w:w="1573"/>
        <w:gridCol w:w="287"/>
        <w:gridCol w:w="1505"/>
        <w:gridCol w:w="1344"/>
        <w:gridCol w:w="1558"/>
      </w:tblGrid>
      <w:tr>
        <w:trPr>
          <w:trHeight w:val="559"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加金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10,820.51</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1,498,823.15</w:t>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848,762.93</w:t>
            </w: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2,358,406.59</w:t>
            </w:r>
          </w:p>
        </w:tc>
      </w:tr>
      <w:tr>
        <w:trPr>
          <w:trHeight w:val="1104"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（2）</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在建 工程 转入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1"/>
              <w:jc w:val="right"/>
              <w:rPr>
                <w:rFonts w:ascii="宋体" w:hAnsi="宋体" w:cs="宋体" w:eastAsia="宋体" w:hint="default"/>
                <w:sz w:val="21"/>
                <w:szCs w:val="21"/>
              </w:rPr>
            </w:pPr>
            <w:r>
              <w:rPr>
                <w:rFonts w:ascii="宋体"/>
                <w:spacing w:val="-1"/>
                <w:sz w:val="21"/>
              </w:rPr>
              <w:t>66,721,376.59</w:t>
            </w: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5,826,662.10</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1,564,000.00</w:t>
            </w:r>
            <w:r>
              <w:rPr>
                <w:rFonts w:ascii="宋体"/>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74,112,038.69</w:t>
            </w:r>
          </w:p>
        </w:tc>
      </w:tr>
      <w:tr>
        <w:trPr>
          <w:trHeight w:val="1104"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（3）</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企业 合并 增加</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both"/>
              <w:rPr>
                <w:rFonts w:ascii="宋体" w:hAnsi="宋体" w:cs="宋体" w:eastAsia="宋体" w:hint="default"/>
                <w:sz w:val="21"/>
                <w:szCs w:val="21"/>
              </w:rPr>
            </w:pPr>
            <w:r>
              <w:rPr>
                <w:rFonts w:ascii="宋体" w:hAnsi="宋体" w:cs="宋体" w:eastAsia="宋体" w:hint="default"/>
                <w:sz w:val="21"/>
                <w:szCs w:val="21"/>
              </w:rPr>
              <w:t>3.本</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期减 少金 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98,126.12</w:t>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165,000.00</w:t>
            </w: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263,126.12</w:t>
            </w:r>
          </w:p>
        </w:tc>
      </w:tr>
      <w:tr>
        <w:trPr>
          <w:trHeight w:val="1104"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（1）</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处置 或报 废</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98,126.12</w:t>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165,000.00</w:t>
            </w: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263,126.12</w:t>
            </w:r>
          </w:p>
        </w:tc>
      </w:tr>
      <w:tr>
        <w:trPr>
          <w:trHeight w:val="832"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4.期</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末余 额</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66,721,376.59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4,830,668.25</w:t>
            </w:r>
            <w:r>
              <w:rPr>
                <w:rFonts w:ascii="宋体"/>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13,470,379.33</w:t>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5,803,467.48</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1,564,000.00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92,389,891.65</w:t>
            </w:r>
          </w:p>
        </w:tc>
      </w:tr>
      <w:tr>
        <w:trPr>
          <w:trHeight w:val="833"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3"/>
                <w:sz w:val="21"/>
                <w:szCs w:val="21"/>
              </w:rPr>
              <w:t>、</w:t>
            </w:r>
            <w:r>
              <w:rPr>
                <w:rFonts w:ascii="宋体" w:hAnsi="宋体" w:cs="宋体" w:eastAsia="宋体" w:hint="default"/>
                <w:sz w:val="21"/>
                <w:szCs w:val="21"/>
              </w:rPr>
              <w:t>累</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计折 旧</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832"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1.期</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初余 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3,846,436.80</w:t>
            </w:r>
            <w:r>
              <w:rPr>
                <w:rFonts w:ascii="宋体"/>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2,629,679.34</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1,176,652.79</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7,652,768.93</w:t>
            </w:r>
            <w:r>
              <w:rPr>
                <w:rFonts w:ascii="宋体"/>
                <w:sz w:val="21"/>
              </w:rPr>
            </w:r>
          </w:p>
        </w:tc>
      </w:tr>
      <w:tr>
        <w:trPr>
          <w:trHeight w:val="1104"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2.本</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期增 加金 额</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2"/>
              <w:jc w:val="right"/>
              <w:rPr>
                <w:rFonts w:ascii="宋体" w:hAnsi="宋体" w:cs="宋体" w:eastAsia="宋体" w:hint="default"/>
                <w:sz w:val="21"/>
                <w:szCs w:val="21"/>
              </w:rPr>
            </w:pPr>
            <w:r>
              <w:rPr>
                <w:rFonts w:ascii="宋体"/>
                <w:spacing w:val="-1"/>
                <w:sz w:val="21"/>
              </w:rPr>
              <w:t>1,650,079.76</w:t>
            </w:r>
            <w:r>
              <w:rPr>
                <w:rFonts w:ascii="宋体"/>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198,526.38</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1,507,052.00</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591,724.45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38,729.38</w:t>
            </w:r>
            <w:r>
              <w:rPr>
                <w:rFonts w:ascii="宋体"/>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3,986,111.97</w:t>
            </w:r>
            <w:r>
              <w:rPr>
                <w:rFonts w:ascii="宋体"/>
                <w:sz w:val="21"/>
              </w:rPr>
            </w:r>
          </w:p>
        </w:tc>
      </w:tr>
      <w:tr>
        <w:trPr>
          <w:trHeight w:val="560"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1,650,079.76</w:t>
            </w:r>
            <w:r>
              <w:rPr>
                <w:rFonts w:ascii="宋体"/>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198,526.38</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1,507,052.00</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591,724.45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38,729.38</w:t>
            </w:r>
            <w:r>
              <w:rPr>
                <w:rFonts w:ascii="宋体"/>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3,986,111.97</w:t>
            </w:r>
            <w:r>
              <w:rPr>
                <w:rFonts w:ascii="宋体"/>
                <w:sz w:val="21"/>
              </w:rPr>
            </w:r>
          </w:p>
        </w:tc>
      </w:tr>
      <w:tr>
        <w:trPr>
          <w:trHeight w:val="1104"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3.本</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期减 少金 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65,595.40</w:t>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68,578.12</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134,173.52</w:t>
            </w:r>
          </w:p>
        </w:tc>
      </w:tr>
      <w:tr>
        <w:trPr>
          <w:trHeight w:val="1104"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both"/>
              <w:rPr>
                <w:rFonts w:ascii="宋体" w:hAnsi="宋体" w:cs="宋体" w:eastAsia="宋体" w:hint="default"/>
                <w:sz w:val="21"/>
                <w:szCs w:val="21"/>
              </w:rPr>
            </w:pPr>
            <w:r>
              <w:rPr>
                <w:rFonts w:ascii="宋体" w:hAnsi="宋体" w:cs="宋体" w:eastAsia="宋体" w:hint="default"/>
                <w:sz w:val="21"/>
                <w:szCs w:val="21"/>
              </w:rPr>
              <w:t>（1）</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处置 或报 废</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65,595.40</w:t>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68,578.12</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134,173.52</w:t>
            </w:r>
          </w:p>
        </w:tc>
      </w:tr>
      <w:tr>
        <w:trPr>
          <w:trHeight w:val="833"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4.期</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末余 额</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1,650,079.76</w:t>
            </w:r>
            <w:r>
              <w:rPr>
                <w:rFonts w:ascii="宋体"/>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4,044,963.18</w:t>
            </w:r>
            <w:r>
              <w:rPr>
                <w:rFonts w:ascii="宋体"/>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4,071,135.94</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1,699,799.12</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38,729.38</w:t>
            </w:r>
            <w:r>
              <w:rPr>
                <w:rFonts w:ascii="宋体"/>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11,504,707.38</w:t>
            </w:r>
          </w:p>
        </w:tc>
      </w:tr>
      <w:tr>
        <w:trPr>
          <w:trHeight w:val="832"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3"/>
                <w:sz w:val="21"/>
                <w:szCs w:val="21"/>
              </w:rPr>
              <w:t>、</w:t>
            </w:r>
            <w:r>
              <w:rPr>
                <w:rFonts w:ascii="宋体" w:hAnsi="宋体" w:cs="宋体" w:eastAsia="宋体" w:hint="default"/>
                <w:sz w:val="21"/>
                <w:szCs w:val="21"/>
              </w:rPr>
              <w:t>减</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值准 备</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1.期</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77" w:top="1120" w:bottom="1160" w:left="1560" w:right="4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4" w:type="dxa"/>
        <w:tblLayout w:type="fixed"/>
        <w:tblCellMar>
          <w:top w:w="0" w:type="dxa"/>
          <w:left w:w="0" w:type="dxa"/>
          <w:bottom w:w="0" w:type="dxa"/>
          <w:right w:w="0" w:type="dxa"/>
        </w:tblCellMar>
        <w:tblLook w:val="01E0"/>
      </w:tblPr>
      <w:tblGrid>
        <w:gridCol w:w="598"/>
        <w:gridCol w:w="1487"/>
        <w:gridCol w:w="1334"/>
        <w:gridCol w:w="1573"/>
        <w:gridCol w:w="287"/>
        <w:gridCol w:w="1505"/>
        <w:gridCol w:w="1344"/>
        <w:gridCol w:w="1558"/>
      </w:tblGrid>
      <w:tr>
        <w:trPr>
          <w:trHeight w:val="559"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both"/>
              <w:rPr>
                <w:rFonts w:ascii="宋体" w:hAnsi="宋体" w:cs="宋体" w:eastAsia="宋体" w:hint="default"/>
                <w:sz w:val="21"/>
                <w:szCs w:val="21"/>
              </w:rPr>
            </w:pPr>
            <w:r>
              <w:rPr>
                <w:rFonts w:ascii="宋体" w:hAnsi="宋体" w:cs="宋体" w:eastAsia="宋体" w:hint="default"/>
                <w:sz w:val="21"/>
                <w:szCs w:val="21"/>
              </w:rPr>
              <w:t>2.本</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期增 加金 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3.本</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期减 少金 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both"/>
              <w:rPr>
                <w:rFonts w:ascii="宋体" w:hAnsi="宋体" w:cs="宋体" w:eastAsia="宋体" w:hint="default"/>
                <w:sz w:val="21"/>
                <w:szCs w:val="21"/>
              </w:rPr>
            </w:pPr>
            <w:r>
              <w:rPr>
                <w:rFonts w:ascii="宋体" w:hAnsi="宋体" w:cs="宋体" w:eastAsia="宋体" w:hint="default"/>
                <w:sz w:val="21"/>
                <w:szCs w:val="21"/>
              </w:rPr>
              <w:t>（1）</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处置 或报 废</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4.期</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末余 额</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93"/>
                <w:sz w:val="21"/>
                <w:szCs w:val="21"/>
              </w:rPr>
              <w:t>、</w:t>
            </w:r>
            <w:r>
              <w:rPr>
                <w:rFonts w:ascii="宋体" w:hAnsi="宋体" w:cs="宋体" w:eastAsia="宋体" w:hint="default"/>
                <w:sz w:val="21"/>
                <w:szCs w:val="21"/>
              </w:rPr>
              <w:t>账</w:t>
            </w:r>
          </w:p>
          <w:p>
            <w:pPr>
              <w:pStyle w:val="TableParagraph"/>
              <w:spacing w:line="272" w:lineRule="exact" w:before="26"/>
              <w:ind w:left="22" w:right="138"/>
              <w:jc w:val="left"/>
              <w:rPr>
                <w:rFonts w:ascii="宋体" w:hAnsi="宋体" w:cs="宋体" w:eastAsia="宋体" w:hint="default"/>
                <w:sz w:val="21"/>
                <w:szCs w:val="21"/>
              </w:rPr>
            </w:pPr>
            <w:r>
              <w:rPr>
                <w:rFonts w:ascii="宋体" w:hAnsi="宋体" w:cs="宋体" w:eastAsia="宋体" w:hint="default"/>
                <w:sz w:val="21"/>
                <w:szCs w:val="21"/>
              </w:rPr>
              <w:t>面价 值</w:t>
            </w:r>
          </w:p>
        </w:tc>
        <w:tc>
          <w:tcPr>
            <w:tcW w:w="148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both"/>
              <w:rPr>
                <w:rFonts w:ascii="宋体" w:hAnsi="宋体" w:cs="宋体" w:eastAsia="宋体" w:hint="default"/>
                <w:sz w:val="21"/>
                <w:szCs w:val="21"/>
              </w:rPr>
            </w:pPr>
            <w:r>
              <w:rPr>
                <w:rFonts w:ascii="宋体" w:hAnsi="宋体" w:cs="宋体" w:eastAsia="宋体" w:hint="default"/>
                <w:sz w:val="21"/>
                <w:szCs w:val="21"/>
              </w:rPr>
              <w:t>1.期</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末账 面价 值</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1"/>
              <w:jc w:val="right"/>
              <w:rPr>
                <w:rFonts w:ascii="宋体" w:hAnsi="宋体" w:cs="宋体" w:eastAsia="宋体" w:hint="default"/>
                <w:sz w:val="21"/>
                <w:szCs w:val="21"/>
              </w:rPr>
            </w:pPr>
            <w:r>
              <w:rPr>
                <w:rFonts w:ascii="宋体"/>
                <w:spacing w:val="-1"/>
                <w:sz w:val="21"/>
              </w:rPr>
              <w:t>65,071,296.83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785,705.07</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9,399,243.39</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4,103,668.36</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1,525,270.62</w:t>
            </w:r>
            <w:r>
              <w:rPr>
                <w:rFonts w:ascii="宋体"/>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80,885,184.27</w:t>
            </w:r>
          </w:p>
        </w:tc>
      </w:tr>
      <w:tr>
        <w:trPr>
          <w:trHeight w:val="1103"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2.期</w:t>
            </w:r>
          </w:p>
          <w:p>
            <w:pPr>
              <w:pStyle w:val="TableParagraph"/>
              <w:spacing w:line="272" w:lineRule="exact" w:before="26"/>
              <w:ind w:left="22" w:right="138"/>
              <w:jc w:val="both"/>
              <w:rPr>
                <w:rFonts w:ascii="宋体" w:hAnsi="宋体" w:cs="宋体" w:eastAsia="宋体" w:hint="default"/>
                <w:sz w:val="21"/>
                <w:szCs w:val="21"/>
              </w:rPr>
            </w:pPr>
            <w:r>
              <w:rPr>
                <w:rFonts w:ascii="宋体" w:hAnsi="宋体" w:cs="宋体" w:eastAsia="宋体" w:hint="default"/>
                <w:sz w:val="21"/>
                <w:szCs w:val="21"/>
              </w:rPr>
              <w:t>初账 面价 值</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1"/>
              <w:jc w:val="right"/>
              <w:rPr>
                <w:rFonts w:ascii="宋体" w:hAnsi="宋体" w:cs="宋体" w:eastAsia="宋体" w:hint="default"/>
                <w:sz w:val="21"/>
                <w:szCs w:val="21"/>
              </w:rPr>
            </w:pPr>
            <w:r>
              <w:rPr>
                <w:rFonts w:ascii="宋体"/>
                <w:sz w:val="21"/>
              </w:rPr>
              <w:t>-</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973,410.94</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3,613,340.86</w:t>
            </w:r>
            <w:r>
              <w:rPr>
                <w:rFonts w:ascii="宋体"/>
                <w:sz w:val="21"/>
              </w:rPr>
            </w:r>
          </w:p>
        </w:tc>
        <w:tc>
          <w:tcPr>
            <w:tcW w:w="28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3,943,051.76</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z w:val="21"/>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8,529,803.56</w:t>
            </w:r>
            <w:r>
              <w:rPr>
                <w:rFonts w:ascii="宋体"/>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pStyle w:val="Heading2"/>
        <w:spacing w:line="240" w:lineRule="auto"/>
        <w:ind w:right="0"/>
        <w:jc w:val="left"/>
        <w:rPr>
          <w:b w:val="0"/>
          <w:bCs w:val="0"/>
        </w:rPr>
      </w:pPr>
      <w:r>
        <w:rPr/>
        <w:t>(2).</w:t>
      </w:r>
      <w:r>
        <w:rPr>
          <w:spacing w:val="54"/>
        </w:rPr>
        <w:t> </w:t>
      </w:r>
      <w:r>
        <w:rPr/>
        <w:t>通过经营租赁租出的固定资产</w:t>
      </w:r>
      <w:r>
        <w:rPr>
          <w:b w:val="0"/>
          <w:bCs w:val="0"/>
        </w:rPr>
      </w:r>
    </w:p>
    <w:p>
      <w:pPr>
        <w:pStyle w:val="BodyText"/>
        <w:tabs>
          <w:tab w:pos="1049" w:val="left" w:leader="none"/>
        </w:tabs>
        <w:spacing w:line="240" w:lineRule="auto" w:before="57"/>
        <w:ind w:left="0" w:right="8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198"/>
        <w:gridCol w:w="4948"/>
      </w:tblGrid>
      <w:tr>
        <w:trPr>
          <w:trHeight w:val="283" w:hRule="exact"/>
        </w:trPr>
        <w:tc>
          <w:tcPr>
            <w:tcW w:w="4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740,488.42</w:t>
            </w:r>
          </w:p>
        </w:tc>
      </w:tr>
      <w:tr>
        <w:trPr>
          <w:trHeight w:val="282" w:hRule="exact"/>
        </w:trPr>
        <w:tc>
          <w:tcPr>
            <w:tcW w:w="4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740,488.42</w:t>
            </w:r>
          </w:p>
        </w:tc>
      </w:tr>
    </w:tbl>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r>
        <w:rPr/>
        <w:t>(3).</w:t>
      </w:r>
      <w:r>
        <w:rPr>
          <w:spacing w:val="55"/>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2980"/>
        <w:gridCol w:w="3074"/>
        <w:gridCol w:w="3091"/>
      </w:tblGrid>
      <w:tr>
        <w:trPr>
          <w:trHeight w:val="283"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3"/>
                <w:sz w:val="21"/>
                <w:szCs w:val="21"/>
              </w:rPr>
              <w:t> </w:t>
            </w:r>
            <w:r>
              <w:rPr>
                <w:rFonts w:ascii="宋体" w:hAnsi="宋体" w:cs="宋体" w:eastAsia="宋体" w:hint="default"/>
                <w:sz w:val="21"/>
                <w:szCs w:val="21"/>
              </w:rPr>
              <w:t>2#楼</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65,071,296.83</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房产证办理中</w:t>
            </w: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65,071,296.83</w:t>
            </w:r>
          </w:p>
        </w:tc>
        <w:tc>
          <w:tcPr>
            <w:tcW w:w="30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977" w:top="1120" w:bottom="1160" w:left="1480" w:right="420"/>
        </w:sectPr>
      </w:pPr>
    </w:p>
    <w:p>
      <w:pPr>
        <w:pStyle w:val="Heading2"/>
        <w:spacing w:line="240" w:lineRule="auto" w:before="171"/>
        <w:ind w:right="-16"/>
        <w:jc w:val="left"/>
        <w:rPr>
          <w:b w:val="0"/>
          <w:bCs w:val="0"/>
        </w:rPr>
      </w:pPr>
      <w:r>
        <w:rPr/>
        <w:t>13、</w:t>
      </w:r>
      <w:r>
        <w:rPr>
          <w:spacing w:val="-26"/>
        </w:rPr>
        <w:t> </w:t>
      </w:r>
      <w:r>
        <w:rPr/>
        <w:t>在建工程</w:t>
      </w:r>
      <w:r>
        <w:rPr>
          <w:b w:val="0"/>
          <w:bCs w:val="0"/>
        </w:rPr>
      </w:r>
    </w:p>
    <w:p>
      <w:pPr>
        <w:pStyle w:val="Heading2"/>
        <w:spacing w:line="240" w:lineRule="auto" w:before="57"/>
        <w:ind w:right="-16"/>
        <w:jc w:val="left"/>
        <w:rPr>
          <w:b w:val="0"/>
          <w:bCs w:val="0"/>
        </w:rPr>
      </w:pPr>
      <w:r>
        <w:rPr/>
        <w:t>(1).</w:t>
      </w:r>
      <w:r>
        <w:rPr>
          <w:spacing w:val="54"/>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tabs>
          <w:tab w:pos="1271" w:val="left" w:leader="none"/>
        </w:tabs>
        <w:spacing w:line="240" w:lineRule="auto" w:before="0"/>
        <w:ind w:left="221" w:right="0"/>
        <w:jc w:val="left"/>
      </w:pPr>
      <w:r>
        <w:rPr/>
        <w:t>单位：元</w:t>
        <w:tab/>
        <w:t>币种：人民币</w:t>
      </w:r>
    </w:p>
    <w:p>
      <w:pPr>
        <w:spacing w:after="0" w:line="240" w:lineRule="auto"/>
        <w:jc w:val="left"/>
        <w:sectPr>
          <w:type w:val="continuous"/>
          <w:pgSz w:w="11910" w:h="16840"/>
          <w:pgMar w:top="1120" w:bottom="1160" w:left="1480" w:right="420"/>
          <w:cols w:num="2" w:equalWidth="0">
            <w:col w:w="2074" w:space="4546"/>
            <w:col w:w="3390"/>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44"/>
        <w:gridCol w:w="3005"/>
        <w:gridCol w:w="3842"/>
      </w:tblGrid>
      <w:tr>
        <w:trPr>
          <w:trHeight w:val="287" w:hRule="exact"/>
        </w:trPr>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exact"/>
        <w:jc w:val="center"/>
        <w:rPr>
          <w:rFonts w:ascii="宋体" w:hAnsi="宋体" w:cs="宋体" w:eastAsia="宋体" w:hint="default"/>
          <w:sz w:val="21"/>
          <w:szCs w:val="21"/>
        </w:rPr>
        <w:sectPr>
          <w:type w:val="continuous"/>
          <w:pgSz w:w="11910" w:h="16840"/>
          <w:pgMar w:top="1120" w:bottom="1160" w:left="1480" w:right="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23" w:type="dxa"/>
        <w:tblLayout w:type="fixed"/>
        <w:tblCellMar>
          <w:top w:w="0" w:type="dxa"/>
          <w:left w:w="0" w:type="dxa"/>
          <w:bottom w:w="0" w:type="dxa"/>
          <w:right w:w="0" w:type="dxa"/>
        </w:tblCellMar>
        <w:tblLook w:val="01E0"/>
      </w:tblPr>
      <w:tblGrid>
        <w:gridCol w:w="2144"/>
        <w:gridCol w:w="1260"/>
        <w:gridCol w:w="556"/>
        <w:gridCol w:w="1189"/>
        <w:gridCol w:w="1588"/>
        <w:gridCol w:w="647"/>
        <w:gridCol w:w="1608"/>
      </w:tblGrid>
      <w:tr>
        <w:trPr>
          <w:trHeight w:val="559" w:hRule="exact"/>
        </w:trPr>
        <w:tc>
          <w:tcPr>
            <w:tcW w:w="214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5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7"/>
              <w:jc w:val="right"/>
              <w:rPr>
                <w:rFonts w:ascii="宋体" w:hAnsi="宋体" w:cs="宋体" w:eastAsia="宋体" w:hint="default"/>
                <w:sz w:val="21"/>
                <w:szCs w:val="21"/>
              </w:rPr>
            </w:pPr>
            <w:r>
              <w:rPr>
                <w:rFonts w:ascii="宋体" w:hAnsi="宋体" w:cs="宋体" w:eastAsia="宋体" w:hint="default"/>
                <w:sz w:val="21"/>
                <w:szCs w:val="21"/>
              </w:rPr>
              <w:t>账面价值</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9"/>
                <w:sz w:val="21"/>
                <w:szCs w:val="21"/>
              </w:rPr>
              <w:t> </w:t>
            </w:r>
            <w:r>
              <w:rPr>
                <w:rFonts w:ascii="宋体" w:hAnsi="宋体" w:cs="宋体" w:eastAsia="宋体" w:hint="default"/>
                <w:sz w:val="21"/>
                <w:szCs w:val="21"/>
              </w:rPr>
              <w:t>2#楼</w:t>
            </w:r>
          </w:p>
        </w:tc>
        <w:tc>
          <w:tcPr>
            <w:tcW w:w="126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64,827,212.12</w:t>
            </w:r>
          </w:p>
        </w:tc>
        <w:tc>
          <w:tcPr>
            <w:tcW w:w="647"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64,827,212.12</w:t>
            </w:r>
          </w:p>
        </w:tc>
      </w:tr>
      <w:tr>
        <w:trPr>
          <w:trHeight w:val="287" w:hRule="exact"/>
        </w:trPr>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需安装的智能化设备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8"/>
              <w:jc w:val="center"/>
              <w:rPr>
                <w:rFonts w:ascii="宋体" w:hAnsi="宋体" w:cs="宋体" w:eastAsia="宋体" w:hint="default"/>
                <w:sz w:val="21"/>
                <w:szCs w:val="21"/>
              </w:rPr>
            </w:pPr>
            <w:r>
              <w:rPr>
                <w:rFonts w:ascii="宋体"/>
                <w:sz w:val="21"/>
              </w:rPr>
              <w:t>247,166.82</w:t>
            </w:r>
          </w:p>
        </w:tc>
        <w:tc>
          <w:tcPr>
            <w:tcW w:w="556"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pacing w:val="-1"/>
                <w:sz w:val="21"/>
              </w:rPr>
              <w:t>247,166.82</w:t>
            </w:r>
            <w:r>
              <w:rPr>
                <w:rFonts w:ascii="宋体"/>
                <w:sz w:val="21"/>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2,428,534.54</w:t>
            </w:r>
            <w:r>
              <w:rPr>
                <w:rFonts w:ascii="宋体"/>
                <w:sz w:val="21"/>
              </w:rPr>
            </w:r>
          </w:p>
        </w:tc>
        <w:tc>
          <w:tcPr>
            <w:tcW w:w="647"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2,428,534.54</w:t>
            </w:r>
            <w:r>
              <w:rPr>
                <w:rFonts w:ascii="宋体"/>
                <w:sz w:val="21"/>
              </w:rPr>
            </w:r>
          </w:p>
        </w:tc>
      </w:tr>
      <w:tr>
        <w:trPr>
          <w:trHeight w:val="288" w:hRule="exact"/>
        </w:trPr>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需安装的办公家具</w:t>
            </w:r>
          </w:p>
        </w:tc>
        <w:tc>
          <w:tcPr>
            <w:tcW w:w="126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218,493.17</w:t>
            </w:r>
          </w:p>
        </w:tc>
        <w:tc>
          <w:tcPr>
            <w:tcW w:w="647"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218,493.17</w:t>
            </w:r>
          </w:p>
        </w:tc>
      </w:tr>
      <w:tr>
        <w:trPr>
          <w:trHeight w:val="287" w:hRule="exact"/>
        </w:trPr>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3"/>
              <w:jc w:val="center"/>
              <w:rPr>
                <w:rFonts w:ascii="宋体" w:hAnsi="宋体" w:cs="宋体" w:eastAsia="宋体" w:hint="default"/>
                <w:sz w:val="21"/>
                <w:szCs w:val="21"/>
              </w:rPr>
            </w:pPr>
            <w:r>
              <w:rPr>
                <w:rFonts w:ascii="宋体"/>
                <w:sz w:val="21"/>
              </w:rPr>
              <w:t>247,166.82</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8" w:right="0"/>
              <w:jc w:val="left"/>
              <w:rPr>
                <w:rFonts w:ascii="宋体" w:hAnsi="宋体" w:cs="宋体" w:eastAsia="宋体" w:hint="default"/>
                <w:sz w:val="21"/>
                <w:szCs w:val="21"/>
              </w:rPr>
            </w:pPr>
            <w:r>
              <w:rPr>
                <w:rFonts w:ascii="宋体"/>
                <w:sz w:val="21"/>
              </w:rPr>
              <w:t>-</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pacing w:val="-1"/>
                <w:sz w:val="21"/>
              </w:rPr>
              <w:t>247,166.82</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67,474,239.83</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67,474,239.83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61" w:right="0"/>
        <w:jc w:val="left"/>
        <w:rPr>
          <w:b w:val="0"/>
          <w:bCs w:val="0"/>
        </w:rPr>
      </w:pPr>
      <w:r>
        <w:rPr/>
        <w:t>(2).</w:t>
      </w:r>
      <w:r>
        <w:rPr>
          <w:spacing w:val="55"/>
        </w:rPr>
        <w:t> </w:t>
      </w:r>
      <w:r>
        <w:rPr/>
        <w:t>重要在建工程项目本期变动情况</w:t>
      </w:r>
      <w:r>
        <w:rPr>
          <w:b w:val="0"/>
          <w:bCs w:val="0"/>
        </w:rPr>
      </w:r>
    </w:p>
    <w:p>
      <w:pPr>
        <w:pStyle w:val="BodyText"/>
        <w:tabs>
          <w:tab w:pos="1049" w:val="left" w:leader="none"/>
        </w:tabs>
        <w:spacing w:line="240" w:lineRule="auto" w:before="57"/>
        <w:ind w:left="0" w:right="79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20"/>
        <w:gridCol w:w="1579"/>
        <w:gridCol w:w="1288"/>
        <w:gridCol w:w="1436"/>
        <w:gridCol w:w="1432"/>
        <w:gridCol w:w="1289"/>
        <w:gridCol w:w="272"/>
        <w:gridCol w:w="583"/>
        <w:gridCol w:w="256"/>
        <w:gridCol w:w="272"/>
        <w:gridCol w:w="320"/>
        <w:gridCol w:w="384"/>
        <w:gridCol w:w="312"/>
      </w:tblGrid>
      <w:tr>
        <w:trPr>
          <w:trHeight w:val="3283" w:hRule="exact"/>
        </w:trPr>
        <w:tc>
          <w:tcPr>
            <w:tcW w:w="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63" w:right="30"/>
              <w:jc w:val="both"/>
              <w:rPr>
                <w:rFonts w:ascii="宋体" w:hAnsi="宋体" w:cs="宋体" w:eastAsia="宋体" w:hint="default"/>
                <w:sz w:val="21"/>
                <w:szCs w:val="21"/>
              </w:rPr>
            </w:pPr>
            <w:r>
              <w:rPr>
                <w:rFonts w:ascii="宋体" w:hAnsi="宋体" w:cs="宋体" w:eastAsia="宋体" w:hint="default"/>
                <w:sz w:val="21"/>
                <w:szCs w:val="21"/>
              </w:rPr>
              <w:t>项 目 名 称</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415"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373" w:right="479"/>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32"/>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250" w:right="114" w:hanging="210"/>
              <w:jc w:val="left"/>
              <w:rPr>
                <w:rFonts w:ascii="宋体" w:hAnsi="宋体" w:cs="宋体" w:eastAsia="宋体" w:hint="default"/>
                <w:sz w:val="21"/>
                <w:szCs w:val="21"/>
              </w:rPr>
            </w:pPr>
            <w:r>
              <w:rPr>
                <w:rFonts w:ascii="宋体" w:hAnsi="宋体" w:cs="宋体" w:eastAsia="宋体" w:hint="default"/>
                <w:sz w:val="21"/>
                <w:szCs w:val="21"/>
              </w:rPr>
              <w:t>本期转入固定 资产金额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285" w:right="146" w:hanging="210"/>
              <w:jc w:val="left"/>
              <w:rPr>
                <w:rFonts w:ascii="宋体" w:hAnsi="宋体" w:cs="宋体" w:eastAsia="宋体" w:hint="default"/>
                <w:sz w:val="21"/>
                <w:szCs w:val="21"/>
              </w:rPr>
            </w:pPr>
            <w:r>
              <w:rPr>
                <w:rFonts w:ascii="宋体" w:hAnsi="宋体" w:cs="宋体" w:eastAsia="宋体" w:hint="default"/>
                <w:sz w:val="21"/>
                <w:szCs w:val="21"/>
              </w:rPr>
              <w:t>本期其他减 少金额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22" w:right="23"/>
              <w:jc w:val="both"/>
              <w:rPr>
                <w:rFonts w:ascii="宋体" w:hAnsi="宋体" w:cs="宋体" w:eastAsia="宋体" w:hint="default"/>
                <w:sz w:val="21"/>
                <w:szCs w:val="21"/>
              </w:rPr>
            </w:pPr>
            <w:r>
              <w:rPr>
                <w:rFonts w:ascii="宋体" w:hAnsi="宋体" w:cs="宋体" w:eastAsia="宋体" w:hint="default"/>
                <w:sz w:val="21"/>
                <w:szCs w:val="21"/>
              </w:rPr>
              <w:t>期 末 余 额</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74" w:right="72"/>
              <w:jc w:val="center"/>
              <w:rPr>
                <w:rFonts w:ascii="宋体" w:hAnsi="宋体" w:cs="宋体" w:eastAsia="宋体" w:hint="default"/>
                <w:sz w:val="21"/>
                <w:szCs w:val="21"/>
              </w:rPr>
            </w:pPr>
            <w:r>
              <w:rPr>
                <w:rFonts w:ascii="宋体" w:hAnsi="宋体" w:cs="宋体" w:eastAsia="宋体" w:hint="default"/>
                <w:sz w:val="21"/>
                <w:szCs w:val="21"/>
              </w:rPr>
              <w:t>工程 累计 投入 占预 算比 例 (%)</w:t>
            </w:r>
          </w:p>
        </w:tc>
        <w:tc>
          <w:tcPr>
            <w:tcW w:w="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22" w:right="6"/>
              <w:jc w:val="both"/>
              <w:rPr>
                <w:rFonts w:ascii="宋体" w:hAnsi="宋体" w:cs="宋体" w:eastAsia="宋体" w:hint="default"/>
                <w:sz w:val="21"/>
                <w:szCs w:val="21"/>
              </w:rPr>
            </w:pPr>
            <w:r>
              <w:rPr>
                <w:rFonts w:ascii="宋体" w:hAnsi="宋体" w:cs="宋体" w:eastAsia="宋体" w:hint="default"/>
                <w:sz w:val="21"/>
                <w:szCs w:val="21"/>
              </w:rPr>
              <w:t>工 程 进 度</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2" w:right="23"/>
              <w:jc w:val="both"/>
              <w:rPr>
                <w:rFonts w:ascii="宋体" w:hAnsi="宋体" w:cs="宋体" w:eastAsia="宋体" w:hint="default"/>
                <w:sz w:val="21"/>
                <w:szCs w:val="21"/>
              </w:rPr>
            </w:pPr>
            <w:r>
              <w:rPr>
                <w:rFonts w:ascii="宋体" w:hAnsi="宋体" w:cs="宋体" w:eastAsia="宋体" w:hint="default"/>
                <w:sz w:val="21"/>
                <w:szCs w:val="21"/>
              </w:rPr>
              <w:t>利 息 资 本 化 累 计 金 额</w:t>
            </w:r>
          </w:p>
        </w:tc>
        <w:tc>
          <w:tcPr>
            <w:tcW w:w="3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ind w:left="46" w:right="0"/>
              <w:jc w:val="both"/>
              <w:rPr>
                <w:rFonts w:ascii="宋体" w:hAnsi="宋体" w:cs="宋体" w:eastAsia="宋体" w:hint="default"/>
                <w:sz w:val="21"/>
                <w:szCs w:val="21"/>
              </w:rPr>
            </w:pPr>
            <w:r>
              <w:rPr>
                <w:rFonts w:ascii="宋体" w:hAnsi="宋体" w:cs="宋体" w:eastAsia="宋体" w:hint="default"/>
                <w:sz w:val="21"/>
                <w:szCs w:val="21"/>
              </w:rPr>
              <w:t>中</w:t>
            </w:r>
          </w:p>
          <w:p>
            <w:pPr>
              <w:pStyle w:val="TableParagraph"/>
              <w:spacing w:line="237" w:lineRule="auto" w:before="1"/>
              <w:ind w:left="46" w:right="47"/>
              <w:jc w:val="both"/>
              <w:rPr>
                <w:rFonts w:ascii="宋体" w:hAnsi="宋体" w:cs="宋体" w:eastAsia="宋体" w:hint="default"/>
                <w:sz w:val="21"/>
                <w:szCs w:val="21"/>
              </w:rPr>
            </w:pPr>
            <w:r>
              <w:rPr>
                <w:rFonts w:ascii="宋体" w:hAnsi="宋体" w:cs="宋体" w:eastAsia="宋体" w:hint="default"/>
                <w:sz w:val="21"/>
                <w:szCs w:val="21"/>
              </w:rPr>
              <w:t>： 本 期 利 息 资 本 化 金 额</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6" w:right="26" w:firstLine="51"/>
              <w:jc w:val="both"/>
              <w:rPr>
                <w:rFonts w:ascii="宋体" w:hAnsi="宋体" w:cs="宋体" w:eastAsia="宋体" w:hint="default"/>
                <w:sz w:val="21"/>
                <w:szCs w:val="21"/>
              </w:rPr>
            </w:pPr>
            <w:r>
              <w:rPr>
                <w:rFonts w:ascii="宋体" w:hAnsi="宋体" w:cs="宋体" w:eastAsia="宋体" w:hint="default"/>
                <w:sz w:val="21"/>
                <w:szCs w:val="21"/>
              </w:rPr>
              <w:t>本 期 利 息 资 本 化 率 (%)</w:t>
            </w:r>
          </w:p>
        </w:tc>
        <w:tc>
          <w:tcPr>
            <w:tcW w:w="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42" w:right="43"/>
              <w:jc w:val="both"/>
              <w:rPr>
                <w:rFonts w:ascii="宋体" w:hAnsi="宋体" w:cs="宋体" w:eastAsia="宋体" w:hint="default"/>
                <w:sz w:val="21"/>
                <w:szCs w:val="21"/>
              </w:rPr>
            </w:pPr>
            <w:r>
              <w:rPr>
                <w:rFonts w:ascii="宋体" w:hAnsi="宋体" w:cs="宋体" w:eastAsia="宋体" w:hint="default"/>
                <w:sz w:val="21"/>
                <w:szCs w:val="21"/>
              </w:rPr>
              <w:t>资 金 来 源</w:t>
            </w:r>
          </w:p>
        </w:tc>
      </w:tr>
      <w:tr>
        <w:trPr>
          <w:trHeight w:val="1883" w:hRule="exact"/>
        </w:trPr>
        <w:tc>
          <w:tcPr>
            <w:tcW w:w="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22" w:right="101"/>
              <w:jc w:val="both"/>
              <w:rPr>
                <w:rFonts w:ascii="宋体" w:hAnsi="宋体" w:cs="宋体" w:eastAsia="宋体" w:hint="default"/>
                <w:sz w:val="18"/>
                <w:szCs w:val="18"/>
              </w:rPr>
            </w:pPr>
            <w:r>
              <w:rPr>
                <w:rFonts w:ascii="宋体" w:hAnsi="宋体" w:cs="宋体" w:eastAsia="宋体" w:hint="default"/>
                <w:sz w:val="18"/>
                <w:szCs w:val="18"/>
              </w:rPr>
              <w:t>南 威 大 厦 2</w:t>
            </w:r>
          </w:p>
          <w:p>
            <w:pPr>
              <w:pStyle w:val="TableParagraph"/>
              <w:spacing w:line="240" w:lineRule="auto"/>
              <w:ind w:left="22" w:right="101"/>
              <w:jc w:val="both"/>
              <w:rPr>
                <w:rFonts w:ascii="宋体" w:hAnsi="宋体" w:cs="宋体" w:eastAsia="宋体" w:hint="default"/>
                <w:sz w:val="18"/>
                <w:szCs w:val="18"/>
              </w:rPr>
            </w:pPr>
            <w:r>
              <w:rPr>
                <w:rFonts w:ascii="宋体" w:hAnsi="宋体" w:cs="宋体" w:eastAsia="宋体" w:hint="default"/>
                <w:sz w:val="18"/>
                <w:szCs w:val="18"/>
              </w:rPr>
              <w:t>号 楼</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26"/>
              <w:jc w:val="right"/>
              <w:rPr>
                <w:rFonts w:ascii="宋体" w:hAnsi="宋体" w:cs="宋体" w:eastAsia="宋体" w:hint="default"/>
                <w:sz w:val="18"/>
                <w:szCs w:val="18"/>
              </w:rPr>
            </w:pPr>
            <w:r>
              <w:rPr>
                <w:rFonts w:ascii="宋体"/>
                <w:sz w:val="18"/>
              </w:rPr>
              <w:t>113,562,769.00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64,827,212.12</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z w:val="18"/>
              </w:rPr>
              <w:t>39,892,390.60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z w:val="18"/>
              </w:rPr>
              <w:t>68,285,376.59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36,434,226.13</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0" w:right="0"/>
              <w:jc w:val="center"/>
              <w:rPr>
                <w:rFonts w:ascii="宋体" w:hAnsi="宋体" w:cs="宋体" w:eastAsia="宋体" w:hint="default"/>
                <w:sz w:val="18"/>
                <w:szCs w:val="18"/>
              </w:rPr>
            </w:pPr>
            <w:r>
              <w:rPr>
                <w:rFonts w:ascii="宋体"/>
                <w:sz w:val="18"/>
              </w:rPr>
              <w:t>92.21</w:t>
            </w:r>
          </w:p>
        </w:tc>
        <w:tc>
          <w:tcPr>
            <w:tcW w:w="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6" w:right="23"/>
              <w:jc w:val="left"/>
              <w:rPr>
                <w:rFonts w:ascii="宋体" w:hAnsi="宋体" w:cs="宋体" w:eastAsia="宋体" w:hint="default"/>
                <w:sz w:val="18"/>
                <w:szCs w:val="18"/>
              </w:rPr>
            </w:pPr>
            <w:r>
              <w:rPr>
                <w:rFonts w:ascii="宋体" w:hAnsi="宋体" w:cs="宋体" w:eastAsia="宋体" w:hint="default"/>
                <w:sz w:val="18"/>
                <w:szCs w:val="18"/>
              </w:rPr>
              <w:t>完 工</w:t>
            </w:r>
          </w:p>
        </w:tc>
        <w:tc>
          <w:tcPr>
            <w:tcW w:w="272"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92"/>
              <w:jc w:val="left"/>
              <w:rPr>
                <w:rFonts w:ascii="宋体" w:hAnsi="宋体" w:cs="宋体" w:eastAsia="宋体" w:hint="default"/>
                <w:sz w:val="18"/>
                <w:szCs w:val="18"/>
              </w:rPr>
            </w:pPr>
            <w:r>
              <w:rPr>
                <w:rFonts w:ascii="宋体" w:hAnsi="宋体" w:cs="宋体" w:eastAsia="宋体" w:hint="default"/>
                <w:sz w:val="18"/>
                <w:szCs w:val="18"/>
              </w:rPr>
              <w:t>自 筹</w:t>
            </w:r>
          </w:p>
        </w:tc>
      </w:tr>
      <w:tr>
        <w:trPr>
          <w:trHeight w:val="481" w:hRule="exact"/>
        </w:trPr>
        <w:tc>
          <w:tcPr>
            <w:tcW w:w="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26"/>
              <w:jc w:val="right"/>
              <w:rPr>
                <w:rFonts w:ascii="宋体" w:hAnsi="宋体" w:cs="宋体" w:eastAsia="宋体" w:hint="default"/>
                <w:sz w:val="18"/>
                <w:szCs w:val="18"/>
              </w:rPr>
            </w:pPr>
            <w:r>
              <w:rPr>
                <w:rFonts w:ascii="宋体"/>
                <w:sz w:val="18"/>
              </w:rPr>
              <w:t>113,562,769.00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64,827,212.12</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39,892,390.60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68,285,376.59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36,434,226.13</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w:t>
            </w:r>
          </w:p>
        </w:tc>
        <w:tc>
          <w:tcPr>
            <w:tcW w:w="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sz w:val="18"/>
              </w:rPr>
              <w:t>/</w:t>
            </w:r>
          </w:p>
        </w:tc>
        <w:tc>
          <w:tcPr>
            <w:tcW w:w="272"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0" w:right="0"/>
              <w:jc w:val="left"/>
              <w:rPr>
                <w:rFonts w:ascii="宋体" w:hAnsi="宋体" w:cs="宋体" w:eastAsia="宋体" w:hint="default"/>
                <w:sz w:val="18"/>
                <w:szCs w:val="18"/>
              </w:rPr>
            </w:pPr>
            <w:r>
              <w:rPr>
                <w:rFonts w:ascii="宋体"/>
                <w:sz w:val="18"/>
              </w:rPr>
              <w:t>/</w:t>
            </w:r>
          </w:p>
        </w:tc>
        <w:tc>
          <w:tcPr>
            <w:tcW w:w="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20"/>
          <w:szCs w:val="20"/>
        </w:rPr>
      </w:pPr>
    </w:p>
    <w:p>
      <w:pPr>
        <w:pStyle w:val="Heading2"/>
        <w:spacing w:line="240" w:lineRule="auto"/>
        <w:ind w:left="261" w:right="0"/>
        <w:jc w:val="left"/>
        <w:rPr>
          <w:b w:val="0"/>
          <w:bCs w:val="0"/>
        </w:rPr>
      </w:pPr>
      <w:r>
        <w:rPr/>
        <w:t>14、</w:t>
      </w:r>
      <w:r>
        <w:rPr>
          <w:spacing w:val="-29"/>
        </w:rPr>
        <w:t> </w:t>
      </w:r>
      <w:r>
        <w:rPr/>
        <w:t>生产性生物资产</w:t>
      </w:r>
      <w:r>
        <w:rPr>
          <w:b w:val="0"/>
          <w:bCs w:val="0"/>
        </w:rPr>
      </w:r>
    </w:p>
    <w:p>
      <w:pPr>
        <w:pStyle w:val="Heading2"/>
        <w:spacing w:line="240" w:lineRule="auto" w:before="57"/>
        <w:ind w:left="261" w:right="0"/>
        <w:jc w:val="left"/>
        <w:rPr>
          <w:b w:val="0"/>
          <w:bCs w:val="0"/>
        </w:rPr>
      </w:pPr>
      <w:r>
        <w:rPr/>
        <w:t>(1).</w:t>
      </w:r>
      <w:r>
        <w:rPr>
          <w:spacing w:val="66"/>
        </w:rPr>
        <w:t> </w:t>
      </w:r>
      <w:r>
        <w:rPr/>
        <w:t>采用成本计量模式的生产性生物资产</w:t>
      </w:r>
      <w:r>
        <w:rPr>
          <w:b w:val="0"/>
          <w:bCs w:val="0"/>
        </w:rPr>
      </w:r>
    </w:p>
    <w:p>
      <w:pPr>
        <w:pStyle w:val="BodyText"/>
        <w:spacing w:line="240" w:lineRule="auto" w:before="57"/>
        <w:ind w:left="261" w:right="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261" w:right="0"/>
        <w:jc w:val="left"/>
        <w:rPr>
          <w:b w:val="0"/>
          <w:bCs w:val="0"/>
        </w:rPr>
      </w:pPr>
      <w:r>
        <w:rPr/>
        <w:t>(2).</w:t>
      </w:r>
      <w:r>
        <w:rPr>
          <w:spacing w:val="67"/>
        </w:rPr>
        <w:t> </w:t>
      </w:r>
      <w:r>
        <w:rPr/>
        <w:t>采用公允价值计量模式的生产性生物资产</w:t>
      </w:r>
      <w:r>
        <w:rPr>
          <w:b w:val="0"/>
          <w:bCs w:val="0"/>
        </w:rPr>
      </w:r>
    </w:p>
    <w:p>
      <w:pPr>
        <w:pStyle w:val="BodyText"/>
        <w:spacing w:line="240" w:lineRule="auto" w:before="57"/>
        <w:ind w:left="261" w:right="0"/>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7" w:top="1120" w:bottom="1160" w:left="1440" w:right="480"/>
        </w:sectPr>
      </w:pPr>
    </w:p>
    <w:p>
      <w:pPr>
        <w:pStyle w:val="Heading2"/>
        <w:spacing w:line="240" w:lineRule="auto"/>
        <w:ind w:left="261" w:right="-16"/>
        <w:jc w:val="left"/>
        <w:rPr>
          <w:b w:val="0"/>
          <w:bCs w:val="0"/>
        </w:rPr>
      </w:pPr>
      <w:r>
        <w:rPr/>
        <w:t>15、</w:t>
      </w:r>
      <w:r>
        <w:rPr>
          <w:spacing w:val="-26"/>
        </w:rPr>
        <w:t> </w:t>
      </w:r>
      <w:r>
        <w:rPr/>
        <w:t>无形资产</w:t>
      </w:r>
      <w:r>
        <w:rPr>
          <w:b w:val="0"/>
          <w:bCs w:val="0"/>
        </w:rPr>
      </w:r>
    </w:p>
    <w:p>
      <w:pPr>
        <w:pStyle w:val="Heading2"/>
        <w:spacing w:line="240" w:lineRule="auto" w:before="57"/>
        <w:ind w:left="261" w:right="-16"/>
        <w:jc w:val="left"/>
        <w:rPr>
          <w:b w:val="0"/>
          <w:bCs w:val="0"/>
        </w:rPr>
      </w:pPr>
      <w:r>
        <w:rPr/>
        <w:t>(1).</w:t>
      </w:r>
      <w:r>
        <w:rPr>
          <w:spacing w:val="68"/>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11" w:val="left" w:leader="none"/>
        </w:tabs>
        <w:spacing w:line="240" w:lineRule="auto" w:before="176"/>
        <w:ind w:left="261" w:right="0"/>
        <w:jc w:val="left"/>
      </w:pPr>
      <w:r>
        <w:rPr/>
        <w:t>单位：元</w:t>
        <w:tab/>
        <w:t>币种：人民币</w:t>
      </w:r>
    </w:p>
    <w:p>
      <w:pPr>
        <w:spacing w:after="0" w:line="240" w:lineRule="auto"/>
        <w:jc w:val="left"/>
        <w:sectPr>
          <w:type w:val="continuous"/>
          <w:pgSz w:w="11910" w:h="16840"/>
          <w:pgMar w:top="1120" w:bottom="1160" w:left="1440" w:right="480"/>
          <w:cols w:num="2" w:equalWidth="0">
            <w:col w:w="2128" w:space="4491"/>
            <w:col w:w="3371"/>
          </w:cols>
        </w:sectPr>
      </w:pP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879"/>
        <w:gridCol w:w="1598"/>
        <w:gridCol w:w="1255"/>
        <w:gridCol w:w="1214"/>
        <w:gridCol w:w="1598"/>
        <w:gridCol w:w="1600"/>
      </w:tblGrid>
      <w:tr>
        <w:trPr>
          <w:trHeight w:val="554"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术</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 w:right="0"/>
              <w:jc w:val="center"/>
              <w:rPr>
                <w:rFonts w:ascii="宋体" w:hAnsi="宋体" w:cs="宋体" w:eastAsia="宋体" w:hint="default"/>
                <w:sz w:val="21"/>
                <w:szCs w:val="21"/>
              </w:rPr>
            </w:pPr>
            <w:r>
              <w:rPr>
                <w:rFonts w:ascii="宋体"/>
                <w:sz w:val="21"/>
              </w:rPr>
              <w:t>25,603,390.27</w:t>
            </w: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22,735,768.40</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48,339,158.67</w:t>
            </w: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8,285,645.65</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8,285,645.65</w:t>
            </w:r>
            <w:r>
              <w:rPr>
                <w:rFonts w:ascii="宋体"/>
                <w:sz w:val="21"/>
              </w:rPr>
            </w:r>
          </w:p>
        </w:tc>
      </w:tr>
    </w:tbl>
    <w:p>
      <w:pPr>
        <w:spacing w:after="0" w:line="274" w:lineRule="exact"/>
        <w:jc w:val="right"/>
        <w:rPr>
          <w:rFonts w:ascii="宋体" w:hAnsi="宋体" w:cs="宋体" w:eastAsia="宋体" w:hint="default"/>
          <w:sz w:val="21"/>
          <w:szCs w:val="21"/>
        </w:rPr>
        <w:sectPr>
          <w:type w:val="continuous"/>
          <w:pgSz w:w="11910" w:h="16840"/>
          <w:pgMar w:top="1120" w:bottom="1160" w:left="144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879"/>
        <w:gridCol w:w="1598"/>
        <w:gridCol w:w="1255"/>
        <w:gridCol w:w="1214"/>
        <w:gridCol w:w="1598"/>
        <w:gridCol w:w="1600"/>
      </w:tblGrid>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(1)购置</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22,399.61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22,399.61</w:t>
            </w:r>
          </w:p>
        </w:tc>
      </w:tr>
      <w:tr>
        <w:trPr>
          <w:trHeight w:val="34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(2)内部研发</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8,263,246.04</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8,263,246.04</w:t>
            </w:r>
            <w:r>
              <w:rPr>
                <w:rFonts w:ascii="宋体"/>
                <w:sz w:val="21"/>
              </w:rPr>
            </w: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(3)企业合并增加</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3.本期减少金额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25,603,390.27</w:t>
            </w: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31,021,414.05</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56,624,804.32</w:t>
            </w: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3,221,624.03</w:t>
            </w:r>
            <w:r>
              <w:rPr>
                <w:rFonts w:ascii="宋体"/>
                <w:sz w:val="21"/>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4,921,814.29</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8,143,438.32</w:t>
            </w:r>
            <w:r>
              <w:rPr>
                <w:rFonts w:ascii="宋体"/>
                <w:sz w:val="21"/>
              </w:rPr>
            </w: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636,728.88</w:t>
            </w:r>
            <w:r>
              <w:rPr>
                <w:rFonts w:ascii="宋体"/>
                <w:sz w:val="21"/>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5,340,629.56</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5,977,358.44</w:t>
            </w:r>
            <w:r>
              <w:rPr>
                <w:rFonts w:ascii="宋体"/>
                <w:sz w:val="21"/>
              </w:rPr>
            </w: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636,728.88</w:t>
            </w: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5,340,629.56</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5,977,358.44</w:t>
            </w:r>
            <w:r>
              <w:rPr>
                <w:rFonts w:ascii="宋体"/>
                <w:sz w:val="21"/>
              </w:rPr>
            </w:r>
          </w:p>
        </w:tc>
      </w:tr>
      <w:tr>
        <w:trPr>
          <w:trHeight w:val="34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3.本期减少金额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3,858,352.91</w:t>
            </w: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10,262,443.85</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14,120,796.76</w:t>
            </w:r>
            <w:r>
              <w:rPr>
                <w:rFonts w:ascii="宋体"/>
                <w:sz w:val="21"/>
              </w:rPr>
            </w:r>
          </w:p>
        </w:tc>
      </w:tr>
      <w:tr>
        <w:trPr>
          <w:trHeight w:val="34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3.本期减少金额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1.期末账面价值</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21,745,037.36</w:t>
            </w: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20,758,970.20</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42,504,007.56</w:t>
            </w:r>
            <w:r>
              <w:rPr>
                <w:rFonts w:ascii="宋体"/>
                <w:sz w:val="21"/>
              </w:rPr>
            </w:r>
          </w:p>
        </w:tc>
      </w:tr>
      <w:tr>
        <w:trPr>
          <w:trHeight w:val="3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2.期初账面价值</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22,381,766.24</w:t>
            </w:r>
          </w:p>
        </w:tc>
        <w:tc>
          <w:tcPr>
            <w:tcW w:w="12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17,813,954.11</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40,195,720.35</w:t>
            </w:r>
            <w:r>
              <w:rPr>
                <w:rFonts w:ascii="宋体"/>
                <w:sz w:val="21"/>
              </w:rPr>
            </w:r>
          </w:p>
        </w:tc>
      </w:tr>
    </w:tbl>
    <w:p>
      <w:pPr>
        <w:pStyle w:val="BodyText"/>
        <w:spacing w:line="240" w:lineRule="auto" w:before="53"/>
        <w:ind w:left="641" w:right="84"/>
        <w:jc w:val="left"/>
      </w:pPr>
      <w:r>
        <w:rPr/>
        <w:t>本期末通过公司内部研发形成的无形资产占无形资产余额的比例</w:t>
      </w:r>
      <w:r>
        <w:rPr>
          <w:spacing w:val="-86"/>
        </w:rPr>
        <w:t> </w:t>
      </w:r>
      <w:r>
        <w:rPr/>
        <w:t>48.79%</w:t>
      </w:r>
    </w:p>
    <w:p>
      <w:pPr>
        <w:spacing w:line="240" w:lineRule="auto" w:before="4"/>
        <w:rPr>
          <w:rFonts w:ascii="宋体" w:hAnsi="宋体" w:cs="宋体" w:eastAsia="宋体" w:hint="default"/>
          <w:sz w:val="22"/>
          <w:szCs w:val="22"/>
        </w:rPr>
      </w:pPr>
    </w:p>
    <w:p>
      <w:pPr>
        <w:pStyle w:val="Heading2"/>
        <w:spacing w:line="240" w:lineRule="auto"/>
        <w:ind w:right="84"/>
        <w:jc w:val="left"/>
        <w:rPr>
          <w:b w:val="0"/>
          <w:bCs w:val="0"/>
        </w:rPr>
      </w:pPr>
      <w:r>
        <w:rPr/>
        <w:t>16、</w:t>
      </w:r>
      <w:r>
        <w:rPr>
          <w:spacing w:val="-26"/>
        </w:rPr>
        <w:t> </w:t>
      </w:r>
      <w:r>
        <w:rPr/>
        <w:t>开发支出</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14"/>
        <w:gridCol w:w="1662"/>
        <w:gridCol w:w="1597"/>
        <w:gridCol w:w="433"/>
        <w:gridCol w:w="239"/>
        <w:gridCol w:w="1511"/>
        <w:gridCol w:w="432"/>
        <w:gridCol w:w="287"/>
        <w:gridCol w:w="1860"/>
      </w:tblGrid>
      <w:tr>
        <w:trPr>
          <w:trHeight w:val="283" w:hRule="exact"/>
        </w:trPr>
        <w:tc>
          <w:tcPr>
            <w:tcW w:w="11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614" w:right="616"/>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2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713" w:right="714"/>
              <w:jc w:val="center"/>
              <w:rPr>
                <w:rFonts w:ascii="宋体" w:hAnsi="宋体" w:cs="宋体" w:eastAsia="宋体" w:hint="default"/>
                <w:sz w:val="21"/>
                <w:szCs w:val="21"/>
              </w:rPr>
            </w:pPr>
            <w:r>
              <w:rPr>
                <w:rFonts w:ascii="宋体" w:hAnsi="宋体" w:cs="宋体" w:eastAsia="宋体" w:hint="default"/>
                <w:sz w:val="21"/>
                <w:szCs w:val="21"/>
              </w:rPr>
              <w:t>期末 余额</w:t>
            </w:r>
          </w:p>
        </w:tc>
      </w:tr>
      <w:tr>
        <w:trPr>
          <w:trHeight w:val="1644" w:hRule="exact"/>
        </w:trPr>
        <w:tc>
          <w:tcPr>
            <w:tcW w:w="1114" w:type="dxa"/>
            <w:vMerge/>
            <w:tcBorders>
              <w:left w:val="single" w:sz="4" w:space="0" w:color="000000"/>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内部开发支出</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6" w:right="104"/>
              <w:jc w:val="left"/>
              <w:rPr>
                <w:rFonts w:ascii="宋体" w:hAnsi="宋体" w:cs="宋体" w:eastAsia="宋体" w:hint="default"/>
                <w:sz w:val="21"/>
                <w:szCs w:val="21"/>
              </w:rPr>
            </w:pPr>
            <w:r>
              <w:rPr>
                <w:rFonts w:ascii="宋体" w:hAnsi="宋体" w:cs="宋体" w:eastAsia="宋体" w:hint="default"/>
                <w:sz w:val="21"/>
                <w:szCs w:val="21"/>
              </w:rPr>
              <w:t>其 他</w:t>
            </w: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45" w:right="119" w:hanging="526"/>
              <w:jc w:val="left"/>
              <w:rPr>
                <w:rFonts w:ascii="宋体" w:hAnsi="宋体" w:cs="宋体" w:eastAsia="宋体" w:hint="default"/>
                <w:sz w:val="21"/>
                <w:szCs w:val="21"/>
              </w:rPr>
            </w:pPr>
            <w:r>
              <w:rPr>
                <w:rFonts w:ascii="宋体" w:hAnsi="宋体" w:cs="宋体" w:eastAsia="宋体" w:hint="default"/>
                <w:sz w:val="21"/>
                <w:szCs w:val="21"/>
              </w:rPr>
              <w:t>确认为无形资 产</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both"/>
              <w:rPr>
                <w:rFonts w:ascii="宋体" w:hAnsi="宋体" w:cs="宋体" w:eastAsia="宋体" w:hint="default"/>
                <w:sz w:val="21"/>
                <w:szCs w:val="21"/>
              </w:rPr>
            </w:pPr>
            <w:r>
              <w:rPr>
                <w:rFonts w:ascii="宋体" w:hAnsi="宋体" w:cs="宋体" w:eastAsia="宋体" w:hint="default"/>
                <w:sz w:val="21"/>
                <w:szCs w:val="21"/>
              </w:rPr>
              <w:t>转</w:t>
            </w:r>
          </w:p>
          <w:p>
            <w:pPr>
              <w:pStyle w:val="TableParagraph"/>
              <w:spacing w:line="272" w:lineRule="exact" w:before="26"/>
              <w:ind w:left="105" w:right="104"/>
              <w:jc w:val="both"/>
              <w:rPr>
                <w:rFonts w:ascii="宋体" w:hAnsi="宋体" w:cs="宋体" w:eastAsia="宋体" w:hint="default"/>
                <w:sz w:val="21"/>
                <w:szCs w:val="21"/>
              </w:rPr>
            </w:pPr>
            <w:r>
              <w:rPr>
                <w:rFonts w:ascii="宋体" w:hAnsi="宋体" w:cs="宋体" w:eastAsia="宋体" w:hint="default"/>
                <w:sz w:val="21"/>
                <w:szCs w:val="21"/>
              </w:rPr>
              <w:t>入 当 期 损 益</w:t>
            </w: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vMerge/>
            <w:tcBorders>
              <w:left w:val="single" w:sz="4" w:space="0" w:color="000000"/>
              <w:bottom w:val="single" w:sz="4" w:space="0" w:color="000000"/>
              <w:right w:val="single" w:sz="4" w:space="0" w:color="000000"/>
            </w:tcBorders>
          </w:tcPr>
          <w:p>
            <w:pPr/>
          </w:p>
        </w:tc>
      </w:tr>
      <w:tr>
        <w:trPr>
          <w:trHeight w:val="137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支持国产</w:t>
            </w:r>
          </w:p>
          <w:p>
            <w:pPr>
              <w:pStyle w:val="TableParagraph"/>
              <w:spacing w:line="272" w:lineRule="exact" w:before="26"/>
              <w:ind w:left="103" w:right="158"/>
              <w:jc w:val="both"/>
              <w:rPr>
                <w:rFonts w:ascii="宋体" w:hAnsi="宋体" w:cs="宋体" w:eastAsia="宋体" w:hint="default"/>
                <w:sz w:val="21"/>
                <w:szCs w:val="21"/>
              </w:rPr>
            </w:pPr>
            <w:r>
              <w:rPr>
                <w:rFonts w:ascii="宋体" w:hAnsi="宋体" w:cs="宋体" w:eastAsia="宋体" w:hint="default"/>
                <w:sz w:val="21"/>
                <w:szCs w:val="21"/>
              </w:rPr>
              <w:t>化的党委 信息化解 决方案项 目</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8" w:right="0"/>
              <w:jc w:val="left"/>
              <w:rPr>
                <w:rFonts w:ascii="宋体" w:hAnsi="宋体" w:cs="宋体" w:eastAsia="宋体" w:hint="default"/>
                <w:sz w:val="21"/>
                <w:szCs w:val="21"/>
              </w:rPr>
            </w:pPr>
            <w:r>
              <w:rPr>
                <w:rFonts w:ascii="宋体"/>
                <w:sz w:val="21"/>
              </w:rPr>
              <w:t>897,622.70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center"/>
              <w:rPr>
                <w:rFonts w:ascii="宋体" w:hAnsi="宋体" w:cs="宋体" w:eastAsia="宋体" w:hint="default"/>
                <w:sz w:val="21"/>
                <w:szCs w:val="21"/>
              </w:rPr>
            </w:pPr>
            <w:r>
              <w:rPr>
                <w:rFonts w:ascii="宋体"/>
                <w:sz w:val="21"/>
              </w:rPr>
              <w:t>1,834,084.10</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2,731,706.80</w:t>
            </w:r>
          </w:p>
        </w:tc>
      </w:tr>
      <w:tr>
        <w:trPr>
          <w:trHeight w:val="1099"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智慧军营</w:t>
            </w:r>
          </w:p>
          <w:p>
            <w:pPr>
              <w:pStyle w:val="TableParagraph"/>
              <w:spacing w:line="272" w:lineRule="exact" w:before="26"/>
              <w:ind w:left="103" w:right="158"/>
              <w:jc w:val="both"/>
              <w:rPr>
                <w:rFonts w:ascii="宋体" w:hAnsi="宋体" w:cs="宋体" w:eastAsia="宋体" w:hint="default"/>
                <w:sz w:val="21"/>
                <w:szCs w:val="21"/>
              </w:rPr>
            </w:pPr>
            <w:r>
              <w:rPr>
                <w:rFonts w:ascii="宋体" w:hAnsi="宋体" w:cs="宋体" w:eastAsia="宋体" w:hint="default"/>
                <w:sz w:val="21"/>
                <w:szCs w:val="21"/>
              </w:rPr>
              <w:t>综合信息 管理平台 升级项目</w:t>
            </w:r>
          </w:p>
        </w:tc>
        <w:tc>
          <w:tcPr>
            <w:tcW w:w="166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22" w:right="0"/>
              <w:jc w:val="center"/>
              <w:rPr>
                <w:rFonts w:ascii="宋体" w:hAnsi="宋体" w:cs="宋体" w:eastAsia="宋体" w:hint="default"/>
                <w:sz w:val="21"/>
                <w:szCs w:val="21"/>
              </w:rPr>
            </w:pPr>
            <w:r>
              <w:rPr>
                <w:rFonts w:ascii="宋体"/>
                <w:sz w:val="21"/>
              </w:rPr>
              <w:t>2,306,616.87</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2,306,616.87</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977" w:top="1120" w:bottom="116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114"/>
        <w:gridCol w:w="1662"/>
        <w:gridCol w:w="1597"/>
        <w:gridCol w:w="433"/>
        <w:gridCol w:w="239"/>
        <w:gridCol w:w="1511"/>
        <w:gridCol w:w="432"/>
        <w:gridCol w:w="287"/>
        <w:gridCol w:w="1860"/>
      </w:tblGrid>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领导办公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桌面系统</w:t>
            </w:r>
          </w:p>
        </w:tc>
        <w:tc>
          <w:tcPr>
            <w:tcW w:w="166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408,448.15</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408,448.15</w:t>
            </w: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w:t>
            </w:r>
          </w:p>
        </w:tc>
      </w:tr>
      <w:tr>
        <w:trPr>
          <w:trHeight w:val="82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政务云应</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用平台研 发项目</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1,695,855.54</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2,278,519.69</w:t>
            </w:r>
            <w:r>
              <w:rPr>
                <w:rFonts w:ascii="宋体"/>
                <w:sz w:val="21"/>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3,974,375.23</w:t>
            </w:r>
            <w:r>
              <w:rPr>
                <w:rFonts w:ascii="宋体"/>
                <w:sz w:val="21"/>
              </w:rPr>
            </w:r>
          </w:p>
        </w:tc>
      </w:tr>
      <w:tr>
        <w:trPr>
          <w:trHeight w:val="82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科技计划</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项目管理 系统</w:t>
            </w:r>
          </w:p>
        </w:tc>
        <w:tc>
          <w:tcPr>
            <w:tcW w:w="166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149,097.31</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149,097.31</w:t>
            </w: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82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公安信息</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综合研判 应用系统</w:t>
            </w:r>
          </w:p>
        </w:tc>
        <w:tc>
          <w:tcPr>
            <w:tcW w:w="166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895,985.50</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895,985.50</w:t>
            </w: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移动警务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应用平台</w:t>
            </w:r>
          </w:p>
        </w:tc>
        <w:tc>
          <w:tcPr>
            <w:tcW w:w="166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245,496.16</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245,496.16</w:t>
            </w: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w:t>
            </w:r>
          </w:p>
        </w:tc>
      </w:tr>
      <w:tr>
        <w:trPr>
          <w:trHeight w:val="82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应急指挥</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系统平台 建设项目</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1,709,831.84</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2,000,821.12</w:t>
            </w:r>
            <w:r>
              <w:rPr>
                <w:rFonts w:ascii="宋体"/>
                <w:sz w:val="21"/>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3,710,652.96</w:t>
            </w:r>
            <w:r>
              <w:rPr>
                <w:rFonts w:ascii="宋体"/>
                <w:sz w:val="21"/>
              </w:rPr>
            </w:r>
          </w:p>
        </w:tc>
      </w:tr>
      <w:tr>
        <w:trPr>
          <w:trHeight w:val="1099"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城乡社区</w:t>
            </w:r>
          </w:p>
          <w:p>
            <w:pPr>
              <w:pStyle w:val="TableParagraph"/>
              <w:spacing w:line="272" w:lineRule="exact" w:before="26"/>
              <w:ind w:left="103" w:right="158"/>
              <w:jc w:val="both"/>
              <w:rPr>
                <w:rFonts w:ascii="宋体" w:hAnsi="宋体" w:cs="宋体" w:eastAsia="宋体" w:hint="default"/>
                <w:sz w:val="21"/>
                <w:szCs w:val="21"/>
              </w:rPr>
            </w:pPr>
            <w:r>
              <w:rPr>
                <w:rFonts w:ascii="宋体" w:hAnsi="宋体" w:cs="宋体" w:eastAsia="宋体" w:hint="default"/>
                <w:sz w:val="21"/>
                <w:szCs w:val="21"/>
              </w:rPr>
              <w:t>网格化服 务管理信 息平台</w:t>
            </w:r>
          </w:p>
        </w:tc>
        <w:tc>
          <w:tcPr>
            <w:tcW w:w="166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143,230.40</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143,230.40</w:t>
            </w: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智能车辆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分析系统</w:t>
            </w:r>
          </w:p>
        </w:tc>
        <w:tc>
          <w:tcPr>
            <w:tcW w:w="166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1,195,120.04</w:t>
            </w:r>
            <w:r>
              <w:rPr>
                <w:rFonts w:ascii="宋体"/>
                <w:sz w:val="21"/>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1,195,120.04</w:t>
            </w:r>
            <w:r>
              <w:rPr>
                <w:rFonts w:ascii="宋体"/>
                <w:sz w:val="21"/>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w:t>
            </w:r>
          </w:p>
        </w:tc>
      </w:tr>
      <w:tr>
        <w:trPr>
          <w:trHeight w:val="164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基于三网</w:t>
            </w:r>
          </w:p>
          <w:p>
            <w:pPr>
              <w:pStyle w:val="TableParagraph"/>
              <w:spacing w:line="272" w:lineRule="exact" w:before="26"/>
              <w:ind w:left="103" w:right="158"/>
              <w:jc w:val="both"/>
              <w:rPr>
                <w:rFonts w:ascii="宋体" w:hAnsi="宋体" w:cs="宋体" w:eastAsia="宋体" w:hint="default"/>
                <w:sz w:val="21"/>
                <w:szCs w:val="21"/>
              </w:rPr>
            </w:pPr>
            <w:r>
              <w:rPr>
                <w:rFonts w:ascii="宋体" w:hAnsi="宋体" w:cs="宋体" w:eastAsia="宋体" w:hint="default"/>
                <w:sz w:val="21"/>
                <w:szCs w:val="21"/>
              </w:rPr>
              <w:t>融合技术 的应用支 撑平台研 发与产业 化</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2,566,350.89</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438,230.09</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3,004,580.98</w:t>
            </w:r>
            <w:r>
              <w:rPr>
                <w:rFonts w:ascii="宋体"/>
                <w:sz w:val="21"/>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82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部门间信</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息共享平 台</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1,633,027.14</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588,260.36</w:t>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2,221,287.50</w:t>
            </w:r>
            <w:r>
              <w:rPr>
                <w:rFonts w:ascii="宋体"/>
                <w:sz w:val="21"/>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164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用于企业</w:t>
            </w:r>
          </w:p>
          <w:p>
            <w:pPr>
              <w:pStyle w:val="TableParagraph"/>
              <w:spacing w:line="272" w:lineRule="exact" w:before="26"/>
              <w:ind w:left="103" w:right="158"/>
              <w:jc w:val="both"/>
              <w:rPr>
                <w:rFonts w:ascii="宋体" w:hAnsi="宋体" w:cs="宋体" w:eastAsia="宋体" w:hint="default"/>
                <w:sz w:val="21"/>
                <w:szCs w:val="21"/>
              </w:rPr>
            </w:pPr>
            <w:r>
              <w:rPr>
                <w:rFonts w:ascii="宋体" w:hAnsi="宋体" w:cs="宋体" w:eastAsia="宋体" w:hint="default"/>
                <w:sz w:val="21"/>
                <w:szCs w:val="21"/>
              </w:rPr>
              <w:t>产品设计 的云平台 关键技术 研发与应 用</w:t>
            </w:r>
          </w:p>
        </w:tc>
        <w:tc>
          <w:tcPr>
            <w:tcW w:w="166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1,141,982.84</w:t>
            </w:r>
            <w:r>
              <w:rPr>
                <w:rFonts w:ascii="宋体"/>
                <w:sz w:val="21"/>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1,141,982.84</w:t>
            </w:r>
            <w:r>
              <w:rPr>
                <w:rFonts w:ascii="宋体"/>
                <w:sz w:val="21"/>
              </w:rPr>
            </w:r>
          </w:p>
        </w:tc>
      </w:tr>
      <w:tr>
        <w:trPr>
          <w:trHeight w:val="46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8,502,688.11</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13,625,892.63</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5" w:right="0"/>
              <w:jc w:val="left"/>
              <w:rPr>
                <w:rFonts w:ascii="宋体" w:hAnsi="宋体" w:cs="宋体" w:eastAsia="宋体" w:hint="default"/>
                <w:sz w:val="21"/>
                <w:szCs w:val="21"/>
              </w:rPr>
            </w:pPr>
            <w:r>
              <w:rPr>
                <w:rFonts w:ascii="宋体"/>
                <w:sz w:val="21"/>
              </w:rPr>
              <w:t>-</w:t>
            </w:r>
          </w:p>
        </w:tc>
        <w:tc>
          <w:tcPr>
            <w:tcW w:w="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sz w:val="21"/>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8,263,246.04</w:t>
            </w:r>
            <w:r>
              <w:rPr>
                <w:rFonts w:ascii="宋体"/>
                <w:sz w:val="21"/>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3" w:right="0"/>
              <w:jc w:val="left"/>
              <w:rPr>
                <w:rFonts w:ascii="宋体" w:hAnsi="宋体" w:cs="宋体" w:eastAsia="宋体" w:hint="default"/>
                <w:sz w:val="21"/>
                <w:szCs w:val="21"/>
              </w:rPr>
            </w:pPr>
            <w:r>
              <w:rPr>
                <w:rFonts w:ascii="宋体"/>
                <w:sz w:val="21"/>
              </w:rPr>
              <w:t>-</w:t>
            </w:r>
          </w:p>
        </w:tc>
        <w:tc>
          <w:tcPr>
            <w:tcW w:w="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21"/>
                <w:szCs w:val="21"/>
              </w:rPr>
            </w:pPr>
            <w:r>
              <w:rPr>
                <w:rFonts w:ascii="宋体"/>
                <w:sz w:val="21"/>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13,865,334.70</w:t>
            </w:r>
          </w:p>
        </w:tc>
      </w:tr>
    </w:tbl>
    <w:p>
      <w:pPr>
        <w:pStyle w:val="BodyText"/>
        <w:spacing w:line="238" w:lineRule="exact" w:before="0"/>
        <w:ind w:left="221" w:right="84"/>
        <w:jc w:val="left"/>
      </w:pPr>
      <w:r>
        <w:rPr/>
        <w:t>其他说明</w:t>
      </w:r>
    </w:p>
    <w:p>
      <w:pPr>
        <w:pStyle w:val="BodyText"/>
        <w:spacing w:line="274" w:lineRule="exact" w:before="0"/>
        <w:ind w:left="221" w:right="84"/>
        <w:jc w:val="left"/>
      </w:pPr>
      <w:r>
        <w:rPr/>
        <w:t>无。</w:t>
      </w:r>
    </w:p>
    <w:p>
      <w:pPr>
        <w:spacing w:line="240" w:lineRule="auto" w:before="7"/>
        <w:rPr>
          <w:rFonts w:ascii="宋体" w:hAnsi="宋体" w:cs="宋体" w:eastAsia="宋体" w:hint="default"/>
          <w:sz w:val="22"/>
          <w:szCs w:val="22"/>
        </w:rPr>
      </w:pPr>
    </w:p>
    <w:p>
      <w:pPr>
        <w:pStyle w:val="Heading2"/>
        <w:spacing w:line="240" w:lineRule="auto"/>
        <w:ind w:right="84"/>
        <w:jc w:val="left"/>
        <w:rPr>
          <w:b w:val="0"/>
          <w:bCs w:val="0"/>
        </w:rPr>
      </w:pPr>
      <w:r>
        <w:rPr/>
        <w:t>17、</w:t>
      </w:r>
      <w:r>
        <w:rPr>
          <w:spacing w:val="-29"/>
        </w:rPr>
        <w:t> </w:t>
      </w:r>
      <w:r>
        <w:rPr/>
        <w:t>长期待摊费用</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62"/>
        <w:gridCol w:w="1513"/>
        <w:gridCol w:w="1513"/>
        <w:gridCol w:w="1513"/>
        <w:gridCol w:w="1536"/>
        <w:gridCol w:w="1608"/>
      </w:tblGrid>
      <w:tr>
        <w:trPr>
          <w:trHeight w:val="29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14"/>
              <w:jc w:val="right"/>
              <w:rPr>
                <w:rFonts w:ascii="宋体" w:hAnsi="宋体" w:cs="宋体" w:eastAsia="宋体" w:hint="default"/>
                <w:sz w:val="21"/>
                <w:szCs w:val="21"/>
              </w:rPr>
            </w:pPr>
            <w:r>
              <w:rPr>
                <w:rFonts w:ascii="宋体" w:hAnsi="宋体" w:cs="宋体" w:eastAsia="宋体" w:hint="default"/>
                <w:sz w:val="21"/>
                <w:szCs w:val="21"/>
              </w:rPr>
              <w:t>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0"/>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32"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9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6"/>
              <w:jc w:val="right"/>
              <w:rPr>
                <w:rFonts w:ascii="宋体" w:hAnsi="宋体" w:cs="宋体" w:eastAsia="宋体" w:hint="default"/>
                <w:sz w:val="21"/>
                <w:szCs w:val="21"/>
              </w:rPr>
            </w:pPr>
            <w:r>
              <w:rPr>
                <w:rFonts w:ascii="宋体" w:hAnsi="宋体" w:cs="宋体" w:eastAsia="宋体" w:hint="default"/>
                <w:spacing w:val="-1"/>
                <w:w w:val="95"/>
                <w:sz w:val="21"/>
                <w:szCs w:val="21"/>
              </w:rPr>
              <w:t>装修费</w:t>
            </w:r>
            <w:r>
              <w:rPr>
                <w:rFonts w:ascii="宋体" w:hAnsi="宋体" w:cs="宋体" w:eastAsia="宋体" w:hint="default"/>
                <w:w w:val="95"/>
                <w:sz w:val="21"/>
                <w:szCs w:val="21"/>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center"/>
              <w:rPr>
                <w:rFonts w:ascii="宋体" w:hAnsi="宋体" w:cs="宋体" w:eastAsia="宋体" w:hint="default"/>
                <w:sz w:val="21"/>
                <w:szCs w:val="21"/>
              </w:rPr>
            </w:pPr>
            <w:r>
              <w:rPr>
                <w:rFonts w:ascii="宋体"/>
                <w:sz w:val="21"/>
              </w:rPr>
              <w:t>1,465,522.50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419,707.76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 w:right="0"/>
              <w:jc w:val="center"/>
              <w:rPr>
                <w:rFonts w:ascii="宋体" w:hAnsi="宋体" w:cs="宋体" w:eastAsia="宋体" w:hint="default"/>
                <w:sz w:val="21"/>
                <w:szCs w:val="21"/>
              </w:rPr>
            </w:pPr>
            <w:r>
              <w:rPr>
                <w:rFonts w:ascii="宋体"/>
                <w:sz w:val="21"/>
              </w:rPr>
              <w:t>1,147,828.81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737,401.45</w:t>
            </w:r>
            <w:r>
              <w:rPr>
                <w:rFonts w:ascii="宋体"/>
                <w:sz w:val="21"/>
              </w:rPr>
            </w:r>
          </w:p>
        </w:tc>
      </w:tr>
      <w:tr>
        <w:trPr>
          <w:trHeight w:val="29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center"/>
              <w:rPr>
                <w:rFonts w:ascii="宋体" w:hAnsi="宋体" w:cs="宋体" w:eastAsia="宋体" w:hint="default"/>
                <w:sz w:val="21"/>
                <w:szCs w:val="21"/>
              </w:rPr>
            </w:pPr>
            <w:r>
              <w:rPr>
                <w:rFonts w:ascii="宋体"/>
                <w:sz w:val="21"/>
              </w:rPr>
              <w:t>1,465,522.50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419,707.76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1,147,828.81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737,401.45</w:t>
            </w:r>
          </w:p>
        </w:tc>
      </w:tr>
    </w:tbl>
    <w:p>
      <w:pPr>
        <w:spacing w:after="0" w:line="240" w:lineRule="exact"/>
        <w:jc w:val="right"/>
        <w:rPr>
          <w:rFonts w:ascii="宋体" w:hAnsi="宋体" w:cs="宋体" w:eastAsia="宋体" w:hint="default"/>
          <w:sz w:val="21"/>
          <w:szCs w:val="21"/>
        </w:rPr>
        <w:sectPr>
          <w:footerReference w:type="default" r:id="rId60"/>
          <w:pgSz w:w="11910" w:h="16840"/>
          <w:pgMar w:footer="977" w:header="0" w:top="1120" w:bottom="1160" w:left="14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1"/>
          <w:pgSz w:w="11910" w:h="16840"/>
          <w:pgMar w:footer="977" w:header="0" w:top="1120" w:bottom="1160" w:left="1480" w:right="1040"/>
          <w:pgNumType w:start="111"/>
        </w:sectPr>
      </w:pPr>
    </w:p>
    <w:p>
      <w:pPr>
        <w:pStyle w:val="Heading2"/>
        <w:spacing w:line="290" w:lineRule="auto"/>
        <w:ind w:right="-16"/>
        <w:jc w:val="left"/>
        <w:rPr>
          <w:b w:val="0"/>
          <w:bCs w:val="0"/>
        </w:rPr>
      </w:pPr>
      <w:r>
        <w:rPr/>
        <w:t>18、 递延所得税资产/</w:t>
      </w:r>
      <w:r>
        <w:rPr>
          <w:spacing w:val="-29"/>
        </w:rPr>
        <w:t> </w:t>
      </w:r>
      <w:r>
        <w:rPr/>
        <w:t>递延所得税负债</w:t>
      </w:r>
      <w:r>
        <w:rPr>
          <w:w w:val="99"/>
        </w:rPr>
        <w:t> </w:t>
      </w:r>
      <w:r>
        <w:rPr/>
        <w:t>(1).</w:t>
      </w:r>
      <w:r>
        <w:rPr>
          <w:spacing w:val="53"/>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3888" w:space="2731"/>
            <w:col w:w="277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353"/>
        <w:gridCol w:w="1595"/>
        <w:gridCol w:w="2128"/>
        <w:gridCol w:w="1596"/>
        <w:gridCol w:w="1476"/>
      </w:tblGrid>
      <w:tr>
        <w:trPr>
          <w:trHeight w:val="295" w:hRule="exact"/>
        </w:trPr>
        <w:tc>
          <w:tcPr>
            <w:tcW w:w="23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53"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12,862,126.62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1,947,535.49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11,202,227.67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1,737,491.19</w:t>
            </w:r>
          </w:p>
        </w:tc>
      </w:tr>
      <w:tr>
        <w:trPr>
          <w:trHeight w:val="29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12,094,483.52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2,199,577.85</w:t>
            </w:r>
            <w:r>
              <w:rPr>
                <w:rFonts w:ascii="宋体"/>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6,678,421.20</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1,209,067.12</w:t>
            </w:r>
            <w:r>
              <w:rPr>
                <w:rFonts w:ascii="宋体"/>
                <w:sz w:val="21"/>
              </w:rPr>
            </w:r>
          </w:p>
        </w:tc>
      </w:tr>
      <w:tr>
        <w:trPr>
          <w:trHeight w:val="29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5,131,035.25</w:t>
            </w:r>
            <w:r>
              <w:rPr>
                <w:rFonts w:ascii="宋体"/>
                <w:sz w:val="21"/>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871,607.73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2,460,907.14</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419,197.34</w:t>
            </w:r>
          </w:p>
        </w:tc>
      </w:tr>
      <w:tr>
        <w:trPr>
          <w:trHeight w:val="29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3,341,666.67</w:t>
            </w:r>
            <w:r>
              <w:rPr>
                <w:rFonts w:ascii="宋体"/>
                <w:sz w:val="21"/>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507,916.67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7,472,814.92</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1,123,473.34</w:t>
            </w:r>
            <w:r>
              <w:rPr>
                <w:rFonts w:ascii="宋体"/>
                <w:sz w:val="21"/>
              </w:rPr>
            </w:r>
          </w:p>
        </w:tc>
      </w:tr>
      <w:tr>
        <w:trPr>
          <w:trHeight w:val="29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待弥补亏损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13,312,635.76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2,947,316.93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16,656,964.32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3,703,951.35</w:t>
            </w:r>
          </w:p>
        </w:tc>
      </w:tr>
      <w:tr>
        <w:trPr>
          <w:trHeight w:val="29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485,717.92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60,714.74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297,698.08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74,424.52</w:t>
            </w:r>
          </w:p>
        </w:tc>
      </w:tr>
      <w:tr>
        <w:trPr>
          <w:trHeight w:val="29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10,496,898.48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1,614,157.41</w:t>
            </w:r>
            <w:r>
              <w:rPr>
                <w:rFonts w:ascii="宋体"/>
                <w:sz w:val="21"/>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95"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57,724,564.22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10,148,826.82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44,769,033.33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8,267,604.86</w:t>
            </w:r>
            <w:r>
              <w:rPr>
                <w:rFonts w:ascii="宋体"/>
                <w:sz w:val="21"/>
              </w:rPr>
            </w:r>
          </w:p>
        </w:tc>
      </w:tr>
    </w:tbl>
    <w:p>
      <w:pPr>
        <w:spacing w:line="240" w:lineRule="auto" w:before="0"/>
        <w:rPr>
          <w:rFonts w:ascii="宋体" w:hAnsi="宋体" w:cs="宋体" w:eastAsia="宋体" w:hint="default"/>
          <w:sz w:val="20"/>
          <w:szCs w:val="20"/>
        </w:rPr>
      </w:pPr>
    </w:p>
    <w:p>
      <w:pPr>
        <w:spacing w:line="357" w:lineRule="auto" w:before="35"/>
        <w:ind w:left="641" w:right="473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8"/>
          <w:sz w:val="21"/>
          <w:szCs w:val="21"/>
        </w:rPr>
        <w:t> </w:t>
      </w:r>
      <w:r>
        <w:rPr>
          <w:rFonts w:ascii="宋体" w:hAnsi="宋体" w:cs="宋体" w:eastAsia="宋体" w:hint="default"/>
          <w:b/>
          <w:bCs/>
          <w:sz w:val="21"/>
          <w:szCs w:val="21"/>
        </w:rPr>
        <w:t>未经抵销的递延所得税负债</w:t>
      </w:r>
      <w:r>
        <w:rPr>
          <w:rFonts w:ascii="宋体" w:hAnsi="宋体" w:cs="宋体" w:eastAsia="宋体" w:hint="default"/>
          <w:b/>
          <w:bCs/>
          <w:w w:val="99"/>
          <w:sz w:val="21"/>
          <w:szCs w:val="21"/>
        </w:rPr>
        <w:t> </w:t>
      </w:r>
      <w:r>
        <w:rPr>
          <w:rFonts w:ascii="宋体" w:hAnsi="宋体" w:cs="宋体" w:eastAsia="宋体" w:hint="default"/>
          <w:sz w:val="21"/>
          <w:szCs w:val="21"/>
        </w:rPr>
        <w:t>本公司期末无未经抵销的递延所得税负债。</w:t>
      </w:r>
    </w:p>
    <w:p>
      <w:pPr>
        <w:spacing w:line="240" w:lineRule="auto" w:before="13"/>
        <w:rPr>
          <w:rFonts w:ascii="宋体" w:hAnsi="宋体" w:cs="宋体" w:eastAsia="宋体" w:hint="default"/>
          <w:sz w:val="17"/>
          <w:szCs w:val="17"/>
        </w:rPr>
      </w:pPr>
    </w:p>
    <w:p>
      <w:pPr>
        <w:pStyle w:val="Heading2"/>
        <w:spacing w:line="357" w:lineRule="auto" w:before="0"/>
        <w:ind w:left="641" w:right="4345" w:hanging="420"/>
        <w:jc w:val="left"/>
        <w:rPr>
          <w:rFonts w:ascii="宋体" w:hAnsi="宋体" w:cs="宋体" w:eastAsia="宋体" w:hint="default"/>
          <w:b w:val="0"/>
          <w:bCs w:val="0"/>
        </w:rPr>
      </w:pPr>
      <w:r>
        <w:rPr/>
        <w:t>(3).</w:t>
      </w:r>
      <w:r>
        <w:rPr>
          <w:spacing w:val="52"/>
        </w:rPr>
        <w:t> </w:t>
      </w:r>
      <w:r>
        <w:rPr/>
        <w:t>以抵销后净额列示的递延所得税资产或负债：</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spacing w:line="357" w:lineRule="auto" w:before="0"/>
        <w:ind w:left="641" w:right="5153"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58"/>
          <w:sz w:val="21"/>
          <w:szCs w:val="21"/>
        </w:rPr>
        <w:t> </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t>本公司期末无未确认递延所得税资产。</w:t>
      </w:r>
    </w:p>
    <w:p>
      <w:pPr>
        <w:spacing w:line="240" w:lineRule="auto" w:before="10"/>
        <w:rPr>
          <w:rFonts w:ascii="宋体" w:hAnsi="宋体" w:cs="宋体" w:eastAsia="宋体" w:hint="default"/>
          <w:sz w:val="24"/>
          <w:szCs w:val="24"/>
        </w:rPr>
      </w:pPr>
    </w:p>
    <w:p>
      <w:pPr>
        <w:pStyle w:val="Heading2"/>
        <w:spacing w:line="357" w:lineRule="auto" w:before="0"/>
        <w:ind w:left="641" w:right="3501" w:hanging="420"/>
        <w:jc w:val="left"/>
        <w:rPr>
          <w:rFonts w:ascii="宋体" w:hAnsi="宋体" w:cs="宋体" w:eastAsia="宋体" w:hint="default"/>
          <w:b w:val="0"/>
          <w:bCs w:val="0"/>
        </w:rPr>
      </w:pPr>
      <w:r>
        <w:rPr/>
        <w:t>(5).</w:t>
      </w:r>
      <w:r>
        <w:rPr>
          <w:spacing w:val="53"/>
        </w:rPr>
        <w:t> </w:t>
      </w:r>
      <w:r>
        <w:rPr/>
        <w:t>未确认递延所得税资产的可抵扣亏损将于以下年度到期</w:t>
      </w:r>
      <w:r>
        <w:rPr>
          <w:spacing w:val="1"/>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spacing w:line="240" w:lineRule="auto" w:before="0"/>
        <w:ind w:right="84"/>
        <w:jc w:val="left"/>
        <w:rPr>
          <w:b w:val="0"/>
          <w:bCs w:val="0"/>
        </w:rPr>
      </w:pPr>
      <w:r>
        <w:rPr/>
        <w:t>19、</w:t>
      </w:r>
      <w:r>
        <w:rPr>
          <w:spacing w:val="-29"/>
        </w:rPr>
        <w:t> </w:t>
      </w:r>
      <w:r>
        <w:rPr/>
        <w:t>衍生金融负债</w:t>
      </w:r>
      <w:r>
        <w:rPr>
          <w:b w:val="0"/>
          <w:bCs w:val="0"/>
        </w:rPr>
      </w:r>
    </w:p>
    <w:p>
      <w:pPr>
        <w:pStyle w:val="BodyText"/>
        <w:spacing w:line="240" w:lineRule="auto" w:before="57"/>
        <w:ind w:left="221" w:right="8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2"/>
        <w:spacing w:line="240" w:lineRule="auto"/>
        <w:ind w:right="84"/>
        <w:jc w:val="left"/>
        <w:rPr>
          <w:b w:val="0"/>
          <w:bCs w:val="0"/>
        </w:rPr>
      </w:pPr>
      <w:r>
        <w:rPr/>
        <w:t>20、</w:t>
      </w:r>
      <w:r>
        <w:rPr>
          <w:spacing w:val="-26"/>
        </w:rPr>
        <w:t> </w:t>
      </w:r>
      <w:r>
        <w:rPr/>
        <w:t>应付票据</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336"/>
        <w:gridCol w:w="3373"/>
        <w:gridCol w:w="3280"/>
      </w:tblGrid>
      <w:tr>
        <w:trPr>
          <w:trHeight w:val="287"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2,066,809.00</w:t>
            </w:r>
            <w:r>
              <w:rPr>
                <w:rFonts w:ascii="宋体"/>
                <w:sz w:val="21"/>
              </w:rPr>
            </w:r>
          </w:p>
        </w:tc>
        <w:tc>
          <w:tcPr>
            <w:tcW w:w="32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pacing w:val="-1"/>
                <w:sz w:val="21"/>
              </w:rPr>
              <w:t>63,705,995.94</w:t>
            </w:r>
          </w:p>
        </w:tc>
        <w:tc>
          <w:tcPr>
            <w:tcW w:w="3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41,777,671.89</w:t>
            </w:r>
            <w:r>
              <w:rPr>
                <w:rFonts w:ascii="宋体"/>
                <w:sz w:val="21"/>
              </w:rPr>
            </w:r>
          </w:p>
        </w:tc>
      </w:tr>
      <w:tr>
        <w:trPr>
          <w:trHeight w:val="287"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65,772,804.94</w:t>
            </w:r>
          </w:p>
        </w:tc>
        <w:tc>
          <w:tcPr>
            <w:tcW w:w="3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41,777,671.89</w:t>
            </w:r>
          </w:p>
        </w:tc>
      </w:tr>
    </w:tbl>
    <w:p>
      <w:pPr>
        <w:pStyle w:val="BodyText"/>
        <w:spacing w:line="241" w:lineRule="exact" w:before="0"/>
        <w:ind w:left="221" w:right="84"/>
        <w:jc w:val="left"/>
      </w:pPr>
      <w:r>
        <w:rPr/>
        <w:t>本期末已到期未支付的应付票据总额为</w:t>
      </w:r>
      <w:r>
        <w:rPr>
          <w:spacing w:val="-53"/>
        </w:rPr>
        <w:t> </w:t>
      </w:r>
      <w:r>
        <w:rPr/>
        <w:t>0</w:t>
      </w:r>
      <w:r>
        <w:rPr>
          <w:spacing w:val="-52"/>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480" w:right="1040"/>
        </w:sectPr>
      </w:pPr>
    </w:p>
    <w:p>
      <w:pPr>
        <w:pStyle w:val="Heading2"/>
        <w:spacing w:line="240" w:lineRule="auto"/>
        <w:ind w:right="-16"/>
        <w:jc w:val="left"/>
        <w:rPr>
          <w:b w:val="0"/>
          <w:bCs w:val="0"/>
        </w:rPr>
      </w:pPr>
      <w:r>
        <w:rPr/>
        <w:t>21、</w:t>
      </w:r>
      <w:r>
        <w:rPr>
          <w:spacing w:val="-26"/>
        </w:rPr>
        <w:t> </w:t>
      </w:r>
      <w:r>
        <w:rPr/>
        <w:t>应付账款</w:t>
      </w:r>
      <w:r>
        <w:rPr>
          <w:b w:val="0"/>
          <w:bCs w:val="0"/>
        </w:rPr>
      </w:r>
    </w:p>
    <w:p>
      <w:pPr>
        <w:pStyle w:val="Heading2"/>
        <w:spacing w:line="240" w:lineRule="auto" w:before="57"/>
        <w:ind w:right="-16"/>
        <w:jc w:val="left"/>
        <w:rPr>
          <w:b w:val="0"/>
          <w:bCs w:val="0"/>
        </w:rPr>
      </w:pPr>
      <w:r>
        <w:rPr/>
        <w:t>(1).</w:t>
      </w:r>
      <w:r>
        <w:rPr>
          <w:spacing w:val="54"/>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2074" w:space="4546"/>
            <w:col w:w="2770"/>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872"/>
        <w:gridCol w:w="2898"/>
        <w:gridCol w:w="3376"/>
      </w:tblGrid>
      <w:tr>
        <w:trPr>
          <w:trHeight w:val="282"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36,898,424.02</w:t>
            </w:r>
            <w:r>
              <w:rPr>
                <w:rFonts w:ascii="宋体"/>
                <w:sz w:val="21"/>
              </w:rPr>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33,932,658.30</w:t>
            </w:r>
            <w:r>
              <w:rPr>
                <w:rFonts w:ascii="宋体"/>
                <w:sz w:val="21"/>
              </w:rPr>
            </w:r>
          </w:p>
        </w:tc>
      </w:tr>
      <w:tr>
        <w:trPr>
          <w:trHeight w:val="283"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3,427,830.13</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2,216,690.11</w:t>
            </w:r>
          </w:p>
        </w:tc>
      </w:tr>
      <w:tr>
        <w:trPr>
          <w:trHeight w:val="282"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1,686,883.95</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1,471,797.47</w:t>
            </w:r>
          </w:p>
        </w:tc>
      </w:tr>
      <w:tr>
        <w:trPr>
          <w:trHeight w:val="282"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1,532,780.00</w:t>
            </w:r>
            <w:r>
              <w:rPr>
                <w:rFonts w:ascii="宋体"/>
                <w:sz w:val="21"/>
              </w:rPr>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140,000.00</w:t>
            </w:r>
          </w:p>
        </w:tc>
      </w:tr>
      <w:tr>
        <w:trPr>
          <w:trHeight w:val="283"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43,545,918.10</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37,761,145.88</w:t>
            </w:r>
          </w:p>
        </w:tc>
      </w:tr>
    </w:tbl>
    <w:p>
      <w:pPr>
        <w:spacing w:line="240" w:lineRule="auto" w:before="0"/>
        <w:rPr>
          <w:rFonts w:ascii="宋体" w:hAnsi="宋体" w:cs="宋体" w:eastAsia="宋体" w:hint="default"/>
          <w:sz w:val="20"/>
          <w:szCs w:val="20"/>
        </w:rPr>
      </w:pPr>
    </w:p>
    <w:p>
      <w:pPr>
        <w:pStyle w:val="Heading2"/>
        <w:spacing w:line="240" w:lineRule="auto"/>
        <w:ind w:right="84"/>
        <w:jc w:val="left"/>
        <w:rPr>
          <w:b w:val="0"/>
          <w:bCs w:val="0"/>
        </w:rPr>
      </w:pPr>
      <w:r>
        <w:rPr/>
        <w:t>(2). 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660"/>
        <w:gridCol w:w="1955"/>
        <w:gridCol w:w="3530"/>
      </w:tblGrid>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5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1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1,457,280.00</w:t>
            </w:r>
            <w:r>
              <w:rPr>
                <w:rFonts w:ascii="宋体"/>
                <w:sz w:val="21"/>
              </w:rPr>
            </w:r>
          </w:p>
        </w:tc>
        <w:tc>
          <w:tcPr>
            <w:tcW w:w="3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购货合同账期较长，未达到付款条件</w:t>
            </w:r>
            <w:r>
              <w:rPr>
                <w:rFonts w:ascii="宋体" w:hAnsi="宋体" w:cs="宋体" w:eastAsia="宋体" w:hint="default"/>
                <w:sz w:val="21"/>
                <w:szCs w:val="21"/>
              </w:rPr>
            </w: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1,764,957.30</w:t>
            </w:r>
            <w:r>
              <w:rPr>
                <w:rFonts w:ascii="宋体"/>
                <w:sz w:val="21"/>
              </w:rPr>
            </w:r>
          </w:p>
        </w:tc>
        <w:tc>
          <w:tcPr>
            <w:tcW w:w="3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购货合同账期较长，未达到付款条件</w:t>
            </w:r>
            <w:r>
              <w:rPr>
                <w:rFonts w:ascii="宋体" w:hAnsi="宋体" w:cs="宋体" w:eastAsia="宋体" w:hint="default"/>
                <w:sz w:val="21"/>
                <w:szCs w:val="21"/>
              </w:rPr>
            </w: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941,796.00</w:t>
            </w:r>
            <w:r>
              <w:rPr>
                <w:rFonts w:ascii="宋体"/>
                <w:sz w:val="21"/>
              </w:rPr>
            </w:r>
          </w:p>
        </w:tc>
        <w:tc>
          <w:tcPr>
            <w:tcW w:w="3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未达到合同约定的付款条件</w:t>
            </w: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400,000.00</w:t>
            </w:r>
            <w:r>
              <w:rPr>
                <w:rFonts w:ascii="宋体"/>
                <w:sz w:val="21"/>
              </w:rPr>
            </w:r>
          </w:p>
        </w:tc>
        <w:tc>
          <w:tcPr>
            <w:tcW w:w="3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购货质量保证金</w:t>
            </w: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4,564,033.30</w:t>
            </w:r>
          </w:p>
        </w:tc>
        <w:tc>
          <w:tcPr>
            <w:tcW w:w="3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7" w:top="1120" w:bottom="1160" w:left="1480" w:right="1040"/>
        </w:sectPr>
      </w:pPr>
    </w:p>
    <w:p>
      <w:pPr>
        <w:pStyle w:val="Heading2"/>
        <w:spacing w:line="240" w:lineRule="auto"/>
        <w:ind w:right="-12"/>
        <w:jc w:val="left"/>
        <w:rPr>
          <w:b w:val="0"/>
          <w:bCs w:val="0"/>
        </w:rPr>
      </w:pPr>
      <w:r>
        <w:rPr/>
        <w:t>22、</w:t>
      </w:r>
      <w:r>
        <w:rPr>
          <w:spacing w:val="-26"/>
        </w:rPr>
        <w:t> </w:t>
      </w:r>
      <w:r>
        <w:rPr/>
        <w:t>预收款项</w:t>
      </w:r>
      <w:r>
        <w:rPr>
          <w:b w:val="0"/>
          <w:bCs w:val="0"/>
        </w:rPr>
      </w:r>
    </w:p>
    <w:p>
      <w:pPr>
        <w:pStyle w:val="Heading2"/>
        <w:spacing w:line="240" w:lineRule="auto" w:before="57"/>
        <w:ind w:right="-12"/>
        <w:jc w:val="left"/>
        <w:rPr>
          <w:b w:val="0"/>
          <w:bCs w:val="0"/>
        </w:rPr>
      </w:pPr>
      <w:r>
        <w:rPr/>
        <w:t>(1).</w:t>
      </w:r>
      <w:r>
        <w:rPr>
          <w:spacing w:val="-9"/>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2226" w:space="4394"/>
            <w:col w:w="2770"/>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28"/>
        <w:gridCol w:w="3112"/>
        <w:gridCol w:w="3106"/>
      </w:tblGrid>
      <w:tr>
        <w:trPr>
          <w:trHeight w:val="282"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94,761,794.36</w:t>
            </w:r>
            <w:r>
              <w:rPr>
                <w:rFonts w:ascii="宋体"/>
                <w:sz w:val="21"/>
              </w:rPr>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95,990,700.89</w:t>
            </w:r>
            <w:r>
              <w:rPr>
                <w:rFonts w:ascii="宋体"/>
                <w:sz w:val="21"/>
              </w:rPr>
            </w:r>
          </w:p>
        </w:tc>
      </w:tr>
      <w:tr>
        <w:trPr>
          <w:trHeight w:val="283"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3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29,602,278.09</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5,183,541.76</w:t>
            </w:r>
            <w:r>
              <w:rPr>
                <w:rFonts w:ascii="宋体"/>
                <w:sz w:val="21"/>
              </w:rPr>
            </w:r>
          </w:p>
        </w:tc>
      </w:tr>
      <w:tr>
        <w:trPr>
          <w:trHeight w:val="282"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1,837,814.47</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1,981,702.04</w:t>
            </w:r>
          </w:p>
        </w:tc>
      </w:tr>
      <w:tr>
        <w:trPr>
          <w:trHeight w:val="282"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535,343.07</w:t>
            </w:r>
          </w:p>
        </w:tc>
        <w:tc>
          <w:tcPr>
            <w:tcW w:w="31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126,737,229.99</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103,155,944.69</w:t>
            </w:r>
          </w:p>
        </w:tc>
      </w:tr>
    </w:tbl>
    <w:p>
      <w:pPr>
        <w:spacing w:line="240" w:lineRule="auto" w:before="0"/>
        <w:rPr>
          <w:rFonts w:ascii="宋体" w:hAnsi="宋体" w:cs="宋体" w:eastAsia="宋体" w:hint="default"/>
          <w:sz w:val="20"/>
          <w:szCs w:val="20"/>
        </w:rPr>
      </w:pPr>
    </w:p>
    <w:p>
      <w:pPr>
        <w:pStyle w:val="Heading2"/>
        <w:spacing w:line="240" w:lineRule="auto"/>
        <w:ind w:right="84"/>
        <w:jc w:val="left"/>
        <w:rPr>
          <w:b w:val="0"/>
          <w:bCs w:val="0"/>
        </w:rPr>
      </w:pPr>
      <w:r>
        <w:rPr/>
        <w:t>(2). 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40"/>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022"/>
        <w:gridCol w:w="3043"/>
        <w:gridCol w:w="3080"/>
      </w:tblGrid>
      <w:tr>
        <w:trPr>
          <w:trHeight w:val="282"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3"/>
              <w:jc w:val="right"/>
              <w:rPr>
                <w:rFonts w:ascii="宋体" w:hAnsi="宋体" w:cs="宋体" w:eastAsia="宋体" w:hint="default"/>
                <w:sz w:val="21"/>
                <w:szCs w:val="21"/>
              </w:rPr>
            </w:pPr>
            <w:r>
              <w:rPr>
                <w:rFonts w:ascii="宋体" w:hAnsi="宋体" w:cs="宋体" w:eastAsia="宋体" w:hint="default"/>
                <w:sz w:val="21"/>
                <w:szCs w:val="21"/>
              </w:rPr>
              <w:t>项目</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预收客户一</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12,498,948.72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4"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预收客户二</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5,444,444.45</w:t>
            </w:r>
            <w:r>
              <w:rPr>
                <w:rFonts w:ascii="宋体"/>
                <w:sz w:val="21"/>
              </w:rPr>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2"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预收客户三</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3,169,230.76</w:t>
            </w:r>
            <w:r>
              <w:rPr>
                <w:rFonts w:ascii="宋体"/>
                <w:sz w:val="21"/>
              </w:rPr>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4"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3"/>
              <w:jc w:val="right"/>
              <w:rPr>
                <w:rFonts w:ascii="宋体" w:hAnsi="宋体" w:cs="宋体" w:eastAsia="宋体" w:hint="default"/>
                <w:sz w:val="21"/>
                <w:szCs w:val="21"/>
              </w:rPr>
            </w:pPr>
            <w:r>
              <w:rPr>
                <w:rFonts w:ascii="宋体" w:hAnsi="宋体" w:cs="宋体" w:eastAsia="宋体" w:hint="default"/>
                <w:sz w:val="21"/>
                <w:szCs w:val="21"/>
              </w:rPr>
              <w:t>合计</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21,112,623.93</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480" w:right="1040"/>
        </w:sectPr>
      </w:pPr>
    </w:p>
    <w:p>
      <w:pPr>
        <w:pStyle w:val="Heading2"/>
        <w:spacing w:line="290" w:lineRule="auto"/>
        <w:ind w:right="-17"/>
        <w:jc w:val="left"/>
        <w:rPr>
          <w:b w:val="0"/>
          <w:bCs w:val="0"/>
        </w:rPr>
      </w:pPr>
      <w:r>
        <w:rPr/>
        <w:t>23、</w:t>
      </w:r>
      <w:r>
        <w:rPr>
          <w:spacing w:val="-26"/>
        </w:rPr>
        <w:t> </w:t>
      </w:r>
      <w:r>
        <w:rPr/>
        <w:t>付职工薪酬</w:t>
      </w:r>
      <w:r>
        <w:rPr>
          <w:w w:val="99"/>
        </w:rPr>
        <w:t> </w:t>
      </w:r>
      <w:r>
        <w:rPr/>
        <w:t>(1).应付职工薪酬列示：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2545" w:space="4074"/>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14"/>
        <w:gridCol w:w="1720"/>
        <w:gridCol w:w="1864"/>
        <w:gridCol w:w="1816"/>
        <w:gridCol w:w="1616"/>
      </w:tblGrid>
      <w:tr>
        <w:trPr>
          <w:trHeight w:val="355" w:hRule="exact"/>
        </w:trPr>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7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7,252,455.21</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62,919,031.27</w:t>
            </w:r>
            <w:r>
              <w:rPr>
                <w:rFonts w:ascii="宋体"/>
                <w:sz w:val="21"/>
              </w:rPr>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57,388,063.78</w:t>
            </w:r>
            <w:r>
              <w:rPr>
                <w:rFonts w:ascii="宋体"/>
                <w:sz w:val="21"/>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12,783,422.70</w:t>
            </w:r>
            <w:r>
              <w:rPr>
                <w:rFonts w:ascii="宋体"/>
                <w:sz w:val="21"/>
              </w:rPr>
            </w:r>
          </w:p>
        </w:tc>
      </w:tr>
      <w:tr>
        <w:trPr>
          <w:trHeight w:val="559" w:hRule="exact"/>
        </w:trPr>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8"/>
                <w:sz w:val="21"/>
                <w:szCs w:val="21"/>
              </w:rPr>
              <w:t>、</w:t>
            </w:r>
            <w:r>
              <w:rPr>
                <w:rFonts w:ascii="宋体" w:hAnsi="宋体" w:cs="宋体" w:eastAsia="宋体" w:hint="default"/>
                <w:sz w:val="21"/>
                <w:szCs w:val="21"/>
              </w:rPr>
              <w:t>离职后福利-设定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2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9,079.20</w:t>
            </w:r>
          </w:p>
        </w:tc>
        <w:tc>
          <w:tcPr>
            <w:tcW w:w="186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7,168,703.25</w:t>
            </w:r>
            <w:r>
              <w:rPr>
                <w:rFonts w:ascii="宋体"/>
                <w:sz w:val="21"/>
              </w:rPr>
            </w:r>
          </w:p>
        </w:tc>
        <w:tc>
          <w:tcPr>
            <w:tcW w:w="18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7,156,199.90</w:t>
            </w:r>
            <w:r>
              <w:rPr>
                <w:rFonts w:ascii="宋体"/>
                <w:sz w:val="21"/>
              </w:rPr>
            </w:r>
          </w:p>
        </w:tc>
        <w:tc>
          <w:tcPr>
            <w:tcW w:w="16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21,582.55</w:t>
            </w:r>
          </w:p>
        </w:tc>
      </w:tr>
      <w:tr>
        <w:trPr>
          <w:trHeight w:val="355" w:hRule="exact"/>
        </w:trPr>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20" w:type="dxa"/>
            <w:tcBorders>
              <w:top w:val="single" w:sz="4" w:space="0" w:color="000000"/>
              <w:left w:val="single" w:sz="6"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720" w:type="dxa"/>
            <w:tcBorders>
              <w:top w:val="single" w:sz="4" w:space="0" w:color="000000"/>
              <w:left w:val="single" w:sz="6"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7,261,534.41</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21"/>
                <w:szCs w:val="21"/>
              </w:rPr>
            </w:pPr>
            <w:r>
              <w:rPr>
                <w:rFonts w:ascii="宋体"/>
                <w:spacing w:val="-1"/>
                <w:sz w:val="21"/>
              </w:rPr>
              <w:t>70,087,734.52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64,544,263.68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12,805,005.25</w:t>
            </w:r>
          </w:p>
        </w:tc>
      </w:tr>
    </w:tbl>
    <w:p>
      <w:pPr>
        <w:spacing w:after="0" w:line="240" w:lineRule="auto"/>
        <w:jc w:val="right"/>
        <w:rPr>
          <w:rFonts w:ascii="宋体" w:hAnsi="宋体" w:cs="宋体" w:eastAsia="宋体" w:hint="default"/>
          <w:sz w:val="21"/>
          <w:szCs w:val="21"/>
        </w:rPr>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84"/>
        <w:jc w:val="left"/>
        <w:rPr>
          <w:b w:val="0"/>
          <w:bCs w:val="0"/>
        </w:rPr>
      </w:pPr>
      <w:r>
        <w:rPr/>
        <w:t>(2).短期薪酬列示：</w:t>
      </w:r>
      <w:r>
        <w:rPr>
          <w:b w:val="0"/>
          <w:bCs w:val="0"/>
        </w:rPr>
      </w:r>
    </w:p>
    <w:p>
      <w:pPr>
        <w:pStyle w:val="BodyText"/>
        <w:tabs>
          <w:tab w:pos="1050" w:val="left" w:leader="none"/>
        </w:tabs>
        <w:spacing w:line="240" w:lineRule="auto" w:before="57"/>
        <w:ind w:left="0"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40"/>
        <w:gridCol w:w="1624"/>
        <w:gridCol w:w="1609"/>
        <w:gridCol w:w="1627"/>
        <w:gridCol w:w="1638"/>
      </w:tblGrid>
      <w:tr>
        <w:trPr>
          <w:trHeight w:val="28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一、工资、奖金、津贴和补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6,721,761.20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51,927,445.69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46,126,836.27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12,522,370.62</w:t>
            </w:r>
          </w:p>
        </w:tc>
      </w:tr>
      <w:tr>
        <w:trPr>
          <w:trHeight w:val="283"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438,515.88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524,856.90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963,132.78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240.00</w:t>
            </w:r>
          </w:p>
        </w:tc>
      </w:tr>
      <w:tr>
        <w:trPr>
          <w:trHeight w:val="28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1,188.48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3,125,631.73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3,103,270.93</w:t>
            </w:r>
            <w:r>
              <w:rPr>
                <w:rFonts w:ascii="宋体"/>
                <w:sz w:val="21"/>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23,549.28</w:t>
            </w:r>
            <w:r>
              <w:rPr>
                <w:rFonts w:ascii="宋体"/>
                <w:sz w:val="21"/>
              </w:rPr>
            </w:r>
          </w:p>
        </w:tc>
      </w:tr>
      <w:tr>
        <w:trPr>
          <w:trHeight w:val="28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1,188.48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2,791,981.75</w:t>
            </w:r>
            <w:r>
              <w:rPr>
                <w:rFonts w:ascii="宋体"/>
                <w:sz w:val="21"/>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2,769,943.97</w:t>
            </w:r>
            <w:r>
              <w:rPr>
                <w:rFonts w:ascii="宋体"/>
                <w:sz w:val="21"/>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23,226.26</w:t>
            </w:r>
          </w:p>
        </w:tc>
      </w:tr>
      <w:tr>
        <w:trPr>
          <w:trHeight w:val="28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162,023.78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161,899.77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124.01</w:t>
            </w:r>
          </w:p>
        </w:tc>
      </w:tr>
      <w:tr>
        <w:trPr>
          <w:trHeight w:val="283"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171,626.20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171,427.19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199.01</w:t>
            </w:r>
          </w:p>
        </w:tc>
      </w:tr>
      <w:tr>
        <w:trPr>
          <w:trHeight w:val="28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-19,676.24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6,752,029.65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6,606,851.20</w:t>
            </w:r>
            <w:r>
              <w:rPr>
                <w:rFonts w:ascii="宋体"/>
                <w:sz w:val="21"/>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125,502.21</w:t>
            </w:r>
            <w:r>
              <w:rPr>
                <w:rFonts w:ascii="宋体"/>
                <w:sz w:val="21"/>
              </w:rPr>
            </w:r>
          </w:p>
        </w:tc>
      </w:tr>
      <w:tr>
        <w:trPr>
          <w:trHeight w:val="554"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96"/>
                <w:sz w:val="21"/>
                <w:szCs w:val="21"/>
              </w:rPr>
              <w:t>、</w:t>
            </w:r>
            <w:r>
              <w:rPr>
                <w:rFonts w:ascii="宋体" w:hAnsi="宋体" w:cs="宋体" w:eastAsia="宋体" w:hint="default"/>
                <w:sz w:val="21"/>
                <w:szCs w:val="21"/>
              </w:rPr>
              <w:t>工会经费和职工教育经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110,665.89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589,067.30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587,972.60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111,760.59</w:t>
            </w:r>
          </w:p>
        </w:tc>
      </w:tr>
      <w:tr>
        <w:trPr>
          <w:trHeight w:val="28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7,252,455.21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62,919,031.27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57,388,063.78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12,783,422.70</w:t>
            </w:r>
          </w:p>
        </w:tc>
      </w:tr>
    </w:tbl>
    <w:p>
      <w:pPr>
        <w:spacing w:line="240" w:lineRule="auto" w:before="0"/>
        <w:rPr>
          <w:rFonts w:ascii="宋体" w:hAnsi="宋体" w:cs="宋体" w:eastAsia="宋体" w:hint="default"/>
          <w:sz w:val="20"/>
          <w:szCs w:val="20"/>
        </w:rPr>
      </w:pPr>
    </w:p>
    <w:p>
      <w:pPr>
        <w:pStyle w:val="Heading2"/>
        <w:spacing w:line="240" w:lineRule="auto"/>
        <w:ind w:right="84"/>
        <w:jc w:val="left"/>
        <w:rPr>
          <w:b w:val="0"/>
          <w:bCs w:val="0"/>
        </w:rPr>
      </w:pPr>
      <w:r>
        <w:rPr/>
        <w:t>(3).设定提存计划列示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2614"/>
        <w:gridCol w:w="1640"/>
        <w:gridCol w:w="1626"/>
        <w:gridCol w:w="1655"/>
        <w:gridCol w:w="1610"/>
      </w:tblGrid>
      <w:tr>
        <w:trPr>
          <w:trHeight w:val="288" w:hRule="exact"/>
        </w:trPr>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1、基本养老保险</w:t>
            </w:r>
          </w:p>
        </w:tc>
        <w:tc>
          <w:tcPr>
            <w:tcW w:w="1640"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8,240.16</w:t>
            </w:r>
          </w:p>
        </w:tc>
        <w:tc>
          <w:tcPr>
            <w:tcW w:w="1626"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6,563,725.42</w:t>
            </w:r>
          </w:p>
        </w:tc>
        <w:tc>
          <w:tcPr>
            <w:tcW w:w="1655"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6,554,044.69</w:t>
            </w:r>
            <w:r>
              <w:rPr>
                <w:rFonts w:ascii="宋体"/>
                <w:sz w:val="21"/>
              </w:rPr>
            </w:r>
          </w:p>
        </w:tc>
        <w:tc>
          <w:tcPr>
            <w:tcW w:w="161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17,920.89</w:t>
            </w:r>
            <w:r>
              <w:rPr>
                <w:rFonts w:ascii="宋体"/>
                <w:sz w:val="21"/>
              </w:rPr>
            </w:r>
          </w:p>
        </w:tc>
      </w:tr>
      <w:tr>
        <w:trPr>
          <w:trHeight w:val="288" w:hRule="exact"/>
        </w:trPr>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2、失业保险费</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839.04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604,977.83</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602,155.21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3,661.66</w:t>
            </w:r>
          </w:p>
        </w:tc>
      </w:tr>
      <w:tr>
        <w:trPr>
          <w:trHeight w:val="287" w:hRule="exact"/>
        </w:trPr>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3、企业年金缴费</w:t>
            </w:r>
          </w:p>
        </w:tc>
        <w:tc>
          <w:tcPr>
            <w:tcW w:w="1640" w:type="dxa"/>
            <w:tcBorders>
              <w:top w:val="single" w:sz="4" w:space="0" w:color="000000"/>
              <w:left w:val="single" w:sz="6"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9,079.20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7,168,703.25</w:t>
            </w:r>
            <w:r>
              <w:rPr>
                <w:rFonts w:ascii="宋体"/>
                <w:sz w:val="21"/>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7,156,199.90</w:t>
            </w:r>
            <w:r>
              <w:rPr>
                <w:rFonts w:ascii="宋体"/>
                <w:sz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21,582.55</w:t>
            </w:r>
          </w:p>
        </w:tc>
      </w:tr>
    </w:tbl>
    <w:p>
      <w:pPr>
        <w:spacing w:line="240" w:lineRule="auto" w:before="0"/>
        <w:rPr>
          <w:rFonts w:ascii="宋体" w:hAnsi="宋体" w:cs="宋体" w:eastAsia="宋体" w:hint="default"/>
          <w:b/>
          <w:bCs/>
          <w:sz w:val="20"/>
          <w:szCs w:val="20"/>
        </w:rPr>
      </w:pPr>
    </w:p>
    <w:p>
      <w:pPr>
        <w:pStyle w:val="Heading2"/>
        <w:spacing w:line="240" w:lineRule="auto"/>
        <w:ind w:right="84"/>
        <w:jc w:val="left"/>
        <w:rPr>
          <w:b w:val="0"/>
          <w:bCs w:val="0"/>
        </w:rPr>
      </w:pPr>
      <w:r>
        <w:rPr/>
        <w:t>24、</w:t>
      </w:r>
      <w:r>
        <w:rPr>
          <w:spacing w:val="-26"/>
        </w:rPr>
        <w:t> </w:t>
      </w:r>
      <w:r>
        <w:rPr/>
        <w:t>应交税费</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012"/>
        <w:gridCol w:w="2987"/>
        <w:gridCol w:w="2993"/>
      </w:tblGrid>
      <w:tr>
        <w:trPr>
          <w:trHeight w:val="287"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9"/>
              <w:jc w:val="right"/>
              <w:rPr>
                <w:rFonts w:ascii="宋体" w:hAnsi="宋体" w:cs="宋体" w:eastAsia="宋体" w:hint="default"/>
                <w:sz w:val="21"/>
                <w:szCs w:val="21"/>
              </w:rPr>
            </w:pPr>
            <w:r>
              <w:rPr>
                <w:rFonts w:ascii="宋体" w:hAnsi="宋体" w:cs="宋体" w:eastAsia="宋体" w:hint="default"/>
                <w:sz w:val="21"/>
                <w:szCs w:val="21"/>
              </w:rPr>
              <w:t>项目</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7,092,733.59</w:t>
            </w:r>
            <w:r>
              <w:rPr>
                <w:rFonts w:ascii="宋体"/>
                <w:sz w:val="21"/>
              </w:rPr>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9,549,550.29</w:t>
            </w:r>
            <w:r>
              <w:rPr>
                <w:rFonts w:ascii="宋体"/>
                <w:sz w:val="21"/>
              </w:rPr>
            </w:r>
          </w:p>
        </w:tc>
      </w:tr>
      <w:tr>
        <w:trPr>
          <w:trHeight w:val="287"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87" w:type="dxa"/>
            <w:tcBorders>
              <w:top w:val="single" w:sz="6" w:space="0" w:color="000000"/>
              <w:left w:val="single" w:sz="6" w:space="0" w:color="000000"/>
              <w:bottom w:val="single" w:sz="6" w:space="0" w:color="000000"/>
              <w:right w:val="single" w:sz="6" w:space="0" w:color="000000"/>
            </w:tcBorders>
          </w:tcPr>
          <w:p>
            <w:pPr/>
          </w:p>
        </w:tc>
        <w:tc>
          <w:tcPr>
            <w:tcW w:w="2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77,041.02</w:t>
            </w:r>
            <w:r>
              <w:rPr>
                <w:rFonts w:ascii="宋体"/>
                <w:sz w:val="21"/>
              </w:rPr>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-910,868.57</w:t>
            </w:r>
            <w:r>
              <w:rPr>
                <w:rFonts w:ascii="宋体"/>
                <w:sz w:val="21"/>
              </w:rPr>
            </w:r>
          </w:p>
        </w:tc>
      </w:tr>
      <w:tr>
        <w:trPr>
          <w:trHeight w:val="287"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pacing w:val="-1"/>
                <w:sz w:val="21"/>
              </w:rPr>
              <w:t>8,047,250.82</w:t>
            </w:r>
            <w:r>
              <w:rPr>
                <w:rFonts w:ascii="宋体"/>
                <w:sz w:val="21"/>
              </w:rPr>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10,434,204.66</w:t>
            </w:r>
          </w:p>
        </w:tc>
      </w:tr>
      <w:tr>
        <w:trPr>
          <w:trHeight w:val="288"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100,063.60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73,707.35</w:t>
            </w:r>
          </w:p>
        </w:tc>
      </w:tr>
      <w:tr>
        <w:trPr>
          <w:trHeight w:val="287"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218,700.86</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105,982.08</w:t>
            </w:r>
          </w:p>
        </w:tc>
      </w:tr>
      <w:tr>
        <w:trPr>
          <w:trHeight w:val="288"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155,444.10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74,203.15</w:t>
            </w:r>
          </w:p>
        </w:tc>
      </w:tr>
      <w:tr>
        <w:trPr>
          <w:trHeight w:val="287"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289.58</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289.58</w:t>
            </w:r>
          </w:p>
        </w:tc>
      </w:tr>
      <w:tr>
        <w:trPr>
          <w:trHeight w:val="287"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6,720.53</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41,589.17</w:t>
            </w:r>
          </w:p>
        </w:tc>
      </w:tr>
      <w:tr>
        <w:trPr>
          <w:trHeight w:val="288"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3,350.68</w:t>
            </w:r>
          </w:p>
        </w:tc>
        <w:tc>
          <w:tcPr>
            <w:tcW w:w="2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40"/>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15,701,594.78</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19,368,657.71</w:t>
            </w:r>
          </w:p>
        </w:tc>
      </w:tr>
    </w:tbl>
    <w:p>
      <w:pPr>
        <w:pStyle w:val="BodyText"/>
        <w:spacing w:line="240" w:lineRule="exact" w:before="0"/>
        <w:ind w:left="221" w:right="84"/>
        <w:jc w:val="left"/>
      </w:pPr>
      <w:r>
        <w:rPr/>
        <w:t>其他说明：</w:t>
      </w:r>
    </w:p>
    <w:p>
      <w:pPr>
        <w:pStyle w:val="BodyText"/>
        <w:spacing w:line="274" w:lineRule="exact" w:before="0"/>
        <w:ind w:left="221" w:right="84"/>
        <w:jc w:val="left"/>
      </w:pPr>
      <w:r>
        <w:rPr/>
        <w:t>无。</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7" w:top="1120" w:bottom="1160" w:left="1480" w:right="1040"/>
        </w:sectPr>
      </w:pPr>
    </w:p>
    <w:p>
      <w:pPr>
        <w:pStyle w:val="Heading2"/>
        <w:spacing w:line="240" w:lineRule="auto"/>
        <w:ind w:right="-15"/>
        <w:jc w:val="left"/>
        <w:rPr>
          <w:b w:val="0"/>
          <w:bCs w:val="0"/>
        </w:rPr>
      </w:pPr>
      <w:r>
        <w:rPr/>
        <w:t>25、</w:t>
      </w:r>
      <w:r>
        <w:rPr>
          <w:spacing w:val="-28"/>
        </w:rPr>
        <w:t> </w:t>
      </w:r>
      <w:r>
        <w:rPr/>
        <w:t>其他应付款</w:t>
      </w:r>
      <w:r>
        <w:rPr>
          <w:b w:val="0"/>
          <w:bCs w:val="0"/>
        </w:rPr>
      </w:r>
    </w:p>
    <w:p>
      <w:pPr>
        <w:pStyle w:val="Heading2"/>
        <w:spacing w:line="240" w:lineRule="auto" w:before="57"/>
        <w:ind w:right="-15"/>
        <w:jc w:val="left"/>
        <w:rPr>
          <w:b w:val="0"/>
          <w:bCs w:val="0"/>
        </w:rPr>
      </w:pPr>
      <w:r>
        <w:rPr/>
        <w:t>(1).</w:t>
      </w:r>
      <w:r>
        <w:rPr>
          <w:spacing w:val="-7"/>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3279" w:space="3340"/>
            <w:col w:w="277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53"/>
        <w:gridCol w:w="3031"/>
        <w:gridCol w:w="3161"/>
      </w:tblGrid>
      <w:tr>
        <w:trPr>
          <w:trHeight w:val="28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2" w:right="0"/>
              <w:jc w:val="left"/>
              <w:rPr>
                <w:rFonts w:ascii="宋体" w:hAnsi="宋体" w:cs="宋体" w:eastAsia="宋体" w:hint="default"/>
                <w:sz w:val="21"/>
                <w:szCs w:val="21"/>
              </w:rPr>
            </w:pPr>
            <w:r>
              <w:rPr>
                <w:rFonts w:ascii="宋体"/>
                <w:sz w:val="21"/>
              </w:rPr>
              <w:t>12,429,821.79</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6" w:right="0"/>
              <w:jc w:val="left"/>
              <w:rPr>
                <w:rFonts w:ascii="宋体" w:hAnsi="宋体" w:cs="宋体" w:eastAsia="宋体" w:hint="default"/>
                <w:sz w:val="21"/>
                <w:szCs w:val="21"/>
              </w:rPr>
            </w:pPr>
            <w:r>
              <w:rPr>
                <w:rFonts w:ascii="宋体"/>
                <w:sz w:val="21"/>
              </w:rPr>
              <w:t>671,585.65</w:t>
            </w:r>
          </w:p>
        </w:tc>
      </w:tr>
    </w:tbl>
    <w:p>
      <w:pPr>
        <w:spacing w:after="0" w:line="240" w:lineRule="exact"/>
        <w:jc w:val="left"/>
        <w:rPr>
          <w:rFonts w:ascii="宋体" w:hAnsi="宋体" w:cs="宋体" w:eastAsia="宋体" w:hint="default"/>
          <w:sz w:val="21"/>
          <w:szCs w:val="21"/>
        </w:rPr>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953"/>
        <w:gridCol w:w="3031"/>
        <w:gridCol w:w="3161"/>
      </w:tblGrid>
      <w:tr>
        <w:trPr>
          <w:trHeight w:val="28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309,674.41</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52,125.65</w:t>
            </w:r>
          </w:p>
        </w:tc>
      </w:tr>
      <w:tr>
        <w:trPr>
          <w:trHeight w:val="28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51,336.64</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221,900.00</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271,900.00</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50,000.00</w:t>
            </w:r>
            <w:r>
              <w:rPr>
                <w:rFonts w:ascii="宋体"/>
                <w:sz w:val="21"/>
              </w:rPr>
            </w:r>
          </w:p>
        </w:tc>
      </w:tr>
      <w:tr>
        <w:trPr>
          <w:trHeight w:val="28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13,062,732.84</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995,611.30</w:t>
            </w:r>
          </w:p>
        </w:tc>
      </w:tr>
    </w:tbl>
    <w:p>
      <w:pPr>
        <w:spacing w:line="240" w:lineRule="auto" w:before="0"/>
        <w:rPr>
          <w:rFonts w:ascii="宋体" w:hAnsi="宋体" w:cs="宋体" w:eastAsia="宋体" w:hint="default"/>
          <w:sz w:val="20"/>
          <w:szCs w:val="20"/>
        </w:rPr>
      </w:pPr>
    </w:p>
    <w:p>
      <w:pPr>
        <w:pStyle w:val="Heading2"/>
        <w:spacing w:line="240" w:lineRule="auto"/>
        <w:ind w:right="84"/>
        <w:jc w:val="left"/>
        <w:rPr>
          <w:b w:val="0"/>
          <w:bCs w:val="0"/>
        </w:rPr>
      </w:pPr>
      <w:r>
        <w:rPr/>
        <w:t>(2). 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3641"/>
        <w:gridCol w:w="2402"/>
        <w:gridCol w:w="3102"/>
      </w:tblGrid>
      <w:tr>
        <w:trPr>
          <w:trHeight w:val="294"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603"/>
              <w:jc w:val="right"/>
              <w:rPr>
                <w:rFonts w:ascii="宋体" w:hAnsi="宋体" w:cs="宋体" w:eastAsia="宋体" w:hint="default"/>
                <w:sz w:val="21"/>
                <w:szCs w:val="21"/>
              </w:rPr>
            </w:pPr>
            <w:r>
              <w:rPr>
                <w:rFonts w:ascii="宋体" w:hAnsi="宋体" w:cs="宋体" w:eastAsia="宋体" w:hint="default"/>
                <w:sz w:val="21"/>
                <w:szCs w:val="21"/>
              </w:rPr>
              <w:t>项目</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7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00"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94"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其他应付客户一</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221,900.00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94"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其他应付客户二</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219,356.48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计提免租期租金</w:t>
            </w:r>
          </w:p>
        </w:tc>
      </w:tr>
      <w:tr>
        <w:trPr>
          <w:trHeight w:val="294"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其他应付客户三</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100,000.00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装修尾款</w:t>
            </w:r>
          </w:p>
        </w:tc>
      </w:tr>
      <w:tr>
        <w:trPr>
          <w:trHeight w:val="295"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602"/>
              <w:jc w:val="right"/>
              <w:rPr>
                <w:rFonts w:ascii="宋体" w:hAnsi="宋体" w:cs="宋体" w:eastAsia="宋体" w:hint="default"/>
                <w:sz w:val="21"/>
                <w:szCs w:val="21"/>
              </w:rPr>
            </w:pPr>
            <w:r>
              <w:rPr>
                <w:rFonts w:ascii="宋体" w:hAnsi="宋体" w:cs="宋体" w:eastAsia="宋体" w:hint="default"/>
                <w:sz w:val="21"/>
                <w:szCs w:val="21"/>
              </w:rPr>
              <w:t>合计</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541,256.48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2"/>
        <w:spacing w:line="240" w:lineRule="auto"/>
        <w:ind w:right="84"/>
        <w:jc w:val="left"/>
        <w:rPr>
          <w:b w:val="0"/>
          <w:bCs w:val="0"/>
        </w:rPr>
      </w:pPr>
      <w:r>
        <w:rPr/>
        <w:t>26、</w:t>
      </w:r>
      <w:r>
        <w:rPr>
          <w:spacing w:val="-26"/>
        </w:rPr>
        <w:t> </w:t>
      </w:r>
      <w:r>
        <w:rPr/>
        <w:t>递延收益</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518"/>
        <w:gridCol w:w="1458"/>
        <w:gridCol w:w="1472"/>
        <w:gridCol w:w="1456"/>
        <w:gridCol w:w="1501"/>
        <w:gridCol w:w="1584"/>
      </w:tblGrid>
      <w:tr>
        <w:trPr>
          <w:trHeight w:val="413"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63"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469"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2"/>
              <w:jc w:val="right"/>
              <w:rPr>
                <w:rFonts w:ascii="宋体" w:hAnsi="宋体" w:cs="宋体" w:eastAsia="宋体" w:hint="default"/>
                <w:sz w:val="21"/>
                <w:szCs w:val="21"/>
              </w:rPr>
            </w:pPr>
            <w:r>
              <w:rPr>
                <w:rFonts w:ascii="宋体"/>
                <w:spacing w:val="-1"/>
                <w:sz w:val="21"/>
              </w:rPr>
              <w:t>7,447,303.91</w:t>
            </w:r>
            <w:r>
              <w:rPr>
                <w:rFonts w:ascii="宋体"/>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1"/>
              <w:jc w:val="right"/>
              <w:rPr>
                <w:rFonts w:ascii="宋体" w:hAnsi="宋体" w:cs="宋体" w:eastAsia="宋体" w:hint="default"/>
                <w:sz w:val="21"/>
                <w:szCs w:val="21"/>
              </w:rPr>
            </w:pPr>
            <w:r>
              <w:rPr>
                <w:rFonts w:ascii="宋体"/>
                <w:spacing w:val="-1"/>
                <w:sz w:val="21"/>
              </w:rPr>
              <w:t>2,850,000.00</w:t>
            </w:r>
            <w:r>
              <w:rPr>
                <w:rFonts w:ascii="宋体"/>
                <w:sz w:val="21"/>
              </w:rPr>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2"/>
              <w:jc w:val="right"/>
              <w:rPr>
                <w:rFonts w:ascii="宋体" w:hAnsi="宋体" w:cs="宋体" w:eastAsia="宋体" w:hint="default"/>
                <w:sz w:val="21"/>
                <w:szCs w:val="21"/>
              </w:rPr>
            </w:pPr>
            <w:r>
              <w:rPr>
                <w:rFonts w:ascii="宋体"/>
                <w:spacing w:val="-1"/>
                <w:sz w:val="21"/>
              </w:rPr>
              <w:t>6,955,637.24</w:t>
            </w:r>
            <w:r>
              <w:rPr>
                <w:rFonts w:ascii="宋体"/>
                <w:sz w:val="21"/>
              </w:rPr>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1"/>
              <w:jc w:val="right"/>
              <w:rPr>
                <w:rFonts w:ascii="宋体" w:hAnsi="宋体" w:cs="宋体" w:eastAsia="宋体" w:hint="default"/>
                <w:sz w:val="21"/>
                <w:szCs w:val="21"/>
              </w:rPr>
            </w:pPr>
            <w:r>
              <w:rPr>
                <w:rFonts w:ascii="宋体"/>
                <w:spacing w:val="-1"/>
                <w:sz w:val="21"/>
              </w:rPr>
              <w:t>3,341,666.67</w:t>
            </w:r>
            <w:r>
              <w:rPr>
                <w:rFonts w:ascii="宋体"/>
                <w:sz w:val="21"/>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362" w:right="0"/>
              <w:jc w:val="left"/>
              <w:rPr>
                <w:rFonts w:ascii="宋体" w:hAnsi="宋体" w:cs="宋体" w:eastAsia="宋体" w:hint="default"/>
                <w:sz w:val="21"/>
                <w:szCs w:val="21"/>
              </w:rPr>
            </w:pPr>
            <w:r>
              <w:rPr>
                <w:rFonts w:ascii="宋体" w:hAnsi="宋体" w:cs="宋体" w:eastAsia="宋体" w:hint="default"/>
                <w:sz w:val="21"/>
                <w:szCs w:val="21"/>
              </w:rPr>
              <w:t>政府拨款</w:t>
            </w:r>
          </w:p>
        </w:tc>
      </w:tr>
      <w:tr>
        <w:trPr>
          <w:trHeight w:val="278" w:hRule="exact"/>
        </w:trPr>
        <w:tc>
          <w:tcPr>
            <w:tcW w:w="1518"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22" w:right="-17"/>
              <w:jc w:val="left"/>
              <w:rPr>
                <w:rFonts w:ascii="宋体" w:hAnsi="宋体" w:cs="宋体" w:eastAsia="宋体" w:hint="default"/>
                <w:sz w:val="21"/>
                <w:szCs w:val="21"/>
              </w:rPr>
            </w:pPr>
            <w:r>
              <w:rPr>
                <w:rFonts w:ascii="宋体" w:hAnsi="宋体" w:cs="宋体" w:eastAsia="宋体" w:hint="default"/>
                <w:spacing w:val="32"/>
                <w:sz w:val="21"/>
                <w:szCs w:val="21"/>
              </w:rPr>
              <w:t>福建省水利厅</w:t>
            </w:r>
            <w:r>
              <w:rPr>
                <w:rFonts w:ascii="宋体" w:hAnsi="宋体" w:cs="宋体" w:eastAsia="宋体" w:hint="default"/>
                <w:spacing w:val="-66"/>
                <w:sz w:val="21"/>
                <w:szCs w:val="21"/>
              </w:rPr>
              <w:t> </w:t>
            </w:r>
            <w:r>
              <w:rPr>
                <w:rFonts w:ascii="宋体" w:hAnsi="宋体" w:cs="宋体" w:eastAsia="宋体" w:hint="default"/>
                <w:sz w:val="21"/>
                <w:szCs w:val="21"/>
              </w:rPr>
            </w:r>
          </w:p>
        </w:tc>
        <w:tc>
          <w:tcPr>
            <w:tcW w:w="1458" w:type="dxa"/>
            <w:tcBorders>
              <w:top w:val="single" w:sz="6" w:space="0" w:color="000000"/>
              <w:left w:val="single" w:sz="6" w:space="0" w:color="000000"/>
              <w:bottom w:val="nil" w:sz="6" w:space="0" w:color="auto"/>
              <w:right w:val="single" w:sz="6" w:space="0" w:color="000000"/>
            </w:tcBorders>
          </w:tcPr>
          <w:p>
            <w:pPr/>
          </w:p>
        </w:tc>
        <w:tc>
          <w:tcPr>
            <w:tcW w:w="1472" w:type="dxa"/>
            <w:vMerge w:val="restart"/>
            <w:tcBorders>
              <w:top w:val="single" w:sz="6" w:space="0" w:color="000000"/>
              <w:left w:val="single" w:sz="6" w:space="0" w:color="000000"/>
              <w:right w:val="single" w:sz="6" w:space="0" w:color="000000"/>
            </w:tcBorders>
          </w:tcPr>
          <w:p>
            <w:pPr/>
          </w:p>
        </w:tc>
        <w:tc>
          <w:tcPr>
            <w:tcW w:w="1456" w:type="dxa"/>
            <w:tcBorders>
              <w:top w:val="single" w:sz="6" w:space="0" w:color="000000"/>
              <w:left w:val="single" w:sz="6" w:space="0" w:color="000000"/>
              <w:bottom w:val="nil" w:sz="6" w:space="0" w:color="auto"/>
              <w:right w:val="single" w:sz="6" w:space="0" w:color="000000"/>
            </w:tcBorders>
          </w:tcPr>
          <w:p>
            <w:pPr/>
          </w:p>
        </w:tc>
        <w:tc>
          <w:tcPr>
            <w:tcW w:w="1501" w:type="dxa"/>
            <w:vMerge w:val="restart"/>
            <w:tcBorders>
              <w:top w:val="single" w:sz="6" w:space="0" w:color="000000"/>
              <w:left w:val="single" w:sz="6" w:space="0" w:color="000000"/>
              <w:right w:val="single" w:sz="6" w:space="0" w:color="000000"/>
            </w:tcBorders>
          </w:tcPr>
          <w:p>
            <w:pPr/>
          </w:p>
        </w:tc>
        <w:tc>
          <w:tcPr>
            <w:tcW w:w="1584"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2" w:right="-17"/>
              <w:jc w:val="left"/>
              <w:rPr>
                <w:rFonts w:ascii="宋体" w:hAnsi="宋体" w:cs="宋体" w:eastAsia="宋体" w:hint="default"/>
                <w:sz w:val="21"/>
                <w:szCs w:val="21"/>
              </w:rPr>
            </w:pPr>
            <w:r>
              <w:rPr>
                <w:rFonts w:ascii="宋体" w:hAnsi="宋体" w:cs="宋体" w:eastAsia="宋体" w:hint="default"/>
                <w:sz w:val="21"/>
                <w:szCs w:val="21"/>
              </w:rPr>
              <w:t>OA</w:t>
            </w:r>
            <w:r>
              <w:rPr>
                <w:rFonts w:ascii="宋体" w:hAnsi="宋体" w:cs="宋体" w:eastAsia="宋体" w:hint="default"/>
                <w:spacing w:val="18"/>
                <w:sz w:val="21"/>
                <w:szCs w:val="21"/>
              </w:rPr>
              <w:t> 办公自动化</w:t>
            </w:r>
            <w:r>
              <w:rPr>
                <w:rFonts w:ascii="宋体" w:hAnsi="宋体" w:cs="宋体" w:eastAsia="宋体" w:hint="default"/>
                <w:sz w:val="21"/>
                <w:szCs w:val="21"/>
              </w:rPr>
            </w:r>
          </w:p>
          <w:p>
            <w:pPr>
              <w:pStyle w:val="TableParagraph"/>
              <w:spacing w:line="274" w:lineRule="exact"/>
              <w:ind w:left="22" w:right="-17"/>
              <w:jc w:val="left"/>
              <w:rPr>
                <w:rFonts w:ascii="宋体" w:hAnsi="宋体" w:cs="宋体" w:eastAsia="宋体" w:hint="default"/>
                <w:sz w:val="21"/>
                <w:szCs w:val="21"/>
              </w:rPr>
            </w:pPr>
            <w:r>
              <w:rPr>
                <w:rFonts w:ascii="宋体" w:hAnsi="宋体" w:cs="宋体" w:eastAsia="宋体" w:hint="default"/>
                <w:spacing w:val="32"/>
                <w:sz w:val="21"/>
                <w:szCs w:val="21"/>
              </w:rPr>
              <w:t>软件增加功能</w:t>
            </w:r>
            <w:r>
              <w:rPr>
                <w:rFonts w:ascii="宋体" w:hAnsi="宋体" w:cs="宋体" w:eastAsia="宋体" w:hint="default"/>
                <w:spacing w:val="-66"/>
                <w:sz w:val="21"/>
                <w:szCs w:val="21"/>
              </w:rPr>
              <w:t> </w:t>
            </w:r>
            <w:r>
              <w:rPr>
                <w:rFonts w:ascii="宋体" w:hAnsi="宋体" w:cs="宋体" w:eastAsia="宋体" w:hint="default"/>
                <w:sz w:val="21"/>
                <w:szCs w:val="21"/>
              </w:rPr>
            </w:r>
          </w:p>
        </w:tc>
        <w:tc>
          <w:tcPr>
            <w:tcW w:w="14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25,511.01</w:t>
            </w:r>
            <w:r>
              <w:rPr>
                <w:rFonts w:ascii="宋体"/>
                <w:sz w:val="21"/>
              </w:rPr>
            </w:r>
          </w:p>
        </w:tc>
        <w:tc>
          <w:tcPr>
            <w:tcW w:w="1472" w:type="dxa"/>
            <w:vMerge/>
            <w:tcBorders>
              <w:left w:val="single" w:sz="6" w:space="0" w:color="000000"/>
              <w:right w:val="single" w:sz="6" w:space="0" w:color="000000"/>
            </w:tcBorders>
          </w:tcPr>
          <w:p>
            <w:pPr/>
          </w:p>
        </w:tc>
        <w:tc>
          <w:tcPr>
            <w:tcW w:w="14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25,511.01</w:t>
            </w:r>
            <w:r>
              <w:rPr>
                <w:rFonts w:ascii="宋体"/>
                <w:sz w:val="21"/>
              </w:rPr>
            </w:r>
          </w:p>
        </w:tc>
        <w:tc>
          <w:tcPr>
            <w:tcW w:w="1501"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63" w:right="0"/>
              <w:jc w:val="left"/>
              <w:rPr>
                <w:rFonts w:ascii="宋体" w:hAnsi="宋体" w:cs="宋体" w:eastAsia="宋体" w:hint="default"/>
                <w:sz w:val="21"/>
                <w:szCs w:val="21"/>
              </w:rPr>
            </w:pPr>
            <w:r>
              <w:rPr>
                <w:rFonts w:ascii="宋体" w:hAnsi="宋体" w:cs="宋体" w:eastAsia="宋体" w:hint="default"/>
                <w:sz w:val="21"/>
                <w:szCs w:val="21"/>
              </w:rPr>
              <w:t>项目销售</w:t>
            </w:r>
          </w:p>
        </w:tc>
      </w:tr>
      <w:tr>
        <w:trPr>
          <w:trHeight w:val="281" w:hRule="exact"/>
        </w:trPr>
        <w:tc>
          <w:tcPr>
            <w:tcW w:w="15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模块开发协议</w:t>
            </w:r>
          </w:p>
        </w:tc>
        <w:tc>
          <w:tcPr>
            <w:tcW w:w="1458" w:type="dxa"/>
            <w:tcBorders>
              <w:top w:val="nil" w:sz="6" w:space="0" w:color="auto"/>
              <w:left w:val="single" w:sz="6" w:space="0" w:color="000000"/>
              <w:bottom w:val="single" w:sz="6" w:space="0" w:color="000000"/>
              <w:right w:val="single" w:sz="6" w:space="0" w:color="000000"/>
            </w:tcBorders>
          </w:tcPr>
          <w:p>
            <w:pPr/>
          </w:p>
        </w:tc>
        <w:tc>
          <w:tcPr>
            <w:tcW w:w="1472" w:type="dxa"/>
            <w:vMerge/>
            <w:tcBorders>
              <w:left w:val="single" w:sz="6" w:space="0" w:color="000000"/>
              <w:bottom w:val="single" w:sz="6" w:space="0" w:color="000000"/>
              <w:right w:val="single" w:sz="6" w:space="0" w:color="000000"/>
            </w:tcBorders>
          </w:tcPr>
          <w:p>
            <w:pPr/>
          </w:p>
        </w:tc>
        <w:tc>
          <w:tcPr>
            <w:tcW w:w="1456" w:type="dxa"/>
            <w:tcBorders>
              <w:top w:val="nil" w:sz="6" w:space="0" w:color="auto"/>
              <w:left w:val="single" w:sz="6" w:space="0" w:color="000000"/>
              <w:bottom w:val="single" w:sz="6" w:space="0" w:color="000000"/>
              <w:right w:val="single" w:sz="6" w:space="0" w:color="000000"/>
            </w:tcBorders>
          </w:tcPr>
          <w:p>
            <w:pPr/>
          </w:p>
        </w:tc>
        <w:tc>
          <w:tcPr>
            <w:tcW w:w="1501" w:type="dxa"/>
            <w:vMerge/>
            <w:tcBorders>
              <w:left w:val="single" w:sz="6" w:space="0" w:color="000000"/>
              <w:bottom w:val="single" w:sz="6" w:space="0" w:color="000000"/>
              <w:right w:val="single" w:sz="6" w:space="0" w:color="000000"/>
            </w:tcBorders>
          </w:tcPr>
          <w:p>
            <w:pPr/>
          </w:p>
        </w:tc>
        <w:tc>
          <w:tcPr>
            <w:tcW w:w="1584" w:type="dxa"/>
            <w:tcBorders>
              <w:top w:val="nil" w:sz="6" w:space="0" w:color="auto"/>
              <w:left w:val="single" w:sz="6" w:space="0" w:color="000000"/>
              <w:bottom w:val="single" w:sz="6" w:space="0" w:color="000000"/>
              <w:right w:val="single" w:sz="6" w:space="0" w:color="000000"/>
            </w:tcBorders>
          </w:tcPr>
          <w:p>
            <w:pPr/>
          </w:p>
        </w:tc>
      </w:tr>
      <w:tr>
        <w:trPr>
          <w:trHeight w:val="468"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2"/>
              <w:jc w:val="right"/>
              <w:rPr>
                <w:rFonts w:ascii="宋体" w:hAnsi="宋体" w:cs="宋体" w:eastAsia="宋体" w:hint="default"/>
                <w:sz w:val="21"/>
                <w:szCs w:val="21"/>
              </w:rPr>
            </w:pPr>
            <w:r>
              <w:rPr>
                <w:rFonts w:ascii="宋体"/>
                <w:spacing w:val="-1"/>
                <w:sz w:val="21"/>
              </w:rPr>
              <w:t>7,472,814.92</w:t>
            </w:r>
            <w:r>
              <w:rPr>
                <w:rFonts w:ascii="宋体"/>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1"/>
              <w:jc w:val="right"/>
              <w:rPr>
                <w:rFonts w:ascii="宋体" w:hAnsi="宋体" w:cs="宋体" w:eastAsia="宋体" w:hint="default"/>
                <w:sz w:val="21"/>
                <w:szCs w:val="21"/>
              </w:rPr>
            </w:pPr>
            <w:r>
              <w:rPr>
                <w:rFonts w:ascii="宋体"/>
                <w:spacing w:val="-1"/>
                <w:sz w:val="21"/>
              </w:rPr>
              <w:t>2,850,000.00</w:t>
            </w:r>
            <w:r>
              <w:rPr>
                <w:rFonts w:ascii="宋体"/>
                <w:sz w:val="21"/>
              </w:rPr>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2"/>
              <w:jc w:val="right"/>
              <w:rPr>
                <w:rFonts w:ascii="宋体" w:hAnsi="宋体" w:cs="宋体" w:eastAsia="宋体" w:hint="default"/>
                <w:sz w:val="21"/>
                <w:szCs w:val="21"/>
              </w:rPr>
            </w:pPr>
            <w:r>
              <w:rPr>
                <w:rFonts w:ascii="宋体"/>
                <w:spacing w:val="-1"/>
                <w:sz w:val="21"/>
              </w:rPr>
              <w:t>6,981,148.25</w:t>
            </w:r>
            <w:r>
              <w:rPr>
                <w:rFonts w:ascii="宋体"/>
                <w:sz w:val="21"/>
              </w:rPr>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0"/>
              <w:jc w:val="right"/>
              <w:rPr>
                <w:rFonts w:ascii="宋体" w:hAnsi="宋体" w:cs="宋体" w:eastAsia="宋体" w:hint="default"/>
                <w:sz w:val="21"/>
                <w:szCs w:val="21"/>
              </w:rPr>
            </w:pPr>
            <w:r>
              <w:rPr>
                <w:rFonts w:ascii="宋体"/>
                <w:spacing w:val="-1"/>
                <w:sz w:val="21"/>
              </w:rPr>
              <w:t>3,341,666.67</w:t>
            </w:r>
            <w:r>
              <w:rPr>
                <w:rFonts w:ascii="宋体"/>
                <w:sz w:val="21"/>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1"/>
              <w:jc w:val="righ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221" w:right="84"/>
        <w:jc w:val="left"/>
      </w:pPr>
      <w:r>
        <w:rPr/>
        <w:t>涉及政府补助的项目：</w:t>
      </w:r>
    </w:p>
    <w:p>
      <w:pPr>
        <w:pStyle w:val="BodyText"/>
        <w:tabs>
          <w:tab w:pos="1049" w:val="left" w:leader="none"/>
        </w:tabs>
        <w:spacing w:line="240" w:lineRule="auto" w:before="57"/>
        <w:ind w:left="0" w:right="231"/>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246" w:type="dxa"/>
        <w:tblLayout w:type="fixed"/>
        <w:tblCellMar>
          <w:top w:w="0" w:type="dxa"/>
          <w:left w:w="0" w:type="dxa"/>
          <w:bottom w:w="0" w:type="dxa"/>
          <w:right w:w="0" w:type="dxa"/>
        </w:tblCellMar>
        <w:tblLook w:val="01E0"/>
      </w:tblPr>
      <w:tblGrid>
        <w:gridCol w:w="1078"/>
        <w:gridCol w:w="1334"/>
        <w:gridCol w:w="1334"/>
        <w:gridCol w:w="1333"/>
        <w:gridCol w:w="1123"/>
        <w:gridCol w:w="1334"/>
        <w:gridCol w:w="1332"/>
      </w:tblGrid>
      <w:tr>
        <w:trPr>
          <w:trHeight w:val="55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4"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本期新增补助</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本期计入营业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外收入金额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19"/>
                <w:sz w:val="21"/>
                <w:szCs w:val="21"/>
              </w:rPr>
              <w:t>与资产相关/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7"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基于企业</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内部控制</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544"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基本规范</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的 IT</w:t>
            </w:r>
            <w:r>
              <w:rPr>
                <w:rFonts w:ascii="宋体" w:hAnsi="宋体" w:cs="宋体" w:eastAsia="宋体" w:hint="default"/>
                <w:spacing w:val="-32"/>
                <w:sz w:val="21"/>
                <w:szCs w:val="21"/>
              </w:rPr>
              <w:t> </w:t>
            </w:r>
            <w:r>
              <w:rPr>
                <w:rFonts w:ascii="宋体" w:hAnsi="宋体" w:cs="宋体" w:eastAsia="宋体" w:hint="default"/>
                <w:sz w:val="21"/>
                <w:szCs w:val="21"/>
              </w:rPr>
              <w:t>治理</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833,333.33</w:t>
            </w: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833,333.33</w:t>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管理系统</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334"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泉州市科</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技云服务</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平台补贴</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176,470.58</w:t>
            </w: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176,470.58</w:t>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8"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334"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企业内部</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风险管理</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控制信息</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w:t>
            </w:r>
            <w:r>
              <w:rPr>
                <w:rFonts w:ascii="宋体"/>
                <w:sz w:val="21"/>
              </w:rPr>
            </w: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r>
              <w:rPr>
                <w:rFonts w:ascii="宋体"/>
                <w:sz w:val="21"/>
              </w:rPr>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41" w:right="0"/>
              <w:jc w:val="left"/>
              <w:rPr>
                <w:rFonts w:ascii="宋体" w:hAnsi="宋体" w:cs="宋体" w:eastAsia="宋体" w:hint="default"/>
                <w:sz w:val="21"/>
                <w:szCs w:val="21"/>
              </w:rPr>
            </w:pPr>
            <w:r>
              <w:rPr>
                <w:rFonts w:ascii="宋体"/>
                <w:sz w:val="21"/>
              </w:rPr>
              <w:t>1,000,000.00</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系统研发</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及产业化</w:t>
            </w:r>
          </w:p>
        </w:tc>
        <w:tc>
          <w:tcPr>
            <w:tcW w:w="1334"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电子政务</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云计算安</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全管理服</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3,187,500.00</w:t>
            </w:r>
            <w:r>
              <w:rPr>
                <w:rFonts w:ascii="宋体"/>
                <w:sz w:val="21"/>
              </w:rPr>
            </w: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2,250,000.00</w:t>
            </w:r>
            <w:r>
              <w:rPr>
                <w:rFonts w:ascii="宋体"/>
                <w:sz w:val="21"/>
              </w:rPr>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937,500.00</w:t>
            </w:r>
            <w:r>
              <w:rPr>
                <w:rFonts w:ascii="宋体"/>
                <w:sz w:val="21"/>
              </w:rPr>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9"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334"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77" w:top="1120" w:bottom="116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46" w:type="dxa"/>
        <w:tblLayout w:type="fixed"/>
        <w:tblCellMar>
          <w:top w:w="0" w:type="dxa"/>
          <w:left w:w="0" w:type="dxa"/>
          <w:bottom w:w="0" w:type="dxa"/>
          <w:right w:w="0" w:type="dxa"/>
        </w:tblCellMar>
        <w:tblLook w:val="01E0"/>
      </w:tblPr>
      <w:tblGrid>
        <w:gridCol w:w="1078"/>
        <w:gridCol w:w="1334"/>
        <w:gridCol w:w="1334"/>
        <w:gridCol w:w="1333"/>
        <w:gridCol w:w="1123"/>
        <w:gridCol w:w="1334"/>
        <w:gridCol w:w="1332"/>
      </w:tblGrid>
      <w:tr>
        <w:trPr>
          <w:trHeight w:val="276"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泉州市科</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技计划项</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目管理系</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250,000.00</w:t>
            </w:r>
            <w:r>
              <w:rPr>
                <w:rFonts w:ascii="宋体"/>
                <w:sz w:val="21"/>
              </w:rPr>
            </w: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100,000.00</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统的建设</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1334" w:type="dxa"/>
            <w:vMerge/>
            <w:tcBorders>
              <w:left w:val="single" w:sz="4" w:space="0" w:color="000000"/>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与应用</w:t>
            </w:r>
          </w:p>
        </w:tc>
        <w:tc>
          <w:tcPr>
            <w:tcW w:w="1334"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省科技重</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大专项专</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7"/>
                <w:sz w:val="21"/>
                <w:szCs w:val="21"/>
              </w:rPr>
              <w:t>题项目“用</w:t>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于企业产</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品设计的</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1,350,000.00</w:t>
            </w:r>
            <w:r>
              <w:rPr>
                <w:rFonts w:ascii="宋体"/>
                <w:sz w:val="21"/>
              </w:rPr>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562,500.00</w:t>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787,500.00</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云平台关</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键技术研</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8"/>
              <w:jc w:val="left"/>
              <w:rPr>
                <w:rFonts w:ascii="宋体" w:hAnsi="宋体" w:cs="宋体" w:eastAsia="宋体" w:hint="default"/>
                <w:sz w:val="21"/>
                <w:szCs w:val="21"/>
              </w:rPr>
            </w:pPr>
            <w:r>
              <w:rPr>
                <w:rFonts w:ascii="宋体" w:hAnsi="宋体" w:cs="宋体" w:eastAsia="宋体" w:hint="default"/>
                <w:sz w:val="21"/>
                <w:szCs w:val="21"/>
              </w:rPr>
              <w:t>发与应用”</w:t>
            </w: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省创意产</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业科技项</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pacing w:val="-7"/>
                <w:sz w:val="21"/>
                <w:szCs w:val="21"/>
              </w:rPr>
              <w:t>目“南音数</w:t>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
                <w:sz w:val="21"/>
              </w:rPr>
              <w:t>400,000.00</w:t>
            </w:r>
            <w:r>
              <w:rPr>
                <w:rFonts w:ascii="宋体"/>
                <w:sz w:val="21"/>
              </w:rPr>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300,000.00</w:t>
            </w:r>
            <w:r>
              <w:rPr>
                <w:rFonts w:ascii="宋体"/>
                <w:sz w:val="21"/>
              </w:rPr>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
                <w:sz w:val="21"/>
              </w:rPr>
              <w:t>100,000.00</w:t>
            </w:r>
            <w:r>
              <w:rPr>
                <w:rFonts w:ascii="宋体"/>
                <w:sz w:val="21"/>
              </w:rPr>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9"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8"/>
              <w:jc w:val="left"/>
              <w:rPr>
                <w:rFonts w:ascii="宋体" w:hAnsi="宋体" w:cs="宋体" w:eastAsia="宋体" w:hint="default"/>
                <w:sz w:val="21"/>
                <w:szCs w:val="21"/>
              </w:rPr>
            </w:pPr>
            <w:r>
              <w:rPr>
                <w:rFonts w:ascii="宋体" w:hAnsi="宋体" w:cs="宋体" w:eastAsia="宋体" w:hint="default"/>
                <w:sz w:val="21"/>
                <w:szCs w:val="21"/>
              </w:rPr>
              <w:t>字化系统”</w:t>
            </w: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泉州市科</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技项目电</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子监察系</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
                <w:sz w:val="21"/>
              </w:rPr>
              <w:t>100,000.00</w:t>
            </w:r>
            <w:r>
              <w:rPr>
                <w:rFonts w:ascii="宋体"/>
                <w:sz w:val="21"/>
              </w:rPr>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50,000.00</w:t>
            </w:r>
            <w:r>
              <w:rPr>
                <w:rFonts w:ascii="宋体"/>
                <w:sz w:val="21"/>
              </w:rPr>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
                <w:sz w:val="21"/>
              </w:rPr>
              <w:t>50,000.00</w:t>
            </w:r>
            <w:r>
              <w:rPr>
                <w:rFonts w:ascii="宋体"/>
                <w:sz w:val="21"/>
              </w:rPr>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9"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智能交通</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544"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大数据管</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理平台研</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800,000.00</w:t>
            </w:r>
            <w:r>
              <w:rPr>
                <w:rFonts w:ascii="宋体"/>
                <w:sz w:val="21"/>
              </w:rPr>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400,000.00</w:t>
            </w:r>
            <w:r>
              <w:rPr>
                <w:rFonts w:ascii="宋体"/>
                <w:sz w:val="21"/>
              </w:rPr>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400,000.00</w:t>
            </w:r>
            <w:r>
              <w:rPr>
                <w:rFonts w:ascii="宋体"/>
                <w:sz w:val="21"/>
              </w:rPr>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9"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发及推广</w:t>
            </w: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区科技计</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划项目科</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25" w:right="-33"/>
              <w:jc w:val="left"/>
              <w:rPr>
                <w:rFonts w:ascii="宋体" w:hAnsi="宋体" w:cs="宋体" w:eastAsia="宋体" w:hint="default"/>
                <w:sz w:val="21"/>
                <w:szCs w:val="21"/>
              </w:rPr>
            </w:pPr>
            <w:r>
              <w:rPr>
                <w:rFonts w:ascii="宋体" w:hAnsi="宋体" w:cs="宋体" w:eastAsia="宋体" w:hint="default"/>
                <w:spacing w:val="43"/>
                <w:sz w:val="21"/>
                <w:szCs w:val="21"/>
              </w:rPr>
              <w:t>技云服务</w:t>
            </w:r>
            <w:r>
              <w:rPr>
                <w:rFonts w:ascii="宋体" w:hAnsi="宋体" w:cs="宋体" w:eastAsia="宋体" w:hint="default"/>
                <w:spacing w:val="-47"/>
                <w:sz w:val="21"/>
                <w:szCs w:val="21"/>
              </w:rPr>
              <w:t> </w:t>
            </w:r>
            <w:r>
              <w:rPr>
                <w:rFonts w:ascii="宋体" w:hAnsi="宋体" w:cs="宋体" w:eastAsia="宋体" w:hint="default"/>
                <w:sz w:val="21"/>
                <w:szCs w:val="21"/>
              </w:rPr>
            </w: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200,000.00</w:t>
            </w:r>
            <w:r>
              <w:rPr>
                <w:rFonts w:ascii="宋体"/>
                <w:sz w:val="21"/>
              </w:rPr>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133,333.33</w:t>
            </w:r>
            <w:r>
              <w:rPr>
                <w:rFonts w:ascii="宋体"/>
                <w:sz w:val="21"/>
              </w:rPr>
            </w:r>
          </w:p>
        </w:tc>
        <w:tc>
          <w:tcPr>
            <w:tcW w:w="1123"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66,666.67</w:t>
            </w:r>
            <w:r>
              <w:rPr>
                <w:rFonts w:ascii="宋体"/>
                <w:sz w:val="21"/>
              </w:rPr>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8" w:hRule="exact"/>
        </w:trPr>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pacing w:val="-1"/>
                <w:sz w:val="21"/>
              </w:rPr>
              <w:t>7,447,303.91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pacing w:val="-1"/>
                <w:sz w:val="21"/>
              </w:rPr>
              <w:t>2,850,000.00</w:t>
            </w:r>
            <w:r>
              <w:rPr>
                <w:rFonts w:ascii="宋体"/>
                <w:sz w:val="21"/>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pacing w:val="-1"/>
                <w:sz w:val="21"/>
              </w:rPr>
              <w:t>6,855,637.24</w:t>
            </w:r>
            <w:r>
              <w:rPr>
                <w:rFonts w:ascii="宋体"/>
                <w:sz w:val="21"/>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pacing w:val="-1"/>
                <w:sz w:val="21"/>
              </w:rPr>
              <w:t>3,341,666.67</w:t>
            </w:r>
            <w:r>
              <w:rPr>
                <w:rFonts w:ascii="宋体"/>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84"/>
        <w:jc w:val="left"/>
        <w:rPr>
          <w:b w:val="0"/>
          <w:bCs w:val="0"/>
        </w:rPr>
      </w:pPr>
      <w:r>
        <w:rPr/>
        <w:t>27、</w:t>
      </w:r>
      <w:r>
        <w:rPr>
          <w:spacing w:val="-27"/>
        </w:rPr>
        <w:t> </w:t>
      </w:r>
      <w:r>
        <w:rPr/>
        <w:t>股本</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60"/>
        <w:gridCol w:w="1580"/>
        <w:gridCol w:w="1582"/>
        <w:gridCol w:w="599"/>
        <w:gridCol w:w="672"/>
        <w:gridCol w:w="685"/>
        <w:gridCol w:w="1582"/>
        <w:gridCol w:w="1686"/>
      </w:tblGrid>
      <w:tr>
        <w:trPr>
          <w:trHeight w:val="283" w:hRule="exact"/>
        </w:trPr>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1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1" w:right="0"/>
              <w:jc w:val="left"/>
              <w:rPr>
                <w:rFonts w:ascii="宋体" w:hAnsi="宋体" w:cs="宋体" w:eastAsia="宋体" w:hint="default"/>
                <w:sz w:val="21"/>
                <w:szCs w:val="21"/>
              </w:rPr>
            </w:pPr>
            <w:r>
              <w:rPr>
                <w:rFonts w:ascii="宋体" w:hAnsi="宋体" w:cs="宋体" w:eastAsia="宋体" w:hint="default"/>
                <w:sz w:val="21"/>
                <w:szCs w:val="21"/>
              </w:rPr>
              <w:t>本次变动增减（+、一）</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7" w:hRule="exact"/>
        </w:trPr>
        <w:tc>
          <w:tcPr>
            <w:tcW w:w="760"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575" w:right="575"/>
              <w:jc w:val="center"/>
              <w:rPr>
                <w:rFonts w:ascii="宋体" w:hAnsi="宋体" w:cs="宋体" w:eastAsia="宋体" w:hint="default"/>
                <w:sz w:val="21"/>
                <w:szCs w:val="21"/>
              </w:rPr>
            </w:pPr>
            <w:r>
              <w:rPr>
                <w:rFonts w:ascii="宋体" w:hAnsi="宋体" w:cs="宋体" w:eastAsia="宋体" w:hint="default"/>
                <w:sz w:val="21"/>
                <w:szCs w:val="21"/>
              </w:rPr>
              <w:t>发行 新股</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88" w:right="188"/>
              <w:jc w:val="left"/>
              <w:rPr>
                <w:rFonts w:ascii="宋体" w:hAnsi="宋体" w:cs="宋体" w:eastAsia="宋体" w:hint="default"/>
                <w:sz w:val="21"/>
                <w:szCs w:val="21"/>
              </w:rPr>
            </w:pPr>
            <w:r>
              <w:rPr>
                <w:rFonts w:ascii="宋体" w:hAnsi="宋体" w:cs="宋体" w:eastAsia="宋体" w:hint="default"/>
                <w:sz w:val="21"/>
                <w:szCs w:val="21"/>
              </w:rPr>
              <w:t>送 股</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119" w:right="120" w:hanging="2"/>
              <w:jc w:val="center"/>
              <w:rPr>
                <w:rFonts w:ascii="宋体" w:hAnsi="宋体" w:cs="宋体" w:eastAsia="宋体" w:hint="default"/>
                <w:sz w:val="21"/>
                <w:szCs w:val="21"/>
              </w:rPr>
            </w:pPr>
            <w:r>
              <w:rPr>
                <w:rFonts w:ascii="宋体" w:hAnsi="宋体" w:cs="宋体" w:eastAsia="宋体" w:hint="default"/>
                <w:sz w:val="21"/>
                <w:szCs w:val="21"/>
              </w:rPr>
              <w:t>金 转股</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4" w:space="0" w:color="000000"/>
              <w:bottom w:val="single" w:sz="4" w:space="0" w:color="000000"/>
              <w:right w:val="single" w:sz="4" w:space="0" w:color="000000"/>
            </w:tcBorders>
          </w:tcPr>
          <w:p>
            <w:pPr/>
          </w:p>
        </w:tc>
      </w:tr>
      <w:tr>
        <w:trPr>
          <w:trHeight w:val="554"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17"/>
                <w:sz w:val="21"/>
                <w:szCs w:val="21"/>
              </w:rPr>
              <w:t> </w:t>
            </w:r>
            <w:r>
              <w:rPr>
                <w:rFonts w:ascii="宋体" w:hAnsi="宋体" w:cs="宋体" w:eastAsia="宋体" w:hint="default"/>
                <w:sz w:val="21"/>
                <w:szCs w:val="21"/>
              </w:rPr>
              <w:t>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75,000,000.00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25,000,000.00</w:t>
            </w:r>
          </w:p>
        </w:tc>
        <w:tc>
          <w:tcPr>
            <w:tcW w:w="5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100,000,000.00</w:t>
            </w:r>
          </w:p>
        </w:tc>
      </w:tr>
    </w:tbl>
    <w:p>
      <w:pPr>
        <w:pStyle w:val="BodyText"/>
        <w:spacing w:line="240" w:lineRule="auto" w:before="24"/>
        <w:ind w:left="221" w:right="84"/>
        <w:jc w:val="left"/>
      </w:pPr>
      <w:r>
        <w:rPr/>
        <w:t>其他说明：</w:t>
      </w:r>
    </w:p>
    <w:p>
      <w:pPr>
        <w:pStyle w:val="BodyText"/>
        <w:spacing w:line="314" w:lineRule="auto" w:before="135"/>
        <w:ind w:left="221" w:right="217" w:firstLine="420"/>
        <w:jc w:val="left"/>
      </w:pPr>
      <w:r>
        <w:rPr/>
        <w:t>经中国证券监督管理委员会以证监许可〔2014〕1332</w:t>
      </w:r>
      <w:r>
        <w:rPr>
          <w:spacing w:val="1"/>
        </w:rPr>
        <w:t> </w:t>
      </w:r>
      <w:r>
        <w:rPr/>
        <w:t>号文《关于核准南威软件股份有限公司</w:t>
      </w:r>
      <w:r>
        <w:rPr/>
        <w:t> </w:t>
      </w:r>
      <w:r>
        <w:rPr>
          <w:spacing w:val="-7"/>
        </w:rPr>
        <w:t>首次公开发行股票的批复》核准，公司于</w:t>
      </w:r>
      <w:r>
        <w:rPr>
          <w:spacing w:val="-51"/>
        </w:rPr>
        <w:t> </w:t>
      </w:r>
      <w:r>
        <w:rPr/>
        <w:t>2014</w:t>
      </w:r>
      <w:r>
        <w:rPr>
          <w:spacing w:val="-50"/>
        </w:rPr>
        <w:t> </w:t>
      </w:r>
      <w:r>
        <w:rPr/>
        <w:t>年</w:t>
      </w:r>
      <w:r>
        <w:rPr>
          <w:spacing w:val="-52"/>
        </w:rPr>
        <w:t> </w:t>
      </w:r>
      <w:r>
        <w:rPr/>
        <w:t>12</w:t>
      </w:r>
      <w:r>
        <w:rPr>
          <w:spacing w:val="-51"/>
        </w:rPr>
        <w:t> </w:t>
      </w:r>
      <w:r>
        <w:rPr/>
        <w:t>月</w:t>
      </w:r>
      <w:r>
        <w:rPr>
          <w:spacing w:val="-51"/>
        </w:rPr>
        <w:t> </w:t>
      </w:r>
      <w:r>
        <w:rPr/>
        <w:t>22</w:t>
      </w:r>
      <w:r>
        <w:rPr>
          <w:spacing w:val="-50"/>
        </w:rPr>
        <w:t> </w:t>
      </w:r>
      <w:r>
        <w:rPr>
          <w:spacing w:val="-5"/>
        </w:rPr>
        <w:t>日向社会公开发行人民币普通股（A</w:t>
      </w:r>
      <w:r>
        <w:rPr>
          <w:spacing w:val="-50"/>
        </w:rPr>
        <w:t> </w:t>
      </w:r>
      <w:r>
        <w:rPr/>
        <w:t>股）</w:t>
      </w:r>
    </w:p>
    <w:p>
      <w:pPr>
        <w:pStyle w:val="BodyText"/>
        <w:spacing w:line="240" w:lineRule="auto"/>
        <w:ind w:left="221" w:right="84"/>
        <w:jc w:val="left"/>
      </w:pPr>
      <w:r>
        <w:rPr/>
        <w:t>25,000,000</w:t>
      </w:r>
      <w:r>
        <w:rPr>
          <w:spacing w:val="-22"/>
        </w:rPr>
        <w:t> </w:t>
      </w:r>
      <w:r>
        <w:rPr/>
        <w:t>股，每股面值为人民币</w:t>
      </w:r>
      <w:r>
        <w:rPr>
          <w:spacing w:val="-21"/>
        </w:rPr>
        <w:t> </w:t>
      </w:r>
      <w:r>
        <w:rPr/>
        <w:t>1.00</w:t>
      </w:r>
      <w:r>
        <w:rPr>
          <w:spacing w:val="-22"/>
        </w:rPr>
        <w:t> </w:t>
      </w:r>
      <w:r>
        <w:rPr/>
        <w:t>元，每股发行价为人民币</w:t>
      </w:r>
      <w:r>
        <w:rPr>
          <w:spacing w:val="-21"/>
        </w:rPr>
        <w:t> </w:t>
      </w:r>
      <w:r>
        <w:rPr/>
        <w:t>14.95</w:t>
      </w:r>
      <w:r>
        <w:rPr>
          <w:spacing w:val="-21"/>
        </w:rPr>
        <w:t> </w:t>
      </w:r>
      <w:r>
        <w:rPr/>
        <w:t>元，共募集资金人民币</w:t>
      </w:r>
    </w:p>
    <w:p>
      <w:pPr>
        <w:pStyle w:val="BodyText"/>
        <w:spacing w:line="240" w:lineRule="auto" w:before="85"/>
        <w:ind w:left="221" w:right="84"/>
        <w:jc w:val="left"/>
      </w:pPr>
      <w:r>
        <w:rPr/>
        <w:t>373,750,000.00 </w:t>
      </w:r>
      <w:r>
        <w:rPr>
          <w:spacing w:val="10"/>
        </w:rPr>
        <w:t>元，扣除发行费用人民币 </w:t>
      </w:r>
      <w:r>
        <w:rPr/>
        <w:t>24,670,000.00</w:t>
      </w:r>
      <w:r>
        <w:rPr>
          <w:spacing w:val="15"/>
        </w:rPr>
        <w:t> </w:t>
      </w:r>
      <w:r>
        <w:rPr>
          <w:spacing w:val="11"/>
        </w:rPr>
        <w:t>元后，实际募集资金净额为人民币</w:t>
      </w:r>
    </w:p>
    <w:p>
      <w:pPr>
        <w:pStyle w:val="BodyText"/>
        <w:spacing w:line="314" w:lineRule="auto" w:before="85"/>
        <w:ind w:left="641" w:right="84" w:hanging="420"/>
        <w:jc w:val="left"/>
      </w:pPr>
      <w:r>
        <w:rPr/>
        <w:t>349,080,000.00</w:t>
      </w:r>
      <w:r>
        <w:rPr>
          <w:spacing w:val="-58"/>
        </w:rPr>
        <w:t> </w:t>
      </w:r>
      <w:r>
        <w:rPr/>
        <w:t>元，其中股本人民币</w:t>
      </w:r>
      <w:r>
        <w:rPr>
          <w:spacing w:val="-59"/>
        </w:rPr>
        <w:t> </w:t>
      </w:r>
      <w:r>
        <w:rPr/>
        <w:t>25,000,000.00</w:t>
      </w:r>
      <w:r>
        <w:rPr>
          <w:spacing w:val="-58"/>
        </w:rPr>
        <w:t> </w:t>
      </w:r>
      <w:r>
        <w:rPr/>
        <w:t>元，股本溢价人民币</w:t>
      </w:r>
      <w:r>
        <w:rPr>
          <w:spacing w:val="-59"/>
        </w:rPr>
        <w:t> </w:t>
      </w:r>
      <w:r>
        <w:rPr/>
        <w:t>324,080,000.00</w:t>
      </w:r>
      <w:r>
        <w:rPr>
          <w:spacing w:val="-59"/>
        </w:rPr>
        <w:t> </w:t>
      </w:r>
      <w:r>
        <w:rPr/>
        <w:t>元。</w:t>
      </w:r>
      <w:r>
        <w:rPr>
          <w:spacing w:val="-1"/>
        </w:rPr>
        <w:t> 上述募集资金于</w:t>
      </w:r>
      <w:r>
        <w:rPr>
          <w:spacing w:val="-52"/>
        </w:rPr>
        <w:t> </w:t>
      </w:r>
      <w:r>
        <w:rPr>
          <w:spacing w:val="-1"/>
        </w:rPr>
        <w:t>2014</w:t>
      </w:r>
      <w:r>
        <w:rPr>
          <w:spacing w:val="-51"/>
        </w:rPr>
        <w:t> </w:t>
      </w:r>
      <w:r>
        <w:rPr/>
        <w:t>年</w:t>
      </w:r>
      <w:r>
        <w:rPr>
          <w:spacing w:val="-53"/>
        </w:rPr>
        <w:t> </w:t>
      </w:r>
      <w:r>
        <w:rPr/>
        <w:t>12</w:t>
      </w:r>
      <w:r>
        <w:rPr>
          <w:spacing w:val="-52"/>
        </w:rPr>
        <w:t> </w:t>
      </w:r>
      <w:r>
        <w:rPr/>
        <w:t>月</w:t>
      </w:r>
      <w:r>
        <w:rPr>
          <w:spacing w:val="-52"/>
        </w:rPr>
        <w:t> </w:t>
      </w:r>
      <w:r>
        <w:rPr>
          <w:spacing w:val="-1"/>
        </w:rPr>
        <w:t>25</w:t>
      </w:r>
      <w:r>
        <w:rPr>
          <w:spacing w:val="-51"/>
        </w:rPr>
        <w:t> </w:t>
      </w:r>
      <w:r>
        <w:rPr>
          <w:spacing w:val="-4"/>
        </w:rPr>
        <w:t>日全部到位。2014年</w:t>
      </w:r>
      <w:r>
        <w:rPr>
          <w:spacing w:val="-52"/>
        </w:rPr>
        <w:t> </w:t>
      </w:r>
      <w:r>
        <w:rPr>
          <w:spacing w:val="-1"/>
        </w:rPr>
        <w:t>12</w:t>
      </w:r>
      <w:r>
        <w:rPr>
          <w:spacing w:val="-51"/>
        </w:rPr>
        <w:t> </w:t>
      </w:r>
      <w:r>
        <w:rPr/>
        <w:t>月</w:t>
      </w:r>
      <w:r>
        <w:rPr>
          <w:spacing w:val="-52"/>
        </w:rPr>
        <w:t> </w:t>
      </w:r>
      <w:r>
        <w:rPr>
          <w:spacing w:val="-1"/>
        </w:rPr>
        <w:t>25</w:t>
      </w:r>
      <w:r>
        <w:rPr>
          <w:spacing w:val="-52"/>
        </w:rPr>
        <w:t> </w:t>
      </w:r>
      <w:r>
        <w:rPr>
          <w:spacing w:val="-13"/>
        </w:rPr>
        <w:t>日，福建华兴会计师事务所（特</w:t>
      </w:r>
    </w:p>
    <w:p>
      <w:pPr>
        <w:spacing w:after="0" w:line="314" w:lineRule="auto"/>
        <w:jc w:val="left"/>
        <w:sectPr>
          <w:pgSz w:w="11910" w:h="16840"/>
          <w:pgMar w:header="0" w:footer="977" w:top="1120" w:bottom="1160" w:left="14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right="139"/>
        <w:jc w:val="left"/>
      </w:pPr>
      <w:r>
        <w:rPr>
          <w:spacing w:val="-3"/>
        </w:rPr>
        <w:t>殊普通合伙）对本次新增注册资本及股本情况进行了审验，并出具了闽华兴所（2014）验字</w:t>
      </w:r>
      <w:r>
        <w:rPr>
          <w:spacing w:val="-35"/>
        </w:rPr>
        <w:t> </w:t>
      </w:r>
      <w:r>
        <w:rPr/>
        <w:t>B-010</w:t>
      </w:r>
      <w:r>
        <w:rPr>
          <w:spacing w:val="-88"/>
        </w:rPr>
        <w:t> </w:t>
      </w:r>
      <w:r>
        <w:rPr>
          <w:spacing w:val="-88"/>
        </w:rPr>
      </w:r>
      <w:r>
        <w:rPr>
          <w:spacing w:val="-14"/>
        </w:rPr>
        <w:t>号《验资报告》。</w:t>
      </w:r>
    </w:p>
    <w:p>
      <w:pPr>
        <w:pStyle w:val="BodyText"/>
        <w:spacing w:line="240" w:lineRule="auto"/>
        <w:ind w:left="561" w:right="139"/>
        <w:jc w:val="left"/>
      </w:pPr>
      <w:r>
        <w:rPr/>
        <w:t>2014</w:t>
      </w:r>
      <w:r>
        <w:rPr>
          <w:spacing w:val="-54"/>
        </w:rPr>
        <w:t> </w:t>
      </w:r>
      <w:r>
        <w:rPr/>
        <w:t>年</w:t>
      </w:r>
      <w:r>
        <w:rPr>
          <w:spacing w:val="-54"/>
        </w:rPr>
        <w:t> </w:t>
      </w:r>
      <w:r>
        <w:rPr/>
        <w:t>12</w:t>
      </w:r>
      <w:r>
        <w:rPr>
          <w:spacing w:val="-54"/>
        </w:rPr>
        <w:t> </w:t>
      </w:r>
      <w:r>
        <w:rPr/>
        <w:t>月</w:t>
      </w:r>
      <w:r>
        <w:rPr>
          <w:spacing w:val="-54"/>
        </w:rPr>
        <w:t> </w:t>
      </w:r>
      <w:r>
        <w:rPr/>
        <w:t>30</w:t>
      </w:r>
      <w:r>
        <w:rPr>
          <w:spacing w:val="-53"/>
        </w:rPr>
        <w:t> </w:t>
      </w:r>
      <w:r>
        <w:rPr/>
        <w:t>日，公司股票在上海证券交易所挂牌上市。</w:t>
      </w:r>
    </w:p>
    <w:p>
      <w:pPr>
        <w:pStyle w:val="Heading2"/>
        <w:spacing w:line="240" w:lineRule="auto" w:before="67"/>
        <w:ind w:left="141" w:right="3859"/>
        <w:jc w:val="left"/>
        <w:rPr>
          <w:b w:val="0"/>
          <w:bCs w:val="0"/>
        </w:rPr>
      </w:pPr>
      <w:r>
        <w:rPr/>
        <w:t>28、</w:t>
      </w:r>
      <w:r>
        <w:rPr>
          <w:spacing w:val="-26"/>
        </w:rPr>
        <w:t> </w:t>
      </w:r>
      <w:r>
        <w:rPr/>
        <w:t>资本公积</w:t>
      </w:r>
      <w:r>
        <w:rPr>
          <w:b w:val="0"/>
          <w:bCs w:val="0"/>
        </w:rPr>
      </w:r>
    </w:p>
    <w:p>
      <w:pPr>
        <w:pStyle w:val="BodyText"/>
        <w:tabs>
          <w:tab w:pos="1049" w:val="left" w:leader="none"/>
        </w:tabs>
        <w:spacing w:line="240" w:lineRule="auto" w:before="57"/>
        <w:ind w:left="0" w:right="1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80"/>
        <w:gridCol w:w="1806"/>
        <w:gridCol w:w="1842"/>
        <w:gridCol w:w="1280"/>
        <w:gridCol w:w="1824"/>
      </w:tblGrid>
      <w:tr>
        <w:trPr>
          <w:trHeight w:val="287"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82,743,402.40</w:t>
            </w:r>
            <w:r>
              <w:rPr>
                <w:rFonts w:ascii="宋体"/>
                <w:sz w:val="21"/>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324,080,000.00</w:t>
            </w:r>
            <w:r>
              <w:rPr>
                <w:rFonts w:ascii="宋体"/>
                <w:sz w:val="21"/>
              </w:rPr>
            </w:r>
          </w:p>
        </w:tc>
        <w:tc>
          <w:tcPr>
            <w:tcW w:w="1280"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406,823,402.40</w:t>
            </w:r>
            <w:r>
              <w:rPr>
                <w:rFonts w:ascii="宋体"/>
                <w:sz w:val="21"/>
              </w:rPr>
            </w:r>
          </w:p>
        </w:tc>
      </w:tr>
      <w:tr>
        <w:trPr>
          <w:trHeight w:val="287"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82,743,402.40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324,080,000.00</w:t>
            </w:r>
            <w:r>
              <w:rPr>
                <w:rFonts w:ascii="宋体"/>
                <w:sz w:val="21"/>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406,823,402.40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141" w:right="3859"/>
        <w:jc w:val="left"/>
        <w:rPr>
          <w:b w:val="0"/>
          <w:bCs w:val="0"/>
        </w:rPr>
      </w:pPr>
      <w:r>
        <w:rPr/>
        <w:t>29、</w:t>
      </w:r>
      <w:r>
        <w:rPr>
          <w:spacing w:val="-26"/>
        </w:rPr>
        <w:t> </w:t>
      </w:r>
      <w:r>
        <w:rPr/>
        <w:t>盈余公积</w:t>
      </w:r>
      <w:r>
        <w:rPr>
          <w:b w:val="0"/>
          <w:bCs w:val="0"/>
        </w:rPr>
      </w:r>
    </w:p>
    <w:p>
      <w:pPr>
        <w:pStyle w:val="BodyText"/>
        <w:tabs>
          <w:tab w:pos="1049" w:val="left" w:leader="none"/>
        </w:tabs>
        <w:spacing w:line="240" w:lineRule="auto" w:before="57"/>
        <w:ind w:left="0" w:right="1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90"/>
        <w:gridCol w:w="1818"/>
        <w:gridCol w:w="1823"/>
        <w:gridCol w:w="1836"/>
        <w:gridCol w:w="1823"/>
      </w:tblGrid>
      <w:tr>
        <w:trPr>
          <w:trHeight w:val="287"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22,090,954.92</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9,512,354.45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31,603,309.37</w:t>
            </w:r>
          </w:p>
        </w:tc>
      </w:tr>
      <w:tr>
        <w:trPr>
          <w:trHeight w:val="287"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1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1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1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8"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 w:right="0"/>
              <w:jc w:val="center"/>
              <w:rPr>
                <w:rFonts w:ascii="宋体" w:hAnsi="宋体" w:cs="宋体" w:eastAsia="宋体" w:hint="default"/>
                <w:sz w:val="21"/>
                <w:szCs w:val="21"/>
              </w:rPr>
            </w:pPr>
            <w:r>
              <w:rPr>
                <w:rFonts w:ascii="宋体"/>
                <w:sz w:val="21"/>
              </w:rPr>
              <w:t>22,090,954.92</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02"/>
              <w:jc w:val="right"/>
              <w:rPr>
                <w:rFonts w:ascii="宋体" w:hAnsi="宋体" w:cs="宋体" w:eastAsia="宋体" w:hint="default"/>
                <w:sz w:val="21"/>
                <w:szCs w:val="21"/>
              </w:rPr>
            </w:pPr>
            <w:r>
              <w:rPr>
                <w:rFonts w:ascii="宋体"/>
                <w:spacing w:val="-1"/>
                <w:sz w:val="21"/>
              </w:rPr>
              <w:t>9,512,354.45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01"/>
              <w:jc w:val="right"/>
              <w:rPr>
                <w:rFonts w:ascii="宋体" w:hAnsi="宋体" w:cs="宋体" w:eastAsia="宋体" w:hint="default"/>
                <w:sz w:val="21"/>
                <w:szCs w:val="21"/>
              </w:rPr>
            </w:pPr>
            <w:r>
              <w:rPr>
                <w:rFonts w:ascii="宋体"/>
                <w:sz w:val="21"/>
              </w:rPr>
              <w:t>-</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 w:right="0"/>
              <w:jc w:val="center"/>
              <w:rPr>
                <w:rFonts w:ascii="宋体" w:hAnsi="宋体" w:cs="宋体" w:eastAsia="宋体" w:hint="default"/>
                <w:sz w:val="21"/>
                <w:szCs w:val="21"/>
              </w:rPr>
            </w:pPr>
            <w:r>
              <w:rPr>
                <w:rFonts w:ascii="宋体"/>
                <w:sz w:val="21"/>
              </w:rPr>
              <w:t>31,603,309.37</w:t>
            </w:r>
          </w:p>
        </w:tc>
      </w:tr>
    </w:tbl>
    <w:p>
      <w:pPr>
        <w:pStyle w:val="BodyText"/>
        <w:spacing w:line="290" w:lineRule="auto" w:before="26"/>
        <w:ind w:right="3813"/>
        <w:jc w:val="left"/>
      </w:pPr>
      <w:r>
        <w:rPr/>
        <w:t>盈余公积说明，包括本期增减变动情况、变动原因说明： 无</w:t>
      </w:r>
    </w:p>
    <w:p>
      <w:pPr>
        <w:spacing w:line="240" w:lineRule="auto" w:before="2"/>
        <w:rPr>
          <w:rFonts w:ascii="宋体" w:hAnsi="宋体" w:cs="宋体" w:eastAsia="宋体" w:hint="default"/>
          <w:sz w:val="19"/>
          <w:szCs w:val="19"/>
        </w:rPr>
      </w:pPr>
    </w:p>
    <w:p>
      <w:pPr>
        <w:pStyle w:val="Heading2"/>
        <w:spacing w:line="240" w:lineRule="auto"/>
        <w:ind w:left="141" w:right="3859"/>
        <w:jc w:val="left"/>
        <w:rPr>
          <w:b w:val="0"/>
          <w:bCs w:val="0"/>
        </w:rPr>
      </w:pPr>
      <w:r>
        <w:rPr/>
        <w:t>30、</w:t>
      </w:r>
      <w:r>
        <w:rPr>
          <w:spacing w:val="-28"/>
        </w:rPr>
        <w:t> </w:t>
      </w:r>
      <w:r>
        <w:rPr/>
        <w:t>未分配利润</w:t>
      </w:r>
      <w:r>
        <w:rPr>
          <w:b w:val="0"/>
          <w:bCs w:val="0"/>
        </w:rPr>
      </w:r>
    </w:p>
    <w:p>
      <w:pPr>
        <w:pStyle w:val="BodyText"/>
        <w:tabs>
          <w:tab w:pos="1049" w:val="left" w:leader="none"/>
        </w:tabs>
        <w:spacing w:line="240" w:lineRule="auto" w:before="57"/>
        <w:ind w:left="0" w:right="1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187"/>
        <w:gridCol w:w="2008"/>
        <w:gridCol w:w="2718"/>
      </w:tblGrid>
      <w:tr>
        <w:trPr>
          <w:trHeight w:val="287"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188,173,718.97</w:t>
            </w:r>
            <w:r>
              <w:rPr>
                <w:rFonts w:ascii="宋体"/>
                <w:sz w:val="21"/>
              </w:rPr>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117,227,112.17</w:t>
            </w:r>
            <w:r>
              <w:rPr>
                <w:rFonts w:ascii="宋体"/>
                <w:sz w:val="21"/>
              </w:rPr>
            </w:r>
          </w:p>
        </w:tc>
      </w:tr>
      <w:tr>
        <w:trPr>
          <w:trHeight w:val="287"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调整期初未分配利润合计数（调增+，调减－</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w:t>
            </w:r>
          </w:p>
        </w:tc>
        <w:tc>
          <w:tcPr>
            <w:tcW w:w="27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188,173,718.97</w:t>
            </w:r>
            <w:r>
              <w:rPr>
                <w:rFonts w:ascii="宋体"/>
                <w:sz w:val="21"/>
              </w:rPr>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117,227,112.17</w:t>
            </w:r>
            <w:r>
              <w:rPr>
                <w:rFonts w:ascii="宋体"/>
                <w:sz w:val="21"/>
              </w:rPr>
            </w:r>
          </w:p>
        </w:tc>
      </w:tr>
      <w:tr>
        <w:trPr>
          <w:trHeight w:val="288"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86,886,642.29</w:t>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79,494,630.51</w:t>
            </w:r>
            <w:r>
              <w:rPr>
                <w:rFonts w:ascii="宋体"/>
                <w:sz w:val="21"/>
              </w:rPr>
            </w:r>
          </w:p>
        </w:tc>
      </w:tr>
      <w:tr>
        <w:trPr>
          <w:trHeight w:val="287"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9,512,354.45</w:t>
            </w:r>
            <w:r>
              <w:rPr>
                <w:rFonts w:ascii="宋体"/>
                <w:sz w:val="21"/>
              </w:rPr>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pacing w:val="-1"/>
                <w:sz w:val="21"/>
              </w:rPr>
              <w:t>8,548,023.71</w:t>
            </w:r>
            <w:r>
              <w:rPr>
                <w:rFonts w:ascii="宋体"/>
                <w:sz w:val="21"/>
              </w:rPr>
            </w:r>
          </w:p>
        </w:tc>
      </w:tr>
      <w:tr>
        <w:trPr>
          <w:trHeight w:val="288"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008" w:type="dxa"/>
            <w:tcBorders>
              <w:top w:val="single" w:sz="6" w:space="0" w:color="000000"/>
              <w:left w:val="single" w:sz="6" w:space="0" w:color="000000"/>
              <w:bottom w:val="single" w:sz="6" w:space="0" w:color="000000"/>
              <w:right w:val="single" w:sz="6" w:space="0" w:color="000000"/>
            </w:tcBorders>
          </w:tcPr>
          <w:p>
            <w:pPr/>
          </w:p>
        </w:tc>
        <w:tc>
          <w:tcPr>
            <w:tcW w:w="27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008" w:type="dxa"/>
            <w:tcBorders>
              <w:top w:val="single" w:sz="6" w:space="0" w:color="000000"/>
              <w:left w:val="single" w:sz="6" w:space="0" w:color="000000"/>
              <w:bottom w:val="single" w:sz="6" w:space="0" w:color="000000"/>
              <w:right w:val="single" w:sz="6" w:space="0" w:color="000000"/>
            </w:tcBorders>
          </w:tcPr>
          <w:p>
            <w:pPr/>
          </w:p>
        </w:tc>
        <w:tc>
          <w:tcPr>
            <w:tcW w:w="27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008" w:type="dxa"/>
            <w:tcBorders>
              <w:top w:val="single" w:sz="6" w:space="0" w:color="000000"/>
              <w:left w:val="single" w:sz="6" w:space="0" w:color="000000"/>
              <w:bottom w:val="single" w:sz="6" w:space="0" w:color="000000"/>
              <w:right w:val="single" w:sz="6" w:space="0" w:color="000000"/>
            </w:tcBorders>
          </w:tcPr>
          <w:p>
            <w:pPr/>
          </w:p>
        </w:tc>
        <w:tc>
          <w:tcPr>
            <w:tcW w:w="27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008" w:type="dxa"/>
            <w:tcBorders>
              <w:top w:val="single" w:sz="6" w:space="0" w:color="000000"/>
              <w:left w:val="single" w:sz="6" w:space="0" w:color="000000"/>
              <w:bottom w:val="single" w:sz="6" w:space="0" w:color="000000"/>
              <w:right w:val="single" w:sz="6" w:space="0" w:color="000000"/>
            </w:tcBorders>
          </w:tcPr>
          <w:p>
            <w:pPr/>
          </w:p>
        </w:tc>
        <w:tc>
          <w:tcPr>
            <w:tcW w:w="27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265,548,006.81</w:t>
            </w:r>
            <w:r>
              <w:rPr>
                <w:rFonts w:ascii="宋体"/>
                <w:sz w:val="21"/>
              </w:rPr>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188,173,718.97</w:t>
            </w:r>
            <w:r>
              <w:rPr>
                <w:rFonts w:ascii="宋体"/>
                <w:sz w:val="21"/>
              </w:rPr>
            </w:r>
          </w:p>
        </w:tc>
      </w:tr>
    </w:tbl>
    <w:p>
      <w:pPr>
        <w:pStyle w:val="BodyText"/>
        <w:spacing w:line="290" w:lineRule="auto" w:before="26"/>
        <w:ind w:right="1138"/>
        <w:jc w:val="left"/>
      </w:pPr>
      <w:r>
        <w:rPr/>
        <w:t>调整期初未分配利润明细： 1、由于《企业会计准则》及其相关新规定进行追溯调整，影响期初未分配利润 0</w:t>
      </w:r>
      <w:r>
        <w:rPr>
          <w:spacing w:val="-55"/>
        </w:rPr>
        <w:t> </w:t>
      </w:r>
      <w:r>
        <w:rPr/>
        <w:t>元。</w:t>
      </w:r>
    </w:p>
    <w:p>
      <w:pPr>
        <w:pStyle w:val="BodyText"/>
        <w:spacing w:line="227" w:lineRule="exact" w:before="0"/>
        <w:ind w:right="3859"/>
        <w:jc w:val="left"/>
      </w:pPr>
      <w:r>
        <w:rPr/>
        <w:t>2、由于会计政策变更，影响期初未分配利润 0</w:t>
      </w:r>
      <w:r>
        <w:rPr>
          <w:spacing w:val="-55"/>
        </w:rPr>
        <w:t> </w:t>
      </w:r>
      <w:r>
        <w:rPr/>
        <w:t>元。</w:t>
      </w:r>
    </w:p>
    <w:p>
      <w:pPr>
        <w:pStyle w:val="BodyText"/>
        <w:spacing w:line="272" w:lineRule="exact" w:before="0"/>
        <w:ind w:right="139"/>
        <w:jc w:val="left"/>
      </w:pPr>
      <w:r>
        <w:rPr/>
        <w:t>3、由于重大会计差错更正，影响期初未分配利润 0</w:t>
      </w:r>
      <w:r>
        <w:rPr>
          <w:spacing w:val="-55"/>
        </w:rPr>
        <w:t> </w:t>
      </w:r>
      <w:r>
        <w:rPr/>
        <w:t>元。</w:t>
      </w:r>
    </w:p>
    <w:p>
      <w:pPr>
        <w:pStyle w:val="BodyText"/>
        <w:spacing w:line="272" w:lineRule="exact" w:before="0"/>
        <w:ind w:right="139"/>
        <w:jc w:val="left"/>
      </w:pPr>
      <w:r>
        <w:rPr/>
        <w:t>4、由于同一控制导致的合并范围变更，影响期初未分配利润 0</w:t>
      </w:r>
      <w:r>
        <w:rPr>
          <w:spacing w:val="-55"/>
        </w:rPr>
        <w:t> </w:t>
      </w:r>
      <w:r>
        <w:rPr/>
        <w:t>元。</w:t>
      </w:r>
    </w:p>
    <w:p>
      <w:pPr>
        <w:pStyle w:val="BodyText"/>
        <w:spacing w:line="274" w:lineRule="exact" w:before="0"/>
        <w:ind w:right="3859"/>
        <w:jc w:val="left"/>
      </w:pPr>
      <w:r>
        <w:rPr/>
        <w:t>5、其他调整合计影响期初未分配利润 0</w:t>
      </w:r>
      <w:r>
        <w:rPr>
          <w:spacing w:val="-55"/>
        </w:rPr>
        <w:t> </w:t>
      </w:r>
      <w:r>
        <w:rPr/>
        <w:t>元。</w:t>
      </w:r>
    </w:p>
    <w:p>
      <w:pPr>
        <w:spacing w:line="240" w:lineRule="auto" w:before="7"/>
        <w:rPr>
          <w:rFonts w:ascii="宋体" w:hAnsi="宋体" w:cs="宋体" w:eastAsia="宋体" w:hint="default"/>
          <w:sz w:val="22"/>
          <w:szCs w:val="22"/>
        </w:rPr>
      </w:pPr>
    </w:p>
    <w:p>
      <w:pPr>
        <w:pStyle w:val="Heading2"/>
        <w:spacing w:line="240" w:lineRule="auto"/>
        <w:ind w:left="141" w:right="3859"/>
        <w:jc w:val="left"/>
        <w:rPr>
          <w:b w:val="0"/>
          <w:bCs w:val="0"/>
        </w:rPr>
      </w:pPr>
      <w:r>
        <w:rPr/>
        <w:t>31、</w:t>
      </w:r>
      <w:r>
        <w:rPr>
          <w:spacing w:val="-27"/>
        </w:rPr>
        <w:t> </w:t>
      </w:r>
      <w:r>
        <w:rPr/>
        <w:t>营业收入和营业成本</w:t>
      </w:r>
      <w:r>
        <w:rPr>
          <w:b w:val="0"/>
          <w:bCs w:val="0"/>
        </w:rPr>
      </w:r>
    </w:p>
    <w:p>
      <w:pPr>
        <w:pStyle w:val="BodyText"/>
        <w:tabs>
          <w:tab w:pos="1049" w:val="left" w:leader="none"/>
        </w:tabs>
        <w:spacing w:line="240" w:lineRule="auto" w:before="57"/>
        <w:ind w:left="0" w:right="151"/>
        <w:jc w:val="right"/>
      </w:pPr>
      <w:r>
        <w:rPr/>
        <w:t>单位：元</w:t>
        <w:tab/>
        <w:t>币种：人民币</w:t>
      </w:r>
    </w:p>
    <w:p>
      <w:pPr>
        <w:spacing w:after="0" w:line="240" w:lineRule="auto"/>
        <w:jc w:val="right"/>
        <w:sectPr>
          <w:pgSz w:w="11910" w:h="16840"/>
          <w:pgMar w:header="0" w:footer="977" w:top="1120" w:bottom="1160" w:left="15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31" w:type="dxa"/>
        <w:tblLayout w:type="fixed"/>
        <w:tblCellMar>
          <w:top w:w="0" w:type="dxa"/>
          <w:left w:w="0" w:type="dxa"/>
          <w:bottom w:w="0" w:type="dxa"/>
          <w:right w:w="0" w:type="dxa"/>
        </w:tblCellMar>
        <w:tblLook w:val="01E0"/>
      </w:tblPr>
      <w:tblGrid>
        <w:gridCol w:w="1452"/>
        <w:gridCol w:w="1884"/>
        <w:gridCol w:w="1896"/>
        <w:gridCol w:w="1895"/>
        <w:gridCol w:w="1895"/>
      </w:tblGrid>
      <w:tr>
        <w:trPr>
          <w:trHeight w:val="282" w:hRule="exact"/>
        </w:trPr>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52" w:type="dxa"/>
            <w:vMerge/>
            <w:tcBorders>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8"/>
              <w:jc w:val="right"/>
              <w:rPr>
                <w:rFonts w:ascii="宋体" w:hAnsi="宋体" w:cs="宋体" w:eastAsia="宋体" w:hint="default"/>
                <w:sz w:val="21"/>
                <w:szCs w:val="21"/>
              </w:rPr>
            </w:pPr>
            <w:r>
              <w:rPr>
                <w:rFonts w:ascii="宋体" w:hAnsi="宋体" w:cs="宋体" w:eastAsia="宋体" w:hint="default"/>
                <w:spacing w:val="-1"/>
                <w:w w:val="95"/>
                <w:sz w:val="21"/>
                <w:szCs w:val="21"/>
              </w:rPr>
              <w:t>主营业务</w:t>
            </w:r>
            <w:r>
              <w:rPr>
                <w:rFonts w:ascii="宋体" w:hAnsi="宋体" w:cs="宋体" w:eastAsia="宋体" w:hint="default"/>
                <w:w w:val="95"/>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321,908,165.02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167,605,092.94</w:t>
            </w:r>
            <w:r>
              <w:rPr>
                <w:rFonts w:ascii="宋体"/>
                <w:sz w:val="21"/>
              </w:rPr>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280,587,600.83</w:t>
            </w:r>
            <w:r>
              <w:rPr>
                <w:rFonts w:ascii="宋体"/>
                <w:sz w:val="21"/>
              </w:rPr>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154,152,548.02</w:t>
            </w:r>
            <w:r>
              <w:rPr>
                <w:rFonts w:ascii="宋体"/>
                <w:sz w:val="21"/>
              </w:rPr>
            </w:r>
          </w:p>
        </w:tc>
      </w:tr>
      <w:tr>
        <w:trPr>
          <w:trHeight w:val="28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8"/>
              <w:jc w:val="right"/>
              <w:rPr>
                <w:rFonts w:ascii="宋体" w:hAnsi="宋体" w:cs="宋体" w:eastAsia="宋体" w:hint="default"/>
                <w:sz w:val="21"/>
                <w:szCs w:val="21"/>
              </w:rPr>
            </w:pPr>
            <w:r>
              <w:rPr>
                <w:rFonts w:ascii="宋体" w:hAnsi="宋体" w:cs="宋体" w:eastAsia="宋体" w:hint="default"/>
                <w:spacing w:val="-1"/>
                <w:w w:val="95"/>
                <w:sz w:val="21"/>
                <w:szCs w:val="21"/>
              </w:rPr>
              <w:t>其他业务</w:t>
            </w:r>
            <w:r>
              <w:rPr>
                <w:rFonts w:ascii="宋体" w:hAnsi="宋体" w:cs="宋体" w:eastAsia="宋体" w:hint="default"/>
                <w:w w:val="95"/>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1,407,392.00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536,253.07</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9"/>
              <w:jc w:val="right"/>
              <w:rPr>
                <w:rFonts w:ascii="宋体" w:hAnsi="宋体" w:cs="宋体" w:eastAsia="宋体" w:hint="default"/>
                <w:sz w:val="21"/>
                <w:szCs w:val="21"/>
              </w:rPr>
            </w:pPr>
            <w:r>
              <w:rPr>
                <w:rFonts w:ascii="宋体" w:hAnsi="宋体" w:cs="宋体" w:eastAsia="宋体" w:hint="default"/>
                <w:sz w:val="21"/>
                <w:szCs w:val="21"/>
              </w:rPr>
              <w:t>合计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323,315,557.02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168,141,346.01</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280,587,600.83</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154,152,548.02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right="84"/>
        <w:jc w:val="left"/>
        <w:rPr>
          <w:b w:val="0"/>
          <w:bCs w:val="0"/>
        </w:rPr>
      </w:pPr>
      <w:r>
        <w:rPr/>
        <w:t>32、</w:t>
      </w:r>
      <w:r>
        <w:rPr>
          <w:spacing w:val="-29"/>
        </w:rPr>
        <w:t> </w:t>
      </w:r>
      <w:r>
        <w:rPr/>
        <w:t>营业税金及附加</w:t>
      </w:r>
      <w:r>
        <w:rPr>
          <w:b w:val="0"/>
          <w:bCs w:val="0"/>
        </w:rPr>
      </w:r>
    </w:p>
    <w:p>
      <w:pPr>
        <w:pStyle w:val="BodyText"/>
        <w:tabs>
          <w:tab w:pos="1049" w:val="left" w:leader="none"/>
        </w:tabs>
        <w:spacing w:line="240" w:lineRule="auto" w:before="56"/>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887"/>
        <w:gridCol w:w="3050"/>
        <w:gridCol w:w="3052"/>
      </w:tblGrid>
      <w:tr>
        <w:trPr>
          <w:trHeight w:val="288" w:hRule="exact"/>
        </w:trPr>
        <w:tc>
          <w:tcPr>
            <w:tcW w:w="28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4"/>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1,808,369.24</w:t>
            </w:r>
            <w:r>
              <w:rPr>
                <w:rFonts w:ascii="宋体"/>
                <w:sz w:val="21"/>
              </w:rPr>
            </w:r>
          </w:p>
        </w:tc>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360,402.43</w:t>
            </w:r>
            <w:r>
              <w:rPr>
                <w:rFonts w:ascii="宋体"/>
                <w:sz w:val="21"/>
              </w:rPr>
            </w:r>
          </w:p>
        </w:tc>
      </w:tr>
      <w:tr>
        <w:trPr>
          <w:trHeight w:val="287" w:hRule="exact"/>
        </w:trPr>
        <w:tc>
          <w:tcPr>
            <w:tcW w:w="28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1,554,139.48</w:t>
            </w:r>
            <w:r>
              <w:rPr>
                <w:rFonts w:ascii="宋体"/>
                <w:sz w:val="21"/>
              </w:rPr>
            </w:r>
          </w:p>
        </w:tc>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1,160,104.43</w:t>
            </w:r>
            <w:r>
              <w:rPr>
                <w:rFonts w:ascii="宋体"/>
                <w:sz w:val="21"/>
              </w:rPr>
            </w:r>
          </w:p>
        </w:tc>
      </w:tr>
      <w:tr>
        <w:trPr>
          <w:trHeight w:val="288" w:hRule="exact"/>
        </w:trPr>
        <w:tc>
          <w:tcPr>
            <w:tcW w:w="28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1,111,407.86</w:t>
            </w:r>
            <w:r>
              <w:rPr>
                <w:rFonts w:ascii="宋体"/>
                <w:sz w:val="21"/>
              </w:rPr>
            </w:r>
          </w:p>
        </w:tc>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828,670.96</w:t>
            </w:r>
            <w:r>
              <w:rPr>
                <w:rFonts w:ascii="宋体"/>
                <w:sz w:val="21"/>
              </w:rPr>
            </w:r>
          </w:p>
        </w:tc>
      </w:tr>
      <w:tr>
        <w:trPr>
          <w:trHeight w:val="287" w:hRule="exact"/>
        </w:trPr>
        <w:tc>
          <w:tcPr>
            <w:tcW w:w="28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3"/>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4,473,916.58</w:t>
            </w:r>
          </w:p>
        </w:tc>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2,349,177.82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right="84"/>
        <w:jc w:val="left"/>
        <w:rPr>
          <w:b w:val="0"/>
          <w:bCs w:val="0"/>
        </w:rPr>
      </w:pPr>
      <w:r>
        <w:rPr/>
        <w:t>33、</w:t>
      </w:r>
      <w:r>
        <w:rPr>
          <w:spacing w:val="-26"/>
        </w:rPr>
        <w:t> </w:t>
      </w:r>
      <w:r>
        <w:rPr/>
        <w:t>销售费用</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367"/>
        <w:gridCol w:w="2890"/>
        <w:gridCol w:w="2888"/>
      </w:tblGrid>
      <w:tr>
        <w:trPr>
          <w:trHeight w:val="282"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66"/>
              <w:jc w:val="right"/>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10,816,320.28</w:t>
            </w:r>
            <w:r>
              <w:rPr>
                <w:rFonts w:ascii="宋体"/>
                <w:sz w:val="21"/>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7,428,638.49</w:t>
            </w:r>
            <w:r>
              <w:rPr>
                <w:rFonts w:ascii="宋体"/>
                <w:sz w:val="21"/>
              </w:rPr>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招待宣传费</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3,862,071.55</w:t>
            </w:r>
            <w:r>
              <w:rPr>
                <w:rFonts w:ascii="宋体"/>
                <w:sz w:val="21"/>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2,736,754.67</w:t>
            </w:r>
            <w:r>
              <w:rPr>
                <w:rFonts w:ascii="宋体"/>
                <w:sz w:val="21"/>
              </w:rPr>
            </w:r>
          </w:p>
        </w:tc>
      </w:tr>
      <w:tr>
        <w:trPr>
          <w:trHeight w:val="282"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2,235,692.71</w:t>
            </w:r>
            <w:r>
              <w:rPr>
                <w:rFonts w:ascii="宋体"/>
                <w:sz w:val="21"/>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2,560,034.84</w:t>
            </w:r>
            <w:r>
              <w:rPr>
                <w:rFonts w:ascii="宋体"/>
                <w:sz w:val="21"/>
              </w:rPr>
            </w:r>
          </w:p>
        </w:tc>
      </w:tr>
      <w:tr>
        <w:trPr>
          <w:trHeight w:val="282"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1,351,987.40</w:t>
            </w:r>
            <w:r>
              <w:rPr>
                <w:rFonts w:ascii="宋体"/>
                <w:sz w:val="21"/>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1,008,239.53</w:t>
            </w:r>
            <w:r>
              <w:rPr>
                <w:rFonts w:ascii="宋体"/>
                <w:sz w:val="21"/>
              </w:rPr>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水电/物业/房租费</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704,725.00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628,906.61</w:t>
            </w:r>
          </w:p>
        </w:tc>
      </w:tr>
      <w:tr>
        <w:trPr>
          <w:trHeight w:val="282"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1,279,605.31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1,121,142.58</w:t>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67"/>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20,250,402.25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15,483,716.72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right="84"/>
        <w:jc w:val="left"/>
        <w:rPr>
          <w:b w:val="0"/>
          <w:bCs w:val="0"/>
        </w:rPr>
      </w:pPr>
      <w:r>
        <w:rPr/>
        <w:t>34、</w:t>
      </w:r>
      <w:r>
        <w:rPr>
          <w:spacing w:val="-26"/>
        </w:rPr>
        <w:t> </w:t>
      </w:r>
      <w:r>
        <w:rPr/>
        <w:t>管理费用</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048"/>
        <w:gridCol w:w="2633"/>
        <w:gridCol w:w="2465"/>
      </w:tblGrid>
      <w:tr>
        <w:trPr>
          <w:trHeight w:val="283"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07"/>
              <w:jc w:val="right"/>
              <w:rPr>
                <w:rFonts w:ascii="宋体" w:hAnsi="宋体" w:cs="宋体" w:eastAsia="宋体" w:hint="default"/>
                <w:sz w:val="21"/>
                <w:szCs w:val="21"/>
              </w:rPr>
            </w:pPr>
            <w:r>
              <w:rPr>
                <w:rFonts w:ascii="宋体" w:hAnsi="宋体" w:cs="宋体" w:eastAsia="宋体" w:hint="default"/>
                <w:sz w:val="21"/>
                <w:szCs w:val="21"/>
              </w:rPr>
              <w:t>项目</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12,027,421.52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10,156,090.77</w:t>
            </w:r>
            <w:r>
              <w:rPr>
                <w:rFonts w:ascii="宋体"/>
                <w:sz w:val="21"/>
              </w:rPr>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15,173,833.99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14,299,195.08</w:t>
            </w:r>
            <w:r>
              <w:rPr>
                <w:rFonts w:ascii="宋体"/>
                <w:sz w:val="21"/>
              </w:rPr>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3,987,228.03</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2,073,729.28</w:t>
            </w:r>
            <w:r>
              <w:rPr>
                <w:rFonts w:ascii="宋体"/>
                <w:sz w:val="21"/>
              </w:rPr>
            </w:r>
          </w:p>
        </w:tc>
      </w:tr>
      <w:tr>
        <w:trPr>
          <w:trHeight w:val="283"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1,677,941.95</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1,742,092.07</w:t>
            </w:r>
            <w:r>
              <w:rPr>
                <w:rFonts w:ascii="宋体"/>
                <w:sz w:val="21"/>
              </w:rPr>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2,663,255.89</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1,817,443.45</w:t>
            </w:r>
            <w:r>
              <w:rPr>
                <w:rFonts w:ascii="宋体"/>
                <w:sz w:val="21"/>
              </w:rPr>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水电/物业/房租费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3,267,622.46</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2,275,874.11</w:t>
            </w:r>
            <w:r>
              <w:rPr>
                <w:rFonts w:ascii="宋体"/>
                <w:sz w:val="21"/>
              </w:rPr>
            </w:r>
          </w:p>
        </w:tc>
      </w:tr>
      <w:tr>
        <w:trPr>
          <w:trHeight w:val="283"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3,355,656.59</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3,208,451.41</w:t>
            </w:r>
            <w:r>
              <w:rPr>
                <w:rFonts w:ascii="宋体"/>
                <w:sz w:val="21"/>
              </w:rPr>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4,223,769.83</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1,203,200.95</w:t>
            </w:r>
            <w:r>
              <w:rPr>
                <w:rFonts w:ascii="宋体"/>
                <w:sz w:val="21"/>
              </w:rPr>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税费及附加</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1,774,417.00</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809,147.75</w:t>
            </w:r>
            <w:r>
              <w:rPr>
                <w:rFonts w:ascii="宋体"/>
                <w:sz w:val="21"/>
              </w:rPr>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3,170,011.98</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554,521.09</w:t>
            </w:r>
            <w:r>
              <w:rPr>
                <w:rFonts w:ascii="宋体"/>
                <w:sz w:val="21"/>
              </w:rPr>
            </w:r>
          </w:p>
        </w:tc>
      </w:tr>
      <w:tr>
        <w:trPr>
          <w:trHeight w:val="283"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1,456,653.18</w:t>
            </w:r>
            <w:r>
              <w:rPr>
                <w:rFonts w:ascii="宋体"/>
                <w:sz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962,337.53</w:t>
            </w:r>
            <w:r>
              <w:rPr>
                <w:rFonts w:ascii="宋体"/>
                <w:sz w:val="21"/>
              </w:rPr>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1,585,854.55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1,114,659.65</w:t>
            </w:r>
          </w:p>
        </w:tc>
      </w:tr>
      <w:tr>
        <w:trPr>
          <w:trHeight w:val="283"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08"/>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54,363,666.97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40,216,743.14</w:t>
            </w:r>
          </w:p>
        </w:tc>
      </w:tr>
    </w:tbl>
    <w:p>
      <w:pPr>
        <w:spacing w:after="0" w:line="240" w:lineRule="exact"/>
        <w:jc w:val="right"/>
        <w:rPr>
          <w:rFonts w:ascii="宋体" w:hAnsi="宋体" w:cs="宋体" w:eastAsia="宋体" w:hint="default"/>
          <w:sz w:val="21"/>
          <w:szCs w:val="21"/>
        </w:rPr>
        <w:sectPr>
          <w:pgSz w:w="11910" w:h="16840"/>
          <w:pgMar w:header="0" w:footer="977" w:top="1120" w:bottom="116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84"/>
        <w:jc w:val="left"/>
        <w:rPr>
          <w:b w:val="0"/>
          <w:bCs w:val="0"/>
        </w:rPr>
      </w:pPr>
      <w:r>
        <w:rPr/>
        <w:t>35、</w:t>
      </w:r>
      <w:r>
        <w:rPr>
          <w:spacing w:val="-26"/>
        </w:rPr>
        <w:t> </w:t>
      </w:r>
      <w:r>
        <w:rPr/>
        <w:t>财务费用</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048"/>
        <w:gridCol w:w="2633"/>
        <w:gridCol w:w="2465"/>
      </w:tblGrid>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07"/>
              <w:jc w:val="right"/>
              <w:rPr>
                <w:rFonts w:ascii="宋体" w:hAnsi="宋体" w:cs="宋体" w:eastAsia="宋体" w:hint="default"/>
                <w:sz w:val="21"/>
                <w:szCs w:val="21"/>
              </w:rPr>
            </w:pPr>
            <w:r>
              <w:rPr>
                <w:rFonts w:ascii="宋体" w:hAnsi="宋体" w:cs="宋体" w:eastAsia="宋体" w:hint="default"/>
                <w:sz w:val="21"/>
                <w:szCs w:val="21"/>
              </w:rPr>
              <w:t>项目</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-4,791,956.21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-3,475,138.79</w:t>
            </w:r>
            <w:r>
              <w:rPr>
                <w:rFonts w:ascii="宋体"/>
                <w:sz w:val="21"/>
              </w:rPr>
            </w:r>
          </w:p>
        </w:tc>
      </w:tr>
      <w:tr>
        <w:trPr>
          <w:trHeight w:val="283"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130,599.63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86,679.41</w:t>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33"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43,438.88</w:t>
            </w:r>
          </w:p>
        </w:tc>
      </w:tr>
      <w:tr>
        <w:trPr>
          <w:trHeight w:val="282"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82,333.34</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08"/>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-4,579,023.24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-3,345,020.50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84"/>
        <w:jc w:val="left"/>
        <w:rPr>
          <w:b w:val="0"/>
          <w:bCs w:val="0"/>
        </w:rPr>
      </w:pPr>
      <w:r>
        <w:rPr/>
        <w:t>36、</w:t>
      </w:r>
      <w:r>
        <w:rPr>
          <w:spacing w:val="-29"/>
        </w:rPr>
        <w:t> </w:t>
      </w:r>
      <w:r>
        <w:rPr/>
        <w:t>资产减值损失</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436"/>
        <w:gridCol w:w="2600"/>
        <w:gridCol w:w="3109"/>
      </w:tblGrid>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2,651,446.16</w:t>
            </w:r>
            <w:r>
              <w:rPr>
                <w:rFonts w:ascii="宋体"/>
                <w:sz w:val="21"/>
              </w:rPr>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2,206,047.35</w:t>
            </w:r>
            <w:r>
              <w:rPr>
                <w:rFonts w:ascii="宋体"/>
                <w:sz w:val="21"/>
              </w:rPr>
            </w: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116,596.21</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991,547.21</w:t>
            </w:r>
          </w:p>
        </w:tc>
      </w:tr>
      <w:tr>
        <w:trPr>
          <w:trHeight w:val="283"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600"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2,768,042.37</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3,197,594.56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right="84"/>
        <w:jc w:val="left"/>
        <w:rPr>
          <w:b w:val="0"/>
          <w:bCs w:val="0"/>
        </w:rPr>
      </w:pPr>
      <w:r>
        <w:rPr/>
        <w:t>37、</w:t>
      </w:r>
      <w:r>
        <w:rPr>
          <w:spacing w:val="-26"/>
        </w:rPr>
        <w:t> </w:t>
      </w:r>
      <w:r>
        <w:rPr/>
        <w:t>投资收益</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978"/>
        <w:gridCol w:w="2600"/>
        <w:gridCol w:w="2556"/>
      </w:tblGrid>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-17,677.78</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-944.40</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00"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600"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600"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600"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600"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600"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600"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银行理财产品到期取得的投资收益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1,004,794.52</w:t>
            </w:r>
            <w:r>
              <w:rPr>
                <w:rFonts w:ascii="宋体"/>
                <w:sz w:val="21"/>
              </w:rPr>
            </w: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987,116.74</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-944.40</w:t>
            </w:r>
          </w:p>
        </w:tc>
      </w:tr>
    </w:tbl>
    <w:p>
      <w:pPr>
        <w:spacing w:after="0" w:line="240" w:lineRule="exact"/>
        <w:jc w:val="right"/>
        <w:rPr>
          <w:rFonts w:ascii="宋体" w:hAnsi="宋体" w:cs="宋体" w:eastAsia="宋体" w:hint="default"/>
          <w:sz w:val="21"/>
          <w:szCs w:val="21"/>
        </w:rPr>
        <w:sectPr>
          <w:pgSz w:w="11910" w:h="16840"/>
          <w:pgMar w:header="0" w:footer="977" w:top="1120" w:bottom="116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before="0"/>
        <w:ind w:right="84"/>
        <w:jc w:val="left"/>
        <w:rPr>
          <w:b w:val="0"/>
          <w:bCs w:val="0"/>
        </w:rPr>
      </w:pPr>
      <w:r>
        <w:rPr/>
        <w:t>38、</w:t>
      </w:r>
      <w:r>
        <w:rPr>
          <w:spacing w:val="-28"/>
        </w:rPr>
        <w:t> </w:t>
      </w:r>
      <w:r>
        <w:rPr/>
        <w:t>营业外收入</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77"/>
        <w:gridCol w:w="2141"/>
        <w:gridCol w:w="1999"/>
        <w:gridCol w:w="2328"/>
      </w:tblGrid>
      <w:tr>
        <w:trPr>
          <w:trHeight w:val="55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4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4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14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14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14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14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21,310,440.40</w:t>
            </w:r>
            <w:r>
              <w:rPr>
                <w:rFonts w:ascii="宋体"/>
                <w:sz w:val="21"/>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22,576,482.82</w:t>
            </w:r>
            <w:r>
              <w:rPr>
                <w:rFonts w:ascii="宋体"/>
                <w:sz w:val="21"/>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11,807,837.24</w:t>
            </w:r>
            <w:r>
              <w:rPr>
                <w:rFonts w:ascii="宋体"/>
                <w:sz w:val="21"/>
              </w:rPr>
            </w:r>
          </w:p>
        </w:tc>
      </w:tr>
      <w:tr>
        <w:trPr>
          <w:trHeight w:val="28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53,264.29</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313,548.69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53,264.29</w:t>
            </w:r>
            <w:r>
              <w:rPr>
                <w:rFonts w:ascii="宋体"/>
                <w:sz w:val="21"/>
              </w:rPr>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21,363,704.69</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22,890,031.51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11,861,101.53</w:t>
            </w:r>
          </w:p>
        </w:tc>
      </w:tr>
    </w:tbl>
    <w:p>
      <w:pPr>
        <w:spacing w:line="240" w:lineRule="auto" w:before="6"/>
        <w:rPr>
          <w:rFonts w:ascii="宋体" w:hAnsi="宋体" w:cs="宋体" w:eastAsia="宋体" w:hint="default"/>
          <w:sz w:val="15"/>
          <w:szCs w:val="15"/>
        </w:rPr>
      </w:pPr>
    </w:p>
    <w:p>
      <w:pPr>
        <w:pStyle w:val="BodyText"/>
        <w:spacing w:line="274" w:lineRule="exact" w:before="35"/>
        <w:ind w:left="221" w:right="84"/>
        <w:jc w:val="left"/>
      </w:pPr>
      <w:r>
        <w:rPr/>
        <w:t>计入当期损益的政府补助</w:t>
      </w:r>
    </w:p>
    <w:p>
      <w:pPr>
        <w:pStyle w:val="BodyText"/>
        <w:tabs>
          <w:tab w:pos="1049" w:val="left" w:leader="none"/>
        </w:tabs>
        <w:spacing w:line="274" w:lineRule="exact" w:before="0"/>
        <w:ind w:left="0" w:right="231"/>
        <w:jc w:val="right"/>
      </w:pPr>
      <w:r>
        <w:rPr>
          <w:spacing w:val="-1"/>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3121"/>
        <w:gridCol w:w="1690"/>
        <w:gridCol w:w="1697"/>
        <w:gridCol w:w="2482"/>
      </w:tblGrid>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8"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与资产相关/与收益相关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收到的增值税返还</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宋体" w:hAnsi="宋体" w:cs="宋体" w:eastAsia="宋体" w:hint="default"/>
                <w:sz w:val="21"/>
                <w:szCs w:val="21"/>
              </w:rPr>
            </w:pPr>
            <w:r>
              <w:rPr>
                <w:rFonts w:ascii="宋体"/>
                <w:spacing w:val="-1"/>
                <w:sz w:val="21"/>
              </w:rPr>
              <w:t>9,502,603.16</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6,167,448.67</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14"/>
                <w:sz w:val="21"/>
                <w:szCs w:val="21"/>
              </w:rPr>
              <w:t> </w:t>
            </w:r>
            <w:r>
              <w:rPr>
                <w:rFonts w:ascii="宋体" w:hAnsi="宋体" w:cs="宋体" w:eastAsia="宋体" w:hint="default"/>
                <w:sz w:val="21"/>
                <w:szCs w:val="21"/>
              </w:rPr>
              <w:t>年第三批产业技术研究与开</w:t>
            </w:r>
          </w:p>
          <w:p>
            <w:pPr>
              <w:pStyle w:val="TableParagraph"/>
              <w:spacing w:line="272" w:lineRule="exact" w:before="26"/>
              <w:ind w:left="25" w:right="22"/>
              <w:jc w:val="left"/>
              <w:rPr>
                <w:rFonts w:ascii="宋体" w:hAnsi="宋体" w:cs="宋体" w:eastAsia="宋体" w:hint="default"/>
                <w:sz w:val="21"/>
                <w:szCs w:val="21"/>
              </w:rPr>
            </w:pPr>
            <w:r>
              <w:rPr>
                <w:rFonts w:ascii="宋体" w:hAnsi="宋体" w:cs="宋体" w:eastAsia="宋体" w:hint="default"/>
                <w:sz w:val="21"/>
                <w:szCs w:val="21"/>
              </w:rPr>
              <w:t>发资金-电子政务云计算安全管理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服务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2,250,000.00</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1,312,500.00</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企业内部风险管理控制信息系统</w:t>
            </w:r>
            <w:r>
              <w:rPr>
                <w:rFonts w:ascii="宋体" w:hAnsi="宋体" w:cs="宋体" w:eastAsia="宋体" w:hint="default"/>
                <w:sz w:val="21"/>
                <w:szCs w:val="21"/>
              </w:rPr>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研发及产业化</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pacing w:val="-1"/>
                <w:sz w:val="21"/>
              </w:rPr>
              <w:t>2,000,000.00</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1,000,000.00</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企业改制上奖励资金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1,721,400.00</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电子政务内网网站及业务应用系</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统监管技术与产品研究</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z w:val="21"/>
              </w:rPr>
              <w:t>870,000.00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电子产业发展资金-基于企业内部</w:t>
            </w:r>
          </w:p>
          <w:p>
            <w:pPr>
              <w:pStyle w:val="TableParagraph"/>
              <w:spacing w:line="272" w:lineRule="exact" w:before="26"/>
              <w:ind w:left="25" w:right="22"/>
              <w:jc w:val="left"/>
              <w:rPr>
                <w:rFonts w:ascii="宋体" w:hAnsi="宋体" w:cs="宋体" w:eastAsia="宋体" w:hint="default"/>
                <w:sz w:val="21"/>
                <w:szCs w:val="21"/>
              </w:rPr>
            </w:pPr>
            <w:r>
              <w:rPr>
                <w:rFonts w:ascii="宋体" w:hAnsi="宋体" w:cs="宋体" w:eastAsia="宋体" w:hint="default"/>
                <w:sz w:val="21"/>
                <w:szCs w:val="21"/>
              </w:rPr>
              <w:t>控制基本规范的</w:t>
            </w:r>
            <w:r>
              <w:rPr>
                <w:rFonts w:ascii="宋体" w:hAnsi="宋体" w:cs="宋体" w:eastAsia="宋体" w:hint="default"/>
                <w:spacing w:val="-45"/>
                <w:sz w:val="21"/>
                <w:szCs w:val="21"/>
              </w:rPr>
              <w:t> </w:t>
            </w:r>
            <w:r>
              <w:rPr>
                <w:rFonts w:ascii="宋体" w:hAnsi="宋体" w:cs="宋体" w:eastAsia="宋体" w:hint="default"/>
                <w:sz w:val="21"/>
                <w:szCs w:val="21"/>
              </w:rPr>
              <w:t>IT</w:t>
            </w:r>
            <w:r>
              <w:rPr>
                <w:rFonts w:ascii="宋体" w:hAnsi="宋体" w:cs="宋体" w:eastAsia="宋体" w:hint="default"/>
                <w:spacing w:val="-45"/>
                <w:sz w:val="21"/>
                <w:szCs w:val="21"/>
              </w:rPr>
              <w:t> </w:t>
            </w:r>
            <w:r>
              <w:rPr>
                <w:rFonts w:ascii="宋体" w:hAnsi="宋体" w:cs="宋体" w:eastAsia="宋体" w:hint="default"/>
                <w:sz w:val="21"/>
                <w:szCs w:val="21"/>
              </w:rPr>
              <w:t>治理管理系统</w:t>
            </w:r>
            <w:r>
              <w:rPr>
                <w:rFonts w:ascii="宋体" w:hAnsi="宋体" w:cs="宋体" w:eastAsia="宋体" w:hint="default"/>
                <w:sz w:val="21"/>
                <w:szCs w:val="21"/>
              </w:rPr>
              <w:t> 研发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833,333.33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2,500,000.00</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农产品区域物流信息服务平台的</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研发与应用</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830,000.00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公车管理服务平台</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700,000.00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省创意产业科技项</w:t>
            </w:r>
            <w:r>
              <w:rPr>
                <w:rFonts w:ascii="宋体" w:hAnsi="宋体" w:cs="宋体" w:eastAsia="宋体" w:hint="default"/>
                <w:spacing w:val="-89"/>
                <w:sz w:val="21"/>
                <w:szCs w:val="21"/>
              </w:rPr>
              <w:t>目</w:t>
            </w:r>
            <w:r>
              <w:rPr>
                <w:rFonts w:ascii="宋体" w:hAnsi="宋体" w:cs="宋体" w:eastAsia="宋体" w:hint="default"/>
                <w:sz w:val="21"/>
                <w:szCs w:val="21"/>
              </w:rPr>
              <w:t>“南音数字化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系”</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562,500.00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智能交通大数据管理平台研发及</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推广</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z w:val="21"/>
              </w:rPr>
              <w:t>400,000.00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省科技重大专项专题项</w:t>
            </w:r>
            <w:r>
              <w:rPr>
                <w:rFonts w:ascii="宋体" w:hAnsi="宋体" w:cs="宋体" w:eastAsia="宋体" w:hint="default"/>
                <w:spacing w:val="-89"/>
                <w:sz w:val="21"/>
                <w:szCs w:val="21"/>
              </w:rPr>
              <w:t>目</w:t>
            </w:r>
            <w:r>
              <w:rPr>
                <w:rFonts w:ascii="宋体" w:hAnsi="宋体" w:cs="宋体" w:eastAsia="宋体" w:hint="default"/>
                <w:sz w:val="21"/>
                <w:szCs w:val="21"/>
              </w:rPr>
              <w:t>“用于企</w:t>
            </w:r>
          </w:p>
          <w:p>
            <w:pPr>
              <w:pStyle w:val="TableParagraph"/>
              <w:spacing w:line="272" w:lineRule="exact" w:before="26"/>
              <w:ind w:left="25" w:right="12"/>
              <w:jc w:val="left"/>
              <w:rPr>
                <w:rFonts w:ascii="宋体" w:hAnsi="宋体" w:cs="宋体" w:eastAsia="宋体" w:hint="default"/>
                <w:sz w:val="21"/>
                <w:szCs w:val="21"/>
              </w:rPr>
            </w:pPr>
            <w:r>
              <w:rPr>
                <w:rFonts w:ascii="宋体" w:hAnsi="宋体" w:cs="宋体" w:eastAsia="宋体" w:hint="default"/>
                <w:spacing w:val="8"/>
                <w:sz w:val="21"/>
                <w:szCs w:val="21"/>
              </w:rPr>
              <w:t>业产品设计的云平台关键技术研</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发与应用</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农产品区域物流信息服务平台的</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研发与应用</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280,000.00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泉州市科技云服务平台补贴收入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176,470.58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323,529.42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6"/>
                <w:sz w:val="21"/>
                <w:szCs w:val="21"/>
              </w:rPr>
              <w:t>关于推荐民营企业“二次创业”的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实施意见</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z w:val="21"/>
              </w:rPr>
              <w:t>164,000.00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center"/>
        <w:rPr>
          <w:rFonts w:ascii="宋体" w:hAnsi="宋体" w:cs="宋体" w:eastAsia="宋体" w:hint="default"/>
          <w:sz w:val="21"/>
          <w:szCs w:val="21"/>
        </w:rPr>
        <w:sectPr>
          <w:pgSz w:w="11910" w:h="16840"/>
          <w:pgMar w:header="0" w:footer="977" w:top="1120" w:bottom="116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121"/>
        <w:gridCol w:w="1690"/>
        <w:gridCol w:w="1697"/>
        <w:gridCol w:w="2482"/>
      </w:tblGrid>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泉州市科技计划项目管理系统的</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建设与应用</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150,000.00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250,000.00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电子证照共享服务平台</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150,000.00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海西物流监管云平台</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泉州市科技项目电子监察系统</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50,000.00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福建省知识产权优势企业奖励</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50,000.00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14"/>
                <w:sz w:val="21"/>
                <w:szCs w:val="21"/>
              </w:rPr>
              <w:t> </w:t>
            </w:r>
            <w:r>
              <w:rPr>
                <w:rFonts w:ascii="宋体" w:hAnsi="宋体" w:cs="宋体" w:eastAsia="宋体" w:hint="default"/>
                <w:sz w:val="21"/>
                <w:szCs w:val="21"/>
              </w:rPr>
              <w:t>年泉州市“两化”融合示范</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建设重点培育企业奖励</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10,000.00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区科技计划项目-科技支服务平台</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133,333.33</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首届福建创新创业奖</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pacing w:val="-4"/>
                <w:sz w:val="21"/>
                <w:szCs w:val="21"/>
              </w:rPr>
              <w:t>年产业发展专项资金（西安</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tabs>
                <w:tab w:pos="709" w:val="left" w:leader="none"/>
              </w:tabs>
              <w:spacing w:line="240" w:lineRule="auto" w:before="28"/>
              <w:ind w:left="-140" w:right="0"/>
              <w:jc w:val="left"/>
              <w:rPr>
                <w:rFonts w:ascii="宋体" w:hAnsi="宋体" w:cs="宋体" w:eastAsia="宋体" w:hint="default"/>
                <w:sz w:val="21"/>
                <w:szCs w:val="21"/>
              </w:rPr>
            </w:pPr>
            <w:r>
              <w:rPr>
                <w:rFonts w:ascii="宋体" w:hAnsi="宋体" w:cs="宋体" w:eastAsia="宋体" w:hint="default"/>
                <w:sz w:val="21"/>
                <w:szCs w:val="21"/>
              </w:rPr>
              <w:t>）</w:t>
              <w:tab/>
              <w:t>56,800.00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科技专项扶持资金（昌吉州）</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2,000,000.00</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丰泽区政府</w:t>
            </w:r>
            <w:r>
              <w:rPr>
                <w:rFonts w:ascii="宋体" w:hAnsi="宋体" w:cs="宋体" w:eastAsia="宋体" w:hint="default"/>
                <w:spacing w:val="-46"/>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年度优惠政策奖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励</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1,658,000.00</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14"/>
                <w:sz w:val="21"/>
                <w:szCs w:val="21"/>
              </w:rPr>
              <w:t> </w:t>
            </w:r>
            <w:r>
              <w:rPr>
                <w:rFonts w:ascii="宋体" w:hAnsi="宋体" w:cs="宋体" w:eastAsia="宋体" w:hint="default"/>
                <w:sz w:val="21"/>
                <w:szCs w:val="21"/>
              </w:rPr>
              <w:t>年第三批省级预算内投资计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划资金-海西中小企业服务平台）</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1,450,000.00</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课题研发开发经费-电子政务内网</w:t>
            </w:r>
          </w:p>
          <w:p>
            <w:pPr>
              <w:pStyle w:val="TableParagraph"/>
              <w:spacing w:line="272" w:lineRule="exact" w:before="26"/>
              <w:ind w:left="25" w:right="12"/>
              <w:jc w:val="left"/>
              <w:rPr>
                <w:rFonts w:ascii="宋体" w:hAnsi="宋体" w:cs="宋体" w:eastAsia="宋体" w:hint="default"/>
                <w:sz w:val="21"/>
                <w:szCs w:val="21"/>
              </w:rPr>
            </w:pPr>
            <w:r>
              <w:rPr>
                <w:rFonts w:ascii="宋体" w:hAnsi="宋体" w:cs="宋体" w:eastAsia="宋体" w:hint="default"/>
                <w:spacing w:val="8"/>
                <w:sz w:val="21"/>
                <w:szCs w:val="21"/>
              </w:rPr>
              <w:t>重要信息系统监控关键技术和产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品研究</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1,220,000.00</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14"/>
                <w:sz w:val="21"/>
                <w:szCs w:val="21"/>
              </w:rPr>
              <w:t> </w:t>
            </w:r>
            <w:r>
              <w:rPr>
                <w:rFonts w:ascii="宋体" w:hAnsi="宋体" w:cs="宋体" w:eastAsia="宋体" w:hint="default"/>
                <w:sz w:val="21"/>
                <w:szCs w:val="21"/>
              </w:rPr>
              <w:t>年第三批软件产业发展专项</w:t>
            </w:r>
          </w:p>
          <w:p>
            <w:pPr>
              <w:pStyle w:val="TableParagraph"/>
              <w:spacing w:line="272" w:lineRule="exact" w:before="26"/>
              <w:ind w:left="25" w:right="22"/>
              <w:jc w:val="left"/>
              <w:rPr>
                <w:rFonts w:ascii="宋体" w:hAnsi="宋体" w:cs="宋体" w:eastAsia="宋体" w:hint="default"/>
                <w:sz w:val="21"/>
                <w:szCs w:val="21"/>
              </w:rPr>
            </w:pPr>
            <w:r>
              <w:rPr>
                <w:rFonts w:ascii="宋体" w:hAnsi="宋体" w:cs="宋体" w:eastAsia="宋体" w:hint="default"/>
                <w:sz w:val="21"/>
                <w:szCs w:val="21"/>
              </w:rPr>
              <w:t>资金-基于三网融合技术的应用支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撑平台研发与产业化</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1,000,000.00</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年物联网发展专项资金项目</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750,000.00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年国家科技支撑计划</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410,000.00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46"/>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年科技成果转化和产业化</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pacing w:val="-6"/>
                <w:sz w:val="21"/>
                <w:szCs w:val="21"/>
              </w:rPr>
              <w:t>项目计划与经费（新上市级第十三</w:t>
            </w:r>
            <w:r>
              <w:rPr>
                <w:rFonts w:ascii="宋体" w:hAnsi="宋体" w:cs="宋体" w:eastAsia="宋体" w:hint="default"/>
                <w:sz w:val="21"/>
                <w:szCs w:val="21"/>
              </w:rPr>
              <w:t> 批）</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宋体" w:hAnsi="宋体" w:cs="宋体" w:eastAsia="宋体" w:hint="default"/>
                <w:sz w:val="21"/>
                <w:szCs w:val="21"/>
              </w:rPr>
            </w:pPr>
            <w:r>
              <w:rPr>
                <w:rFonts w:ascii="宋体"/>
                <w:sz w:val="21"/>
              </w:rPr>
              <w:t>250,000.00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14"/>
                <w:sz w:val="21"/>
                <w:szCs w:val="21"/>
              </w:rPr>
              <w:t> </w:t>
            </w:r>
            <w:r>
              <w:rPr>
                <w:rFonts w:ascii="宋体" w:hAnsi="宋体" w:cs="宋体" w:eastAsia="宋体" w:hint="default"/>
                <w:sz w:val="21"/>
                <w:szCs w:val="21"/>
              </w:rPr>
              <w:t>年民营企业“二次创业”区</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级专项扶持项目资金</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250,000.00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14"/>
                <w:sz w:val="21"/>
                <w:szCs w:val="21"/>
              </w:rPr>
              <w:t> </w:t>
            </w:r>
            <w:r>
              <w:rPr>
                <w:rFonts w:ascii="宋体" w:hAnsi="宋体" w:cs="宋体" w:eastAsia="宋体" w:hint="default"/>
                <w:sz w:val="21"/>
                <w:szCs w:val="21"/>
              </w:rPr>
              <w:t>年度科技创新优惠政策奖励</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200,000.00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泉州市第三批技术研究与开发项</w:t>
            </w:r>
            <w:r>
              <w:rPr>
                <w:rFonts w:ascii="宋体" w:hAnsi="宋体" w:cs="宋体" w:eastAsia="宋体" w:hint="default"/>
                <w:sz w:val="21"/>
                <w:szCs w:val="21"/>
              </w:rPr>
            </w:r>
          </w:p>
          <w:p>
            <w:pPr>
              <w:pStyle w:val="TableParagraph"/>
              <w:spacing w:line="272" w:lineRule="exact" w:before="26"/>
              <w:ind w:left="25" w:right="22"/>
              <w:jc w:val="left"/>
              <w:rPr>
                <w:rFonts w:ascii="宋体" w:hAnsi="宋体" w:cs="宋体" w:eastAsia="宋体" w:hint="default"/>
                <w:sz w:val="21"/>
                <w:szCs w:val="21"/>
              </w:rPr>
            </w:pPr>
            <w:r>
              <w:rPr>
                <w:rFonts w:ascii="宋体" w:hAnsi="宋体" w:cs="宋体" w:eastAsia="宋体" w:hint="default"/>
                <w:sz w:val="21"/>
                <w:szCs w:val="21"/>
              </w:rPr>
              <w:t>目计划经费-南威行政自由裁量系</w:t>
            </w:r>
            <w:r>
              <w:rPr>
                <w:rFonts w:ascii="宋体" w:hAnsi="宋体" w:cs="宋体" w:eastAsia="宋体" w:hint="default"/>
                <w:spacing w:val="-91"/>
                <w:sz w:val="21"/>
                <w:szCs w:val="21"/>
              </w:rPr>
              <w:t> </w:t>
            </w:r>
            <w:r>
              <w:rPr>
                <w:rFonts w:ascii="宋体" w:hAnsi="宋体" w:cs="宋体" w:eastAsia="宋体" w:hint="default"/>
                <w:sz w:val="21"/>
                <w:szCs w:val="21"/>
              </w:rPr>
              <w:t>统</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宋体" w:hAnsi="宋体" w:cs="宋体" w:eastAsia="宋体" w:hint="default"/>
                <w:sz w:val="21"/>
                <w:szCs w:val="21"/>
              </w:rPr>
            </w:pPr>
            <w:r>
              <w:rPr>
                <w:rFonts w:ascii="宋体"/>
                <w:sz w:val="21"/>
              </w:rPr>
              <w:t>157,894.73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年国家科技支撑计划</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140,000.00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新增总部企业纳税奖（宁德）</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132,000.00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发展潜力奖（宁德）</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100,000.00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2"/>
                <w:sz w:val="21"/>
                <w:szCs w:val="21"/>
              </w:rPr>
              <w:t> </w:t>
            </w:r>
            <w:r>
              <w:rPr>
                <w:rFonts w:ascii="宋体" w:hAnsi="宋体" w:cs="宋体" w:eastAsia="宋体" w:hint="default"/>
                <w:spacing w:val="18"/>
                <w:sz w:val="21"/>
                <w:szCs w:val="21"/>
              </w:rPr>
              <w:t>年科教兴区重点重点项目</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-LW-PVD</w:t>
            </w:r>
            <w:r>
              <w:rPr>
                <w:rFonts w:ascii="宋体" w:hAnsi="宋体" w:cs="宋体" w:eastAsia="宋体" w:hint="default"/>
                <w:spacing w:val="-54"/>
                <w:sz w:val="21"/>
                <w:szCs w:val="21"/>
              </w:rPr>
              <w:t> </w:t>
            </w:r>
            <w:r>
              <w:rPr>
                <w:rFonts w:ascii="宋体" w:hAnsi="宋体" w:cs="宋体" w:eastAsia="宋体" w:hint="default"/>
                <w:sz w:val="21"/>
                <w:szCs w:val="21"/>
              </w:rPr>
              <w:t>监狱经脉识别管理系统</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100,000.00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4"/>
                <w:sz w:val="21"/>
                <w:szCs w:val="21"/>
              </w:rPr>
              <w:t> </w:t>
            </w:r>
            <w:r>
              <w:rPr>
                <w:rFonts w:ascii="宋体" w:hAnsi="宋体" w:cs="宋体" w:eastAsia="宋体" w:hint="default"/>
                <w:sz w:val="21"/>
                <w:szCs w:val="21"/>
              </w:rPr>
              <w:t>年度科技创新优惠政策奖励</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100,000.00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防伪溯源进销存云服务系统产品</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化与规模化运营专项资金（西安</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100,000.00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center"/>
        <w:rPr>
          <w:rFonts w:ascii="宋体" w:hAnsi="宋体" w:cs="宋体" w:eastAsia="宋体" w:hint="default"/>
          <w:sz w:val="21"/>
          <w:szCs w:val="21"/>
        </w:rPr>
        <w:sectPr>
          <w:footerReference w:type="default" r:id="rId62"/>
          <w:pgSz w:w="11910" w:h="16840"/>
          <w:pgMar w:footer="977" w:header="0" w:top="1120" w:bottom="1160" w:left="15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6" w:type="dxa"/>
        <w:tblLayout w:type="fixed"/>
        <w:tblCellMar>
          <w:top w:w="0" w:type="dxa"/>
          <w:left w:w="0" w:type="dxa"/>
          <w:bottom w:w="0" w:type="dxa"/>
          <w:right w:w="0" w:type="dxa"/>
        </w:tblCellMar>
        <w:tblLook w:val="01E0"/>
      </w:tblPr>
      <w:tblGrid>
        <w:gridCol w:w="3121"/>
        <w:gridCol w:w="1690"/>
        <w:gridCol w:w="1697"/>
        <w:gridCol w:w="2482"/>
      </w:tblGrid>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西安财政局补助</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80,000.00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4"/>
                <w:sz w:val="21"/>
                <w:szCs w:val="21"/>
              </w:rPr>
              <w:t> </w:t>
            </w:r>
            <w:r>
              <w:rPr>
                <w:rFonts w:ascii="宋体" w:hAnsi="宋体" w:cs="宋体" w:eastAsia="宋体" w:hint="default"/>
                <w:sz w:val="21"/>
                <w:szCs w:val="21"/>
              </w:rPr>
              <w:t>年度第二批企业自主创新市</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级奖励资金</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70,000.00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年优秀新产品奖励</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省级知识产权专利奖励资金</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年新产品奖励</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5,000.00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知识产权专利申请费用资助资金</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3,210.00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市级发明专利奖励</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2,000.00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市级发明专利奖励</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2,000.00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知识产权奖励资金</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1,200.00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14"/>
                <w:sz w:val="21"/>
                <w:szCs w:val="21"/>
              </w:rPr>
              <w:t> </w:t>
            </w:r>
            <w:r>
              <w:rPr>
                <w:rFonts w:ascii="宋体" w:hAnsi="宋体" w:cs="宋体" w:eastAsia="宋体" w:hint="default"/>
                <w:sz w:val="21"/>
                <w:szCs w:val="21"/>
              </w:rPr>
              <w:t>年度支持产业发展专项资金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第二批计划项目资金（西安）</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900.00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泉州市总工会</w:t>
            </w:r>
            <w:r>
              <w:rPr>
                <w:rFonts w:ascii="宋体" w:hAnsi="宋体" w:cs="宋体" w:eastAsia="宋体" w:hint="default"/>
                <w:spacing w:val="-46"/>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年职工创新成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果奖励资金</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800.00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8" w:right="0"/>
              <w:jc w:val="left"/>
              <w:rPr>
                <w:rFonts w:ascii="宋体" w:hAnsi="宋体" w:cs="宋体" w:eastAsia="宋体" w:hint="default"/>
                <w:sz w:val="21"/>
                <w:szCs w:val="21"/>
              </w:rPr>
            </w:pPr>
            <w:r>
              <w:rPr>
                <w:rFonts w:ascii="宋体"/>
                <w:sz w:val="21"/>
              </w:rPr>
              <w:t>21,310,440.40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22,576,482.82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2"/>
        <w:spacing w:line="240" w:lineRule="auto"/>
        <w:ind w:right="219"/>
        <w:jc w:val="left"/>
        <w:rPr>
          <w:b w:val="0"/>
          <w:bCs w:val="0"/>
        </w:rPr>
      </w:pPr>
      <w:r>
        <w:rPr/>
        <w:t>39、</w:t>
      </w:r>
      <w:r>
        <w:rPr>
          <w:spacing w:val="-28"/>
        </w:rPr>
        <w:t> </w:t>
      </w:r>
      <w:r>
        <w:rPr/>
        <w:t>营业外支出</w:t>
      </w:r>
      <w:r>
        <w:rPr>
          <w:b w:val="0"/>
          <w:bCs w:val="0"/>
        </w:rPr>
      </w:r>
    </w:p>
    <w:p>
      <w:pPr>
        <w:pStyle w:val="BodyText"/>
        <w:tabs>
          <w:tab w:pos="1049" w:val="left" w:leader="none"/>
        </w:tabs>
        <w:spacing w:line="240" w:lineRule="auto" w:before="57"/>
        <w:ind w:left="0" w:right="1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89"/>
        <w:gridCol w:w="1694"/>
        <w:gridCol w:w="1600"/>
        <w:gridCol w:w="3008"/>
      </w:tblGrid>
      <w:tr>
        <w:trPr>
          <w:trHeight w:val="3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3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72,267.30</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10,762.27</w:t>
            </w:r>
            <w:r>
              <w:rPr>
                <w:rFonts w:ascii="宋体"/>
                <w:sz w:val="21"/>
              </w:rPr>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43"/>
              <w:jc w:val="right"/>
              <w:rPr>
                <w:rFonts w:ascii="宋体" w:hAnsi="宋体" w:cs="宋体" w:eastAsia="宋体" w:hint="default"/>
                <w:sz w:val="21"/>
                <w:szCs w:val="21"/>
              </w:rPr>
            </w:pPr>
            <w:r>
              <w:rPr>
                <w:rFonts w:ascii="宋体"/>
                <w:spacing w:val="-1"/>
                <w:sz w:val="21"/>
              </w:rPr>
              <w:t>72,267.30</w:t>
            </w:r>
            <w:r>
              <w:rPr>
                <w:rFonts w:ascii="宋体"/>
                <w:sz w:val="21"/>
              </w:rPr>
            </w:r>
          </w:p>
        </w:tc>
      </w:tr>
      <w:tr>
        <w:trPr>
          <w:trHeight w:val="349"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72,267.30</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10,762.27</w:t>
            </w:r>
            <w:r>
              <w:rPr>
                <w:rFonts w:ascii="宋体"/>
                <w:sz w:val="21"/>
              </w:rPr>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50" w:right="0"/>
              <w:jc w:val="left"/>
              <w:rPr>
                <w:rFonts w:ascii="宋体" w:hAnsi="宋体" w:cs="宋体" w:eastAsia="宋体" w:hint="default"/>
                <w:sz w:val="21"/>
                <w:szCs w:val="21"/>
              </w:rPr>
            </w:pPr>
            <w:r>
              <w:rPr>
                <w:rFonts w:ascii="宋体"/>
                <w:sz w:val="21"/>
              </w:rPr>
              <w:t>72,267.30</w:t>
            </w:r>
          </w:p>
        </w:tc>
      </w:tr>
      <w:tr>
        <w:trPr>
          <w:trHeight w:val="3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6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6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6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56,600.00</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20,000.00</w:t>
            </w:r>
            <w:r>
              <w:rPr>
                <w:rFonts w:ascii="宋体"/>
                <w:sz w:val="21"/>
              </w:rPr>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50" w:right="0"/>
              <w:jc w:val="left"/>
              <w:rPr>
                <w:rFonts w:ascii="宋体" w:hAnsi="宋体" w:cs="宋体" w:eastAsia="宋体" w:hint="default"/>
                <w:sz w:val="21"/>
                <w:szCs w:val="21"/>
              </w:rPr>
            </w:pPr>
            <w:r>
              <w:rPr>
                <w:rFonts w:ascii="宋体"/>
                <w:sz w:val="21"/>
              </w:rPr>
              <w:t>56,600.00</w:t>
            </w:r>
          </w:p>
        </w:tc>
      </w:tr>
      <w:tr>
        <w:trPr>
          <w:trHeight w:val="3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72,599.84</w:t>
            </w: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128,867.30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103,362.11</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44" w:right="0"/>
              <w:jc w:val="left"/>
              <w:rPr>
                <w:rFonts w:ascii="宋体" w:hAnsi="宋体" w:cs="宋体" w:eastAsia="宋体" w:hint="default"/>
                <w:sz w:val="21"/>
                <w:szCs w:val="21"/>
              </w:rPr>
            </w:pPr>
            <w:r>
              <w:rPr>
                <w:rFonts w:ascii="宋体"/>
                <w:sz w:val="21"/>
              </w:rPr>
              <w:t>128,867.30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63"/>
          <w:pgSz w:w="11910" w:h="16840"/>
          <w:pgMar w:footer="977" w:header="0" w:top="1120" w:bottom="1160" w:left="1480" w:right="1120"/>
          <w:pgNumType w:start="121"/>
        </w:sectPr>
      </w:pPr>
    </w:p>
    <w:p>
      <w:pPr>
        <w:pStyle w:val="Heading2"/>
        <w:spacing w:line="290" w:lineRule="auto"/>
        <w:ind w:right="-17"/>
        <w:jc w:val="left"/>
        <w:rPr>
          <w:b w:val="0"/>
          <w:bCs w:val="0"/>
        </w:rPr>
      </w:pPr>
      <w:r>
        <w:rPr/>
        <w:t>40、</w:t>
      </w:r>
      <w:r>
        <w:rPr>
          <w:spacing w:val="-26"/>
        </w:rPr>
        <w:t> </w:t>
      </w:r>
      <w:r>
        <w:rPr/>
        <w:t>所得税费用</w:t>
      </w:r>
      <w:r>
        <w:rPr>
          <w:w w:val="99"/>
        </w:rPr>
        <w:t> </w:t>
      </w:r>
      <w:r>
        <w:rPr/>
        <w:t>(1)</w:t>
      </w:r>
      <w:r>
        <w:rPr>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120"/>
          <w:cols w:num="2" w:equalWidth="0">
            <w:col w:w="1911" w:space="4709"/>
            <w:col w:w="2690"/>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91"/>
        <w:gridCol w:w="2909"/>
        <w:gridCol w:w="2892"/>
      </w:tblGrid>
      <w:tr>
        <w:trPr>
          <w:trHeight w:val="294"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15,834,592.04</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15,851,051.40</w:t>
            </w:r>
          </w:p>
        </w:tc>
      </w:tr>
      <w:tr>
        <w:trPr>
          <w:trHeight w:val="287"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-1,881,221.96</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pacing w:val="-1"/>
                <w:sz w:val="21"/>
              </w:rPr>
              <w:t>-3,490,922.23</w:t>
            </w:r>
            <w:r>
              <w:rPr>
                <w:rFonts w:ascii="宋体"/>
                <w:sz w:val="21"/>
              </w:rPr>
            </w:r>
          </w:p>
        </w:tc>
      </w:tr>
      <w:tr>
        <w:trPr>
          <w:trHeight w:val="287"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80"/>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13,953,370.08</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12,360,129.17</w:t>
            </w:r>
          </w:p>
        </w:tc>
      </w:tr>
    </w:tbl>
    <w:p>
      <w:pPr>
        <w:spacing w:line="240" w:lineRule="auto" w:before="1"/>
        <w:rPr>
          <w:rFonts w:ascii="宋体" w:hAnsi="宋体" w:cs="宋体" w:eastAsia="宋体" w:hint="default"/>
          <w:sz w:val="20"/>
          <w:szCs w:val="20"/>
        </w:rPr>
      </w:pPr>
    </w:p>
    <w:p>
      <w:pPr>
        <w:pStyle w:val="Heading2"/>
        <w:spacing w:line="240" w:lineRule="auto"/>
        <w:ind w:right="219"/>
        <w:jc w:val="left"/>
        <w:rPr>
          <w:b w:val="0"/>
          <w:bCs w:val="0"/>
        </w:rPr>
      </w:pPr>
      <w:r>
        <w:rPr/>
        <w:t>(2)</w:t>
      </w:r>
      <w:r>
        <w:rPr>
          <w:spacing w:val="-4"/>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85" w:type="dxa"/>
        <w:tblLayout w:type="fixed"/>
        <w:tblCellMar>
          <w:top w:w="0" w:type="dxa"/>
          <w:left w:w="0" w:type="dxa"/>
          <w:bottom w:w="0" w:type="dxa"/>
          <w:right w:w="0" w:type="dxa"/>
        </w:tblCellMar>
        <w:tblLook w:val="01E0"/>
      </w:tblPr>
      <w:tblGrid>
        <w:gridCol w:w="6767"/>
        <w:gridCol w:w="2218"/>
      </w:tblGrid>
      <w:tr>
        <w:trPr>
          <w:trHeight w:val="282"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8"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1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sz w:val="21"/>
              </w:rPr>
              <w:t>100,119,160.21</w:t>
            </w:r>
          </w:p>
        </w:tc>
      </w:tr>
    </w:tbl>
    <w:p>
      <w:pPr>
        <w:spacing w:after="0" w:line="241" w:lineRule="exact"/>
        <w:jc w:val="left"/>
        <w:rPr>
          <w:rFonts w:ascii="宋体" w:hAnsi="宋体" w:cs="宋体" w:eastAsia="宋体" w:hint="default"/>
          <w:sz w:val="21"/>
          <w:szCs w:val="21"/>
        </w:rPr>
        <w:sectPr>
          <w:type w:val="continuous"/>
          <w:pgSz w:w="11910" w:h="16840"/>
          <w:pgMar w:top="1120" w:bottom="1160" w:left="1480" w:right="11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6767"/>
        <w:gridCol w:w="2218"/>
      </w:tblGrid>
      <w:tr>
        <w:trPr>
          <w:trHeight w:val="287"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按法定/适用税率计算的所得税费用</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1"/>
              <w:jc w:val="right"/>
              <w:rPr>
                <w:rFonts w:ascii="宋体" w:hAnsi="宋体" w:cs="宋体" w:eastAsia="宋体" w:hint="default"/>
                <w:sz w:val="21"/>
                <w:szCs w:val="21"/>
              </w:rPr>
            </w:pPr>
            <w:r>
              <w:rPr>
                <w:rFonts w:ascii="宋体"/>
                <w:sz w:val="21"/>
              </w:rPr>
              <w:t>15,108,133.47</w:t>
            </w:r>
          </w:p>
        </w:tc>
      </w:tr>
      <w:tr>
        <w:trPr>
          <w:trHeight w:val="288"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21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21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21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0"/>
              <w:jc w:val="right"/>
              <w:rPr>
                <w:rFonts w:ascii="宋体" w:hAnsi="宋体" w:cs="宋体" w:eastAsia="宋体" w:hint="default"/>
                <w:sz w:val="21"/>
                <w:szCs w:val="21"/>
              </w:rPr>
            </w:pPr>
            <w:r>
              <w:rPr>
                <w:rFonts w:ascii="宋体"/>
                <w:sz w:val="21"/>
              </w:rPr>
              <w:t>270,627.08</w:t>
            </w:r>
          </w:p>
        </w:tc>
      </w:tr>
      <w:tr>
        <w:trPr>
          <w:trHeight w:val="288"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21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218" w:type="dxa"/>
            <w:tcBorders>
              <w:top w:val="single" w:sz="6" w:space="0" w:color="000000"/>
              <w:left w:val="single" w:sz="4" w:space="0" w:color="000000"/>
              <w:bottom w:val="single" w:sz="6" w:space="0" w:color="000000"/>
              <w:right w:val="single" w:sz="6" w:space="0" w:color="000000"/>
            </w:tcBorders>
          </w:tcPr>
          <w:p>
            <w:pPr/>
          </w:p>
        </w:tc>
      </w:tr>
      <w:tr>
        <w:trPr>
          <w:trHeight w:val="289" w:hRule="exact"/>
        </w:trPr>
        <w:tc>
          <w:tcPr>
            <w:tcW w:w="6767"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收到即征即退增值税免征所得税的影响</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z w:val="21"/>
              </w:rPr>
              <w:t>-1,425,390.47</w:t>
            </w:r>
          </w:p>
        </w:tc>
      </w:tr>
      <w:tr>
        <w:trPr>
          <w:trHeight w:val="286" w:hRule="exact"/>
        </w:trPr>
        <w:tc>
          <w:tcPr>
            <w:tcW w:w="6767"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13,953,370.08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line="290" w:lineRule="auto" w:before="35"/>
        <w:ind w:left="141" w:right="7298" w:firstLine="0"/>
        <w:jc w:val="left"/>
        <w:rPr>
          <w:rFonts w:ascii="宋体" w:hAnsi="宋体" w:cs="宋体" w:eastAsia="宋体" w:hint="default"/>
          <w:sz w:val="21"/>
          <w:szCs w:val="21"/>
        </w:rPr>
      </w:pPr>
      <w:r>
        <w:rPr>
          <w:rFonts w:ascii="宋体" w:hAnsi="宋体" w:cs="宋体" w:eastAsia="宋体" w:hint="default"/>
          <w:b/>
          <w:bCs/>
          <w:sz w:val="21"/>
          <w:szCs w:val="21"/>
        </w:rPr>
        <w:t>41、</w:t>
      </w:r>
      <w:r>
        <w:rPr>
          <w:rFonts w:ascii="宋体" w:hAnsi="宋体" w:cs="宋体" w:eastAsia="宋体" w:hint="default"/>
          <w:b/>
          <w:bCs/>
          <w:spacing w:val="-28"/>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7" w:top="1120" w:bottom="1160" w:left="1560" w:right="1120"/>
        </w:sectPr>
      </w:pPr>
    </w:p>
    <w:p>
      <w:pPr>
        <w:pStyle w:val="Heading2"/>
        <w:spacing w:line="240" w:lineRule="auto"/>
        <w:ind w:left="141" w:right="0"/>
        <w:jc w:val="left"/>
        <w:rPr>
          <w:b w:val="0"/>
          <w:bCs w:val="0"/>
        </w:rPr>
      </w:pPr>
      <w:r>
        <w:rPr/>
        <w:t>42、</w:t>
      </w:r>
      <w:r>
        <w:rPr>
          <w:spacing w:val="-29"/>
        </w:rPr>
        <w:t> </w:t>
      </w:r>
      <w:r>
        <w:rPr/>
        <w:t>现金流量表项目</w:t>
      </w:r>
      <w:r>
        <w:rPr>
          <w:b w:val="0"/>
          <w:bCs w:val="0"/>
        </w:rPr>
      </w:r>
    </w:p>
    <w:p>
      <w:pPr>
        <w:pStyle w:val="Heading2"/>
        <w:tabs>
          <w:tab w:pos="841" w:val="left" w:leader="none"/>
        </w:tabs>
        <w:spacing w:line="240" w:lineRule="auto" w:before="57"/>
        <w:ind w:left="141" w:right="0"/>
        <w:jc w:val="left"/>
        <w:rPr>
          <w:b w:val="0"/>
          <w:bCs w:val="0"/>
        </w:rPr>
      </w:pPr>
      <w:r>
        <w:rPr>
          <w:w w:val="95"/>
        </w:rPr>
        <w:t>(1).</w:t>
        <w:tab/>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1" w:val="left" w:leader="none"/>
        </w:tabs>
        <w:spacing w:line="240" w:lineRule="auto" w:before="176"/>
        <w:ind w:right="0"/>
        <w:jc w:val="left"/>
      </w:pPr>
      <w:r>
        <w:rPr/>
        <w:t>单位：元</w:t>
        <w:tab/>
        <w:t>币种：人民币</w:t>
      </w:r>
    </w:p>
    <w:p>
      <w:pPr>
        <w:spacing w:after="0" w:line="240" w:lineRule="auto"/>
        <w:jc w:val="left"/>
        <w:sectPr>
          <w:type w:val="continuous"/>
          <w:pgSz w:w="11910" w:h="16840"/>
          <w:pgMar w:top="1120" w:bottom="1160" w:left="1560" w:right="1120"/>
          <w:cols w:num="2" w:equalWidth="0">
            <w:col w:w="4212" w:space="2407"/>
            <w:col w:w="261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384"/>
        <w:gridCol w:w="2808"/>
        <w:gridCol w:w="2797"/>
      </w:tblGrid>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非税费返还的政府其他补助</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7,802,200.00</w:t>
            </w:r>
            <w:r>
              <w:rPr>
                <w:rFonts w:ascii="宋体"/>
                <w:sz w:val="21"/>
              </w:rPr>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18,523,423.69</w:t>
            </w: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1,401,045.05</w:t>
            </w:r>
            <w:r>
              <w:rPr>
                <w:rFonts w:ascii="宋体"/>
                <w:sz w:val="21"/>
              </w:rPr>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3,886,674.34</w:t>
            </w:r>
            <w:r>
              <w:rPr>
                <w:rFonts w:ascii="宋体"/>
                <w:sz w:val="21"/>
              </w:rPr>
            </w:r>
          </w:p>
        </w:tc>
      </w:tr>
      <w:tr>
        <w:trPr>
          <w:trHeight w:val="288"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2,076,763.00</w:t>
            </w:r>
            <w:r>
              <w:rPr>
                <w:rFonts w:ascii="宋体"/>
                <w:sz w:val="21"/>
              </w:rPr>
            </w:r>
          </w:p>
        </w:tc>
        <w:tc>
          <w:tcPr>
            <w:tcW w:w="279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42,750,425.64</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38,513,162.12</w:t>
            </w:r>
            <w:r>
              <w:rPr>
                <w:rFonts w:ascii="宋体"/>
                <w:sz w:val="21"/>
              </w:rPr>
            </w: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54,030,433.69</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60,923,260.15</w:t>
            </w:r>
          </w:p>
        </w:tc>
      </w:tr>
    </w:tbl>
    <w:p>
      <w:pPr>
        <w:pStyle w:val="BodyText"/>
        <w:spacing w:line="290" w:lineRule="auto" w:before="26"/>
        <w:ind w:right="5283"/>
        <w:jc w:val="left"/>
      </w:pPr>
      <w:r>
        <w:rPr/>
        <w:t>收到的其他与经营活动有关的现金说明： 无</w:t>
      </w:r>
    </w:p>
    <w:p>
      <w:pPr>
        <w:spacing w:line="240" w:lineRule="auto" w:before="2"/>
        <w:rPr>
          <w:rFonts w:ascii="宋体" w:hAnsi="宋体" w:cs="宋体" w:eastAsia="宋体" w:hint="default"/>
          <w:sz w:val="19"/>
          <w:szCs w:val="19"/>
        </w:rPr>
      </w:pPr>
    </w:p>
    <w:p>
      <w:pPr>
        <w:pStyle w:val="Heading2"/>
        <w:tabs>
          <w:tab w:pos="841" w:val="left" w:leader="none"/>
        </w:tabs>
        <w:spacing w:line="240" w:lineRule="auto"/>
        <w:ind w:left="141" w:right="3859"/>
        <w:jc w:val="left"/>
        <w:rPr>
          <w:b w:val="0"/>
          <w:bCs w:val="0"/>
        </w:rPr>
      </w:pPr>
      <w:r>
        <w:rPr>
          <w:w w:val="95"/>
        </w:rPr>
        <w:t>(2).</w:t>
        <w:tab/>
      </w:r>
      <w:r>
        <w:rPr/>
        <w:t>支付的其他与经营活动有关的现金：</w:t>
      </w:r>
      <w:r>
        <w:rPr>
          <w:b w:val="0"/>
          <w:bCs w:val="0"/>
        </w:rPr>
      </w:r>
    </w:p>
    <w:p>
      <w:pPr>
        <w:pStyle w:val="BodyText"/>
        <w:tabs>
          <w:tab w:pos="1049" w:val="left" w:leader="none"/>
        </w:tabs>
        <w:spacing w:line="240" w:lineRule="auto" w:before="57"/>
        <w:ind w:left="0" w:right="1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384"/>
        <w:gridCol w:w="2788"/>
        <w:gridCol w:w="2818"/>
      </w:tblGrid>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72"/>
              <w:jc w:val="right"/>
              <w:rPr>
                <w:rFonts w:ascii="宋体" w:hAnsi="宋体" w:cs="宋体" w:eastAsia="宋体" w:hint="default"/>
                <w:sz w:val="21"/>
                <w:szCs w:val="21"/>
              </w:rPr>
            </w:pPr>
            <w:r>
              <w:rPr>
                <w:rFonts w:ascii="宋体" w:hAnsi="宋体" w:cs="宋体" w:eastAsia="宋体" w:hint="default"/>
                <w:sz w:val="21"/>
                <w:szCs w:val="21"/>
              </w:rPr>
              <w:t>项目</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5,218,750.61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5,805,839.12</w:t>
            </w:r>
            <w:r>
              <w:rPr>
                <w:rFonts w:ascii="宋体"/>
                <w:sz w:val="21"/>
              </w:rPr>
            </w: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8,651,598.38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12,571,980.59</w:t>
            </w:r>
          </w:p>
        </w:tc>
      </w:tr>
      <w:tr>
        <w:trPr>
          <w:trHeight w:val="288"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51,373,726.98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37,649,089.02</w:t>
            </w: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支付银行手续费</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130,599.63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86,467.09</w:t>
            </w:r>
          </w:p>
        </w:tc>
      </w:tr>
      <w:tr>
        <w:trPr>
          <w:trHeight w:val="288"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92,599.84</w:t>
            </w:r>
            <w:r>
              <w:rPr>
                <w:rFonts w:ascii="宋体"/>
                <w:sz w:val="21"/>
              </w:rPr>
            </w: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IPO费用</w:t>
            </w:r>
          </w:p>
        </w:tc>
        <w:tc>
          <w:tcPr>
            <w:tcW w:w="2788"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1,000,000.00</w:t>
            </w: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7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65,431,275.60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57,205,975.66</w:t>
            </w:r>
          </w:p>
        </w:tc>
      </w:tr>
    </w:tbl>
    <w:p>
      <w:pPr>
        <w:pStyle w:val="BodyText"/>
        <w:spacing w:line="290" w:lineRule="auto" w:before="26"/>
        <w:ind w:right="5283"/>
        <w:jc w:val="left"/>
      </w:pPr>
      <w:r>
        <w:rPr/>
        <w:t>支付的其他与经营活动有关的现金说明： 无</w:t>
      </w:r>
    </w:p>
    <w:p>
      <w:pPr>
        <w:spacing w:line="240" w:lineRule="auto" w:before="11"/>
        <w:rPr>
          <w:rFonts w:ascii="宋体" w:hAnsi="宋体" w:cs="宋体" w:eastAsia="宋体" w:hint="default"/>
          <w:sz w:val="25"/>
          <w:szCs w:val="25"/>
        </w:rPr>
      </w:pPr>
    </w:p>
    <w:p>
      <w:pPr>
        <w:pStyle w:val="Heading2"/>
        <w:tabs>
          <w:tab w:pos="981" w:val="left" w:leader="none"/>
        </w:tabs>
        <w:spacing w:line="240" w:lineRule="auto"/>
        <w:ind w:left="141" w:right="3859"/>
        <w:jc w:val="left"/>
        <w:rPr>
          <w:b w:val="0"/>
          <w:bCs w:val="0"/>
        </w:rPr>
      </w:pPr>
      <w:r>
        <w:rPr>
          <w:w w:val="95"/>
        </w:rPr>
        <w:t>(3).</w:t>
        <w:tab/>
      </w:r>
      <w:r>
        <w:rPr/>
        <w:t>收到的其他与筹资活动有关的现金</w:t>
      </w:r>
      <w:r>
        <w:rPr>
          <w:b w:val="0"/>
          <w:bCs w:val="0"/>
        </w:rPr>
      </w:r>
    </w:p>
    <w:p>
      <w:pPr>
        <w:pStyle w:val="BodyText"/>
        <w:tabs>
          <w:tab w:pos="1049" w:val="left" w:leader="none"/>
        </w:tabs>
        <w:spacing w:line="240" w:lineRule="auto" w:before="57"/>
        <w:ind w:left="0" w:right="1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384"/>
        <w:gridCol w:w="2894"/>
        <w:gridCol w:w="2711"/>
      </w:tblGrid>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收回票据保证金</w:t>
            </w:r>
          </w:p>
        </w:tc>
        <w:tc>
          <w:tcPr>
            <w:tcW w:w="2894"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7,654,028.44</w:t>
            </w:r>
            <w:r>
              <w:rPr>
                <w:rFonts w:ascii="宋体"/>
                <w:sz w:val="21"/>
              </w:rPr>
            </w: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4"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7,654,028.44</w:t>
            </w:r>
          </w:p>
        </w:tc>
      </w:tr>
    </w:tbl>
    <w:p>
      <w:pPr>
        <w:pStyle w:val="BodyText"/>
        <w:spacing w:line="240" w:lineRule="auto" w:before="26"/>
        <w:ind w:right="3859"/>
        <w:jc w:val="left"/>
      </w:pPr>
      <w:r>
        <w:rPr/>
        <w:t>收到的其他与筹资活动有关的现金说明：</w:t>
      </w:r>
    </w:p>
    <w:p>
      <w:pPr>
        <w:spacing w:after="0" w:line="240" w:lineRule="auto"/>
        <w:jc w:val="left"/>
        <w:sectPr>
          <w:type w:val="continuous"/>
          <w:pgSz w:w="11910" w:h="16840"/>
          <w:pgMar w:top="1120" w:bottom="1160" w:left="1560" w:right="1120"/>
        </w:sectPr>
      </w:pPr>
    </w:p>
    <w:p>
      <w:pPr>
        <w:spacing w:line="240" w:lineRule="auto" w:before="3"/>
        <w:rPr>
          <w:rFonts w:ascii="宋体" w:hAnsi="宋体" w:cs="宋体" w:eastAsia="宋体" w:hint="default"/>
          <w:sz w:val="25"/>
          <w:szCs w:val="25"/>
        </w:rPr>
      </w:pPr>
    </w:p>
    <w:p>
      <w:pPr>
        <w:pStyle w:val="BodyText"/>
        <w:spacing w:line="240" w:lineRule="auto" w:before="35"/>
        <w:ind w:left="221" w:right="84"/>
        <w:jc w:val="left"/>
      </w:pPr>
      <w:r>
        <w:rPr/>
        <w:t>无</w:t>
      </w:r>
    </w:p>
    <w:p>
      <w:pPr>
        <w:spacing w:line="240" w:lineRule="auto" w:before="7"/>
        <w:rPr>
          <w:rFonts w:ascii="宋体" w:hAnsi="宋体" w:cs="宋体" w:eastAsia="宋体" w:hint="default"/>
          <w:sz w:val="22"/>
          <w:szCs w:val="22"/>
        </w:rPr>
      </w:pPr>
    </w:p>
    <w:p>
      <w:pPr>
        <w:pStyle w:val="Heading2"/>
        <w:tabs>
          <w:tab w:pos="1061" w:val="left" w:leader="none"/>
        </w:tabs>
        <w:spacing w:line="240" w:lineRule="auto"/>
        <w:ind w:right="84"/>
        <w:jc w:val="left"/>
        <w:rPr>
          <w:b w:val="0"/>
          <w:bCs w:val="0"/>
        </w:rPr>
      </w:pPr>
      <w:r>
        <w:rPr>
          <w:w w:val="95"/>
        </w:rPr>
        <w:t>(4).</w:t>
        <w:tab/>
      </w:r>
      <w:r>
        <w:rPr/>
        <w:t>支付的其他与筹资活动有关的现金</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3384"/>
        <w:gridCol w:w="2894"/>
        <w:gridCol w:w="2711"/>
      </w:tblGrid>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72"/>
              <w:jc w:val="right"/>
              <w:rPr>
                <w:rFonts w:ascii="宋体" w:hAnsi="宋体" w:cs="宋体" w:eastAsia="宋体" w:hint="default"/>
                <w:sz w:val="21"/>
                <w:szCs w:val="21"/>
              </w:rPr>
            </w:pPr>
            <w:r>
              <w:rPr>
                <w:rFonts w:ascii="宋体" w:hAnsi="宋体" w:cs="宋体" w:eastAsia="宋体" w:hint="default"/>
                <w:sz w:val="21"/>
                <w:szCs w:val="21"/>
              </w:rPr>
              <w:t>项目</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支付票据保证金</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21,427,913.82</w:t>
            </w:r>
          </w:p>
        </w:tc>
        <w:tc>
          <w:tcPr>
            <w:tcW w:w="271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IPO费用</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2,453,167.00</w:t>
            </w:r>
          </w:p>
        </w:tc>
        <w:tc>
          <w:tcPr>
            <w:tcW w:w="271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71"/>
              <w:jc w:val="right"/>
              <w:rPr>
                <w:rFonts w:ascii="宋体" w:hAnsi="宋体" w:cs="宋体" w:eastAsia="宋体" w:hint="default"/>
                <w:sz w:val="21"/>
                <w:szCs w:val="21"/>
              </w:rPr>
            </w:pPr>
            <w:r>
              <w:rPr>
                <w:rFonts w:ascii="宋体" w:hAnsi="宋体" w:cs="宋体" w:eastAsia="宋体" w:hint="default"/>
                <w:sz w:val="21"/>
                <w:szCs w:val="21"/>
              </w:rPr>
              <w:t>合计</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23,881,080.82</w:t>
            </w:r>
          </w:p>
        </w:tc>
        <w:tc>
          <w:tcPr>
            <w:tcW w:w="271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90" w:lineRule="auto" w:before="26"/>
        <w:ind w:left="221" w:right="5363"/>
        <w:jc w:val="left"/>
      </w:pPr>
      <w:r>
        <w:rPr/>
        <w:t>支付的其他与筹资活动有关的现金说明： 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7" w:top="1120" w:bottom="1160" w:left="1480" w:right="1040"/>
        </w:sectPr>
      </w:pPr>
    </w:p>
    <w:p>
      <w:pPr>
        <w:pStyle w:val="Heading2"/>
        <w:spacing w:line="290" w:lineRule="auto"/>
        <w:ind w:right="-16"/>
        <w:jc w:val="left"/>
        <w:rPr>
          <w:b w:val="0"/>
          <w:bCs w:val="0"/>
        </w:rPr>
      </w:pPr>
      <w:r>
        <w:rPr/>
        <w:t>43、</w:t>
      </w:r>
      <w:r>
        <w:rPr>
          <w:spacing w:val="-27"/>
        </w:rPr>
        <w:t> </w:t>
      </w:r>
      <w:r>
        <w:rPr/>
        <w:t>现金流量表补充资料</w:t>
      </w:r>
      <w:r>
        <w:rPr>
          <w:spacing w:val="1"/>
          <w:w w:val="99"/>
        </w:rPr>
        <w:t> </w:t>
      </w:r>
      <w:r>
        <w:rPr/>
        <w:t>(1)</w:t>
      </w:r>
      <w:r>
        <w:rPr>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2624" w:space="3995"/>
            <w:col w:w="277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256"/>
        <w:gridCol w:w="1888"/>
        <w:gridCol w:w="2002"/>
      </w:tblGrid>
      <w:tr>
        <w:trPr>
          <w:trHeight w:val="349"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1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7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50"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1888" w:type="dxa"/>
            <w:tcBorders>
              <w:top w:val="single" w:sz="4" w:space="0" w:color="000000"/>
              <w:left w:val="single" w:sz="4" w:space="0" w:color="000000"/>
              <w:bottom w:val="single" w:sz="6" w:space="0" w:color="000000"/>
              <w:right w:val="single" w:sz="6" w:space="0" w:color="000000"/>
            </w:tcBorders>
          </w:tcPr>
          <w:p>
            <w:pPr/>
          </w:p>
        </w:tc>
        <w:tc>
          <w:tcPr>
            <w:tcW w:w="2002" w:type="dxa"/>
            <w:tcBorders>
              <w:top w:val="single" w:sz="4"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86,165,790.13</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78,958,436.90</w:t>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2,768,042.37</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3,197,594.56</w:t>
            </w:r>
            <w:r>
              <w:rPr>
                <w:rFonts w:ascii="宋体"/>
                <w:sz w:val="21"/>
              </w:rPr>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100"/>
              <w:jc w:val="right"/>
              <w:rPr>
                <w:rFonts w:ascii="宋体" w:hAnsi="宋体" w:cs="宋体" w:eastAsia="宋体" w:hint="default"/>
                <w:sz w:val="21"/>
                <w:szCs w:val="21"/>
              </w:rPr>
            </w:pPr>
            <w:r>
              <w:rPr>
                <w:rFonts w:ascii="宋体"/>
                <w:spacing w:val="-1"/>
                <w:sz w:val="21"/>
              </w:rPr>
              <w:t>4,888,333.92</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1,590,336.87</w:t>
            </w:r>
            <w:r>
              <w:rPr>
                <w:rFonts w:ascii="宋体"/>
                <w:sz w:val="21"/>
              </w:rPr>
            </w:r>
          </w:p>
        </w:tc>
      </w:tr>
      <w:tr>
        <w:trPr>
          <w:trHeight w:val="354"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100"/>
              <w:jc w:val="right"/>
              <w:rPr>
                <w:rFonts w:ascii="宋体" w:hAnsi="宋体" w:cs="宋体" w:eastAsia="宋体" w:hint="default"/>
                <w:sz w:val="21"/>
                <w:szCs w:val="21"/>
              </w:rPr>
            </w:pPr>
            <w:r>
              <w:rPr>
                <w:rFonts w:ascii="宋体"/>
                <w:spacing w:val="-1"/>
                <w:sz w:val="21"/>
              </w:rPr>
              <w:t>5,977,358.44</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4,009,902.11</w:t>
            </w:r>
            <w:r>
              <w:rPr>
                <w:rFonts w:ascii="宋体"/>
                <w:sz w:val="21"/>
              </w:rPr>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1,147,828.81</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1,051,956.49</w:t>
            </w:r>
            <w:r>
              <w:rPr>
                <w:rFonts w:ascii="宋体"/>
                <w:sz w:val="21"/>
              </w:rPr>
            </w:r>
          </w:p>
        </w:tc>
      </w:tr>
      <w:tr>
        <w:trPr>
          <w:trHeight w:val="560"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pacing w:val="-1"/>
                <w:sz w:val="21"/>
              </w:rPr>
              <w:t>72,267.30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pacing w:val="-1"/>
                <w:sz w:val="21"/>
              </w:rPr>
              <w:t>10,762.27</w:t>
            </w:r>
          </w:p>
        </w:tc>
      </w:tr>
      <w:tr>
        <w:trPr>
          <w:trHeight w:val="354"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82,333.34</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-987,116.74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944.40</w:t>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-1,881,221.96</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-3,490,922.23</w:t>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100"/>
              <w:jc w:val="right"/>
              <w:rPr>
                <w:rFonts w:ascii="宋体" w:hAnsi="宋体" w:cs="宋体" w:eastAsia="宋体" w:hint="default"/>
                <w:sz w:val="21"/>
                <w:szCs w:val="21"/>
              </w:rPr>
            </w:pPr>
            <w:r>
              <w:rPr>
                <w:rFonts w:ascii="宋体"/>
                <w:spacing w:val="-1"/>
                <w:sz w:val="21"/>
              </w:rPr>
              <w:t>-57,728,675.41</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-34,618,961.91</w:t>
            </w:r>
            <w:r>
              <w:rPr>
                <w:rFonts w:ascii="宋体"/>
                <w:sz w:val="21"/>
              </w:rPr>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14,797,220.14</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-15,159,624.16</w:t>
            </w:r>
            <w:r>
              <w:rPr>
                <w:rFonts w:ascii="宋体"/>
                <w:sz w:val="21"/>
              </w:rPr>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49,348,407.56</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65,010,674.38</w:t>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104,650,567.90</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100,561,099.68</w:t>
            </w:r>
            <w:r>
              <w:rPr>
                <w:rFonts w:ascii="宋体"/>
                <w:sz w:val="21"/>
              </w:rPr>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576,577,893.01</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159,179,522.54</w:t>
            </w:r>
            <w:r>
              <w:rPr>
                <w:rFonts w:ascii="宋体"/>
                <w:sz w:val="21"/>
              </w:rPr>
            </w: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100"/>
              <w:jc w:val="right"/>
              <w:rPr>
                <w:rFonts w:ascii="宋体" w:hAnsi="宋体" w:cs="宋体" w:eastAsia="宋体" w:hint="default"/>
                <w:sz w:val="21"/>
                <w:szCs w:val="21"/>
              </w:rPr>
            </w:pPr>
            <w:r>
              <w:rPr>
                <w:rFonts w:ascii="宋体"/>
                <w:spacing w:val="-1"/>
                <w:sz w:val="21"/>
              </w:rPr>
              <w:t>159,179,522.54</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121,026,603.47</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5256"/>
        <w:gridCol w:w="1888"/>
        <w:gridCol w:w="2002"/>
      </w:tblGrid>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88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304" w:right="0"/>
              <w:jc w:val="left"/>
              <w:rPr>
                <w:rFonts w:ascii="宋体" w:hAnsi="宋体" w:cs="宋体" w:eastAsia="宋体" w:hint="default"/>
                <w:sz w:val="21"/>
                <w:szCs w:val="21"/>
              </w:rPr>
            </w:pPr>
            <w:r>
              <w:rPr>
                <w:rFonts w:ascii="宋体"/>
                <w:sz w:val="21"/>
              </w:rPr>
              <w:t>417,398,370.47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22" w:right="0"/>
              <w:jc w:val="left"/>
              <w:rPr>
                <w:rFonts w:ascii="宋体" w:hAnsi="宋体" w:cs="宋体" w:eastAsia="宋体" w:hint="default"/>
                <w:sz w:val="21"/>
                <w:szCs w:val="21"/>
              </w:rPr>
            </w:pPr>
            <w:r>
              <w:rPr>
                <w:rFonts w:ascii="宋体"/>
                <w:sz w:val="21"/>
              </w:rPr>
              <w:t>38,152,919.07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2"/>
        <w:spacing w:line="240" w:lineRule="auto"/>
        <w:ind w:right="84"/>
        <w:jc w:val="left"/>
        <w:rPr>
          <w:b w:val="0"/>
          <w:bCs w:val="0"/>
        </w:rPr>
      </w:pPr>
      <w:r>
        <w:rPr/>
        <w:t>(2)</w:t>
      </w:r>
      <w:r>
        <w:rPr>
          <w:spacing w:val="-4"/>
        </w:rPr>
        <w:t> </w:t>
      </w:r>
      <w:r>
        <w:rPr/>
        <w:t>现金和现金等价物的构成</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412"/>
        <w:gridCol w:w="1704"/>
        <w:gridCol w:w="1949"/>
      </w:tblGrid>
      <w:tr>
        <w:trPr>
          <w:trHeight w:val="294"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7"/>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576,577,893.01</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159,179,522.54</w:t>
            </w:r>
            <w:r>
              <w:rPr>
                <w:rFonts w:ascii="宋体"/>
                <w:sz w:val="21"/>
              </w:rPr>
            </w: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55,661.90</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48,415.80</w:t>
            </w:r>
            <w:r>
              <w:rPr>
                <w:rFonts w:ascii="宋体"/>
                <w:sz w:val="21"/>
              </w:rPr>
            </w: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576,522,231.11</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159,131,106.74</w:t>
            </w:r>
            <w:r>
              <w:rPr>
                <w:rFonts w:ascii="宋体"/>
                <w:sz w:val="21"/>
              </w:rPr>
            </w: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576,577,893.01</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159,179,522.54</w:t>
            </w:r>
            <w:r>
              <w:rPr>
                <w:rFonts w:ascii="宋体"/>
                <w:sz w:val="21"/>
              </w:rPr>
            </w:r>
          </w:p>
        </w:tc>
      </w:tr>
      <w:tr>
        <w:trPr>
          <w:trHeight w:val="554" w:hRule="exact"/>
        </w:trPr>
        <w:tc>
          <w:tcPr>
            <w:tcW w:w="5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其中：母公司或集团内子公司使用受限制的现金和现金等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价物</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right="84"/>
        <w:jc w:val="left"/>
        <w:rPr>
          <w:b w:val="0"/>
          <w:bCs w:val="0"/>
        </w:rPr>
      </w:pPr>
      <w:r>
        <w:rPr/>
        <w:t>44、</w:t>
      </w:r>
      <w:r>
        <w:rPr>
          <w:spacing w:val="-28"/>
        </w:rPr>
        <w:t> </w:t>
      </w:r>
      <w:r>
        <w:rPr/>
        <w:t>所有权或使用权受到限制的资产</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896"/>
        <w:gridCol w:w="2579"/>
        <w:gridCol w:w="3439"/>
      </w:tblGrid>
      <w:tr>
        <w:trPr>
          <w:trHeight w:val="28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1"/>
              <w:jc w:val="right"/>
              <w:rPr>
                <w:rFonts w:ascii="宋体" w:hAnsi="宋体" w:cs="宋体" w:eastAsia="宋体" w:hint="default"/>
                <w:sz w:val="21"/>
                <w:szCs w:val="21"/>
              </w:rPr>
            </w:pPr>
            <w:r>
              <w:rPr>
                <w:rFonts w:ascii="宋体" w:hAnsi="宋体" w:cs="宋体" w:eastAsia="宋体" w:hint="default"/>
                <w:sz w:val="21"/>
                <w:szCs w:val="21"/>
              </w:rPr>
              <w:t>项目</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8"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39,454,611.47</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银行汇票保证金及银行保函保证金</w:t>
            </w:r>
          </w:p>
        </w:tc>
      </w:tr>
      <w:tr>
        <w:trPr>
          <w:trHeight w:val="407"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79" w:type="dxa"/>
            <w:tcBorders>
              <w:top w:val="single" w:sz="4" w:space="0" w:color="000000"/>
              <w:left w:val="single" w:sz="4" w:space="0" w:color="000000"/>
              <w:bottom w:val="single" w:sz="4" w:space="0" w:color="000000"/>
              <w:right w:val="single" w:sz="4" w:space="0" w:color="000000"/>
            </w:tcBorders>
          </w:tcPr>
          <w:p>
            <w:pPr/>
          </w:p>
        </w:tc>
        <w:tc>
          <w:tcPr>
            <w:tcW w:w="343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579" w:type="dxa"/>
            <w:tcBorders>
              <w:top w:val="single" w:sz="4" w:space="0" w:color="000000"/>
              <w:left w:val="single" w:sz="4" w:space="0" w:color="000000"/>
              <w:bottom w:val="single" w:sz="4" w:space="0" w:color="000000"/>
              <w:right w:val="single" w:sz="4" w:space="0" w:color="000000"/>
            </w:tcBorders>
          </w:tcPr>
          <w:p>
            <w:pPr/>
          </w:p>
        </w:tc>
        <w:tc>
          <w:tcPr>
            <w:tcW w:w="3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65,071,296.83</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号楼银行授信抵押、产权</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证正在办理</w:t>
            </w:r>
          </w:p>
        </w:tc>
      </w:tr>
      <w:tr>
        <w:trPr>
          <w:trHeight w:val="557" w:hRule="exact"/>
        </w:trPr>
        <w:tc>
          <w:tcPr>
            <w:tcW w:w="289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21,745,037.36</w:t>
            </w:r>
          </w:p>
        </w:tc>
        <w:tc>
          <w:tcPr>
            <w:tcW w:w="3439"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号楼土地使用权银行授信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560" w:hRule="exact"/>
        </w:trPr>
        <w:tc>
          <w:tcPr>
            <w:tcW w:w="2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35,532,004.18</w:t>
            </w:r>
          </w:p>
        </w:tc>
        <w:tc>
          <w:tcPr>
            <w:tcW w:w="34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号楼银行授信抵押、产权</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证正在办理</w:t>
            </w:r>
          </w:p>
        </w:tc>
      </w:tr>
      <w:tr>
        <w:trPr>
          <w:trHeight w:val="41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30"/>
              <w:jc w:val="right"/>
              <w:rPr>
                <w:rFonts w:ascii="宋体" w:hAnsi="宋体" w:cs="宋体" w:eastAsia="宋体" w:hint="default"/>
                <w:sz w:val="21"/>
                <w:szCs w:val="21"/>
              </w:rPr>
            </w:pPr>
            <w:r>
              <w:rPr>
                <w:rFonts w:ascii="宋体" w:hAnsi="宋体" w:cs="宋体" w:eastAsia="宋体" w:hint="default"/>
                <w:sz w:val="21"/>
                <w:szCs w:val="21"/>
              </w:rPr>
              <w:t>合计</w:t>
            </w:r>
          </w:p>
        </w:tc>
        <w:tc>
          <w:tcPr>
            <w:tcW w:w="257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161,802,949.84</w:t>
            </w:r>
          </w:p>
        </w:tc>
        <w:tc>
          <w:tcPr>
            <w:tcW w:w="343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sz w:val="21"/>
              </w:rPr>
              <w:t>/</w:t>
            </w:r>
          </w:p>
        </w:tc>
      </w:tr>
    </w:tbl>
    <w:p>
      <w:pPr>
        <w:pStyle w:val="BodyText"/>
        <w:spacing w:line="240" w:lineRule="auto" w:before="24"/>
        <w:ind w:left="221" w:right="84"/>
        <w:jc w:val="left"/>
      </w:pPr>
      <w:r>
        <w:rPr/>
        <w:t>其他说明：</w:t>
      </w:r>
    </w:p>
    <w:p>
      <w:pPr>
        <w:pStyle w:val="BodyText"/>
        <w:spacing w:line="240" w:lineRule="auto" w:before="135"/>
        <w:ind w:left="641" w:right="84"/>
        <w:jc w:val="left"/>
      </w:pPr>
      <w:r>
        <w:rPr/>
        <w:t>2014</w:t>
      </w:r>
      <w:r>
        <w:rPr>
          <w:spacing w:val="-42"/>
        </w:rPr>
        <w:t> </w:t>
      </w:r>
      <w:r>
        <w:rPr/>
        <w:t>年</w:t>
      </w:r>
      <w:r>
        <w:rPr>
          <w:spacing w:val="-43"/>
        </w:rPr>
        <w:t> </w:t>
      </w:r>
      <w:r>
        <w:rPr/>
        <w:t>12</w:t>
      </w:r>
      <w:r>
        <w:rPr>
          <w:spacing w:val="-43"/>
        </w:rPr>
        <w:t> </w:t>
      </w:r>
      <w:r>
        <w:rPr/>
        <w:t>月</w:t>
      </w:r>
      <w:r>
        <w:rPr>
          <w:spacing w:val="-43"/>
        </w:rPr>
        <w:t> </w:t>
      </w:r>
      <w:r>
        <w:rPr/>
        <w:t>11</w:t>
      </w:r>
      <w:r>
        <w:rPr>
          <w:spacing w:val="-42"/>
        </w:rPr>
        <w:t> </w:t>
      </w:r>
      <w:r>
        <w:rPr/>
        <w:t>日，公司与中国光大银行股份有限公司泉州分行签定的综合授信协议，授信</w:t>
      </w:r>
    </w:p>
    <w:p>
      <w:pPr>
        <w:pStyle w:val="BodyText"/>
        <w:spacing w:line="240" w:lineRule="auto" w:before="85"/>
        <w:ind w:left="221" w:right="84"/>
        <w:jc w:val="left"/>
      </w:pPr>
      <w:r>
        <w:rPr/>
        <w:t>编号为</w:t>
      </w:r>
      <w:r>
        <w:rPr>
          <w:spacing w:val="-48"/>
        </w:rPr>
        <w:t> </w:t>
      </w:r>
      <w:r>
        <w:rPr/>
        <w:t>QZEZ13032，最高授信额度人民币</w:t>
      </w:r>
      <w:r>
        <w:rPr>
          <w:spacing w:val="-48"/>
        </w:rPr>
        <w:t> </w:t>
      </w:r>
      <w:r>
        <w:rPr/>
        <w:t>12,500.00</w:t>
      </w:r>
      <w:r>
        <w:rPr>
          <w:spacing w:val="-47"/>
        </w:rPr>
        <w:t> </w:t>
      </w:r>
      <w:r>
        <w:rPr/>
        <w:t>万元整，有效使用期限为</w:t>
      </w:r>
      <w:r>
        <w:rPr>
          <w:spacing w:val="-48"/>
        </w:rPr>
        <w:t> </w:t>
      </w:r>
      <w:r>
        <w:rPr/>
        <w:t>2014</w:t>
      </w:r>
      <w:r>
        <w:rPr>
          <w:spacing w:val="-47"/>
        </w:rPr>
        <w:t> </w:t>
      </w:r>
      <w:r>
        <w:rPr/>
        <w:t>年</w:t>
      </w:r>
      <w:r>
        <w:rPr>
          <w:spacing w:val="-49"/>
        </w:rPr>
        <w:t> </w:t>
      </w:r>
      <w:r>
        <w:rPr/>
        <w:t>12</w:t>
      </w:r>
      <w:r>
        <w:rPr>
          <w:spacing w:val="-47"/>
        </w:rPr>
        <w:t> </w:t>
      </w:r>
      <w:r>
        <w:rPr/>
        <w:t>月</w:t>
      </w:r>
      <w:r>
        <w:rPr>
          <w:spacing w:val="-49"/>
        </w:rPr>
        <w:t> </w:t>
      </w:r>
      <w:r>
        <w:rPr/>
        <w:t>12</w:t>
      </w:r>
      <w:r>
        <w:rPr>
          <w:spacing w:val="-47"/>
        </w:rPr>
        <w:t> </w:t>
      </w:r>
      <w:r>
        <w:rPr/>
        <w:t>日</w:t>
      </w:r>
    </w:p>
    <w:p>
      <w:pPr>
        <w:pStyle w:val="BodyText"/>
        <w:spacing w:line="314" w:lineRule="auto" w:before="85"/>
        <w:ind w:left="221" w:right="84"/>
        <w:jc w:val="left"/>
      </w:pPr>
      <w:r>
        <w:rPr/>
        <w:t>至</w:t>
      </w:r>
      <w:r>
        <w:rPr>
          <w:spacing w:val="-59"/>
        </w:rPr>
        <w:t> </w:t>
      </w:r>
      <w:r>
        <w:rPr/>
        <w:t>2015</w:t>
      </w:r>
      <w:r>
        <w:rPr>
          <w:spacing w:val="-58"/>
        </w:rPr>
        <w:t> </w:t>
      </w:r>
      <w:r>
        <w:rPr/>
        <w:t>年</w:t>
      </w:r>
      <w:r>
        <w:rPr>
          <w:spacing w:val="-59"/>
        </w:rPr>
        <w:t> </w:t>
      </w:r>
      <w:r>
        <w:rPr/>
        <w:t>12</w:t>
      </w:r>
      <w:r>
        <w:rPr>
          <w:spacing w:val="-58"/>
        </w:rPr>
        <w:t> </w:t>
      </w:r>
      <w:r>
        <w:rPr/>
        <w:t>月</w:t>
      </w:r>
      <w:r>
        <w:rPr>
          <w:spacing w:val="-60"/>
        </w:rPr>
        <w:t> </w:t>
      </w:r>
      <w:r>
        <w:rPr/>
        <w:t>11</w:t>
      </w:r>
      <w:r>
        <w:rPr>
          <w:spacing w:val="-58"/>
        </w:rPr>
        <w:t> </w:t>
      </w:r>
      <w:r>
        <w:rPr/>
        <w:t>日，并以公司拥有的泉州丰泽区法石段沿海大通道北侧南威大厦</w:t>
      </w:r>
      <w:r>
        <w:rPr>
          <w:spacing w:val="-59"/>
        </w:rPr>
        <w:t> </w:t>
      </w:r>
      <w:r>
        <w:rPr/>
        <w:t>2#楼的土地使</w:t>
      </w:r>
      <w:r>
        <w:rPr/>
        <w:t> 用权及其房屋作为抵押担保，同日并与该行签定最高额抵押合同，抵押合同编号为</w:t>
      </w:r>
      <w:r>
        <w:rPr>
          <w:spacing w:val="-67"/>
        </w:rPr>
        <w:t> </w:t>
      </w:r>
      <w:r>
        <w:rPr/>
        <w:t>QZMZ14038</w:t>
      </w:r>
      <w:r>
        <w:rPr>
          <w:spacing w:val="-67"/>
        </w:rPr>
        <w:t> </w:t>
      </w:r>
      <w:r>
        <w:rPr/>
        <w:t>号，</w:t>
      </w:r>
      <w:r>
        <w:rPr>
          <w:spacing w:val="-1"/>
        </w:rPr>
        <w:t> </w:t>
      </w:r>
      <w:r>
        <w:rPr/>
        <w:t>最高抵押额度人民币</w:t>
      </w:r>
      <w:r>
        <w:rPr>
          <w:spacing w:val="-72"/>
        </w:rPr>
        <w:t> </w:t>
      </w:r>
      <w:r>
        <w:rPr/>
        <w:t>9,802.00</w:t>
      </w:r>
      <w:r>
        <w:rPr>
          <w:spacing w:val="-71"/>
        </w:rPr>
        <w:t> </w:t>
      </w:r>
      <w:r>
        <w:rPr/>
        <w:t>万元整，抵押期限到被担保债务全部清偿为止。</w:t>
      </w:r>
    </w:p>
    <w:p>
      <w:pPr>
        <w:spacing w:after="0" w:line="314" w:lineRule="auto"/>
        <w:jc w:val="left"/>
        <w:sectPr>
          <w:pgSz w:w="11910" w:h="16840"/>
          <w:pgMar w:header="0" w:footer="977" w:top="1120" w:bottom="1160" w:left="1480" w:right="1040"/>
        </w:sectPr>
      </w:pPr>
    </w:p>
    <w:p>
      <w:pPr>
        <w:spacing w:line="240" w:lineRule="auto" w:before="3"/>
        <w:rPr>
          <w:rFonts w:ascii="宋体" w:hAnsi="宋体" w:cs="宋体" w:eastAsia="宋体" w:hint="default"/>
          <w:sz w:val="25"/>
          <w:szCs w:val="25"/>
        </w:rPr>
      </w:pPr>
    </w:p>
    <w:p>
      <w:pPr>
        <w:pStyle w:val="Heading2"/>
        <w:spacing w:line="290" w:lineRule="auto"/>
        <w:ind w:right="7147" w:hanging="1"/>
        <w:jc w:val="left"/>
        <w:rPr>
          <w:b w:val="0"/>
          <w:bCs w:val="0"/>
        </w:rPr>
      </w:pPr>
      <w:r>
        <w:rPr/>
        <w:t>八、合并范围的变更</w:t>
      </w:r>
      <w:r>
        <w:rPr>
          <w:w w:val="99"/>
        </w:rPr>
        <w:t> </w:t>
      </w:r>
      <w:r>
        <w:rPr/>
        <w:t>1、</w:t>
      </w:r>
      <w:r>
        <w:rPr>
          <w:spacing w:val="-5"/>
        </w:rPr>
        <w:t> </w:t>
      </w:r>
      <w:r>
        <w:rPr/>
        <w:t>处置子公司</w:t>
      </w:r>
      <w:r>
        <w:rPr>
          <w:b w:val="0"/>
          <w:bCs w:val="0"/>
        </w:rPr>
      </w:r>
    </w:p>
    <w:p>
      <w:pPr>
        <w:pStyle w:val="BodyText"/>
        <w:spacing w:line="274" w:lineRule="exact" w:before="13"/>
        <w:ind w:left="221" w:right="227"/>
        <w:jc w:val="left"/>
      </w:pPr>
      <w:r>
        <w:rPr/>
        <w:t>是否存在单次处置对子公司投资即丧失控制权的情形</w:t>
      </w:r>
    </w:p>
    <w:p>
      <w:pPr>
        <w:pStyle w:val="BodyText"/>
        <w:spacing w:line="274" w:lineRule="exact" w:before="0"/>
        <w:ind w:left="221" w:right="227"/>
        <w:jc w:val="left"/>
      </w:pPr>
      <w:r>
        <w:rPr/>
        <w:t>□适用√不适用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74" w:lineRule="exact" w:before="0"/>
        <w:ind w:left="221" w:right="227"/>
        <w:jc w:val="left"/>
      </w:pPr>
      <w:r>
        <w:rPr/>
        <w:t>是否存在通过多次交易分步处置对子公司投资且在本期丧失控制权的情形</w:t>
      </w:r>
    </w:p>
    <w:p>
      <w:pPr>
        <w:pStyle w:val="BodyText"/>
        <w:spacing w:line="274" w:lineRule="exact" w:before="0"/>
        <w:ind w:left="221" w:right="227"/>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before="0"/>
        <w:ind w:left="221" w:right="227"/>
        <w:jc w:val="left"/>
      </w:pPr>
      <w:r>
        <w:rPr/>
        <w:t>一揽子交易</w:t>
      </w:r>
    </w:p>
    <w:p>
      <w:pPr>
        <w:pStyle w:val="BodyText"/>
        <w:spacing w:line="274" w:lineRule="exact" w:before="0"/>
        <w:ind w:left="221" w:right="227"/>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74" w:lineRule="exact" w:before="0"/>
        <w:ind w:left="221" w:right="227"/>
        <w:jc w:val="left"/>
      </w:pPr>
      <w:r>
        <w:rPr/>
        <w:t>非一揽子交易</w:t>
      </w:r>
    </w:p>
    <w:p>
      <w:pPr>
        <w:pStyle w:val="BodyText"/>
        <w:spacing w:line="274" w:lineRule="exact" w:before="0"/>
        <w:ind w:left="221" w:right="227"/>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290" w:lineRule="auto" w:before="0"/>
        <w:ind w:left="221" w:right="106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40" w:lineRule="auto" w:before="31"/>
        <w:ind w:left="641" w:right="0"/>
        <w:jc w:val="left"/>
      </w:pPr>
      <w:r>
        <w:rPr/>
        <w:t>除附注“九、在其他主体中的权益之</w:t>
      </w:r>
      <w:r>
        <w:rPr>
          <w:spacing w:val="-59"/>
        </w:rPr>
        <w:t> </w:t>
      </w:r>
      <w:r>
        <w:rPr/>
        <w:t>1、在子公司中的权益”中所述</w:t>
      </w:r>
      <w:r>
        <w:rPr>
          <w:spacing w:val="-59"/>
        </w:rPr>
        <w:t> </w:t>
      </w:r>
      <w:r>
        <w:rPr/>
        <w:t>2014</w:t>
      </w:r>
      <w:r>
        <w:rPr>
          <w:spacing w:val="-58"/>
        </w:rPr>
        <w:t> </w:t>
      </w:r>
      <w:r>
        <w:rPr/>
        <w:t>年</w:t>
      </w:r>
      <w:r>
        <w:rPr>
          <w:spacing w:val="-60"/>
        </w:rPr>
        <w:t> </w:t>
      </w:r>
      <w:r>
        <w:rPr/>
        <w:t>6</w:t>
      </w:r>
      <w:r>
        <w:rPr>
          <w:spacing w:val="-58"/>
        </w:rPr>
        <w:t> </w:t>
      </w:r>
      <w:r>
        <w:rPr/>
        <w:t>月</w:t>
      </w:r>
      <w:r>
        <w:rPr>
          <w:spacing w:val="-60"/>
        </w:rPr>
        <w:t> </w:t>
      </w:r>
      <w:r>
        <w:rPr/>
        <w:t>5</w:t>
      </w:r>
      <w:r>
        <w:rPr>
          <w:spacing w:val="-58"/>
        </w:rPr>
        <w:t> </w:t>
      </w:r>
      <w:r>
        <w:rPr/>
        <w:t>日注册成</w:t>
      </w:r>
    </w:p>
    <w:p>
      <w:pPr>
        <w:pStyle w:val="BodyText"/>
        <w:spacing w:line="314" w:lineRule="auto" w:before="85"/>
        <w:ind w:left="221" w:right="117"/>
        <w:jc w:val="left"/>
      </w:pPr>
      <w:r>
        <w:rPr/>
        <w:t>立的南平南威软件有限公司、2014</w:t>
      </w:r>
      <w:r>
        <w:rPr>
          <w:spacing w:val="-63"/>
        </w:rPr>
        <w:t> </w:t>
      </w:r>
      <w:r>
        <w:rPr/>
        <w:t>年</w:t>
      </w:r>
      <w:r>
        <w:rPr>
          <w:spacing w:val="-63"/>
        </w:rPr>
        <w:t> </w:t>
      </w:r>
      <w:r>
        <w:rPr/>
        <w:t>8</w:t>
      </w:r>
      <w:r>
        <w:rPr>
          <w:spacing w:val="-62"/>
        </w:rPr>
        <w:t> </w:t>
      </w:r>
      <w:r>
        <w:rPr/>
        <w:t>月</w:t>
      </w:r>
      <w:r>
        <w:rPr>
          <w:spacing w:val="-64"/>
        </w:rPr>
        <w:t> </w:t>
      </w:r>
      <w:r>
        <w:rPr/>
        <w:t>11</w:t>
      </w:r>
      <w:r>
        <w:rPr>
          <w:spacing w:val="-62"/>
        </w:rPr>
        <w:t> </w:t>
      </w:r>
      <w:r>
        <w:rPr/>
        <w:t>日注册成立海南科特尔科技有限公司外，报告期内无</w:t>
      </w:r>
      <w:r>
        <w:rPr/>
        <w:t> 新设子公司。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2"/>
        <w:tabs>
          <w:tab w:pos="865" w:val="left" w:leader="none"/>
        </w:tabs>
        <w:spacing w:line="290" w:lineRule="auto" w:before="0"/>
        <w:ind w:right="6737"/>
        <w:jc w:val="left"/>
        <w:rPr>
          <w:b w:val="0"/>
          <w:bCs w:val="0"/>
        </w:rPr>
      </w:pPr>
      <w:r>
        <w:rPr/>
        <w:t>九、在其他主体中的权益</w:t>
      </w:r>
      <w:r>
        <w:rPr>
          <w:spacing w:val="1"/>
          <w:w w:val="99"/>
        </w:rPr>
        <w:t> </w:t>
      </w:r>
      <w:r>
        <w:rPr/>
        <w:t>1、</w:t>
      </w:r>
      <w:r>
        <w:rPr>
          <w:spacing w:val="-4"/>
        </w:rPr>
        <w:t> </w:t>
      </w:r>
      <w:r>
        <w:rPr/>
        <w:t>在子公司中的权益</w:t>
      </w:r>
      <w:r>
        <w:rPr>
          <w:spacing w:val="1"/>
          <w:w w:val="99"/>
        </w:rPr>
        <w:t> </w:t>
      </w:r>
      <w:r>
        <w:rPr>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8" w:type="dxa"/>
        <w:tblLayout w:type="fixed"/>
        <w:tblCellMar>
          <w:top w:w="0" w:type="dxa"/>
          <w:left w:w="0" w:type="dxa"/>
          <w:bottom w:w="0" w:type="dxa"/>
          <w:right w:w="0" w:type="dxa"/>
        </w:tblCellMar>
        <w:tblLook w:val="01E0"/>
      </w:tblPr>
      <w:tblGrid>
        <w:gridCol w:w="3214"/>
        <w:gridCol w:w="1052"/>
        <w:gridCol w:w="862"/>
        <w:gridCol w:w="1116"/>
        <w:gridCol w:w="956"/>
        <w:gridCol w:w="814"/>
        <w:gridCol w:w="835"/>
      </w:tblGrid>
      <w:tr>
        <w:trPr>
          <w:trHeight w:val="284" w:hRule="exact"/>
        </w:trPr>
        <w:tc>
          <w:tcPr>
            <w:tcW w:w="3214" w:type="dxa"/>
            <w:vMerge w:val="restart"/>
            <w:tcBorders>
              <w:top w:val="single" w:sz="4" w:space="0" w:color="000000"/>
              <w:left w:val="single" w:sz="4" w:space="0" w:color="000000"/>
              <w:right w:val="single" w:sz="6" w:space="0" w:color="000000"/>
            </w:tcBorders>
          </w:tcPr>
          <w:p>
            <w:pPr>
              <w:pStyle w:val="TableParagraph"/>
              <w:spacing w:line="240" w:lineRule="auto" w:before="111"/>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052" w:type="dxa"/>
            <w:vMerge w:val="restart"/>
            <w:tcBorders>
              <w:top w:val="single" w:sz="4" w:space="0" w:color="000000"/>
              <w:left w:val="single" w:sz="6" w:space="0" w:color="000000"/>
              <w:right w:val="single" w:sz="6" w:space="0" w:color="000000"/>
            </w:tcBorders>
          </w:tcPr>
          <w:p>
            <w:pPr>
              <w:pStyle w:val="TableParagraph"/>
              <w:spacing w:line="272" w:lineRule="exact" w:before="3"/>
              <w:ind w:left="308" w:right="203" w:hanging="106"/>
              <w:jc w:val="left"/>
              <w:rPr>
                <w:rFonts w:ascii="宋体" w:hAnsi="宋体" w:cs="宋体" w:eastAsia="宋体" w:hint="default"/>
                <w:sz w:val="21"/>
                <w:szCs w:val="21"/>
              </w:rPr>
            </w:pPr>
            <w:r>
              <w:rPr>
                <w:rFonts w:ascii="宋体" w:hAnsi="宋体" w:cs="宋体" w:eastAsia="宋体" w:hint="default"/>
                <w:sz w:val="21"/>
                <w:szCs w:val="21"/>
              </w:rPr>
              <w:t>主要经 营地</w:t>
            </w:r>
          </w:p>
        </w:tc>
        <w:tc>
          <w:tcPr>
            <w:tcW w:w="862" w:type="dxa"/>
            <w:vMerge w:val="restart"/>
            <w:tcBorders>
              <w:top w:val="single" w:sz="4" w:space="0" w:color="000000"/>
              <w:left w:val="single" w:sz="6" w:space="0" w:color="000000"/>
              <w:right w:val="single" w:sz="6" w:space="0" w:color="000000"/>
            </w:tcBorders>
          </w:tcPr>
          <w:p>
            <w:pPr>
              <w:pStyle w:val="TableParagraph"/>
              <w:spacing w:line="240" w:lineRule="auto" w:before="111"/>
              <w:ind w:left="10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16" w:type="dxa"/>
            <w:vMerge w:val="restart"/>
            <w:tcBorders>
              <w:top w:val="single" w:sz="4" w:space="0" w:color="000000"/>
              <w:left w:val="single" w:sz="6" w:space="0" w:color="000000"/>
              <w:right w:val="single" w:sz="6" w:space="0" w:color="000000"/>
            </w:tcBorders>
          </w:tcPr>
          <w:p>
            <w:pPr>
              <w:pStyle w:val="TableParagraph"/>
              <w:spacing w:line="240" w:lineRule="auto" w:before="111"/>
              <w:ind w:left="12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7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30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835" w:type="dxa"/>
            <w:vMerge w:val="restart"/>
            <w:tcBorders>
              <w:top w:val="single" w:sz="4" w:space="0" w:color="000000"/>
              <w:left w:val="single" w:sz="6" w:space="0" w:color="000000"/>
              <w:right w:val="single" w:sz="4" w:space="0" w:color="000000"/>
            </w:tcBorders>
          </w:tcPr>
          <w:p>
            <w:pPr>
              <w:pStyle w:val="TableParagraph"/>
              <w:spacing w:line="272" w:lineRule="exact" w:before="3"/>
              <w:ind w:left="200" w:right="200"/>
              <w:jc w:val="left"/>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3214" w:type="dxa"/>
            <w:vMerge/>
            <w:tcBorders>
              <w:left w:val="single" w:sz="4" w:space="0" w:color="000000"/>
              <w:bottom w:val="single" w:sz="6" w:space="0" w:color="000000"/>
              <w:right w:val="single" w:sz="6" w:space="0" w:color="000000"/>
            </w:tcBorders>
          </w:tcPr>
          <w:p>
            <w:pPr/>
          </w:p>
        </w:tc>
        <w:tc>
          <w:tcPr>
            <w:tcW w:w="1052" w:type="dxa"/>
            <w:vMerge/>
            <w:tcBorders>
              <w:left w:val="single" w:sz="6" w:space="0" w:color="000000"/>
              <w:bottom w:val="single" w:sz="6" w:space="0" w:color="000000"/>
              <w:right w:val="single" w:sz="6" w:space="0" w:color="000000"/>
            </w:tcBorders>
          </w:tcPr>
          <w:p>
            <w:pPr/>
          </w:p>
        </w:tc>
        <w:tc>
          <w:tcPr>
            <w:tcW w:w="862"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835" w:type="dxa"/>
            <w:vMerge/>
            <w:tcBorders>
              <w:left w:val="single" w:sz="6" w:space="0" w:color="000000"/>
              <w:bottom w:val="single" w:sz="6" w:space="0" w:color="000000"/>
              <w:right w:val="single" w:sz="4" w:space="0" w:color="000000"/>
            </w:tcBorders>
          </w:tcPr>
          <w:p>
            <w:pPr/>
          </w:p>
        </w:tc>
      </w:tr>
      <w:tr>
        <w:trPr>
          <w:trHeight w:val="355"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北京南威科技有限公司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宁德南威软件有限公司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宁德</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宁德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厦门市南威软件科技有限公司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厦门</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厦门</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4"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福州</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福州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西安南威信息科技有限责任公司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西安</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成都南威软件有限公司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成都</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福建神威系统集成有限责任公司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福州</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福州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55%</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昌吉州南威软件有限公司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昌吉</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昌吉</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江西南威软件有限公司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江西</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4" w:hRule="exact"/>
        </w:trPr>
        <w:tc>
          <w:tcPr>
            <w:tcW w:w="321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南平南威软件有限公司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南平</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南平</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4" w:hRule="exact"/>
        </w:trPr>
        <w:tc>
          <w:tcPr>
            <w:tcW w:w="3214"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海南科特尔科技有限公司</w:t>
            </w:r>
          </w:p>
        </w:tc>
        <w:tc>
          <w:tcPr>
            <w:tcW w:w="1052"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海南</w:t>
            </w:r>
          </w:p>
        </w:tc>
        <w:tc>
          <w:tcPr>
            <w:tcW w:w="862"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95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100%</w:t>
            </w:r>
          </w:p>
        </w:tc>
        <w:tc>
          <w:tcPr>
            <w:tcW w:w="814" w:type="dxa"/>
            <w:tcBorders>
              <w:top w:val="single" w:sz="6" w:space="0" w:color="000000"/>
              <w:left w:val="single" w:sz="6" w:space="0" w:color="000000"/>
              <w:bottom w:val="single" w:sz="4" w:space="0" w:color="000000"/>
              <w:right w:val="single" w:sz="6" w:space="0" w:color="000000"/>
            </w:tcBorders>
          </w:tcPr>
          <w:p>
            <w:pPr/>
          </w:p>
        </w:tc>
        <w:tc>
          <w:tcPr>
            <w:tcW w:w="835"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2"/>
        <w:tabs>
          <w:tab w:pos="865" w:val="left" w:leader="none"/>
        </w:tabs>
        <w:spacing w:line="240" w:lineRule="auto"/>
        <w:ind w:right="227"/>
        <w:jc w:val="left"/>
        <w:rPr>
          <w:b w:val="0"/>
          <w:bCs w:val="0"/>
        </w:rPr>
      </w:pPr>
      <w:r>
        <w:rPr>
          <w:w w:val="95"/>
        </w:rPr>
        <w:t>(2).</w:t>
        <w:tab/>
      </w:r>
      <w:r>
        <w:rPr/>
        <w:t>重要的非全资子公司</w:t>
      </w:r>
      <w:r>
        <w:rPr>
          <w:b w:val="0"/>
          <w:bCs w:val="0"/>
        </w:rPr>
      </w:r>
    </w:p>
    <w:p>
      <w:pPr>
        <w:pStyle w:val="BodyText"/>
        <w:tabs>
          <w:tab w:pos="945" w:val="left" w:leader="none"/>
        </w:tabs>
        <w:spacing w:line="240" w:lineRule="auto" w:before="57"/>
        <w:ind w:left="0" w:right="130"/>
        <w:jc w:val="right"/>
      </w:pPr>
      <w:r>
        <w:rPr/>
        <w:t>单位:元</w:t>
        <w:tab/>
      </w:r>
      <w:r>
        <w:rPr>
          <w:spacing w:val="-1"/>
        </w:rPr>
        <w:t>币种:人民币</w:t>
      </w:r>
    </w:p>
    <w:p>
      <w:pPr>
        <w:spacing w:after="0" w:line="240" w:lineRule="auto"/>
        <w:jc w:val="right"/>
        <w:sectPr>
          <w:pgSz w:w="11910" w:h="16840"/>
          <w:pgMar w:header="0" w:footer="977" w:top="1120" w:bottom="1160" w:left="148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630"/>
        <w:gridCol w:w="1633"/>
        <w:gridCol w:w="1955"/>
        <w:gridCol w:w="1766"/>
        <w:gridCol w:w="2008"/>
      </w:tblGrid>
      <w:tr>
        <w:trPr>
          <w:trHeight w:val="557" w:hRule="exact"/>
        </w:trPr>
        <w:tc>
          <w:tcPr>
            <w:tcW w:w="163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633"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55"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766"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2008"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3" w:right="0"/>
              <w:jc w:val="center"/>
              <w:rPr>
                <w:rFonts w:ascii="宋体" w:hAnsi="宋体" w:cs="宋体" w:eastAsia="宋体" w:hint="default"/>
                <w:sz w:val="21"/>
                <w:szCs w:val="21"/>
              </w:rPr>
            </w:pPr>
            <w:r>
              <w:rPr>
                <w:rFonts w:ascii="宋体" w:hAnsi="宋体" w:cs="宋体" w:eastAsia="宋体" w:hint="default"/>
                <w:sz w:val="21"/>
                <w:szCs w:val="21"/>
              </w:rPr>
              <w:t>期末少数股东权益</w:t>
            </w:r>
          </w:p>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79" w:hRule="exact"/>
        </w:trPr>
        <w:tc>
          <w:tcPr>
            <w:tcW w:w="1630"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西安南威</w:t>
            </w:r>
            <w:r>
              <w:rPr>
                <w:rFonts w:ascii="宋体" w:hAnsi="宋体" w:cs="宋体" w:eastAsia="宋体" w:hint="default"/>
                <w:spacing w:val="-75"/>
                <w:sz w:val="21"/>
                <w:szCs w:val="21"/>
              </w:rPr>
              <w:t> </w:t>
            </w:r>
            <w:r>
              <w:rPr>
                <w:rFonts w:ascii="宋体" w:hAnsi="宋体" w:cs="宋体" w:eastAsia="宋体" w:hint="default"/>
                <w:sz w:val="21"/>
                <w:szCs w:val="21"/>
              </w:rPr>
              <w:t>信</w:t>
            </w:r>
            <w:r>
              <w:rPr>
                <w:rFonts w:ascii="宋体" w:hAnsi="宋体" w:cs="宋体" w:eastAsia="宋体" w:hint="default"/>
                <w:spacing w:val="-75"/>
                <w:sz w:val="21"/>
                <w:szCs w:val="21"/>
              </w:rPr>
              <w:t> </w:t>
            </w:r>
            <w:r>
              <w:rPr>
                <w:rFonts w:ascii="宋体" w:hAnsi="宋体" w:cs="宋体" w:eastAsia="宋体" w:hint="default"/>
                <w:sz w:val="21"/>
                <w:szCs w:val="21"/>
              </w:rPr>
              <w:t>息</w:t>
            </w:r>
          </w:p>
        </w:tc>
        <w:tc>
          <w:tcPr>
            <w:tcW w:w="1633" w:type="dxa"/>
            <w:tcBorders>
              <w:top w:val="single" w:sz="6" w:space="0" w:color="000000"/>
              <w:left w:val="single" w:sz="6" w:space="0" w:color="000000"/>
              <w:bottom w:val="nil" w:sz="6" w:space="0" w:color="auto"/>
              <w:right w:val="single" w:sz="6" w:space="0" w:color="000000"/>
            </w:tcBorders>
          </w:tcPr>
          <w:p>
            <w:pPr/>
          </w:p>
        </w:tc>
        <w:tc>
          <w:tcPr>
            <w:tcW w:w="1955" w:type="dxa"/>
            <w:tcBorders>
              <w:top w:val="single" w:sz="6" w:space="0" w:color="000000"/>
              <w:left w:val="single" w:sz="6" w:space="0" w:color="000000"/>
              <w:bottom w:val="nil" w:sz="6" w:space="0" w:color="auto"/>
              <w:right w:val="single" w:sz="6" w:space="0" w:color="000000"/>
            </w:tcBorders>
          </w:tcPr>
          <w:p>
            <w:pPr/>
          </w:p>
        </w:tc>
        <w:tc>
          <w:tcPr>
            <w:tcW w:w="1766" w:type="dxa"/>
            <w:vMerge w:val="restart"/>
            <w:tcBorders>
              <w:top w:val="single" w:sz="6" w:space="0" w:color="000000"/>
              <w:left w:val="single" w:sz="6" w:space="0" w:color="000000"/>
              <w:right w:val="single" w:sz="6" w:space="0" w:color="000000"/>
            </w:tcBorders>
          </w:tcPr>
          <w:p>
            <w:pPr/>
          </w:p>
        </w:tc>
        <w:tc>
          <w:tcPr>
            <w:tcW w:w="2008"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630"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科技有限</w:t>
            </w:r>
            <w:r>
              <w:rPr>
                <w:rFonts w:ascii="宋体" w:hAnsi="宋体" w:cs="宋体" w:eastAsia="宋体" w:hint="default"/>
                <w:spacing w:val="-75"/>
                <w:sz w:val="21"/>
                <w:szCs w:val="21"/>
              </w:rPr>
              <w:t> </w:t>
            </w:r>
            <w:r>
              <w:rPr>
                <w:rFonts w:ascii="宋体" w:hAnsi="宋体" w:cs="宋体" w:eastAsia="宋体" w:hint="default"/>
                <w:sz w:val="21"/>
                <w:szCs w:val="21"/>
              </w:rPr>
              <w:t>责</w:t>
            </w:r>
            <w:r>
              <w:rPr>
                <w:rFonts w:ascii="宋体" w:hAnsi="宋体" w:cs="宋体" w:eastAsia="宋体" w:hint="default"/>
                <w:spacing w:val="-75"/>
                <w:sz w:val="21"/>
                <w:szCs w:val="21"/>
              </w:rPr>
              <w:t> </w:t>
            </w:r>
            <w:r>
              <w:rPr>
                <w:rFonts w:ascii="宋体" w:hAnsi="宋体" w:cs="宋体" w:eastAsia="宋体" w:hint="default"/>
                <w:sz w:val="21"/>
                <w:szCs w:val="21"/>
              </w:rPr>
              <w:t>任</w:t>
            </w:r>
          </w:p>
        </w:tc>
        <w:tc>
          <w:tcPr>
            <w:tcW w:w="163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w:t>
            </w:r>
          </w:p>
        </w:tc>
        <w:tc>
          <w:tcPr>
            <w:tcW w:w="1955"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-131,375.33</w:t>
            </w:r>
          </w:p>
        </w:tc>
        <w:tc>
          <w:tcPr>
            <w:tcW w:w="1766" w:type="dxa"/>
            <w:vMerge/>
            <w:tcBorders>
              <w:left w:val="single" w:sz="6" w:space="0" w:color="000000"/>
              <w:right w:val="single" w:sz="6" w:space="0" w:color="000000"/>
            </w:tcBorders>
          </w:tcPr>
          <w:p>
            <w:pPr/>
          </w:p>
        </w:tc>
        <w:tc>
          <w:tcPr>
            <w:tcW w:w="2008"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1,392,203.11</w:t>
            </w:r>
          </w:p>
        </w:tc>
      </w:tr>
      <w:tr>
        <w:trPr>
          <w:trHeight w:val="281" w:hRule="exact"/>
        </w:trPr>
        <w:tc>
          <w:tcPr>
            <w:tcW w:w="1630"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3" w:type="dxa"/>
            <w:tcBorders>
              <w:top w:val="nil" w:sz="6" w:space="0" w:color="auto"/>
              <w:left w:val="single" w:sz="6" w:space="0" w:color="000000"/>
              <w:bottom w:val="single" w:sz="6" w:space="0" w:color="000000"/>
              <w:right w:val="single" w:sz="6" w:space="0" w:color="000000"/>
            </w:tcBorders>
          </w:tcPr>
          <w:p>
            <w:pPr/>
          </w:p>
        </w:tc>
        <w:tc>
          <w:tcPr>
            <w:tcW w:w="1955" w:type="dxa"/>
            <w:tcBorders>
              <w:top w:val="nil" w:sz="6" w:space="0" w:color="auto"/>
              <w:left w:val="single" w:sz="6" w:space="0" w:color="000000"/>
              <w:bottom w:val="single" w:sz="6" w:space="0" w:color="000000"/>
              <w:right w:val="single" w:sz="6" w:space="0" w:color="000000"/>
            </w:tcBorders>
          </w:tcPr>
          <w:p>
            <w:pPr/>
          </w:p>
        </w:tc>
        <w:tc>
          <w:tcPr>
            <w:tcW w:w="1766" w:type="dxa"/>
            <w:vMerge/>
            <w:tcBorders>
              <w:left w:val="single" w:sz="6" w:space="0" w:color="000000"/>
              <w:bottom w:val="single" w:sz="6" w:space="0" w:color="000000"/>
              <w:right w:val="single" w:sz="6" w:space="0" w:color="000000"/>
            </w:tcBorders>
          </w:tcPr>
          <w:p>
            <w:pPr/>
          </w:p>
        </w:tc>
        <w:tc>
          <w:tcPr>
            <w:tcW w:w="2008" w:type="dxa"/>
            <w:tcBorders>
              <w:top w:val="nil" w:sz="6" w:space="0" w:color="auto"/>
              <w:left w:val="single" w:sz="6" w:space="0" w:color="000000"/>
              <w:bottom w:val="single" w:sz="6" w:space="0" w:color="000000"/>
              <w:right w:val="single" w:sz="4" w:space="0" w:color="000000"/>
            </w:tcBorders>
          </w:tcPr>
          <w:p>
            <w:pPr/>
          </w:p>
        </w:tc>
      </w:tr>
      <w:tr>
        <w:trPr>
          <w:trHeight w:val="279" w:hRule="exact"/>
        </w:trPr>
        <w:tc>
          <w:tcPr>
            <w:tcW w:w="1630"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福建神威</w:t>
            </w:r>
            <w:r>
              <w:rPr>
                <w:rFonts w:ascii="宋体" w:hAnsi="宋体" w:cs="宋体" w:eastAsia="宋体" w:hint="default"/>
                <w:spacing w:val="-75"/>
                <w:sz w:val="21"/>
                <w:szCs w:val="21"/>
              </w:rPr>
              <w:t> </w:t>
            </w:r>
            <w:r>
              <w:rPr>
                <w:rFonts w:ascii="宋体" w:hAnsi="宋体" w:cs="宋体" w:eastAsia="宋体" w:hint="default"/>
                <w:sz w:val="21"/>
                <w:szCs w:val="21"/>
              </w:rPr>
              <w:t>系</w:t>
            </w:r>
            <w:r>
              <w:rPr>
                <w:rFonts w:ascii="宋体" w:hAnsi="宋体" w:cs="宋体" w:eastAsia="宋体" w:hint="default"/>
                <w:spacing w:val="-75"/>
                <w:sz w:val="21"/>
                <w:szCs w:val="21"/>
              </w:rPr>
              <w:t> </w:t>
            </w:r>
            <w:r>
              <w:rPr>
                <w:rFonts w:ascii="宋体" w:hAnsi="宋体" w:cs="宋体" w:eastAsia="宋体" w:hint="default"/>
                <w:sz w:val="21"/>
                <w:szCs w:val="21"/>
              </w:rPr>
              <w:t>统</w:t>
            </w:r>
          </w:p>
        </w:tc>
        <w:tc>
          <w:tcPr>
            <w:tcW w:w="1633" w:type="dxa"/>
            <w:tcBorders>
              <w:top w:val="single" w:sz="6" w:space="0" w:color="000000"/>
              <w:left w:val="single" w:sz="6" w:space="0" w:color="000000"/>
              <w:bottom w:val="nil" w:sz="6" w:space="0" w:color="auto"/>
              <w:right w:val="single" w:sz="6" w:space="0" w:color="000000"/>
            </w:tcBorders>
          </w:tcPr>
          <w:p>
            <w:pPr/>
          </w:p>
        </w:tc>
        <w:tc>
          <w:tcPr>
            <w:tcW w:w="1955" w:type="dxa"/>
            <w:tcBorders>
              <w:top w:val="single" w:sz="6" w:space="0" w:color="000000"/>
              <w:left w:val="single" w:sz="6" w:space="0" w:color="000000"/>
              <w:bottom w:val="nil" w:sz="6" w:space="0" w:color="auto"/>
              <w:right w:val="single" w:sz="6" w:space="0" w:color="000000"/>
            </w:tcBorders>
          </w:tcPr>
          <w:p>
            <w:pPr/>
          </w:p>
        </w:tc>
        <w:tc>
          <w:tcPr>
            <w:tcW w:w="1766" w:type="dxa"/>
            <w:vMerge w:val="restart"/>
            <w:tcBorders>
              <w:top w:val="single" w:sz="6" w:space="0" w:color="000000"/>
              <w:left w:val="single" w:sz="6" w:space="0" w:color="000000"/>
              <w:right w:val="single" w:sz="6" w:space="0" w:color="000000"/>
            </w:tcBorders>
          </w:tcPr>
          <w:p>
            <w:pPr/>
          </w:p>
        </w:tc>
        <w:tc>
          <w:tcPr>
            <w:tcW w:w="2008"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630"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集成有限</w:t>
            </w:r>
            <w:r>
              <w:rPr>
                <w:rFonts w:ascii="宋体" w:hAnsi="宋体" w:cs="宋体" w:eastAsia="宋体" w:hint="default"/>
                <w:spacing w:val="-75"/>
                <w:sz w:val="21"/>
                <w:szCs w:val="21"/>
              </w:rPr>
              <w:t> </w:t>
            </w:r>
            <w:r>
              <w:rPr>
                <w:rFonts w:ascii="宋体" w:hAnsi="宋体" w:cs="宋体" w:eastAsia="宋体" w:hint="default"/>
                <w:sz w:val="21"/>
                <w:szCs w:val="21"/>
              </w:rPr>
              <w:t>责</w:t>
            </w:r>
            <w:r>
              <w:rPr>
                <w:rFonts w:ascii="宋体" w:hAnsi="宋体" w:cs="宋体" w:eastAsia="宋体" w:hint="default"/>
                <w:spacing w:val="-75"/>
                <w:sz w:val="21"/>
                <w:szCs w:val="21"/>
              </w:rPr>
              <w:t> </w:t>
            </w:r>
            <w:r>
              <w:rPr>
                <w:rFonts w:ascii="宋体" w:hAnsi="宋体" w:cs="宋体" w:eastAsia="宋体" w:hint="default"/>
                <w:sz w:val="21"/>
                <w:szCs w:val="21"/>
              </w:rPr>
              <w:t>任</w:t>
            </w:r>
          </w:p>
        </w:tc>
        <w:tc>
          <w:tcPr>
            <w:tcW w:w="163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w:t>
            </w:r>
          </w:p>
        </w:tc>
        <w:tc>
          <w:tcPr>
            <w:tcW w:w="1955"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-589,476.83</w:t>
            </w:r>
          </w:p>
        </w:tc>
        <w:tc>
          <w:tcPr>
            <w:tcW w:w="1766" w:type="dxa"/>
            <w:vMerge/>
            <w:tcBorders>
              <w:left w:val="single" w:sz="6" w:space="0" w:color="000000"/>
              <w:right w:val="single" w:sz="6" w:space="0" w:color="000000"/>
            </w:tcBorders>
          </w:tcPr>
          <w:p>
            <w:pPr/>
          </w:p>
        </w:tc>
        <w:tc>
          <w:tcPr>
            <w:tcW w:w="2008"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8,984,596.86</w:t>
            </w:r>
          </w:p>
        </w:tc>
      </w:tr>
      <w:tr>
        <w:trPr>
          <w:trHeight w:val="279" w:hRule="exact"/>
        </w:trPr>
        <w:tc>
          <w:tcPr>
            <w:tcW w:w="1630" w:type="dxa"/>
            <w:tcBorders>
              <w:top w:val="nil" w:sz="6" w:space="0" w:color="auto"/>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3" w:type="dxa"/>
            <w:tcBorders>
              <w:top w:val="nil" w:sz="6" w:space="0" w:color="auto"/>
              <w:left w:val="single" w:sz="6" w:space="0" w:color="000000"/>
              <w:bottom w:val="single" w:sz="4" w:space="0" w:color="000000"/>
              <w:right w:val="single" w:sz="6" w:space="0" w:color="000000"/>
            </w:tcBorders>
          </w:tcPr>
          <w:p>
            <w:pPr/>
          </w:p>
        </w:tc>
        <w:tc>
          <w:tcPr>
            <w:tcW w:w="1955" w:type="dxa"/>
            <w:tcBorders>
              <w:top w:val="nil" w:sz="6" w:space="0" w:color="auto"/>
              <w:left w:val="single" w:sz="6" w:space="0" w:color="000000"/>
              <w:bottom w:val="single" w:sz="4" w:space="0" w:color="000000"/>
              <w:right w:val="single" w:sz="6" w:space="0" w:color="000000"/>
            </w:tcBorders>
          </w:tcPr>
          <w:p>
            <w:pPr/>
          </w:p>
        </w:tc>
        <w:tc>
          <w:tcPr>
            <w:tcW w:w="1766" w:type="dxa"/>
            <w:vMerge/>
            <w:tcBorders>
              <w:left w:val="single" w:sz="6" w:space="0" w:color="000000"/>
              <w:bottom w:val="single" w:sz="4" w:space="0" w:color="000000"/>
              <w:right w:val="single" w:sz="6" w:space="0" w:color="000000"/>
            </w:tcBorders>
          </w:tcPr>
          <w:p>
            <w:pPr/>
          </w:p>
        </w:tc>
        <w:tc>
          <w:tcPr>
            <w:tcW w:w="2008" w:type="dxa"/>
            <w:tcBorders>
              <w:top w:val="nil" w:sz="6" w:space="0" w:color="auto"/>
              <w:left w:val="single" w:sz="6" w:space="0" w:color="000000"/>
              <w:bottom w:val="single" w:sz="4" w:space="0" w:color="000000"/>
              <w:right w:val="single" w:sz="4" w:space="0" w:color="000000"/>
            </w:tcBorders>
          </w:tcPr>
          <w:p>
            <w:pPr/>
          </w:p>
        </w:tc>
      </w:tr>
    </w:tbl>
    <w:p>
      <w:pPr>
        <w:spacing w:after="0"/>
        <w:sectPr>
          <w:pgSz w:w="11910" w:h="16840"/>
          <w:pgMar w:header="0" w:footer="977" w:top="1120" w:bottom="1160" w:left="14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pStyle w:val="Heading2"/>
        <w:tabs>
          <w:tab w:pos="864" w:val="left" w:leader="none"/>
        </w:tabs>
        <w:spacing w:line="240" w:lineRule="auto"/>
        <w:ind w:left="219" w:right="0"/>
        <w:jc w:val="left"/>
        <w:rPr>
          <w:b w:val="0"/>
          <w:bCs w:val="0"/>
        </w:rPr>
      </w:pPr>
      <w:r>
        <w:rPr>
          <w:w w:val="95"/>
        </w:rPr>
        <w:t>(3).</w:t>
        <w:tab/>
      </w:r>
      <w:r>
        <w:rPr/>
        <w:t>重要非全资子公司的主要财务信息</w:t>
      </w:r>
      <w:r>
        <w:rPr>
          <w:b w:val="0"/>
          <w:bCs w:val="0"/>
        </w:rPr>
      </w:r>
    </w:p>
    <w:p>
      <w:pPr>
        <w:pStyle w:val="BodyText"/>
        <w:tabs>
          <w:tab w:pos="945" w:val="left" w:leader="none"/>
        </w:tabs>
        <w:spacing w:line="240" w:lineRule="auto" w:before="56"/>
        <w:ind w:left="0" w:right="663"/>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1"/>
        <w:gridCol w:w="1416"/>
        <w:gridCol w:w="1369"/>
        <w:gridCol w:w="1465"/>
        <w:gridCol w:w="1243"/>
        <w:gridCol w:w="236"/>
        <w:gridCol w:w="1253"/>
        <w:gridCol w:w="1355"/>
        <w:gridCol w:w="1367"/>
        <w:gridCol w:w="1366"/>
        <w:gridCol w:w="1406"/>
        <w:gridCol w:w="236"/>
        <w:gridCol w:w="1433"/>
      </w:tblGrid>
      <w:tr>
        <w:trPr>
          <w:trHeight w:val="254" w:hRule="exact"/>
        </w:trPr>
        <w:tc>
          <w:tcPr>
            <w:tcW w:w="391" w:type="dxa"/>
            <w:vMerge w:val="restart"/>
            <w:tcBorders>
              <w:top w:val="single" w:sz="4" w:space="0" w:color="000000"/>
              <w:left w:val="single" w:sz="4" w:space="0" w:color="000000"/>
              <w:right w:val="single" w:sz="6" w:space="0" w:color="000000"/>
            </w:tcBorders>
          </w:tcPr>
          <w:p>
            <w:pPr>
              <w:pStyle w:val="TableParagraph"/>
              <w:spacing w:line="237" w:lineRule="auto" w:before="100"/>
              <w:ind w:left="107" w:right="89"/>
              <w:jc w:val="both"/>
              <w:rPr>
                <w:rFonts w:ascii="宋体" w:hAnsi="宋体" w:cs="宋体" w:eastAsia="宋体" w:hint="default"/>
                <w:sz w:val="18"/>
                <w:szCs w:val="18"/>
              </w:rPr>
            </w:pPr>
            <w:r>
              <w:rPr>
                <w:rFonts w:ascii="宋体" w:hAnsi="宋体" w:cs="宋体" w:eastAsia="宋体" w:hint="default"/>
                <w:sz w:val="18"/>
                <w:szCs w:val="18"/>
              </w:rPr>
              <w:t>子 公 司 名 称</w:t>
            </w:r>
          </w:p>
        </w:tc>
        <w:tc>
          <w:tcPr>
            <w:tcW w:w="6983" w:type="dxa"/>
            <w:gridSpan w:val="6"/>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163" w:type="dxa"/>
            <w:gridSpan w:val="6"/>
            <w:tcBorders>
              <w:top w:val="single" w:sz="4" w:space="0" w:color="000000"/>
              <w:left w:val="single" w:sz="6" w:space="0" w:color="000000"/>
              <w:bottom w:val="single" w:sz="6" w:space="0" w:color="000000"/>
              <w:right w:val="single" w:sz="4" w:space="0" w:color="000000"/>
            </w:tcBorders>
          </w:tcPr>
          <w:p>
            <w:pPr>
              <w:pStyle w:val="TableParagraph"/>
              <w:spacing w:line="210" w:lineRule="exact"/>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82" w:hRule="exact"/>
        </w:trPr>
        <w:tc>
          <w:tcPr>
            <w:tcW w:w="391" w:type="dxa"/>
            <w:vMerge/>
            <w:tcBorders>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1"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before="1"/>
              <w:ind w:left="61" w:right="-20"/>
              <w:jc w:val="both"/>
              <w:rPr>
                <w:rFonts w:ascii="宋体" w:hAnsi="宋体" w:cs="宋体" w:eastAsia="宋体" w:hint="default"/>
                <w:sz w:val="18"/>
                <w:szCs w:val="18"/>
              </w:rPr>
            </w:pPr>
            <w:r>
              <w:rPr>
                <w:rFonts w:ascii="宋体" w:hAnsi="宋体" w:cs="宋体" w:eastAsia="宋体" w:hint="default"/>
                <w:sz w:val="18"/>
                <w:szCs w:val="18"/>
              </w:rPr>
              <w:t>流 动 负 债</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1"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before="1"/>
              <w:ind w:left="61" w:right="-20"/>
              <w:jc w:val="both"/>
              <w:rPr>
                <w:rFonts w:ascii="宋体" w:hAnsi="宋体" w:cs="宋体" w:eastAsia="宋体" w:hint="default"/>
                <w:sz w:val="18"/>
                <w:szCs w:val="18"/>
              </w:rPr>
            </w:pPr>
            <w:r>
              <w:rPr>
                <w:rFonts w:ascii="宋体" w:hAnsi="宋体" w:cs="宋体" w:eastAsia="宋体" w:hint="default"/>
                <w:sz w:val="18"/>
                <w:szCs w:val="18"/>
              </w:rPr>
              <w:t>流 动 负 债</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3283" w:hRule="exact"/>
        </w:trPr>
        <w:tc>
          <w:tcPr>
            <w:tcW w:w="39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西</w:t>
            </w:r>
          </w:p>
          <w:p>
            <w:pPr>
              <w:pStyle w:val="TableParagraph"/>
              <w:spacing w:line="237" w:lineRule="auto" w:before="1"/>
              <w:ind w:left="103" w:right="94"/>
              <w:jc w:val="both"/>
              <w:rPr>
                <w:rFonts w:ascii="宋体" w:hAnsi="宋体" w:cs="宋体" w:eastAsia="宋体" w:hint="default"/>
                <w:sz w:val="18"/>
                <w:szCs w:val="18"/>
              </w:rPr>
            </w:pPr>
            <w:r>
              <w:rPr>
                <w:rFonts w:ascii="宋体" w:hAnsi="宋体" w:cs="宋体" w:eastAsia="宋体" w:hint="default"/>
                <w:sz w:val="18"/>
                <w:szCs w:val="18"/>
              </w:rPr>
              <w:t>安 南 威 信 息 科 技 有 限 责 任 公 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5,009,599.96</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568,739.29</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5,578,339.25</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宋体" w:hAnsi="宋体" w:cs="宋体" w:eastAsia="宋体" w:hint="default"/>
                <w:sz w:val="18"/>
                <w:szCs w:val="18"/>
              </w:rPr>
            </w:pPr>
            <w:r>
              <w:rPr>
                <w:rFonts w:ascii="宋体"/>
                <w:sz w:val="18"/>
              </w:rPr>
              <w:t>937,662.21</w:t>
            </w:r>
          </w:p>
        </w:tc>
        <w:tc>
          <w:tcPr>
            <w:tcW w:w="23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36" w:right="0"/>
              <w:jc w:val="center"/>
              <w:rPr>
                <w:rFonts w:ascii="宋体" w:hAnsi="宋体" w:cs="宋体" w:eastAsia="宋体" w:hint="default"/>
                <w:sz w:val="18"/>
                <w:szCs w:val="18"/>
              </w:rPr>
            </w:pPr>
            <w:r>
              <w:rPr>
                <w:rFonts w:ascii="宋体"/>
                <w:sz w:val="18"/>
              </w:rPr>
              <w:t>937,662.21</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58" w:right="0"/>
              <w:jc w:val="center"/>
              <w:rPr>
                <w:rFonts w:ascii="宋体" w:hAnsi="宋体" w:cs="宋体" w:eastAsia="宋体" w:hint="default"/>
                <w:sz w:val="18"/>
                <w:szCs w:val="18"/>
              </w:rPr>
            </w:pPr>
            <w:r>
              <w:rPr>
                <w:rFonts w:ascii="宋体"/>
                <w:sz w:val="18"/>
              </w:rPr>
              <w:t>7,624,076.67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649,959.02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9" w:right="0"/>
              <w:jc w:val="center"/>
              <w:rPr>
                <w:rFonts w:ascii="宋体" w:hAnsi="宋体" w:cs="宋体" w:eastAsia="宋体" w:hint="default"/>
                <w:sz w:val="18"/>
                <w:szCs w:val="18"/>
              </w:rPr>
            </w:pPr>
            <w:r>
              <w:rPr>
                <w:rFonts w:ascii="宋体"/>
                <w:sz w:val="18"/>
              </w:rPr>
              <w:t>8,274,035.69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宋体" w:hAnsi="宋体" w:cs="宋体" w:eastAsia="宋体" w:hint="default"/>
                <w:sz w:val="18"/>
                <w:szCs w:val="18"/>
              </w:rPr>
            </w:pPr>
            <w:r>
              <w:rPr>
                <w:rFonts w:ascii="宋体"/>
                <w:sz w:val="18"/>
              </w:rPr>
              <w:t>3,195,440.87</w:t>
            </w:r>
          </w:p>
        </w:tc>
        <w:tc>
          <w:tcPr>
            <w:tcW w:w="23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3,195,440.87</w:t>
            </w:r>
          </w:p>
        </w:tc>
      </w:tr>
      <w:tr>
        <w:trPr>
          <w:trHeight w:val="3281" w:hRule="exact"/>
        </w:trPr>
        <w:tc>
          <w:tcPr>
            <w:tcW w:w="391"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福</w:t>
            </w:r>
          </w:p>
          <w:p>
            <w:pPr>
              <w:pStyle w:val="TableParagraph"/>
              <w:spacing w:line="237" w:lineRule="auto" w:before="1"/>
              <w:ind w:left="103" w:right="94"/>
              <w:jc w:val="both"/>
              <w:rPr>
                <w:rFonts w:ascii="宋体" w:hAnsi="宋体" w:cs="宋体" w:eastAsia="宋体" w:hint="default"/>
                <w:sz w:val="18"/>
                <w:szCs w:val="18"/>
              </w:rPr>
            </w:pPr>
            <w:r>
              <w:rPr>
                <w:rFonts w:ascii="宋体" w:hAnsi="宋体" w:cs="宋体" w:eastAsia="宋体" w:hint="default"/>
                <w:sz w:val="18"/>
                <w:szCs w:val="18"/>
              </w:rPr>
              <w:t>建 神 威 系 统 集 成 有 限 责 任 公 司</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18,764,649.43</w:t>
            </w:r>
          </w:p>
        </w:tc>
        <w:tc>
          <w:tcPr>
            <w:tcW w:w="136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2,140,178.47</w:t>
            </w:r>
          </w:p>
        </w:tc>
        <w:tc>
          <w:tcPr>
            <w:tcW w:w="146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20,904,827.90</w:t>
            </w:r>
          </w:p>
        </w:tc>
        <w:tc>
          <w:tcPr>
            <w:tcW w:w="124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宋体" w:hAnsi="宋体" w:cs="宋体" w:eastAsia="宋体" w:hint="default"/>
                <w:sz w:val="18"/>
                <w:szCs w:val="18"/>
              </w:rPr>
            </w:pPr>
            <w:r>
              <w:rPr>
                <w:rFonts w:ascii="宋体"/>
                <w:sz w:val="18"/>
              </w:rPr>
              <w:t>-130,387.33</w:t>
            </w:r>
          </w:p>
        </w:tc>
        <w:tc>
          <w:tcPr>
            <w:tcW w:w="236" w:type="dxa"/>
            <w:tcBorders>
              <w:top w:val="single" w:sz="6" w:space="0" w:color="000000"/>
              <w:left w:val="single" w:sz="6" w:space="0" w:color="000000"/>
              <w:bottom w:val="single" w:sz="4" w:space="0" w:color="000000"/>
              <w:right w:val="single" w:sz="6" w:space="0" w:color="000000"/>
            </w:tcBorders>
          </w:tcPr>
          <w:p>
            <w:pPr/>
          </w:p>
        </w:tc>
        <w:tc>
          <w:tcPr>
            <w:tcW w:w="125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6" w:right="0"/>
              <w:jc w:val="center"/>
              <w:rPr>
                <w:rFonts w:ascii="宋体" w:hAnsi="宋体" w:cs="宋体" w:eastAsia="宋体" w:hint="default"/>
                <w:sz w:val="18"/>
                <w:szCs w:val="18"/>
              </w:rPr>
            </w:pPr>
            <w:r>
              <w:rPr>
                <w:rFonts w:ascii="宋体"/>
                <w:sz w:val="18"/>
              </w:rPr>
              <w:t>-130,387.33</w:t>
            </w: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58" w:right="0"/>
              <w:jc w:val="center"/>
              <w:rPr>
                <w:rFonts w:ascii="宋体" w:hAnsi="宋体" w:cs="宋体" w:eastAsia="宋体" w:hint="default"/>
                <w:sz w:val="18"/>
                <w:szCs w:val="18"/>
              </w:rPr>
            </w:pPr>
            <w:r>
              <w:rPr>
                <w:rFonts w:ascii="宋体"/>
                <w:sz w:val="18"/>
              </w:rPr>
              <w:t>4,162,406.52</w:t>
            </w:r>
          </w:p>
        </w:tc>
        <w:tc>
          <w:tcPr>
            <w:tcW w:w="136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1,499,611.00</w:t>
            </w:r>
          </w:p>
        </w:tc>
        <w:tc>
          <w:tcPr>
            <w:tcW w:w="13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9" w:right="0"/>
              <w:jc w:val="center"/>
              <w:rPr>
                <w:rFonts w:ascii="宋体" w:hAnsi="宋体" w:cs="宋体" w:eastAsia="宋体" w:hint="default"/>
                <w:sz w:val="18"/>
                <w:szCs w:val="18"/>
              </w:rPr>
            </w:pPr>
            <w:r>
              <w:rPr>
                <w:rFonts w:ascii="宋体"/>
                <w:sz w:val="18"/>
              </w:rPr>
              <w:t>5,662,017.52</w:t>
            </w:r>
          </w:p>
        </w:tc>
        <w:tc>
          <w:tcPr>
            <w:tcW w:w="14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宋体" w:hAnsi="宋体" w:cs="宋体" w:eastAsia="宋体" w:hint="default"/>
                <w:sz w:val="18"/>
                <w:szCs w:val="18"/>
              </w:rPr>
            </w:pPr>
            <w:r>
              <w:rPr>
                <w:rFonts w:ascii="宋体"/>
                <w:sz w:val="18"/>
              </w:rPr>
              <w:t>-65,722.92</w:t>
            </w:r>
          </w:p>
        </w:tc>
        <w:tc>
          <w:tcPr>
            <w:tcW w:w="236" w:type="dxa"/>
            <w:tcBorders>
              <w:top w:val="single" w:sz="6" w:space="0" w:color="000000"/>
              <w:left w:val="single" w:sz="6" w:space="0" w:color="000000"/>
              <w:bottom w:val="single" w:sz="4" w:space="0" w:color="000000"/>
              <w:right w:val="single" w:sz="6" w:space="0" w:color="000000"/>
            </w:tcBorders>
          </w:tcPr>
          <w:p>
            <w:pPr/>
          </w:p>
        </w:tc>
        <w:tc>
          <w:tcPr>
            <w:tcW w:w="143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-65,722.92</w:t>
            </w:r>
          </w:p>
        </w:tc>
      </w:tr>
    </w:tbl>
    <w:p>
      <w:pPr>
        <w:spacing w:after="0" w:line="240" w:lineRule="auto"/>
        <w:jc w:val="right"/>
        <w:rPr>
          <w:rFonts w:ascii="宋体" w:hAnsi="宋体" w:cs="宋体" w:eastAsia="宋体" w:hint="default"/>
          <w:sz w:val="18"/>
          <w:szCs w:val="18"/>
        </w:rPr>
        <w:sectPr>
          <w:headerReference w:type="default" r:id="rId64"/>
          <w:footerReference w:type="default" r:id="rId65"/>
          <w:pgSz w:w="16840" w:h="11910" w:orient="landscape"/>
          <w:pgMar w:header="882" w:footer="973" w:top="1120" w:bottom="1160" w:left="1220" w:right="860"/>
          <w:pgNumType w:start="12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651"/>
        <w:gridCol w:w="1476"/>
        <w:gridCol w:w="1580"/>
        <w:gridCol w:w="1582"/>
        <w:gridCol w:w="1580"/>
        <w:gridCol w:w="1476"/>
        <w:gridCol w:w="1582"/>
        <w:gridCol w:w="1580"/>
        <w:gridCol w:w="1582"/>
      </w:tblGrid>
      <w:tr>
        <w:trPr>
          <w:trHeight w:val="326" w:hRule="exact"/>
        </w:trPr>
        <w:tc>
          <w:tcPr>
            <w:tcW w:w="1651" w:type="dxa"/>
            <w:vMerge w:val="restart"/>
            <w:tcBorders>
              <w:top w:val="single" w:sz="4" w:space="0" w:color="000000"/>
              <w:left w:val="single" w:sz="4"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218"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220"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1" w:hRule="exact"/>
        </w:trPr>
        <w:tc>
          <w:tcPr>
            <w:tcW w:w="1651" w:type="dxa"/>
            <w:vMerge/>
            <w:tcBorders>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6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51"/>
              <w:jc w:val="right"/>
              <w:rPr>
                <w:rFonts w:ascii="宋体" w:hAnsi="宋体" w:cs="宋体" w:eastAsia="宋体" w:hint="default"/>
                <w:sz w:val="21"/>
                <w:szCs w:val="21"/>
              </w:rPr>
            </w:pPr>
            <w:r>
              <w:rPr>
                <w:rFonts w:ascii="宋体" w:hAnsi="宋体" w:cs="宋体" w:eastAsia="宋体" w:hint="default"/>
                <w:sz w:val="21"/>
                <w:szCs w:val="21"/>
              </w:rPr>
              <w:t>综合收益总额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6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5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300" w:hRule="exact"/>
        </w:trPr>
        <w:tc>
          <w:tcPr>
            <w:tcW w:w="1651"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西安南威信息</w:t>
            </w: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4" w:space="0" w:color="000000"/>
            </w:tcBorders>
          </w:tcPr>
          <w:p>
            <w:pPr/>
          </w:p>
        </w:tc>
      </w:tr>
      <w:tr>
        <w:trPr>
          <w:trHeight w:val="313" w:hRule="exact"/>
        </w:trPr>
        <w:tc>
          <w:tcPr>
            <w:tcW w:w="1651" w:type="dxa"/>
            <w:tcBorders>
              <w:top w:val="nil" w:sz="6" w:space="0" w:color="auto"/>
              <w:left w:val="single" w:sz="4" w:space="0" w:color="000000"/>
              <w:bottom w:val="nil" w:sz="6" w:space="0" w:color="auto"/>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科技有限责任</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1,628,270.44</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spacing w:val="-1"/>
                <w:sz w:val="21"/>
              </w:rPr>
              <w:t>-437,917.78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-437,917.78</w:t>
            </w:r>
            <w:r>
              <w:rPr>
                <w:rFonts w:ascii="宋体"/>
                <w:sz w:val="21"/>
              </w:rPr>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spacing w:val="-1"/>
                <w:sz w:val="21"/>
              </w:rPr>
              <w:t>2,736,981.90</w:t>
            </w:r>
            <w:r>
              <w:rPr>
                <w:rFonts w:ascii="宋体"/>
                <w:sz w:val="21"/>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6,270,090.87</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99,461.52</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99,461.52</w:t>
            </w:r>
          </w:p>
        </w:tc>
        <w:tc>
          <w:tcPr>
            <w:tcW w:w="1582" w:type="dxa"/>
            <w:tcBorders>
              <w:top w:val="nil" w:sz="6" w:space="0" w:color="auto"/>
              <w:left w:val="single" w:sz="6" w:space="0" w:color="000000"/>
              <w:bottom w:val="nil" w:sz="6" w:space="0" w:color="auto"/>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sz w:val="21"/>
              </w:rPr>
              <w:t>-3,618,639.54</w:t>
            </w:r>
          </w:p>
        </w:tc>
      </w:tr>
      <w:tr>
        <w:trPr>
          <w:trHeight w:val="342" w:hRule="exact"/>
        </w:trPr>
        <w:tc>
          <w:tcPr>
            <w:tcW w:w="1651" w:type="dxa"/>
            <w:tcBorders>
              <w:top w:val="nil" w:sz="6" w:space="0" w:color="auto"/>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4" w:space="0" w:color="000000"/>
            </w:tcBorders>
          </w:tcPr>
          <w:p>
            <w:pPr/>
          </w:p>
        </w:tc>
      </w:tr>
      <w:tr>
        <w:trPr>
          <w:trHeight w:val="298" w:hRule="exact"/>
        </w:trPr>
        <w:tc>
          <w:tcPr>
            <w:tcW w:w="1651" w:type="dxa"/>
            <w:tcBorders>
              <w:top w:val="single" w:sz="6" w:space="0" w:color="000000"/>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福建神威系统</w:t>
            </w:r>
          </w:p>
        </w:tc>
        <w:tc>
          <w:tcPr>
            <w:tcW w:w="1476"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4" w:space="0" w:color="000000"/>
            </w:tcBorders>
          </w:tcPr>
          <w:p>
            <w:pPr/>
          </w:p>
        </w:tc>
      </w:tr>
      <w:tr>
        <w:trPr>
          <w:trHeight w:val="313" w:hRule="exact"/>
        </w:trPr>
        <w:tc>
          <w:tcPr>
            <w:tcW w:w="1651" w:type="dxa"/>
            <w:tcBorders>
              <w:top w:val="nil" w:sz="6" w:space="0" w:color="auto"/>
              <w:left w:val="single" w:sz="4" w:space="0" w:color="000000"/>
              <w:bottom w:val="nil" w:sz="6" w:space="0" w:color="auto"/>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集成有限责任</w:t>
            </w:r>
          </w:p>
        </w:tc>
        <w:tc>
          <w:tcPr>
            <w:tcW w:w="147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-1,309,948.51</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-1,309,948.51</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spacing w:val="-1"/>
                <w:sz w:val="21"/>
              </w:rPr>
              <w:t>-2,072,587.51</w:t>
            </w:r>
          </w:p>
        </w:tc>
        <w:tc>
          <w:tcPr>
            <w:tcW w:w="1476"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-1,257,849.05</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-1,257,849.05</w:t>
            </w:r>
          </w:p>
        </w:tc>
        <w:tc>
          <w:tcPr>
            <w:tcW w:w="1582" w:type="dxa"/>
            <w:tcBorders>
              <w:top w:val="nil" w:sz="6" w:space="0" w:color="auto"/>
              <w:left w:val="single" w:sz="6" w:space="0" w:color="000000"/>
              <w:bottom w:val="nil" w:sz="6" w:space="0" w:color="auto"/>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sz w:val="21"/>
              </w:rPr>
              <w:t>-1,398,818.82</w:t>
            </w:r>
          </w:p>
        </w:tc>
      </w:tr>
      <w:tr>
        <w:trPr>
          <w:trHeight w:val="341" w:hRule="exact"/>
        </w:trPr>
        <w:tc>
          <w:tcPr>
            <w:tcW w:w="1651" w:type="dxa"/>
            <w:tcBorders>
              <w:top w:val="nil" w:sz="6" w:space="0" w:color="auto"/>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6" w:type="dxa"/>
            <w:vMerge/>
            <w:tcBorders>
              <w:left w:val="single" w:sz="6" w:space="0" w:color="000000"/>
              <w:bottom w:val="single" w:sz="4" w:space="0" w:color="000000"/>
              <w:right w:val="single" w:sz="6" w:space="0" w:color="000000"/>
            </w:tcBorders>
          </w:tcPr>
          <w:p>
            <w:pPr/>
          </w:p>
        </w:tc>
        <w:tc>
          <w:tcPr>
            <w:tcW w:w="1580" w:type="dxa"/>
            <w:tcBorders>
              <w:top w:val="nil" w:sz="6" w:space="0" w:color="auto"/>
              <w:left w:val="single" w:sz="6" w:space="0" w:color="000000"/>
              <w:bottom w:val="single" w:sz="4" w:space="0" w:color="000000"/>
              <w:right w:val="single" w:sz="6" w:space="0" w:color="000000"/>
            </w:tcBorders>
          </w:tcPr>
          <w:p>
            <w:pPr/>
          </w:p>
        </w:tc>
        <w:tc>
          <w:tcPr>
            <w:tcW w:w="1582" w:type="dxa"/>
            <w:tcBorders>
              <w:top w:val="nil" w:sz="6" w:space="0" w:color="auto"/>
              <w:left w:val="single" w:sz="6" w:space="0" w:color="000000"/>
              <w:bottom w:val="single" w:sz="4" w:space="0" w:color="000000"/>
              <w:right w:val="single" w:sz="6" w:space="0" w:color="000000"/>
            </w:tcBorders>
          </w:tcPr>
          <w:p>
            <w:pPr/>
          </w:p>
        </w:tc>
        <w:tc>
          <w:tcPr>
            <w:tcW w:w="1580" w:type="dxa"/>
            <w:tcBorders>
              <w:top w:val="nil" w:sz="6" w:space="0" w:color="auto"/>
              <w:left w:val="single" w:sz="6" w:space="0" w:color="000000"/>
              <w:bottom w:val="single" w:sz="4" w:space="0" w:color="000000"/>
              <w:right w:val="single" w:sz="6" w:space="0" w:color="000000"/>
            </w:tcBorders>
          </w:tcPr>
          <w:p>
            <w:pPr/>
          </w:p>
        </w:tc>
        <w:tc>
          <w:tcPr>
            <w:tcW w:w="1476" w:type="dxa"/>
            <w:vMerge/>
            <w:tcBorders>
              <w:left w:val="single" w:sz="6" w:space="0" w:color="000000"/>
              <w:bottom w:val="single" w:sz="4" w:space="0" w:color="000000"/>
              <w:right w:val="single" w:sz="6" w:space="0" w:color="000000"/>
            </w:tcBorders>
          </w:tcPr>
          <w:p>
            <w:pPr/>
          </w:p>
        </w:tc>
        <w:tc>
          <w:tcPr>
            <w:tcW w:w="1582" w:type="dxa"/>
            <w:tcBorders>
              <w:top w:val="nil" w:sz="6" w:space="0" w:color="auto"/>
              <w:left w:val="single" w:sz="6" w:space="0" w:color="000000"/>
              <w:bottom w:val="single" w:sz="4" w:space="0" w:color="000000"/>
              <w:right w:val="single" w:sz="6" w:space="0" w:color="000000"/>
            </w:tcBorders>
          </w:tcPr>
          <w:p>
            <w:pPr/>
          </w:p>
        </w:tc>
        <w:tc>
          <w:tcPr>
            <w:tcW w:w="1580" w:type="dxa"/>
            <w:tcBorders>
              <w:top w:val="nil" w:sz="6" w:space="0" w:color="auto"/>
              <w:left w:val="single" w:sz="6" w:space="0" w:color="000000"/>
              <w:bottom w:val="single" w:sz="4" w:space="0" w:color="000000"/>
              <w:right w:val="single" w:sz="6" w:space="0" w:color="000000"/>
            </w:tcBorders>
          </w:tcPr>
          <w:p>
            <w:pPr/>
          </w:p>
        </w:tc>
        <w:tc>
          <w:tcPr>
            <w:tcW w:w="1582" w:type="dxa"/>
            <w:tcBorders>
              <w:top w:val="nil" w:sz="6" w:space="0" w:color="auto"/>
              <w:left w:val="single" w:sz="6" w:space="0" w:color="000000"/>
              <w:bottom w:val="single" w:sz="4" w:space="0" w:color="000000"/>
              <w:right w:val="single" w:sz="4" w:space="0" w:color="000000"/>
            </w:tcBorders>
          </w:tcPr>
          <w:p>
            <w:pPr/>
          </w:p>
        </w:tc>
      </w:tr>
    </w:tbl>
    <w:p>
      <w:pPr>
        <w:spacing w:after="0"/>
        <w:sectPr>
          <w:pgSz w:w="16840" w:h="11910" w:orient="landscape"/>
          <w:pgMar w:header="882" w:footer="973"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2"/>
        <w:tabs>
          <w:tab w:pos="865" w:val="left" w:leader="none"/>
        </w:tabs>
        <w:spacing w:line="290" w:lineRule="auto"/>
        <w:ind w:right="3668"/>
        <w:jc w:val="left"/>
        <w:rPr>
          <w:rFonts w:ascii="宋体" w:hAnsi="宋体" w:cs="宋体" w:eastAsia="宋体" w:hint="default"/>
          <w:b w:val="0"/>
          <w:bCs w:val="0"/>
        </w:rPr>
      </w:pPr>
      <w:r>
        <w:rPr>
          <w:w w:val="95"/>
        </w:rPr>
        <w:t>(4).</w:t>
        <w:tab/>
      </w:r>
      <w:r>
        <w:rPr/>
        <w:t>使用企业集团资产和清偿企业集团债务的重大限制：</w:t>
      </w:r>
      <w:r>
        <w:rPr>
          <w:spacing w:val="1"/>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865" w:val="left" w:leader="none"/>
        </w:tabs>
        <w:spacing w:line="290" w:lineRule="auto" w:before="0"/>
        <w:ind w:right="2194"/>
        <w:jc w:val="left"/>
        <w:rPr>
          <w:rFonts w:ascii="宋体" w:hAnsi="宋体" w:cs="宋体" w:eastAsia="宋体" w:hint="default"/>
          <w:b w:val="0"/>
          <w:bCs w:val="0"/>
        </w:rPr>
      </w:pPr>
      <w:r>
        <w:rPr>
          <w:w w:val="95"/>
        </w:rPr>
        <w:t>(5).</w:t>
        <w:tab/>
      </w:r>
      <w:r>
        <w:rPr/>
        <w:t>向纳入合并财务报表范围的结构化主体提供的财务支持或其他支持：</w:t>
      </w:r>
      <w:r>
        <w:rPr>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66"/>
          <w:footerReference w:type="default" r:id="rId67"/>
          <w:pgSz w:w="11910" w:h="16840"/>
          <w:pgMar w:header="882" w:footer="977" w:top="1120" w:bottom="1160" w:left="1480" w:right="1040"/>
          <w:pgNumType w:start="12"/>
        </w:sectPr>
      </w:pPr>
    </w:p>
    <w:p>
      <w:pPr>
        <w:pStyle w:val="Heading2"/>
        <w:tabs>
          <w:tab w:pos="851" w:val="left" w:leader="none"/>
        </w:tabs>
        <w:spacing w:line="290" w:lineRule="auto"/>
        <w:ind w:right="0"/>
        <w:jc w:val="left"/>
        <w:rPr>
          <w:b w:val="0"/>
          <w:bCs w:val="0"/>
        </w:rPr>
      </w:pPr>
      <w:r>
        <w:rPr/>
        <w:t>2、</w:t>
      </w:r>
      <w:r>
        <w:rPr>
          <w:spacing w:val="-6"/>
        </w:rPr>
        <w:t> </w:t>
      </w:r>
      <w:r>
        <w:rPr/>
        <w:t>合营企业或联营企业中的权益</w:t>
      </w:r>
      <w:r>
        <w:rPr>
          <w:spacing w:val="1"/>
          <w:w w:val="99"/>
        </w:rPr>
        <w:t> </w:t>
      </w:r>
      <w:r>
        <w:rPr>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7" w:val="left" w:leader="none"/>
        </w:tabs>
        <w:spacing w:line="240" w:lineRule="auto" w:before="175"/>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3383" w:space="3448"/>
            <w:col w:w="2559"/>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35"/>
        <w:gridCol w:w="1357"/>
        <w:gridCol w:w="1280"/>
        <w:gridCol w:w="1321"/>
        <w:gridCol w:w="1338"/>
        <w:gridCol w:w="1348"/>
        <w:gridCol w:w="1266"/>
      </w:tblGrid>
      <w:tr>
        <w:trPr>
          <w:trHeight w:val="464" w:hRule="exact"/>
        </w:trPr>
        <w:tc>
          <w:tcPr>
            <w:tcW w:w="1235" w:type="dxa"/>
            <w:vMerge w:val="restart"/>
            <w:tcBorders>
              <w:top w:val="single" w:sz="4" w:space="0" w:color="000000"/>
              <w:left w:val="single" w:sz="4" w:space="0" w:color="000000"/>
              <w:right w:val="single" w:sz="6" w:space="0" w:color="000000"/>
            </w:tcBorders>
          </w:tcPr>
          <w:p>
            <w:pPr>
              <w:pStyle w:val="TableParagraph"/>
              <w:spacing w:line="272" w:lineRule="exact" w:before="129"/>
              <w:ind w:left="191" w:right="188"/>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57"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80"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21"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8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57"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6" w:type="dxa"/>
            <w:vMerge w:val="restart"/>
            <w:tcBorders>
              <w:top w:val="single" w:sz="4" w:space="0" w:color="000000"/>
              <w:left w:val="single" w:sz="6" w:space="0" w:color="000000"/>
              <w:right w:val="single" w:sz="4"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对合营企业</w:t>
            </w:r>
          </w:p>
          <w:p>
            <w:pPr>
              <w:pStyle w:val="TableParagraph"/>
              <w:spacing w:line="272" w:lineRule="exact" w:before="26"/>
              <w:ind w:left="99" w:right="102"/>
              <w:jc w:val="both"/>
              <w:rPr>
                <w:rFonts w:ascii="宋体" w:hAnsi="宋体" w:cs="宋体" w:eastAsia="宋体" w:hint="default"/>
                <w:sz w:val="21"/>
                <w:szCs w:val="21"/>
              </w:rPr>
            </w:pPr>
            <w:r>
              <w:rPr>
                <w:rFonts w:ascii="宋体" w:hAnsi="宋体" w:cs="宋体" w:eastAsia="宋体" w:hint="default"/>
                <w:sz w:val="21"/>
                <w:szCs w:val="21"/>
              </w:rPr>
              <w:t>或联营企业 投资的会计 处理方法</w:t>
            </w:r>
          </w:p>
        </w:tc>
      </w:tr>
      <w:tr>
        <w:trPr>
          <w:trHeight w:val="638" w:hRule="exact"/>
        </w:trPr>
        <w:tc>
          <w:tcPr>
            <w:tcW w:w="1235" w:type="dxa"/>
            <w:vMerge/>
            <w:tcBorders>
              <w:left w:val="single" w:sz="4" w:space="0" w:color="000000"/>
              <w:bottom w:val="single" w:sz="6" w:space="0" w:color="000000"/>
              <w:right w:val="single" w:sz="6" w:space="0" w:color="000000"/>
            </w:tcBorders>
          </w:tcPr>
          <w:p>
            <w:pPr/>
          </w:p>
        </w:tc>
        <w:tc>
          <w:tcPr>
            <w:tcW w:w="1357" w:type="dxa"/>
            <w:vMerge/>
            <w:tcBorders>
              <w:left w:val="single" w:sz="6" w:space="0" w:color="000000"/>
              <w:bottom w:val="single" w:sz="6" w:space="0" w:color="000000"/>
              <w:right w:val="single" w:sz="6" w:space="0" w:color="000000"/>
            </w:tcBorders>
          </w:tcPr>
          <w:p>
            <w:pPr/>
          </w:p>
        </w:tc>
        <w:tc>
          <w:tcPr>
            <w:tcW w:w="1280" w:type="dxa"/>
            <w:vMerge/>
            <w:tcBorders>
              <w:left w:val="single" w:sz="6" w:space="0" w:color="000000"/>
              <w:bottom w:val="single" w:sz="6" w:space="0" w:color="000000"/>
              <w:right w:val="single" w:sz="6" w:space="0" w:color="000000"/>
            </w:tcBorders>
          </w:tcPr>
          <w:p>
            <w:pPr/>
          </w:p>
        </w:tc>
        <w:tc>
          <w:tcPr>
            <w:tcW w:w="1321" w:type="dxa"/>
            <w:vMerge/>
            <w:tcBorders>
              <w:left w:val="single" w:sz="6" w:space="0" w:color="000000"/>
              <w:bottom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5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间接</w:t>
            </w:r>
          </w:p>
        </w:tc>
        <w:tc>
          <w:tcPr>
            <w:tcW w:w="1266" w:type="dxa"/>
            <w:vMerge/>
            <w:tcBorders>
              <w:left w:val="single" w:sz="6" w:space="0" w:color="000000"/>
              <w:bottom w:val="single" w:sz="6" w:space="0" w:color="000000"/>
              <w:right w:val="single" w:sz="4" w:space="0" w:color="000000"/>
            </w:tcBorders>
          </w:tcPr>
          <w:p>
            <w:pPr/>
          </w:p>
        </w:tc>
      </w:tr>
      <w:tr>
        <w:trPr>
          <w:trHeight w:val="278" w:hRule="exact"/>
        </w:trPr>
        <w:tc>
          <w:tcPr>
            <w:tcW w:w="1235" w:type="dxa"/>
            <w:tcBorders>
              <w:top w:val="single" w:sz="6" w:space="0" w:color="000000"/>
              <w:left w:val="single" w:sz="4" w:space="0" w:color="000000"/>
              <w:bottom w:val="nil" w:sz="6" w:space="0" w:color="auto"/>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南京伍安</w:t>
            </w:r>
          </w:p>
        </w:tc>
        <w:tc>
          <w:tcPr>
            <w:tcW w:w="1357" w:type="dxa"/>
            <w:tcBorders>
              <w:top w:val="single" w:sz="6" w:space="0" w:color="000000"/>
              <w:left w:val="single" w:sz="6" w:space="0" w:color="000000"/>
              <w:bottom w:val="nil" w:sz="6" w:space="0" w:color="auto"/>
              <w:right w:val="single" w:sz="6" w:space="0" w:color="000000"/>
            </w:tcBorders>
          </w:tcPr>
          <w:p>
            <w:pPr/>
          </w:p>
        </w:tc>
        <w:tc>
          <w:tcPr>
            <w:tcW w:w="1280" w:type="dxa"/>
            <w:tcBorders>
              <w:top w:val="single" w:sz="6" w:space="0" w:color="000000"/>
              <w:left w:val="single" w:sz="6" w:space="0" w:color="000000"/>
              <w:bottom w:val="nil" w:sz="6" w:space="0" w:color="auto"/>
              <w:right w:val="single" w:sz="6" w:space="0" w:color="000000"/>
            </w:tcBorders>
          </w:tcPr>
          <w:p>
            <w:pPr/>
          </w:p>
        </w:tc>
        <w:tc>
          <w:tcPr>
            <w:tcW w:w="1321" w:type="dxa"/>
            <w:tcBorders>
              <w:top w:val="single" w:sz="6" w:space="0" w:color="000000"/>
              <w:left w:val="single" w:sz="6" w:space="0" w:color="000000"/>
              <w:bottom w:val="nil" w:sz="6" w:space="0" w:color="auto"/>
              <w:right w:val="single" w:sz="6" w:space="0" w:color="000000"/>
            </w:tcBorders>
          </w:tcPr>
          <w:p>
            <w:pPr/>
          </w:p>
        </w:tc>
        <w:tc>
          <w:tcPr>
            <w:tcW w:w="1338" w:type="dxa"/>
            <w:tcBorders>
              <w:top w:val="single" w:sz="6" w:space="0" w:color="000000"/>
              <w:left w:val="single" w:sz="6" w:space="0" w:color="000000"/>
              <w:bottom w:val="nil" w:sz="6" w:space="0" w:color="auto"/>
              <w:right w:val="single" w:sz="6" w:space="0" w:color="000000"/>
            </w:tcBorders>
          </w:tcPr>
          <w:p>
            <w:pPr/>
          </w:p>
        </w:tc>
        <w:tc>
          <w:tcPr>
            <w:tcW w:w="1348"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235"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信息科技</w:t>
            </w:r>
          </w:p>
        </w:tc>
        <w:tc>
          <w:tcPr>
            <w:tcW w:w="135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南京</w:t>
            </w:r>
          </w:p>
        </w:tc>
        <w:tc>
          <w:tcPr>
            <w:tcW w:w="12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南京</w:t>
            </w:r>
          </w:p>
        </w:tc>
        <w:tc>
          <w:tcPr>
            <w:tcW w:w="132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3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sz w:val="21"/>
              </w:rPr>
              <w:t>20%</w:t>
            </w:r>
          </w:p>
        </w:tc>
        <w:tc>
          <w:tcPr>
            <w:tcW w:w="134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79" w:hRule="exact"/>
        </w:trPr>
        <w:tc>
          <w:tcPr>
            <w:tcW w:w="1235" w:type="dxa"/>
            <w:tcBorders>
              <w:top w:val="nil" w:sz="6" w:space="0" w:color="auto"/>
              <w:left w:val="single" w:sz="4" w:space="0" w:color="000000"/>
              <w:bottom w:val="single" w:sz="4"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57" w:type="dxa"/>
            <w:tcBorders>
              <w:top w:val="nil" w:sz="6" w:space="0" w:color="auto"/>
              <w:left w:val="single" w:sz="6" w:space="0" w:color="000000"/>
              <w:bottom w:val="single" w:sz="4" w:space="0" w:color="000000"/>
              <w:right w:val="single" w:sz="6" w:space="0" w:color="000000"/>
            </w:tcBorders>
          </w:tcPr>
          <w:p>
            <w:pPr/>
          </w:p>
        </w:tc>
        <w:tc>
          <w:tcPr>
            <w:tcW w:w="1280" w:type="dxa"/>
            <w:tcBorders>
              <w:top w:val="nil" w:sz="6" w:space="0" w:color="auto"/>
              <w:left w:val="single" w:sz="6" w:space="0" w:color="000000"/>
              <w:bottom w:val="single" w:sz="4" w:space="0" w:color="000000"/>
              <w:right w:val="single" w:sz="6" w:space="0" w:color="000000"/>
            </w:tcBorders>
          </w:tcPr>
          <w:p>
            <w:pPr/>
          </w:p>
        </w:tc>
        <w:tc>
          <w:tcPr>
            <w:tcW w:w="1321" w:type="dxa"/>
            <w:tcBorders>
              <w:top w:val="nil" w:sz="6" w:space="0" w:color="auto"/>
              <w:left w:val="single" w:sz="6" w:space="0" w:color="000000"/>
              <w:bottom w:val="single" w:sz="4" w:space="0" w:color="000000"/>
              <w:right w:val="single" w:sz="6" w:space="0" w:color="000000"/>
            </w:tcBorders>
          </w:tcPr>
          <w:p>
            <w:pPr/>
          </w:p>
        </w:tc>
        <w:tc>
          <w:tcPr>
            <w:tcW w:w="1338" w:type="dxa"/>
            <w:tcBorders>
              <w:top w:val="nil" w:sz="6" w:space="0" w:color="auto"/>
              <w:left w:val="single" w:sz="6" w:space="0" w:color="000000"/>
              <w:bottom w:val="single" w:sz="4" w:space="0" w:color="000000"/>
              <w:right w:val="single" w:sz="6" w:space="0" w:color="000000"/>
            </w:tcBorders>
          </w:tcPr>
          <w:p>
            <w:pPr/>
          </w:p>
        </w:tc>
        <w:tc>
          <w:tcPr>
            <w:tcW w:w="1348" w:type="dxa"/>
            <w:vMerge/>
            <w:tcBorders>
              <w:left w:val="single" w:sz="6" w:space="0" w:color="000000"/>
              <w:bottom w:val="single" w:sz="4" w:space="0" w:color="000000"/>
              <w:right w:val="single" w:sz="6" w:space="0" w:color="000000"/>
            </w:tcBorders>
          </w:tcPr>
          <w:p>
            <w:pPr/>
          </w:p>
        </w:tc>
        <w:tc>
          <w:tcPr>
            <w:tcW w:w="1266" w:type="dxa"/>
            <w:tcBorders>
              <w:top w:val="nil" w:sz="6" w:space="0" w:color="auto"/>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851" w:val="left" w:leader="none"/>
        </w:tabs>
        <w:spacing w:line="240" w:lineRule="auto"/>
        <w:ind w:right="84"/>
        <w:jc w:val="left"/>
        <w:rPr>
          <w:b w:val="0"/>
          <w:bCs w:val="0"/>
        </w:rPr>
      </w:pPr>
      <w:r>
        <w:rPr>
          <w:w w:val="95"/>
        </w:rPr>
        <w:t>(2).</w:t>
        <w:tab/>
      </w:r>
      <w:r>
        <w:rPr/>
        <w:t>重要联营企业的主要财务信息</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830"/>
        <w:gridCol w:w="1549"/>
        <w:gridCol w:w="1048"/>
        <w:gridCol w:w="1544"/>
        <w:gridCol w:w="1174"/>
      </w:tblGrid>
      <w:tr>
        <w:trPr>
          <w:trHeight w:val="284" w:hRule="exact"/>
        </w:trPr>
        <w:tc>
          <w:tcPr>
            <w:tcW w:w="3830" w:type="dxa"/>
            <w:vMerge w:val="restart"/>
            <w:tcBorders>
              <w:top w:val="single" w:sz="4" w:space="0" w:color="000000"/>
              <w:left w:val="single" w:sz="4" w:space="0" w:color="000000"/>
              <w:right w:val="single" w:sz="6" w:space="0" w:color="000000"/>
            </w:tcBorders>
          </w:tcPr>
          <w:p>
            <w:pPr/>
          </w:p>
        </w:tc>
        <w:tc>
          <w:tcPr>
            <w:tcW w:w="259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239" w:right="0"/>
              <w:jc w:val="left"/>
              <w:rPr>
                <w:rFonts w:ascii="宋体" w:hAnsi="宋体" w:cs="宋体" w:eastAsia="宋体" w:hint="default"/>
                <w:sz w:val="21"/>
                <w:szCs w:val="21"/>
              </w:rPr>
            </w:pPr>
            <w:r>
              <w:rPr>
                <w:rFonts w:ascii="宋体" w:hAnsi="宋体" w:cs="宋体" w:eastAsia="宋体" w:hint="default"/>
                <w:sz w:val="21"/>
                <w:szCs w:val="21"/>
              </w:rPr>
              <w:t>期末余额/ 本期发生额</w:t>
            </w:r>
          </w:p>
        </w:tc>
        <w:tc>
          <w:tcPr>
            <w:tcW w:w="271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299" w:right="0"/>
              <w:jc w:val="left"/>
              <w:rPr>
                <w:rFonts w:ascii="宋体" w:hAnsi="宋体" w:cs="宋体" w:eastAsia="宋体" w:hint="default"/>
                <w:sz w:val="21"/>
                <w:szCs w:val="21"/>
              </w:rPr>
            </w:pPr>
            <w:r>
              <w:rPr>
                <w:rFonts w:ascii="宋体" w:hAnsi="宋体" w:cs="宋体" w:eastAsia="宋体" w:hint="default"/>
                <w:sz w:val="21"/>
                <w:szCs w:val="21"/>
              </w:rPr>
              <w:t>期初余额/ 上期发生额</w:t>
            </w:r>
          </w:p>
        </w:tc>
      </w:tr>
      <w:tr>
        <w:trPr>
          <w:trHeight w:val="482" w:hRule="exact"/>
        </w:trPr>
        <w:tc>
          <w:tcPr>
            <w:tcW w:w="3830" w:type="dxa"/>
            <w:vMerge/>
            <w:tcBorders>
              <w:left w:val="single" w:sz="4"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南京伍安信息科</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南京伍安信息科</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1,606,772.58</w:t>
            </w:r>
            <w:r>
              <w:rPr>
                <w:rFonts w:ascii="宋体"/>
                <w:sz w:val="21"/>
              </w:rPr>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1,200,000.00</w:t>
            </w:r>
            <w:r>
              <w:rPr>
                <w:rFonts w:ascii="宋体"/>
                <w:sz w:val="21"/>
              </w:rPr>
            </w: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1,606,772.58</w:t>
            </w:r>
            <w:r>
              <w:rPr>
                <w:rFonts w:ascii="宋体"/>
                <w:sz w:val="21"/>
              </w:rPr>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1,200,000.00</w:t>
            </w:r>
            <w:r>
              <w:rPr>
                <w:rFonts w:ascii="宋体"/>
                <w:sz w:val="21"/>
              </w:rPr>
            </w: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-116.50</w:t>
            </w:r>
            <w:r>
              <w:rPr>
                <w:rFonts w:ascii="宋体"/>
                <w:sz w:val="21"/>
              </w:rPr>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4,722.00</w:t>
            </w:r>
            <w:r>
              <w:rPr>
                <w:rFonts w:ascii="宋体"/>
                <w:sz w:val="21"/>
              </w:rPr>
            </w: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w:t>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499,883.50</w:t>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4,722.00</w:t>
            </w: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221,377.82</w:t>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239,055.60</w:t>
            </w: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存在公开报价的联营企业权益投资的公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-88,388.92</w:t>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-4,722.00</w:t>
            </w:r>
            <w:r>
              <w:rPr>
                <w:rFonts w:ascii="宋体"/>
                <w:sz w:val="21"/>
              </w:rPr>
            </w: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9"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-88,388.92</w:t>
            </w:r>
          </w:p>
        </w:tc>
        <w:tc>
          <w:tcPr>
            <w:tcW w:w="104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-4,722.00</w:t>
            </w:r>
            <w:r>
              <w:rPr>
                <w:rFonts w:ascii="宋体"/>
                <w:sz w:val="21"/>
              </w:rPr>
            </w: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3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1549" w:type="dxa"/>
            <w:tcBorders>
              <w:top w:val="single" w:sz="6" w:space="0" w:color="000000"/>
              <w:left w:val="single" w:sz="6" w:space="0" w:color="000000"/>
              <w:bottom w:val="single" w:sz="4" w:space="0" w:color="000000"/>
              <w:right w:val="single" w:sz="6" w:space="0" w:color="000000"/>
            </w:tcBorders>
          </w:tcPr>
          <w:p>
            <w:pPr/>
          </w:p>
        </w:tc>
        <w:tc>
          <w:tcPr>
            <w:tcW w:w="1048" w:type="dxa"/>
            <w:tcBorders>
              <w:top w:val="single" w:sz="6" w:space="0" w:color="000000"/>
              <w:left w:val="single" w:sz="6" w:space="0" w:color="000000"/>
              <w:bottom w:val="single" w:sz="4" w:space="0" w:color="000000"/>
              <w:right w:val="single" w:sz="6" w:space="0" w:color="000000"/>
            </w:tcBorders>
          </w:tcPr>
          <w:p>
            <w:pPr/>
          </w:p>
        </w:tc>
        <w:tc>
          <w:tcPr>
            <w:tcW w:w="1544" w:type="dxa"/>
            <w:tcBorders>
              <w:top w:val="single" w:sz="6" w:space="0" w:color="000000"/>
              <w:left w:val="single" w:sz="6" w:space="0" w:color="000000"/>
              <w:bottom w:val="single" w:sz="4" w:space="0" w:color="000000"/>
              <w:right w:val="single" w:sz="6" w:space="0" w:color="000000"/>
            </w:tcBorders>
          </w:tcPr>
          <w:p>
            <w:pPr/>
          </w:p>
        </w:tc>
        <w:tc>
          <w:tcPr>
            <w:tcW w:w="1174" w:type="dxa"/>
            <w:tcBorders>
              <w:top w:val="single" w:sz="6" w:space="0" w:color="000000"/>
              <w:left w:val="single" w:sz="6" w:space="0" w:color="000000"/>
              <w:bottom w:val="single" w:sz="4" w:space="0" w:color="000000"/>
              <w:right w:val="single" w:sz="6" w:space="0" w:color="000000"/>
            </w:tcBorders>
          </w:tcPr>
          <w:p>
            <w:pPr/>
          </w:p>
        </w:tc>
      </w:tr>
    </w:tbl>
    <w:p>
      <w:pPr>
        <w:spacing w:after="0"/>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left="261" w:right="3110"/>
        <w:jc w:val="left"/>
        <w:rPr>
          <w:b w:val="0"/>
          <w:bCs w:val="0"/>
        </w:rPr>
      </w:pPr>
      <w:r>
        <w:rPr/>
        <w:t>十、关联方及关联交易</w:t>
      </w:r>
      <w:r>
        <w:rPr>
          <w:b w:val="0"/>
          <w:bCs w:val="0"/>
        </w:rPr>
      </w:r>
    </w:p>
    <w:p>
      <w:pPr>
        <w:pStyle w:val="Heading2"/>
        <w:spacing w:line="240" w:lineRule="auto" w:before="57"/>
        <w:ind w:left="261" w:right="3110"/>
        <w:jc w:val="left"/>
        <w:rPr>
          <w:b w:val="0"/>
          <w:bCs w:val="0"/>
        </w:rPr>
      </w:pPr>
      <w:r>
        <w:rPr/>
        <w:t>1、</w:t>
      </w:r>
      <w:r>
        <w:rPr>
          <w:spacing w:val="-2"/>
        </w:rPr>
        <w:t> </w:t>
      </w:r>
      <w:r>
        <w:rPr/>
        <w:t>本企业的实际控制人情况</w:t>
      </w:r>
      <w:r>
        <w:rPr>
          <w:b w:val="0"/>
          <w:bCs w:val="0"/>
        </w:rPr>
      </w:r>
    </w:p>
    <w:p>
      <w:pPr>
        <w:spacing w:line="240" w:lineRule="auto" w:before="1"/>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696"/>
        <w:gridCol w:w="2239"/>
        <w:gridCol w:w="1985"/>
        <w:gridCol w:w="1487"/>
        <w:gridCol w:w="1699"/>
      </w:tblGrid>
      <w:tr>
        <w:trPr>
          <w:trHeight w:val="407"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实际控制名称</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身份证号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在本公司任职情况</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表决权比例(%)</w:t>
            </w:r>
          </w:p>
        </w:tc>
      </w:tr>
      <w:tr>
        <w:trPr>
          <w:trHeight w:val="407"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3505************1X</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1"/>
                <w:szCs w:val="21"/>
              </w:rPr>
            </w:pPr>
            <w:r>
              <w:rPr>
                <w:rFonts w:ascii="宋体"/>
                <w:sz w:val="21"/>
              </w:rPr>
              <w:t>57.40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center"/>
              <w:rPr>
                <w:rFonts w:ascii="宋体" w:hAnsi="宋体" w:cs="宋体" w:eastAsia="宋体" w:hint="default"/>
                <w:sz w:val="21"/>
                <w:szCs w:val="21"/>
              </w:rPr>
            </w:pPr>
            <w:r>
              <w:rPr>
                <w:rFonts w:ascii="宋体"/>
                <w:sz w:val="21"/>
              </w:rPr>
              <w:t>57.40</w:t>
            </w:r>
          </w:p>
        </w:tc>
      </w:tr>
    </w:tbl>
    <w:p>
      <w:pPr>
        <w:pStyle w:val="BodyText"/>
        <w:spacing w:line="240" w:lineRule="exact" w:before="0"/>
        <w:ind w:left="261" w:right="3110"/>
        <w:jc w:val="left"/>
      </w:pPr>
      <w:r>
        <w:rPr/>
        <w:t>本企业最终控制方是吴志雄先生。</w:t>
      </w:r>
    </w:p>
    <w:p>
      <w:pPr>
        <w:spacing w:line="240" w:lineRule="auto" w:before="3"/>
        <w:rPr>
          <w:rFonts w:ascii="宋体" w:hAnsi="宋体" w:cs="宋体" w:eastAsia="宋体" w:hint="default"/>
          <w:sz w:val="25"/>
          <w:szCs w:val="25"/>
        </w:rPr>
      </w:pPr>
    </w:p>
    <w:p>
      <w:pPr>
        <w:spacing w:line="345" w:lineRule="auto" w:before="0"/>
        <w:ind w:left="681" w:right="311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spacing w:val="1"/>
          <w:w w:val="99"/>
          <w:sz w:val="21"/>
          <w:szCs w:val="21"/>
        </w:rPr>
        <w:t> </w:t>
      </w:r>
      <w:r>
        <w:rPr>
          <w:rFonts w:ascii="宋体" w:hAnsi="宋体" w:cs="宋体" w:eastAsia="宋体" w:hint="default"/>
          <w:sz w:val="21"/>
          <w:szCs w:val="21"/>
        </w:rPr>
        <w:t>本企业子公司的情况详见“八、其他主体中的权益附注</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p>
      <w:pPr>
        <w:spacing w:line="240" w:lineRule="auto" w:before="8"/>
        <w:rPr>
          <w:rFonts w:ascii="宋体" w:hAnsi="宋体" w:cs="宋体" w:eastAsia="宋体" w:hint="default"/>
          <w:sz w:val="18"/>
          <w:szCs w:val="18"/>
        </w:rPr>
      </w:pPr>
    </w:p>
    <w:p>
      <w:pPr>
        <w:pStyle w:val="BodyText"/>
        <w:spacing w:line="336" w:lineRule="auto" w:before="0"/>
        <w:ind w:left="681" w:right="0" w:hanging="420"/>
        <w:jc w:val="left"/>
      </w:pPr>
      <w:r>
        <w:rPr>
          <w:rFonts w:ascii="宋体" w:hAnsi="宋体" w:cs="宋体" w:eastAsia="宋体" w:hint="default"/>
          <w:b/>
          <w:bCs/>
        </w:rPr>
        <w:t>3、</w:t>
      </w:r>
      <w:r>
        <w:rPr>
          <w:rFonts w:ascii="宋体" w:hAnsi="宋体" w:cs="宋体" w:eastAsia="宋体" w:hint="default"/>
          <w:b/>
          <w:bCs/>
          <w:spacing w:val="1"/>
        </w:rPr>
        <w:t> </w:t>
      </w:r>
      <w:r>
        <w:rPr>
          <w:rFonts w:ascii="宋体" w:hAnsi="宋体" w:cs="宋体" w:eastAsia="宋体" w:hint="default"/>
          <w:b/>
          <w:bCs/>
        </w:rPr>
        <w:t>本企业合营和联营企业情况</w:t>
      </w:r>
      <w:r>
        <w:rPr>
          <w:rFonts w:ascii="宋体" w:hAnsi="宋体" w:cs="宋体" w:eastAsia="宋体" w:hint="default"/>
          <w:b/>
          <w:bCs/>
          <w:w w:val="99"/>
        </w:rPr>
        <w:t> </w:t>
      </w:r>
      <w:r>
        <w:rPr/>
        <w:t>本企业重要的合营或联营企业详见八、其他主体中的权益附注（二）。 </w:t>
      </w:r>
      <w:r>
        <w:rPr>
          <w:spacing w:val="-3"/>
        </w:rPr>
        <w:t>本期与本公司发生关联方交易，或前期与本公司发生关联方交易形成余额的其他合营或联营企</w:t>
      </w:r>
    </w:p>
    <w:p>
      <w:pPr>
        <w:pStyle w:val="BodyText"/>
        <w:spacing w:line="240" w:lineRule="auto" w:before="1"/>
        <w:ind w:left="261" w:right="3110"/>
        <w:jc w:val="left"/>
      </w:pPr>
      <w:r>
        <w:rPr/>
        <w:t>业情况如下：</w:t>
      </w:r>
    </w:p>
    <w:p>
      <w:pPr>
        <w:spacing w:line="240" w:lineRule="auto" w:before="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045"/>
        <w:gridCol w:w="5100"/>
      </w:tblGrid>
      <w:tr>
        <w:trPr>
          <w:trHeight w:val="408"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407"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参股公司</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61" w:right="3110"/>
        <w:jc w:val="left"/>
        <w:rPr>
          <w:b w:val="0"/>
          <w:bCs w:val="0"/>
        </w:rPr>
      </w:pPr>
      <w:r>
        <w:rPr/>
        <w:t>4、</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4020"/>
        <w:gridCol w:w="5125"/>
      </w:tblGrid>
      <w:tr>
        <w:trPr>
          <w:trHeight w:val="282" w:hRule="exact"/>
        </w:trPr>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6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福建新丝路酒店有限公司</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r>
    </w:tbl>
    <w:p>
      <w:pPr>
        <w:pStyle w:val="BodyText"/>
        <w:spacing w:line="240" w:lineRule="exact" w:before="0"/>
        <w:ind w:left="261" w:right="3110"/>
        <w:jc w:val="left"/>
      </w:pPr>
      <w:r>
        <w:rPr/>
        <w:t>其他说明：</w:t>
      </w:r>
    </w:p>
    <w:p>
      <w:pPr>
        <w:pStyle w:val="BodyText"/>
        <w:spacing w:line="314" w:lineRule="auto" w:before="75"/>
        <w:ind w:left="681" w:right="0"/>
        <w:jc w:val="left"/>
      </w:pPr>
      <w:r>
        <w:rPr/>
        <w:t>（1）公司的其他关联方 </w:t>
      </w:r>
      <w:r>
        <w:rPr>
          <w:spacing w:val="-3"/>
        </w:rPr>
        <w:t>福建新微科技有限公司与公司属同一控股股东控制，福建新丝路酒店有限公司为福建新微科技</w:t>
      </w:r>
    </w:p>
    <w:p>
      <w:pPr>
        <w:pStyle w:val="BodyText"/>
        <w:spacing w:line="240" w:lineRule="auto"/>
        <w:ind w:left="261" w:right="3110"/>
        <w:jc w:val="left"/>
      </w:pPr>
      <w:r>
        <w:rPr/>
        <w:t>有限公司的全资子公司。</w:t>
      </w:r>
    </w:p>
    <w:p>
      <w:pPr>
        <w:pStyle w:val="BodyText"/>
        <w:spacing w:line="240" w:lineRule="auto" w:before="85"/>
        <w:ind w:left="681" w:right="0"/>
        <w:jc w:val="left"/>
      </w:pPr>
      <w:r>
        <w:rPr/>
        <w:t>（2）公司不具有收益权但实际承担其运营的特殊目的的主体情况</w:t>
      </w:r>
    </w:p>
    <w:p>
      <w:pPr>
        <w:pStyle w:val="BodyText"/>
        <w:spacing w:line="314" w:lineRule="auto" w:before="85"/>
        <w:ind w:left="261" w:right="231" w:firstLine="420"/>
        <w:jc w:val="both"/>
      </w:pPr>
      <w:r>
        <w:rPr/>
        <w:t>泉州微软技术中心于</w:t>
      </w:r>
      <w:r>
        <w:rPr>
          <w:spacing w:val="-53"/>
        </w:rPr>
        <w:t> </w:t>
      </w:r>
      <w:r>
        <w:rPr/>
        <w:t>2009</w:t>
      </w:r>
      <w:r>
        <w:rPr>
          <w:spacing w:val="-52"/>
        </w:rPr>
        <w:t> </w:t>
      </w:r>
      <w:r>
        <w:rPr/>
        <w:t>年</w:t>
      </w:r>
      <w:r>
        <w:rPr>
          <w:spacing w:val="-53"/>
        </w:rPr>
        <w:t> </w:t>
      </w:r>
      <w:r>
        <w:rPr/>
        <w:t>5</w:t>
      </w:r>
      <w:r>
        <w:rPr>
          <w:spacing w:val="-52"/>
        </w:rPr>
        <w:t> </w:t>
      </w:r>
      <w:r>
        <w:rPr/>
        <w:t>月</w:t>
      </w:r>
      <w:r>
        <w:rPr>
          <w:spacing w:val="-53"/>
        </w:rPr>
        <w:t> </w:t>
      </w:r>
      <w:r>
        <w:rPr/>
        <w:t>7</w:t>
      </w:r>
      <w:r>
        <w:rPr>
          <w:spacing w:val="-52"/>
        </w:rPr>
        <w:t> </w:t>
      </w:r>
      <w:r>
        <w:rPr/>
        <w:t>日依据《微软（中国）有限公司、福建南威软件工程发展</w:t>
      </w:r>
      <w:r>
        <w:rPr/>
        <w:t> </w:t>
      </w:r>
      <w:r>
        <w:rPr>
          <w:spacing w:val="-3"/>
        </w:rPr>
        <w:t>有限公司关于组建“泉州微软技术中心”的合作协议》成立，于泉州民政局注册，登记证号为“民</w:t>
      </w:r>
      <w:r>
        <w:rPr>
          <w:spacing w:val="-78"/>
        </w:rPr>
        <w:t> </w:t>
      </w:r>
      <w:r>
        <w:rPr>
          <w:spacing w:val="-78"/>
        </w:rPr>
      </w:r>
      <w:r>
        <w:rPr/>
        <w:t>证字第</w:t>
      </w:r>
      <w:r>
        <w:rPr>
          <w:spacing w:val="-53"/>
        </w:rPr>
        <w:t> </w:t>
      </w:r>
      <w:r>
        <w:rPr/>
        <w:t>350500040006</w:t>
      </w:r>
      <w:r>
        <w:rPr>
          <w:spacing w:val="-52"/>
        </w:rPr>
        <w:t> </w:t>
      </w:r>
      <w:r>
        <w:rPr>
          <w:spacing w:val="-5"/>
        </w:rPr>
        <w:t>号”，注册时资本为</w:t>
      </w:r>
      <w:r>
        <w:rPr>
          <w:spacing w:val="-53"/>
        </w:rPr>
        <w:t> </w:t>
      </w:r>
      <w:r>
        <w:rPr/>
        <w:t>100</w:t>
      </w:r>
      <w:r>
        <w:rPr>
          <w:spacing w:val="-52"/>
        </w:rPr>
        <w:t> </w:t>
      </w:r>
      <w:r>
        <w:rPr>
          <w:spacing w:val="-3"/>
        </w:rPr>
        <w:t>万元。中心成立时，举办者为福建新微。2010</w:t>
      </w:r>
      <w:r>
        <w:rPr>
          <w:spacing w:val="-52"/>
        </w:rPr>
        <w:t> </w:t>
      </w:r>
      <w:r>
        <w:rPr/>
        <w:t>年</w:t>
      </w:r>
      <w:r>
        <w:rPr>
          <w:spacing w:val="-54"/>
        </w:rPr>
        <w:t> </w:t>
      </w:r>
      <w:r>
        <w:rPr/>
        <w:t>10</w:t>
      </w:r>
      <w:r>
        <w:rPr/>
        <w:t> </w:t>
      </w:r>
      <w:r>
        <w:rPr>
          <w:spacing w:val="-3"/>
        </w:rPr>
        <w:t>月福建新微出售后，举办者变更为公司。根据《微软（中国）有限公司、福建南威软件工程发展有</w:t>
      </w:r>
      <w:r>
        <w:rPr>
          <w:spacing w:val="-78"/>
        </w:rPr>
        <w:t> </w:t>
      </w:r>
      <w:r>
        <w:rPr>
          <w:spacing w:val="-78"/>
        </w:rPr>
      </w:r>
      <w:r>
        <w:rPr>
          <w:spacing w:val="-3"/>
        </w:rPr>
        <w:t>限公司关于组建“泉州微软技术中心”的合作协议》，泉州微软技术中心由公司自行发起设立，微</w:t>
      </w:r>
      <w:r>
        <w:rPr>
          <w:spacing w:val="-81"/>
        </w:rPr>
        <w:t> </w:t>
      </w:r>
      <w:r>
        <w:rPr>
          <w:spacing w:val="-81"/>
        </w:rPr>
      </w:r>
      <w:r>
        <w:rPr>
          <w:spacing w:val="-3"/>
        </w:rPr>
        <w:t>软（中国）有限公司不参与泉州微软技术中心的的经营与管理，并且对中心的盈利和亏损不负任何</w:t>
      </w:r>
      <w:r>
        <w:rPr>
          <w:spacing w:val="-78"/>
        </w:rPr>
        <w:t> </w:t>
      </w:r>
      <w:r>
        <w:rPr>
          <w:spacing w:val="-78"/>
        </w:rPr>
      </w:r>
      <w:r>
        <w:rPr/>
        <w:t>责任。微软（中国）有限公司对泉州微软技术中心可在一定条件下提前</w:t>
      </w:r>
      <w:r>
        <w:rPr>
          <w:spacing w:val="-51"/>
        </w:rPr>
        <w:t> </w:t>
      </w:r>
      <w:r>
        <w:rPr/>
        <w:t>30</w:t>
      </w:r>
      <w:r>
        <w:rPr>
          <w:spacing w:val="-51"/>
        </w:rPr>
        <w:t> </w:t>
      </w:r>
      <w:r>
        <w:rPr/>
        <w:t>天通知合作双方终止使</w:t>
      </w:r>
      <w:r>
        <w:rPr/>
        <w:t> 用或变更“泉州微软技术中心”名称。</w:t>
      </w:r>
    </w:p>
    <w:p>
      <w:pPr>
        <w:pStyle w:val="BodyText"/>
        <w:spacing w:line="314" w:lineRule="auto"/>
        <w:ind w:left="261" w:right="231" w:firstLine="420"/>
        <w:jc w:val="both"/>
      </w:pPr>
      <w:r>
        <w:rPr>
          <w:spacing w:val="-3"/>
        </w:rPr>
        <w:t>泉州微软技术中心设立的宗旨是通过整合国内外先进资源，搭建技术传递、技术交流、技术人</w:t>
      </w:r>
      <w:r>
        <w:rPr/>
        <w:t> </w:t>
      </w:r>
      <w:r>
        <w:rPr>
          <w:spacing w:val="-3"/>
        </w:rPr>
        <w:t>才培养的平台，促进福建省、泉州市信息化的健康发展；同时，借助微软全球的运作经验，为福建</w:t>
      </w:r>
      <w:r>
        <w:rPr>
          <w:spacing w:val="-81"/>
        </w:rPr>
        <w:t> </w:t>
      </w:r>
      <w:r>
        <w:rPr>
          <w:spacing w:val="-81"/>
        </w:rPr>
      </w:r>
      <w:r>
        <w:rPr>
          <w:spacing w:val="-3"/>
        </w:rPr>
        <w:t>省和泉州市信息化建设在战略层面上提供技术支持。泉州微软技术中心章程中规定，该中心实现的</w:t>
      </w:r>
      <w:r>
        <w:rPr>
          <w:spacing w:val="-78"/>
        </w:rPr>
        <w:t> </w:t>
      </w:r>
      <w:r>
        <w:rPr>
          <w:spacing w:val="-78"/>
        </w:rPr>
      </w:r>
      <w:r>
        <w:rPr/>
        <w:t>盈余不分红，用于业务范围内的事业发展。</w:t>
      </w:r>
    </w:p>
    <w:p>
      <w:pPr>
        <w:pStyle w:val="BodyText"/>
        <w:spacing w:line="240" w:lineRule="auto"/>
        <w:ind w:left="681" w:right="0"/>
        <w:jc w:val="left"/>
      </w:pPr>
      <w:r>
        <w:rPr/>
        <w:t>截止</w:t>
      </w:r>
      <w:r>
        <w:rPr>
          <w:spacing w:val="-59"/>
        </w:rPr>
        <w:t> </w:t>
      </w:r>
      <w:r>
        <w:rPr/>
        <w:t>2014</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日，公司同泉州微软技术中心间不存在担保或抵押的情况。</w:t>
      </w:r>
    </w:p>
    <w:p>
      <w:pPr>
        <w:spacing w:after="0" w:line="240" w:lineRule="auto"/>
        <w:jc w:val="left"/>
        <w:sectPr>
          <w:pgSz w:w="11910" w:h="16840"/>
          <w:pgMar w:header="882" w:footer="977" w:top="1120" w:bottom="1160" w:left="14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8"/>
          <w:pgSz w:w="11910" w:h="16840"/>
          <w:pgMar w:footer="977" w:header="882" w:top="1120" w:bottom="1160" w:left="1480" w:right="960"/>
          <w:pgNumType w:start="131"/>
        </w:sectPr>
      </w:pPr>
    </w:p>
    <w:p>
      <w:pPr>
        <w:pStyle w:val="Heading2"/>
        <w:spacing w:line="240" w:lineRule="auto" w:before="174"/>
        <w:ind w:right="-14"/>
        <w:jc w:val="left"/>
        <w:rPr>
          <w:b w:val="0"/>
          <w:bCs w:val="0"/>
        </w:rPr>
      </w:pPr>
      <w:r>
        <w:rPr/>
        <w:t>5、</w:t>
      </w:r>
      <w:r>
        <w:rPr>
          <w:spacing w:val="-1"/>
        </w:rPr>
        <w:t> </w:t>
      </w:r>
      <w:r>
        <w:rPr/>
        <w:t>关联交易情况</w:t>
      </w:r>
      <w:r>
        <w:rPr>
          <w:b w:val="0"/>
          <w:bCs w:val="0"/>
        </w:rPr>
      </w:r>
    </w:p>
    <w:p>
      <w:pPr>
        <w:spacing w:line="290" w:lineRule="auto" w:before="57"/>
        <w:ind w:left="221" w:right="-1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79"/>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71" w:val="left" w:leader="none"/>
        </w:tabs>
        <w:spacing w:line="240" w:lineRule="auto" w:before="0"/>
        <w:ind w:left="221" w:right="0"/>
        <w:jc w:val="left"/>
      </w:pPr>
      <w:r>
        <w:rPr/>
        <w:t>单位：元</w:t>
        <w:tab/>
        <w:t>币种：人民币</w:t>
      </w:r>
    </w:p>
    <w:p>
      <w:pPr>
        <w:spacing w:after="0" w:line="240" w:lineRule="auto"/>
        <w:jc w:val="left"/>
        <w:sectPr>
          <w:type w:val="continuous"/>
          <w:pgSz w:w="11910" w:h="16840"/>
          <w:pgMar w:top="1120" w:bottom="1160" w:left="1480" w:right="960"/>
          <w:cols w:num="2" w:equalWidth="0">
            <w:col w:w="4420" w:space="2200"/>
            <w:col w:w="2850"/>
          </w:cols>
        </w:sectPr>
      </w:pP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2610"/>
        <w:gridCol w:w="2166"/>
        <w:gridCol w:w="2194"/>
        <w:gridCol w:w="2179"/>
      </w:tblGrid>
      <w:tr>
        <w:trPr>
          <w:trHeight w:val="30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4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center"/>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2" w:right="0"/>
              <w:jc w:val="left"/>
              <w:rPr>
                <w:rFonts w:ascii="宋体" w:hAnsi="宋体" w:cs="宋体" w:eastAsia="宋体" w:hint="default"/>
                <w:sz w:val="21"/>
                <w:szCs w:val="21"/>
              </w:rPr>
            </w:pPr>
            <w:r>
              <w:rPr>
                <w:rFonts w:ascii="宋体" w:hAnsi="宋体" w:cs="宋体" w:eastAsia="宋体" w:hint="default"/>
                <w:sz w:val="21"/>
                <w:szCs w:val="21"/>
              </w:rPr>
              <w:t>货物采购</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68,376.06</w:t>
            </w:r>
            <w:r>
              <w:rPr>
                <w:rFonts w:ascii="宋体"/>
                <w:sz w:val="21"/>
              </w:rPr>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68,376.06</w:t>
            </w:r>
          </w:p>
        </w:tc>
        <w:tc>
          <w:tcPr>
            <w:tcW w:w="21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480" w:right="960"/>
        </w:sectPr>
      </w:pPr>
    </w:p>
    <w:p>
      <w:pPr>
        <w:spacing w:line="290" w:lineRule="auto" w:before="35"/>
        <w:ind w:left="221"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71" w:val="left" w:leader="none"/>
        </w:tabs>
        <w:spacing w:line="240" w:lineRule="auto" w:before="0"/>
        <w:ind w:left="221" w:right="0"/>
        <w:jc w:val="left"/>
      </w:pPr>
      <w:r>
        <w:rPr/>
        <w:t>单位：元</w:t>
        <w:tab/>
        <w:t>币种：人民币</w:t>
      </w:r>
    </w:p>
    <w:p>
      <w:pPr>
        <w:spacing w:after="0" w:line="240" w:lineRule="auto"/>
        <w:jc w:val="left"/>
        <w:sectPr>
          <w:type w:val="continuous"/>
          <w:pgSz w:w="11910" w:h="16840"/>
          <w:pgMar w:top="1120" w:bottom="1160" w:left="1480" w:right="960"/>
          <w:cols w:num="2" w:equalWidth="0">
            <w:col w:w="2112" w:space="4507"/>
            <w:col w:w="2851"/>
          </w:cols>
        </w:sectPr>
      </w:pP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2467"/>
        <w:gridCol w:w="1574"/>
        <w:gridCol w:w="2150"/>
        <w:gridCol w:w="2702"/>
      </w:tblGrid>
      <w:tr>
        <w:trPr>
          <w:trHeight w:val="348" w:hRule="exact"/>
        </w:trPr>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0"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房屋</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24,490.00</w:t>
            </w:r>
          </w:p>
        </w:tc>
        <w:tc>
          <w:tcPr>
            <w:tcW w:w="27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193"/>
        <w:jc w:val="left"/>
        <w:rPr>
          <w:b w:val="0"/>
          <w:bCs w:val="0"/>
        </w:rPr>
      </w:pPr>
      <w:r>
        <w:rPr/>
        <w:t>(3).</w:t>
      </w:r>
      <w:r>
        <w:rPr>
          <w:spacing w:val="82"/>
        </w:rPr>
        <w:t> </w:t>
      </w:r>
      <w:r>
        <w:rPr/>
        <w:t>关键管理人员报酬</w:t>
      </w:r>
      <w:r>
        <w:rPr>
          <w:b w:val="0"/>
          <w:bCs w:val="0"/>
        </w:rPr>
      </w:r>
    </w:p>
    <w:p>
      <w:pPr>
        <w:pStyle w:val="BodyText"/>
        <w:tabs>
          <w:tab w:pos="1049" w:val="left" w:leader="none"/>
        </w:tabs>
        <w:spacing w:line="240" w:lineRule="auto" w:before="57"/>
        <w:ind w:left="0" w:right="31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308"/>
        <w:gridCol w:w="3308"/>
        <w:gridCol w:w="2528"/>
      </w:tblGrid>
      <w:tr>
        <w:trPr>
          <w:trHeight w:val="28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39"/>
              <w:jc w:val="right"/>
              <w:rPr>
                <w:rFonts w:ascii="宋体" w:hAnsi="宋体" w:cs="宋体" w:eastAsia="宋体" w:hint="default"/>
                <w:sz w:val="21"/>
                <w:szCs w:val="21"/>
              </w:rPr>
            </w:pPr>
            <w:r>
              <w:rPr>
                <w:rFonts w:ascii="宋体" w:hAnsi="宋体" w:cs="宋体" w:eastAsia="宋体" w:hint="default"/>
                <w:sz w:val="21"/>
                <w:szCs w:val="21"/>
              </w:rPr>
              <w:t>项目</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981,532.00</w:t>
            </w:r>
            <w:r>
              <w:rPr>
                <w:rFonts w:ascii="宋体"/>
                <w:sz w:val="21"/>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1,201,770.00</w:t>
            </w:r>
            <w:r>
              <w:rPr>
                <w:rFonts w:ascii="宋体"/>
                <w:sz w:val="21"/>
              </w:rPr>
            </w:r>
          </w:p>
        </w:tc>
      </w:tr>
      <w:tr>
        <w:trPr>
          <w:trHeight w:val="28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468,994.50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429,532.70</w:t>
            </w:r>
          </w:p>
        </w:tc>
      </w:tr>
      <w:tr>
        <w:trPr>
          <w:trHeight w:val="28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852,019.00</w:t>
            </w:r>
            <w:r>
              <w:rPr>
                <w:rFonts w:ascii="宋体"/>
                <w:sz w:val="21"/>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971,061.00</w:t>
            </w:r>
            <w:r>
              <w:rPr>
                <w:rFonts w:ascii="宋体"/>
                <w:sz w:val="21"/>
              </w:rPr>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9"/>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2,302,545.50</w:t>
            </w:r>
            <w:r>
              <w:rPr>
                <w:rFonts w:ascii="宋体"/>
                <w:sz w:val="21"/>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2,602,363.70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480" w:right="960"/>
        </w:sectPr>
      </w:pPr>
    </w:p>
    <w:p>
      <w:pPr>
        <w:pStyle w:val="Heading2"/>
        <w:spacing w:line="290" w:lineRule="auto"/>
        <w:ind w:right="-17"/>
        <w:jc w:val="left"/>
        <w:rPr>
          <w:b w:val="0"/>
          <w:bCs w:val="0"/>
        </w:rPr>
      </w:pPr>
      <w:r>
        <w:rPr/>
        <w:t>6、 关联方应收应付款项</w:t>
      </w:r>
      <w:r>
        <w:rPr>
          <w:spacing w:val="1"/>
          <w:w w:val="99"/>
        </w:rPr>
        <w:t> </w:t>
      </w:r>
      <w:r>
        <w:rPr/>
        <w:t>(1).</w:t>
      </w:r>
      <w:r>
        <w:rPr>
          <w:spacing w:val="84"/>
        </w:rPr>
        <w:t> </w:t>
      </w:r>
      <w:r>
        <w:rPr/>
        <w:t>应付项目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7"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960"/>
          <w:cols w:num="2" w:equalWidth="0">
            <w:col w:w="2545" w:space="4285"/>
            <w:col w:w="2640"/>
          </w:cols>
        </w:sectPr>
      </w:pP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2152"/>
        <w:gridCol w:w="2752"/>
        <w:gridCol w:w="2071"/>
        <w:gridCol w:w="1904"/>
      </w:tblGrid>
      <w:tr>
        <w:trPr>
          <w:trHeight w:val="282"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68,376.06</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14,694.00</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52" w:type="dxa"/>
            <w:tcBorders>
              <w:top w:val="single" w:sz="4" w:space="0" w:color="000000"/>
              <w:left w:val="single" w:sz="4" w:space="0" w:color="000000"/>
              <w:bottom w:val="single" w:sz="4" w:space="0" w:color="000000"/>
              <w:right w:val="single" w:sz="4" w:space="0" w:color="000000"/>
            </w:tcBorders>
          </w:tcPr>
          <w:p>
            <w:pP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83,070.06</w:t>
            </w:r>
          </w:p>
        </w:tc>
        <w:tc>
          <w:tcPr>
            <w:tcW w:w="19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61" w:val="left" w:leader="none"/>
        </w:tabs>
        <w:spacing w:line="240" w:lineRule="auto"/>
        <w:ind w:right="193"/>
        <w:jc w:val="left"/>
        <w:rPr>
          <w:b w:val="0"/>
          <w:bCs w:val="0"/>
        </w:rPr>
      </w:pPr>
      <w:r>
        <w:rPr>
          <w:w w:val="95"/>
        </w:rPr>
        <w:t>十一、</w:t>
        <w:tab/>
      </w:r>
      <w:r>
        <w:rPr/>
        <w:t>股份支付</w:t>
      </w:r>
      <w:r>
        <w:rPr>
          <w:b w:val="0"/>
          <w:bCs w:val="0"/>
        </w:rPr>
      </w:r>
    </w:p>
    <w:p>
      <w:pPr>
        <w:pStyle w:val="Heading2"/>
        <w:spacing w:line="240" w:lineRule="auto" w:before="57"/>
        <w:ind w:right="193"/>
        <w:jc w:val="left"/>
        <w:rPr>
          <w:b w:val="0"/>
          <w:bCs w:val="0"/>
        </w:rPr>
      </w:pPr>
      <w:r>
        <w:rPr/>
        <w:t>1、 股份支付总体情况</w:t>
      </w:r>
      <w:r>
        <w:rPr>
          <w:b w:val="0"/>
          <w:bCs w:val="0"/>
        </w:rPr>
      </w:r>
    </w:p>
    <w:p>
      <w:pPr>
        <w:pStyle w:val="BodyText"/>
        <w:spacing w:line="240" w:lineRule="auto" w:before="57"/>
        <w:ind w:left="221" w:right="193"/>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193"/>
        <w:jc w:val="left"/>
        <w:rPr>
          <w:b w:val="0"/>
          <w:bCs w:val="0"/>
        </w:rPr>
      </w:pPr>
      <w:r>
        <w:rPr/>
        <w:t>2、</w:t>
      </w:r>
      <w:r>
        <w:rPr>
          <w:spacing w:val="-2"/>
        </w:rPr>
        <w:t> </w:t>
      </w:r>
      <w:r>
        <w:rPr/>
        <w:t>以权益结算的股份支付情况</w:t>
      </w:r>
      <w:r>
        <w:rPr>
          <w:b w:val="0"/>
          <w:bCs w:val="0"/>
        </w:rPr>
      </w:r>
    </w:p>
    <w:p>
      <w:pPr>
        <w:pStyle w:val="BodyText"/>
        <w:spacing w:line="240" w:lineRule="auto" w:before="57"/>
        <w:ind w:left="221" w:right="193"/>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0"/>
        <w:ind w:right="193"/>
        <w:jc w:val="left"/>
        <w:rPr>
          <w:b w:val="0"/>
          <w:bCs w:val="0"/>
        </w:rPr>
      </w:pPr>
      <w:r>
        <w:rPr/>
        <w:t>3、</w:t>
      </w:r>
      <w:r>
        <w:rPr>
          <w:spacing w:val="-2"/>
        </w:rPr>
        <w:t> </w:t>
      </w:r>
      <w:r>
        <w:rPr/>
        <w:t>以现金结算的股份支付情况</w:t>
      </w:r>
      <w:r>
        <w:rPr>
          <w:b w:val="0"/>
          <w:bCs w:val="0"/>
        </w:rPr>
      </w:r>
    </w:p>
    <w:p>
      <w:pPr>
        <w:pStyle w:val="BodyText"/>
        <w:spacing w:line="240" w:lineRule="auto" w:before="57"/>
        <w:ind w:left="221" w:right="193"/>
        <w:jc w:val="left"/>
      </w:pPr>
      <w:r>
        <w:rPr/>
        <w:t>□适用</w:t>
      </w:r>
      <w:r>
        <w:rPr>
          <w:spacing w:val="-2"/>
        </w:rPr>
        <w:t> </w:t>
      </w:r>
      <w:r>
        <w:rPr/>
        <w:t>√不适用</w:t>
      </w:r>
    </w:p>
    <w:p>
      <w:pPr>
        <w:spacing w:after="0" w:line="240" w:lineRule="auto"/>
        <w:jc w:val="left"/>
        <w:sectPr>
          <w:type w:val="continuous"/>
          <w:pgSz w:w="11910" w:h="16840"/>
          <w:pgMar w:top="1120" w:bottom="1160" w:left="14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90" w:lineRule="auto" w:before="174"/>
        <w:ind w:right="6193"/>
        <w:jc w:val="left"/>
        <w:rPr>
          <w:rFonts w:ascii="宋体" w:hAnsi="宋体" w:cs="宋体" w:eastAsia="宋体" w:hint="default"/>
          <w:b w:val="0"/>
          <w:bCs w:val="0"/>
        </w:rPr>
      </w:pPr>
      <w:r>
        <w:rPr/>
        <w:t>4、</w:t>
      </w:r>
      <w:r>
        <w:rPr>
          <w:spacing w:val="-2"/>
        </w:rPr>
        <w:t> </w:t>
      </w:r>
      <w:r>
        <w:rPr/>
        <w:t>股份支付的修改、终止情况</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1061" w:val="left" w:leader="none"/>
        </w:tabs>
        <w:spacing w:line="290" w:lineRule="auto" w:before="0"/>
        <w:ind w:right="6846"/>
        <w:jc w:val="left"/>
        <w:rPr>
          <w:b w:val="0"/>
          <w:bCs w:val="0"/>
        </w:rPr>
      </w:pPr>
      <w:r>
        <w:rPr>
          <w:w w:val="95"/>
        </w:rPr>
        <w:t>十二、</w:t>
        <w:tab/>
      </w:r>
      <w:r>
        <w:rPr/>
        <w:t>承诺及或有事项</w:t>
      </w:r>
      <w:r>
        <w:rPr>
          <w:w w:val="99"/>
        </w:rPr>
        <w:t> </w:t>
      </w:r>
      <w:r>
        <w:rPr/>
        <w:t>1、</w:t>
      </w:r>
      <w:r>
        <w:rPr>
          <w:spacing w:val="-1"/>
        </w:rPr>
        <w:t> </w:t>
      </w:r>
      <w:r>
        <w:rPr/>
        <w:t>重要承诺事项</w:t>
      </w:r>
      <w:r>
        <w:rPr>
          <w:b w:val="0"/>
          <w:bCs w:val="0"/>
        </w:rPr>
      </w:r>
    </w:p>
    <w:p>
      <w:pPr>
        <w:pStyle w:val="BodyText"/>
        <w:spacing w:line="240" w:lineRule="auto" w:before="13"/>
        <w:ind w:left="221" w:right="84"/>
        <w:jc w:val="left"/>
      </w:pPr>
      <w:r>
        <w:rPr/>
        <w:t>资产负债表日存在的对外重要承诺、性质、金额</w:t>
      </w:r>
    </w:p>
    <w:p>
      <w:pPr>
        <w:pStyle w:val="BodyText"/>
        <w:spacing w:line="314" w:lineRule="auto" w:before="75"/>
        <w:ind w:left="221" w:right="209" w:firstLine="420"/>
        <w:jc w:val="both"/>
      </w:pPr>
      <w:r>
        <w:rPr/>
        <w:t>截至</w:t>
      </w:r>
      <w:r>
        <w:rPr>
          <w:spacing w:val="-54"/>
        </w:rPr>
        <w:t> </w:t>
      </w:r>
      <w:r>
        <w:rPr/>
        <w:t>2014</w:t>
      </w:r>
      <w:r>
        <w:rPr>
          <w:spacing w:val="-53"/>
        </w:rPr>
        <w:t> </w:t>
      </w:r>
      <w:r>
        <w:rPr/>
        <w:t>年</w:t>
      </w:r>
      <w:r>
        <w:rPr>
          <w:spacing w:val="-55"/>
        </w:rPr>
        <w:t> </w:t>
      </w:r>
      <w:r>
        <w:rPr/>
        <w:t>12</w:t>
      </w:r>
      <w:r>
        <w:rPr>
          <w:spacing w:val="-53"/>
        </w:rPr>
        <w:t> </w:t>
      </w:r>
      <w:r>
        <w:rPr/>
        <w:t>月</w:t>
      </w:r>
      <w:r>
        <w:rPr>
          <w:spacing w:val="-54"/>
        </w:rPr>
        <w:t> </w:t>
      </w:r>
      <w:r>
        <w:rPr/>
        <w:t>31</w:t>
      </w:r>
      <w:r>
        <w:rPr>
          <w:spacing w:val="-53"/>
        </w:rPr>
        <w:t> </w:t>
      </w:r>
      <w:r>
        <w:rPr/>
        <w:t>日，公司向福建省公安厅、成都市工商行政管理局、中共杭州市委办公</w:t>
      </w:r>
      <w:r>
        <w:rPr/>
        <w:t> </w:t>
      </w:r>
      <w:r>
        <w:rPr>
          <w:spacing w:val="-3"/>
        </w:rPr>
        <w:t>厅网络中心、泉州市东海投资管理有限公司、福建省质量技术监督信息技术中心、泉州市人民政府</w:t>
      </w:r>
      <w:r>
        <w:rPr>
          <w:spacing w:val="-78"/>
        </w:rPr>
        <w:t> </w:t>
      </w:r>
      <w:r>
        <w:rPr>
          <w:spacing w:val="-78"/>
        </w:rPr>
      </w:r>
      <w:r>
        <w:rPr>
          <w:spacing w:val="21"/>
        </w:rPr>
        <w:t>办公室、福州市公安消防支队、福州市城市地铁有限责任公司等 </w:t>
      </w:r>
      <w:r>
        <w:rPr/>
        <w:t>8</w:t>
      </w:r>
      <w:r>
        <w:rPr>
          <w:spacing w:val="33"/>
        </w:rPr>
        <w:t> </w:t>
      </w:r>
      <w:r>
        <w:rPr>
          <w:spacing w:val="19"/>
        </w:rPr>
        <w:t>家单位开具银行保函</w:t>
      </w:r>
      <w:r>
        <w:rPr>
          <w:spacing w:val="-83"/>
        </w:rPr>
        <w:t> </w:t>
      </w:r>
      <w:r>
        <w:rPr/>
      </w:r>
    </w:p>
    <w:p>
      <w:pPr>
        <w:pStyle w:val="BodyText"/>
        <w:spacing w:line="240" w:lineRule="auto"/>
        <w:ind w:left="221" w:right="84"/>
        <w:jc w:val="left"/>
      </w:pPr>
      <w:r>
        <w:rPr/>
        <w:t>39,454,611.47</w:t>
      </w:r>
      <w:r>
        <w:rPr>
          <w:spacing w:val="-58"/>
        </w:rPr>
        <w:t> </w:t>
      </w:r>
      <w:r>
        <w:rPr/>
        <w:t>元。</w:t>
      </w:r>
    </w:p>
    <w:p>
      <w:pPr>
        <w:pStyle w:val="BodyText"/>
        <w:spacing w:line="240" w:lineRule="auto" w:before="85"/>
        <w:ind w:left="641" w:right="84"/>
        <w:jc w:val="left"/>
      </w:pPr>
      <w:r>
        <w:rPr/>
        <w:t>2014</w:t>
      </w:r>
      <w:r>
        <w:rPr>
          <w:spacing w:val="-42"/>
        </w:rPr>
        <w:t> </w:t>
      </w:r>
      <w:r>
        <w:rPr/>
        <w:t>年</w:t>
      </w:r>
      <w:r>
        <w:rPr>
          <w:spacing w:val="-43"/>
        </w:rPr>
        <w:t> </w:t>
      </w:r>
      <w:r>
        <w:rPr/>
        <w:t>12</w:t>
      </w:r>
      <w:r>
        <w:rPr>
          <w:spacing w:val="-43"/>
        </w:rPr>
        <w:t> </w:t>
      </w:r>
      <w:r>
        <w:rPr/>
        <w:t>月</w:t>
      </w:r>
      <w:r>
        <w:rPr>
          <w:spacing w:val="-43"/>
        </w:rPr>
        <w:t> </w:t>
      </w:r>
      <w:r>
        <w:rPr/>
        <w:t>11</w:t>
      </w:r>
      <w:r>
        <w:rPr>
          <w:spacing w:val="-42"/>
        </w:rPr>
        <w:t> </w:t>
      </w:r>
      <w:r>
        <w:rPr/>
        <w:t>日，公司与中国光大银行股份有限公司泉州分行签定的综合授信协议，授信</w:t>
      </w:r>
    </w:p>
    <w:p>
      <w:pPr>
        <w:pStyle w:val="BodyText"/>
        <w:spacing w:line="240" w:lineRule="auto" w:before="85"/>
        <w:ind w:left="221" w:right="84"/>
        <w:jc w:val="left"/>
      </w:pPr>
      <w:r>
        <w:rPr/>
        <w:t>编号为</w:t>
      </w:r>
      <w:r>
        <w:rPr>
          <w:spacing w:val="-48"/>
        </w:rPr>
        <w:t> </w:t>
      </w:r>
      <w:r>
        <w:rPr/>
        <w:t>QZEZ13032，最高授信额度人民币</w:t>
      </w:r>
      <w:r>
        <w:rPr>
          <w:spacing w:val="-48"/>
        </w:rPr>
        <w:t> </w:t>
      </w:r>
      <w:r>
        <w:rPr/>
        <w:t>12,500.00</w:t>
      </w:r>
      <w:r>
        <w:rPr>
          <w:spacing w:val="-47"/>
        </w:rPr>
        <w:t> </w:t>
      </w:r>
      <w:r>
        <w:rPr/>
        <w:t>万元整，有效使用期限为</w:t>
      </w:r>
      <w:r>
        <w:rPr>
          <w:spacing w:val="-48"/>
        </w:rPr>
        <w:t> </w:t>
      </w:r>
      <w:r>
        <w:rPr/>
        <w:t>2014</w:t>
      </w:r>
      <w:r>
        <w:rPr>
          <w:spacing w:val="-47"/>
        </w:rPr>
        <w:t> </w:t>
      </w:r>
      <w:r>
        <w:rPr/>
        <w:t>年</w:t>
      </w:r>
      <w:r>
        <w:rPr>
          <w:spacing w:val="-49"/>
        </w:rPr>
        <w:t> </w:t>
      </w:r>
      <w:r>
        <w:rPr/>
        <w:t>12</w:t>
      </w:r>
      <w:r>
        <w:rPr>
          <w:spacing w:val="-47"/>
        </w:rPr>
        <w:t> </w:t>
      </w:r>
      <w:r>
        <w:rPr/>
        <w:t>月</w:t>
      </w:r>
      <w:r>
        <w:rPr>
          <w:spacing w:val="-49"/>
        </w:rPr>
        <w:t> </w:t>
      </w:r>
      <w:r>
        <w:rPr/>
        <w:t>12</w:t>
      </w:r>
      <w:r>
        <w:rPr>
          <w:spacing w:val="-47"/>
        </w:rPr>
        <w:t> </w:t>
      </w:r>
      <w:r>
        <w:rPr/>
        <w:t>日</w:t>
      </w:r>
    </w:p>
    <w:p>
      <w:pPr>
        <w:pStyle w:val="BodyText"/>
        <w:spacing w:line="314" w:lineRule="auto" w:before="85"/>
        <w:ind w:left="221" w:right="84"/>
        <w:jc w:val="left"/>
      </w:pPr>
      <w:r>
        <w:rPr/>
        <w:t>至</w:t>
      </w:r>
      <w:r>
        <w:rPr>
          <w:spacing w:val="-59"/>
        </w:rPr>
        <w:t> </w:t>
      </w:r>
      <w:r>
        <w:rPr/>
        <w:t>2015</w:t>
      </w:r>
      <w:r>
        <w:rPr>
          <w:spacing w:val="-58"/>
        </w:rPr>
        <w:t> </w:t>
      </w:r>
      <w:r>
        <w:rPr/>
        <w:t>年</w:t>
      </w:r>
      <w:r>
        <w:rPr>
          <w:spacing w:val="-59"/>
        </w:rPr>
        <w:t> </w:t>
      </w:r>
      <w:r>
        <w:rPr/>
        <w:t>12</w:t>
      </w:r>
      <w:r>
        <w:rPr>
          <w:spacing w:val="-58"/>
        </w:rPr>
        <w:t> </w:t>
      </w:r>
      <w:r>
        <w:rPr/>
        <w:t>月</w:t>
      </w:r>
      <w:r>
        <w:rPr>
          <w:spacing w:val="-60"/>
        </w:rPr>
        <w:t> </w:t>
      </w:r>
      <w:r>
        <w:rPr/>
        <w:t>11</w:t>
      </w:r>
      <w:r>
        <w:rPr>
          <w:spacing w:val="-58"/>
        </w:rPr>
        <w:t> </w:t>
      </w:r>
      <w:r>
        <w:rPr/>
        <w:t>日，并以公司拥有的泉州丰泽区法石段沿海大通道北侧南威大厦</w:t>
      </w:r>
      <w:r>
        <w:rPr>
          <w:spacing w:val="-59"/>
        </w:rPr>
        <w:t> </w:t>
      </w:r>
      <w:r>
        <w:rPr/>
        <w:t>2#楼的土地使</w:t>
      </w:r>
      <w:r>
        <w:rPr/>
        <w:t> 用权及其房屋作为抵押担保，同日并与贵行签定最高额抵押合同，抵押合同编号为</w:t>
      </w:r>
      <w:r>
        <w:rPr>
          <w:spacing w:val="-67"/>
        </w:rPr>
        <w:t> </w:t>
      </w:r>
      <w:r>
        <w:rPr/>
        <w:t>QZMZ14038</w:t>
      </w:r>
      <w:r>
        <w:rPr>
          <w:spacing w:val="-67"/>
        </w:rPr>
        <w:t> </w:t>
      </w:r>
      <w:r>
        <w:rPr/>
        <w:t>号，</w:t>
      </w:r>
      <w:r>
        <w:rPr>
          <w:spacing w:val="-1"/>
        </w:rPr>
        <w:t> </w:t>
      </w:r>
      <w:r>
        <w:rPr/>
        <w:t>最高抵押额度人民币</w:t>
      </w:r>
      <w:r>
        <w:rPr>
          <w:spacing w:val="-72"/>
        </w:rPr>
        <w:t> </w:t>
      </w:r>
      <w:r>
        <w:rPr/>
        <w:t>9,802.00</w:t>
      </w:r>
      <w:r>
        <w:rPr>
          <w:spacing w:val="-71"/>
        </w:rPr>
        <w:t> </w:t>
      </w:r>
      <w:r>
        <w:rPr/>
        <w:t>万元整，抵押期限到被担保债务全部清偿为止。</w:t>
      </w:r>
    </w:p>
    <w:p>
      <w:pPr>
        <w:spacing w:line="240" w:lineRule="auto" w:before="12"/>
        <w:rPr>
          <w:rFonts w:ascii="宋体" w:hAnsi="宋体" w:cs="宋体" w:eastAsia="宋体" w:hint="default"/>
          <w:sz w:val="20"/>
          <w:szCs w:val="20"/>
        </w:rPr>
      </w:pPr>
    </w:p>
    <w:p>
      <w:pPr>
        <w:pStyle w:val="Heading2"/>
        <w:spacing w:line="240" w:lineRule="auto" w:before="0"/>
        <w:ind w:right="84"/>
        <w:jc w:val="left"/>
        <w:rPr>
          <w:b w:val="0"/>
          <w:bCs w:val="0"/>
        </w:rPr>
      </w:pPr>
      <w:r>
        <w:rPr/>
        <w:t>2、</w:t>
      </w:r>
      <w:r>
        <w:rPr>
          <w:spacing w:val="2"/>
        </w:rPr>
        <w:t> </w:t>
      </w:r>
      <w:r>
        <w:rPr/>
        <w:t>或有事项</w:t>
      </w:r>
      <w:r>
        <w:rPr>
          <w:b w:val="0"/>
          <w:bCs w:val="0"/>
        </w:rPr>
      </w:r>
    </w:p>
    <w:p>
      <w:pPr>
        <w:pStyle w:val="Heading2"/>
        <w:spacing w:line="240" w:lineRule="auto" w:before="57"/>
        <w:ind w:right="84"/>
        <w:jc w:val="left"/>
        <w:rPr>
          <w:b w:val="0"/>
          <w:bCs w:val="0"/>
        </w:rPr>
      </w:pPr>
      <w:r>
        <w:rPr/>
        <w:t>(1).</w:t>
      </w:r>
      <w:r>
        <w:rPr>
          <w:spacing w:val="80"/>
        </w:rPr>
        <w:t> </w:t>
      </w:r>
      <w:r>
        <w:rPr/>
        <w:t>资产负债表日存在的重要或有事项</w:t>
      </w:r>
      <w:r>
        <w:rPr>
          <w:b w:val="0"/>
          <w:bCs w:val="0"/>
        </w:rPr>
      </w:r>
    </w:p>
    <w:p>
      <w:pPr>
        <w:pStyle w:val="BodyText"/>
        <w:spacing w:line="314" w:lineRule="auto" w:before="135"/>
        <w:ind w:left="641" w:right="84"/>
        <w:jc w:val="left"/>
      </w:pPr>
      <w:r>
        <w:rPr/>
        <w:t>（1）本期未决诉讼仲裁及其财务影响 </w:t>
      </w:r>
      <w:r>
        <w:rPr>
          <w:spacing w:val="-3"/>
        </w:rPr>
        <w:t>公司向福建省惠安县人民法院起诉要求正大（中国）服饰有限公司（以下简称正大服饰）偿还</w:t>
      </w:r>
    </w:p>
    <w:p>
      <w:pPr>
        <w:pStyle w:val="BodyText"/>
        <w:spacing w:line="240" w:lineRule="auto"/>
        <w:ind w:left="221" w:right="84"/>
        <w:jc w:val="left"/>
      </w:pPr>
      <w:r>
        <w:rPr/>
        <w:t>正版化软件货款</w:t>
      </w:r>
      <w:r>
        <w:rPr>
          <w:spacing w:val="-58"/>
        </w:rPr>
        <w:t> </w:t>
      </w:r>
      <w:r>
        <w:rPr/>
        <w:t>474,800.00</w:t>
      </w:r>
      <w:r>
        <w:rPr>
          <w:spacing w:val="-57"/>
        </w:rPr>
        <w:t> </w:t>
      </w:r>
      <w:r>
        <w:rPr/>
        <w:t>元以及违约金</w:t>
      </w:r>
      <w:r>
        <w:rPr>
          <w:spacing w:val="-58"/>
        </w:rPr>
        <w:t> </w:t>
      </w:r>
      <w:r>
        <w:rPr/>
        <w:t>451,110.00</w:t>
      </w:r>
      <w:r>
        <w:rPr>
          <w:spacing w:val="-57"/>
        </w:rPr>
        <w:t> </w:t>
      </w:r>
      <w:r>
        <w:rPr>
          <w:spacing w:val="-9"/>
        </w:rPr>
        <w:t>元。2014</w:t>
      </w:r>
      <w:r>
        <w:rPr>
          <w:spacing w:val="-58"/>
        </w:rPr>
        <w:t> </w:t>
      </w:r>
      <w:r>
        <w:rPr/>
        <w:t>年</w:t>
      </w:r>
      <w:r>
        <w:rPr>
          <w:spacing w:val="-58"/>
        </w:rPr>
        <w:t> </w:t>
      </w:r>
      <w:r>
        <w:rPr/>
        <w:t>2</w:t>
      </w:r>
      <w:r>
        <w:rPr>
          <w:spacing w:val="-57"/>
        </w:rPr>
        <w:t> </w:t>
      </w:r>
      <w:r>
        <w:rPr/>
        <w:t>月</w:t>
      </w:r>
      <w:r>
        <w:rPr>
          <w:spacing w:val="-59"/>
        </w:rPr>
        <w:t> </w:t>
      </w:r>
      <w:r>
        <w:rPr/>
        <w:t>19</w:t>
      </w:r>
      <w:r>
        <w:rPr>
          <w:spacing w:val="-57"/>
        </w:rPr>
        <w:t> </w:t>
      </w:r>
      <w:r>
        <w:rPr/>
        <w:t>日福建省惠安县人民法</w:t>
      </w:r>
    </w:p>
    <w:p>
      <w:pPr>
        <w:pStyle w:val="BodyText"/>
        <w:spacing w:line="240" w:lineRule="auto" w:before="85"/>
        <w:ind w:left="221" w:right="84"/>
        <w:jc w:val="left"/>
      </w:pPr>
      <w:r>
        <w:rPr>
          <w:spacing w:val="-3"/>
        </w:rPr>
        <w:t>院出具了民事调解书，调解结果如下：正大服饰应偿还结欠公司货款</w:t>
      </w:r>
      <w:r>
        <w:rPr>
          <w:spacing w:val="-49"/>
        </w:rPr>
        <w:t> </w:t>
      </w:r>
      <w:r>
        <w:rPr/>
        <w:t>474,800.00</w:t>
      </w:r>
      <w:r>
        <w:rPr>
          <w:spacing w:val="-48"/>
        </w:rPr>
        <w:t> </w:t>
      </w:r>
      <w:r>
        <w:rPr>
          <w:spacing w:val="-4"/>
        </w:rPr>
        <w:t>元，2014</w:t>
      </w:r>
      <w:r>
        <w:rPr>
          <w:spacing w:val="-48"/>
        </w:rPr>
        <w:t> </w:t>
      </w:r>
      <w:r>
        <w:rPr/>
        <w:t>年</w:t>
      </w:r>
      <w:r>
        <w:rPr>
          <w:spacing w:val="-50"/>
        </w:rPr>
        <w:t> </w:t>
      </w:r>
      <w:r>
        <w:rPr/>
        <w:t>3</w:t>
      </w:r>
      <w:r>
        <w:rPr>
          <w:spacing w:val="-48"/>
        </w:rPr>
        <w:t> </w:t>
      </w:r>
      <w:r>
        <w:rPr/>
        <w:t>月</w:t>
      </w:r>
    </w:p>
    <w:p>
      <w:pPr>
        <w:pStyle w:val="BodyText"/>
        <w:spacing w:line="314" w:lineRule="auto" w:before="85"/>
        <w:ind w:left="221" w:right="231"/>
        <w:jc w:val="both"/>
      </w:pPr>
      <w:r>
        <w:rPr/>
        <w:t>30</w:t>
      </w:r>
      <w:r>
        <w:rPr>
          <w:spacing w:val="-39"/>
        </w:rPr>
        <w:t> </w:t>
      </w:r>
      <w:r>
        <w:rPr/>
        <w:t>日前偿付</w:t>
      </w:r>
      <w:r>
        <w:rPr>
          <w:spacing w:val="-40"/>
        </w:rPr>
        <w:t> </w:t>
      </w:r>
      <w:r>
        <w:rPr/>
        <w:t>114,800.00</w:t>
      </w:r>
      <w:r>
        <w:rPr>
          <w:spacing w:val="-40"/>
        </w:rPr>
        <w:t> </w:t>
      </w:r>
      <w:r>
        <w:rPr/>
        <w:t>元，2014</w:t>
      </w:r>
      <w:r>
        <w:rPr>
          <w:spacing w:val="-39"/>
        </w:rPr>
        <w:t> </w:t>
      </w:r>
      <w:r>
        <w:rPr/>
        <w:t>年</w:t>
      </w:r>
      <w:r>
        <w:rPr>
          <w:spacing w:val="-40"/>
        </w:rPr>
        <w:t> </w:t>
      </w:r>
      <w:r>
        <w:rPr/>
        <w:t>4</w:t>
      </w:r>
      <w:r>
        <w:rPr>
          <w:spacing w:val="-39"/>
        </w:rPr>
        <w:t> </w:t>
      </w:r>
      <w:r>
        <w:rPr/>
        <w:t>月起至</w:t>
      </w:r>
      <w:r>
        <w:rPr>
          <w:spacing w:val="-39"/>
        </w:rPr>
        <w:t> </w:t>
      </w:r>
      <w:r>
        <w:rPr/>
        <w:t>2014</w:t>
      </w:r>
      <w:r>
        <w:rPr>
          <w:spacing w:val="-39"/>
        </w:rPr>
        <w:t> </w:t>
      </w:r>
      <w:r>
        <w:rPr/>
        <w:t>年</w:t>
      </w:r>
      <w:r>
        <w:rPr>
          <w:spacing w:val="-39"/>
        </w:rPr>
        <w:t> </w:t>
      </w:r>
      <w:r>
        <w:rPr/>
        <w:t>12</w:t>
      </w:r>
      <w:r>
        <w:rPr>
          <w:spacing w:val="-39"/>
        </w:rPr>
        <w:t> </w:t>
      </w:r>
      <w:r>
        <w:rPr/>
        <w:t>月止分九期偿还剩余货款（每月偿还</w:t>
      </w:r>
      <w:r>
        <w:rPr>
          <w:spacing w:val="-39"/>
        </w:rPr>
        <w:t> </w:t>
      </w:r>
      <w:r>
        <w:rPr/>
        <w:t>4</w:t>
      </w:r>
      <w:r>
        <w:rPr/>
        <w:t> </w:t>
      </w:r>
      <w:r>
        <w:rPr>
          <w:spacing w:val="-3"/>
        </w:rPr>
        <w:t>万元）；如正大服饰如期如数还款则公司放弃违约金部份诉讼请求，如果正大服饰未能按期如数偿</w:t>
      </w:r>
      <w:r>
        <w:rPr>
          <w:spacing w:val="-78"/>
        </w:rPr>
        <w:t> </w:t>
      </w:r>
      <w:r>
        <w:rPr>
          <w:spacing w:val="-78"/>
        </w:rPr>
      </w:r>
      <w:r>
        <w:rPr>
          <w:spacing w:val="-3"/>
        </w:rPr>
        <w:t>还，则公司有权要求正大服饰偿还尚欠款项并中国人民银行规定的同期同类贷款利率的两倍计算违</w:t>
      </w:r>
      <w:r>
        <w:rPr>
          <w:spacing w:val="-77"/>
        </w:rPr>
        <w:t> </w:t>
      </w:r>
      <w:r>
        <w:rPr>
          <w:spacing w:val="-77"/>
        </w:rPr>
      </w:r>
      <w:r>
        <w:rPr/>
        <w:t>约金。2014</w:t>
      </w:r>
      <w:r>
        <w:rPr>
          <w:spacing w:val="-42"/>
        </w:rPr>
        <w:t> </w:t>
      </w:r>
      <w:r>
        <w:rPr/>
        <w:t>年</w:t>
      </w:r>
      <w:r>
        <w:rPr>
          <w:spacing w:val="-42"/>
        </w:rPr>
        <w:t> </w:t>
      </w:r>
      <w:r>
        <w:rPr/>
        <w:t>5</w:t>
      </w:r>
      <w:r>
        <w:rPr>
          <w:spacing w:val="-41"/>
        </w:rPr>
        <w:t> </w:t>
      </w:r>
      <w:r>
        <w:rPr/>
        <w:t>月</w:t>
      </w:r>
      <w:r>
        <w:rPr>
          <w:spacing w:val="-42"/>
        </w:rPr>
        <w:t> </w:t>
      </w:r>
      <w:r>
        <w:rPr/>
        <w:t>6</w:t>
      </w:r>
      <w:r>
        <w:rPr>
          <w:spacing w:val="-41"/>
        </w:rPr>
        <w:t> </w:t>
      </w:r>
      <w:r>
        <w:rPr/>
        <w:t>日公司向福建省惠安县人民法院递交了申请执行书并于同日福建省惠安县人</w:t>
      </w:r>
    </w:p>
    <w:p>
      <w:pPr>
        <w:pStyle w:val="BodyText"/>
        <w:spacing w:line="240" w:lineRule="auto"/>
        <w:ind w:left="221" w:right="84"/>
        <w:jc w:val="left"/>
      </w:pPr>
      <w:r>
        <w:rPr>
          <w:spacing w:val="2"/>
        </w:rPr>
        <w:t>民法院下达了受理案件通知书。截至 </w:t>
      </w:r>
      <w:r>
        <w:rPr/>
        <w:t>2014 年 12 月 31</w:t>
      </w:r>
      <w:r>
        <w:rPr>
          <w:spacing w:val="18"/>
        </w:rPr>
        <w:t> </w:t>
      </w:r>
      <w:r>
        <w:rPr>
          <w:spacing w:val="2"/>
        </w:rPr>
        <w:t>日公司尚未收到正大服饰结欠公司货款</w:t>
      </w:r>
    </w:p>
    <w:p>
      <w:pPr>
        <w:pStyle w:val="BodyText"/>
        <w:spacing w:line="240" w:lineRule="auto" w:before="85"/>
        <w:ind w:left="221" w:right="84"/>
        <w:jc w:val="left"/>
      </w:pPr>
      <w:r>
        <w:rPr/>
        <w:t>474,800.00</w:t>
      </w:r>
      <w:r>
        <w:rPr>
          <w:spacing w:val="2"/>
        </w:rPr>
        <w:t> </w:t>
      </w:r>
      <w:r>
        <w:rPr/>
        <w:t>元，该笔货款目前法院正在执行中。根据法院的执行情况正大服饰目前的财产可能无</w:t>
      </w:r>
    </w:p>
    <w:p>
      <w:pPr>
        <w:pStyle w:val="BodyText"/>
        <w:spacing w:line="240" w:lineRule="auto" w:before="85"/>
        <w:ind w:left="221" w:right="84"/>
        <w:jc w:val="left"/>
      </w:pPr>
      <w:r>
        <w:rPr/>
        <w:t>法偿付结欠公司货款</w:t>
      </w:r>
      <w:r>
        <w:rPr>
          <w:spacing w:val="-57"/>
        </w:rPr>
        <w:t> </w:t>
      </w:r>
      <w:r>
        <w:rPr/>
        <w:t>474,800.00</w:t>
      </w:r>
      <w:r>
        <w:rPr>
          <w:spacing w:val="-56"/>
        </w:rPr>
        <w:t> </w:t>
      </w:r>
      <w:r>
        <w:rPr/>
        <w:t>元，故公司对该笔应收账款</w:t>
      </w:r>
      <w:r>
        <w:rPr>
          <w:spacing w:val="-56"/>
        </w:rPr>
        <w:t> </w:t>
      </w:r>
      <w:r>
        <w:rPr/>
        <w:t>474,800.00</w:t>
      </w:r>
      <w:r>
        <w:rPr>
          <w:spacing w:val="-56"/>
        </w:rPr>
        <w:t> </w:t>
      </w:r>
      <w:r>
        <w:rPr/>
        <w:t>元计提全额的坏账准备。</w:t>
      </w:r>
    </w:p>
    <w:p>
      <w:pPr>
        <w:pStyle w:val="BodyText"/>
        <w:spacing w:line="240" w:lineRule="auto" w:before="85"/>
        <w:ind w:left="641" w:right="84"/>
        <w:jc w:val="left"/>
      </w:pPr>
      <w:r>
        <w:rPr/>
        <w:t>（2）本期无为其他单位提供债务担保形成的或有负债及其财务影响。</w:t>
      </w:r>
    </w:p>
    <w:p>
      <w:pPr>
        <w:pStyle w:val="BodyText"/>
        <w:spacing w:line="240" w:lineRule="auto" w:before="85"/>
        <w:ind w:left="641" w:right="84"/>
        <w:jc w:val="left"/>
      </w:pPr>
      <w:r>
        <w:rPr/>
        <w:t>（3）本期无其他或有负债及其财务影响。</w:t>
      </w:r>
    </w:p>
    <w:p>
      <w:pPr>
        <w:spacing w:line="240" w:lineRule="auto" w:before="12"/>
        <w:rPr>
          <w:rFonts w:ascii="宋体" w:hAnsi="宋体" w:cs="宋体" w:eastAsia="宋体" w:hint="default"/>
          <w:sz w:val="25"/>
          <w:szCs w:val="25"/>
        </w:rPr>
      </w:pPr>
    </w:p>
    <w:p>
      <w:pPr>
        <w:pStyle w:val="Heading2"/>
        <w:spacing w:line="240" w:lineRule="auto" w:before="0"/>
        <w:ind w:right="84"/>
        <w:jc w:val="left"/>
        <w:rPr>
          <w:b w:val="0"/>
          <w:bCs w:val="0"/>
        </w:rPr>
      </w:pPr>
      <w:r>
        <w:rPr/>
        <w:t>3、</w:t>
      </w:r>
      <w:r>
        <w:rPr>
          <w:spacing w:val="1"/>
        </w:rPr>
        <w:t> </w:t>
      </w:r>
      <w:r>
        <w:rPr/>
        <w:t>其他</w:t>
      </w:r>
      <w:r>
        <w:rPr>
          <w:b w:val="0"/>
          <w:bCs w:val="0"/>
        </w:rPr>
      </w:r>
    </w:p>
    <w:p>
      <w:pPr>
        <w:pStyle w:val="BodyText"/>
        <w:spacing w:line="240" w:lineRule="auto" w:before="135"/>
        <w:ind w:left="641" w:right="84"/>
        <w:jc w:val="left"/>
      </w:pPr>
      <w:r>
        <w:rPr/>
        <w:t>截至</w:t>
      </w:r>
      <w:r>
        <w:rPr>
          <w:spacing w:val="-58"/>
        </w:rPr>
        <w:t> </w:t>
      </w:r>
      <w:r>
        <w:rPr/>
        <w:t>2014</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日，本公司不存在其他应披露的或有事项。</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977" w:top="1120" w:bottom="1160" w:left="1480" w:right="1040"/>
        </w:sectPr>
      </w:pPr>
    </w:p>
    <w:p>
      <w:pPr>
        <w:pStyle w:val="Heading2"/>
        <w:tabs>
          <w:tab w:pos="1061" w:val="left" w:leader="none"/>
        </w:tabs>
        <w:spacing w:line="240" w:lineRule="auto"/>
        <w:ind w:right="-19"/>
        <w:jc w:val="left"/>
        <w:rPr>
          <w:b w:val="0"/>
          <w:bCs w:val="0"/>
        </w:rPr>
      </w:pPr>
      <w:r>
        <w:rPr>
          <w:w w:val="95"/>
        </w:rPr>
        <w:t>十三、</w:t>
        <w:tab/>
      </w:r>
      <w:r>
        <w:rPr/>
        <w:t>资产负债表日后事项</w:t>
      </w:r>
      <w:r>
        <w:rPr>
          <w:b w:val="0"/>
          <w:bCs w:val="0"/>
        </w:rPr>
      </w:r>
    </w:p>
    <w:p>
      <w:pPr>
        <w:pStyle w:val="Heading2"/>
        <w:spacing w:line="240" w:lineRule="auto" w:before="57"/>
        <w:ind w:right="-19"/>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2960" w:space="3659"/>
            <w:col w:w="2771"/>
          </w:cols>
        </w:sectPr>
      </w:pPr>
    </w:p>
    <w:p>
      <w:pPr>
        <w:spacing w:line="240" w:lineRule="auto" w:before="2"/>
        <w:rPr>
          <w:rFonts w:ascii="宋体" w:hAnsi="宋体" w:cs="宋体" w:eastAsia="宋体" w:hint="default"/>
          <w:sz w:val="2"/>
          <w:szCs w:val="2"/>
        </w:rPr>
      </w:pPr>
    </w:p>
    <w:p>
      <w:pPr>
        <w:spacing w:line="427" w:lineRule="exact"/>
        <w:ind w:left="10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8.25pt;height:21.4pt;mso-position-horizontal-relative:char;mso-position-vertical-relative:line" coordorigin="0,0" coordsize="9165,428">
            <v:group style="position:absolute;left:5;top:10;width:9155;height:2" coordorigin="5,10" coordsize="9155,2">
              <v:shape style="position:absolute;left:5;top:10;width:9155;height:2" coordorigin="5,10" coordsize="9155,0" path="m5,10l9160,10e" filled="false" stroked="true" strokeweight=".48001pt" strokecolor="#000000">
                <v:path arrowok="t"/>
              </v:shape>
            </v:group>
            <v:group style="position:absolute;left:10;top:5;width:2;height:418" coordorigin="10,5" coordsize="2,418">
              <v:shape style="position:absolute;left:10;top:5;width:2;height:418" coordorigin="10,5" coordsize="0,418" path="m10,5l10,422e" filled="false" stroked="true" strokeweight=".48pt" strokecolor="#000000">
                <v:path arrowok="t"/>
              </v:shape>
            </v:group>
            <v:group style="position:absolute;left:5;top:418;width:3762;height:2" coordorigin="5,418" coordsize="3762,2">
              <v:shape style="position:absolute;left:5;top:418;width:3762;height:2" coordorigin="5,418" coordsize="3762,0" path="m5,418l3767,418e" filled="false" stroked="true" strokeweight=".48001pt" strokecolor="#000000">
                <v:path arrowok="t"/>
              </v:shape>
            </v:group>
            <v:group style="position:absolute;left:3772;top:14;width:2;height:408" coordorigin="3772,14" coordsize="2,408">
              <v:shape style="position:absolute;left:3772;top:14;width:2;height:408" coordorigin="3772,14" coordsize="0,408" path="m3772,14l3772,422e" filled="false" stroked="true" strokeweight=".48001pt" strokecolor="#000000">
                <v:path arrowok="t"/>
              </v:shape>
            </v:group>
            <v:group style="position:absolute;left:3776;top:418;width:5374;height:2" coordorigin="3776,418" coordsize="5374,2">
              <v:shape style="position:absolute;left:3776;top:418;width:5374;height:2" coordorigin="3776,418" coordsize="5374,0" path="m3776,418l9150,418e" filled="false" stroked="true" strokeweight=".48001pt" strokecolor="#000000">
                <v:path arrowok="t"/>
              </v:shape>
            </v:group>
            <v:group style="position:absolute;left:9155;top:5;width:2;height:418" coordorigin="9155,5" coordsize="2,418">
              <v:shape style="position:absolute;left:9155;top:5;width:2;height:418" coordorigin="9155,5" coordsize="0,418" path="m9155,5l9155,422e" filled="false" stroked="true" strokeweight=".47998pt" strokecolor="#000000">
                <v:path arrowok="t"/>
              </v:shape>
              <v:shape style="position:absolute;left:10;top:10;width:3762;height:408" type="#_x0000_t202" filled="false" stroked="false">
                <v:textbox inset="0,0,0,0">
                  <w:txbxContent>
                    <w:p>
                      <w:pPr>
                        <w:spacing w:before="32"/>
                        <w:ind w:left="107"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3772;top:10;width:5384;height:408" type="#_x0000_t202" filled="false" stroked="false">
                <v:textbox inset="0,0,0,0">
                  <w:txbxContent>
                    <w:p>
                      <w:pPr>
                        <w:spacing w:before="32"/>
                        <w:ind w:left="0" w:right="106" w:firstLine="0"/>
                        <w:jc w:val="right"/>
                        <w:rPr>
                          <w:rFonts w:ascii="宋体" w:hAnsi="宋体" w:cs="宋体" w:eastAsia="宋体" w:hint="default"/>
                          <w:sz w:val="21"/>
                          <w:szCs w:val="21"/>
                        </w:rPr>
                      </w:pPr>
                      <w:r>
                        <w:rPr>
                          <w:rFonts w:ascii="宋体"/>
                          <w:sz w:val="21"/>
                        </w:rPr>
                        <w:t>18,000,000.00</w:t>
                      </w:r>
                    </w:p>
                  </w:txbxContent>
                </v:textbox>
                <w10:wrap type="none"/>
              </v:shape>
            </v:group>
          </v:group>
        </w:pict>
      </w:r>
      <w:r>
        <w:rPr>
          <w:rFonts w:ascii="宋体" w:hAnsi="宋体" w:cs="宋体" w:eastAsia="宋体" w:hint="default"/>
          <w:position w:val="-8"/>
          <w:sz w:val="20"/>
          <w:szCs w:val="20"/>
        </w:rPr>
      </w:r>
    </w:p>
    <w:p>
      <w:pPr>
        <w:spacing w:after="0" w:line="427" w:lineRule="exact"/>
        <w:rPr>
          <w:rFonts w:ascii="宋体" w:hAnsi="宋体" w:cs="宋体" w:eastAsia="宋体" w:hint="default"/>
          <w:sz w:val="20"/>
          <w:szCs w:val="20"/>
        </w:rPr>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426" w:lineRule="exact"/>
        <w:ind w:left="10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8.25pt;height:21.3pt;mso-position-horizontal-relative:char;mso-position-vertical-relative:line" coordorigin="0,0" coordsize="9165,426">
            <v:group style="position:absolute;left:5;top:10;width:9155;height:2" coordorigin="5,10" coordsize="9155,2">
              <v:shape style="position:absolute;left:5;top:10;width:9155;height:2" coordorigin="5,10" coordsize="9155,0" path="m5,10l9160,10e" filled="false" stroked="true" strokeweight=".47998pt" strokecolor="#000000">
                <v:path arrowok="t"/>
              </v:shape>
            </v:group>
            <v:group style="position:absolute;left:10;top:5;width:2;height:417" coordorigin="10,5" coordsize="2,417">
              <v:shape style="position:absolute;left:10;top:5;width:2;height:417" coordorigin="10,5" coordsize="0,417" path="m10,5l10,421e" filled="false" stroked="true" strokeweight=".48pt" strokecolor="#000000">
                <v:path arrowok="t"/>
              </v:shape>
            </v:group>
            <v:group style="position:absolute;left:5;top:416;width:3762;height:2" coordorigin="5,416" coordsize="3762,2">
              <v:shape style="position:absolute;left:5;top:416;width:3762;height:2" coordorigin="5,416" coordsize="3762,0" path="m5,416l3767,416e" filled="false" stroked="true" strokeweight=".47998pt" strokecolor="#000000">
                <v:path arrowok="t"/>
              </v:shape>
            </v:group>
            <v:group style="position:absolute;left:3772;top:14;width:2;height:407" coordorigin="3772,14" coordsize="2,407">
              <v:shape style="position:absolute;left:3772;top:14;width:2;height:407" coordorigin="3772,14" coordsize="0,407" path="m3772,14l3772,421e" filled="false" stroked="true" strokeweight=".48001pt" strokecolor="#000000">
                <v:path arrowok="t"/>
              </v:shape>
            </v:group>
            <v:group style="position:absolute;left:3776;top:416;width:5374;height:2" coordorigin="3776,416" coordsize="5374,2">
              <v:shape style="position:absolute;left:3776;top:416;width:5374;height:2" coordorigin="3776,416" coordsize="5374,0" path="m3776,416l9150,416e" filled="false" stroked="true" strokeweight=".47998pt" strokecolor="#000000">
                <v:path arrowok="t"/>
              </v:shape>
            </v:group>
            <v:group style="position:absolute;left:9155;top:5;width:2;height:417" coordorigin="9155,5" coordsize="2,417">
              <v:shape style="position:absolute;left:9155;top:5;width:2;height:417" coordorigin="9155,5" coordsize="0,417" path="m9155,5l9155,421e" filled="false" stroked="true" strokeweight=".47998pt" strokecolor="#000000">
                <v:path arrowok="t"/>
              </v:shape>
              <v:shape style="position:absolute;left:10;top:10;width:3762;height:407" type="#_x0000_t202" filled="false" stroked="false">
                <v:textbox inset="0,0,0,0">
                  <w:txbxContent>
                    <w:p>
                      <w:pPr>
                        <w:spacing w:before="32"/>
                        <w:ind w:left="107" w:right="0" w:firstLine="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xbxContent>
                </v:textbox>
                <w10:wrap type="none"/>
              </v:shape>
              <v:shape style="position:absolute;left:3772;top:10;width:5384;height:407" type="#_x0000_t202" filled="false" stroked="false">
                <v:textbox inset="0,0,0,0">
                  <w:txbxContent>
                    <w:p>
                      <w:pPr>
                        <w:spacing w:before="32"/>
                        <w:ind w:left="0" w:right="106" w:firstLine="0"/>
                        <w:jc w:val="right"/>
                        <w:rPr>
                          <w:rFonts w:ascii="宋体" w:hAnsi="宋体" w:cs="宋体" w:eastAsia="宋体" w:hint="default"/>
                          <w:sz w:val="21"/>
                          <w:szCs w:val="21"/>
                        </w:rPr>
                      </w:pPr>
                      <w:r>
                        <w:rPr>
                          <w:rFonts w:ascii="宋体"/>
                          <w:sz w:val="21"/>
                        </w:rPr>
                        <w:t>18,000,000.00</w:t>
                      </w:r>
                    </w:p>
                  </w:txbxContent>
                </v:textbox>
                <w10:wrap type="none"/>
              </v:shape>
            </v:group>
          </v:group>
        </w:pict>
      </w:r>
      <w:r>
        <w:rPr>
          <w:rFonts w:ascii="宋体" w:hAnsi="宋体" w:cs="宋体" w:eastAsia="宋体" w:hint="default"/>
          <w:position w:val="-8"/>
          <w:sz w:val="20"/>
          <w:szCs w:val="20"/>
        </w:rPr>
      </w:r>
    </w:p>
    <w:p>
      <w:pPr>
        <w:pStyle w:val="BodyText"/>
        <w:spacing w:line="240" w:lineRule="auto" w:before="38"/>
        <w:ind w:left="641" w:right="193"/>
        <w:jc w:val="left"/>
      </w:pPr>
      <w:r>
        <w:rPr/>
        <w:t>根据</w:t>
      </w:r>
      <w:r>
        <w:rPr>
          <w:spacing w:val="-59"/>
        </w:rPr>
        <w:t> </w:t>
      </w:r>
      <w:r>
        <w:rPr/>
        <w:t>2015</w:t>
      </w:r>
      <w:r>
        <w:rPr>
          <w:spacing w:val="-58"/>
        </w:rPr>
        <w:t> </w:t>
      </w:r>
      <w:r>
        <w:rPr/>
        <w:t>年</w:t>
      </w:r>
      <w:r>
        <w:rPr>
          <w:spacing w:val="-60"/>
        </w:rPr>
        <w:t> </w:t>
      </w:r>
      <w:r>
        <w:rPr/>
        <w:t>4</w:t>
      </w:r>
      <w:r>
        <w:rPr>
          <w:spacing w:val="-58"/>
        </w:rPr>
        <w:t> </w:t>
      </w:r>
      <w:r>
        <w:rPr/>
        <w:t>月</w:t>
      </w:r>
      <w:r>
        <w:rPr>
          <w:spacing w:val="-60"/>
        </w:rPr>
        <w:t> </w:t>
      </w:r>
      <w:r>
        <w:rPr/>
        <w:t>9</w:t>
      </w:r>
      <w:r>
        <w:rPr>
          <w:spacing w:val="-58"/>
        </w:rPr>
        <w:t> </w:t>
      </w:r>
      <w:r>
        <w:rPr/>
        <w:t>日公司第二届董事会第十二次会议通过的《2014</w:t>
      </w:r>
      <w:r>
        <w:rPr>
          <w:spacing w:val="-58"/>
        </w:rPr>
        <w:t> </w:t>
      </w:r>
      <w:r>
        <w:rPr>
          <w:spacing w:val="-4"/>
        </w:rPr>
        <w:t>年度利润分配预案》，公</w:t>
      </w:r>
    </w:p>
    <w:p>
      <w:pPr>
        <w:pStyle w:val="BodyText"/>
        <w:spacing w:line="314" w:lineRule="auto" w:before="85"/>
        <w:ind w:left="221" w:right="193"/>
        <w:jc w:val="left"/>
      </w:pPr>
      <w:r>
        <w:rPr/>
        <w:t>司以</w:t>
      </w:r>
      <w:r>
        <w:rPr>
          <w:spacing w:val="-39"/>
        </w:rPr>
        <w:t> </w:t>
      </w:r>
      <w:r>
        <w:rPr/>
        <w:t>2014</w:t>
      </w:r>
      <w:r>
        <w:rPr>
          <w:spacing w:val="-40"/>
        </w:rPr>
        <w:t> </w:t>
      </w:r>
      <w:r>
        <w:rPr/>
        <w:t>年</w:t>
      </w:r>
      <w:r>
        <w:rPr>
          <w:spacing w:val="-39"/>
        </w:rPr>
        <w:t> </w:t>
      </w:r>
      <w:r>
        <w:rPr/>
        <w:t>12</w:t>
      </w:r>
      <w:r>
        <w:rPr>
          <w:spacing w:val="-39"/>
        </w:rPr>
        <w:t> </w:t>
      </w:r>
      <w:r>
        <w:rPr/>
        <w:t>月</w:t>
      </w:r>
      <w:r>
        <w:rPr>
          <w:spacing w:val="-40"/>
        </w:rPr>
        <w:t> </w:t>
      </w:r>
      <w:r>
        <w:rPr/>
        <w:t>31</w:t>
      </w:r>
      <w:r>
        <w:rPr>
          <w:spacing w:val="-40"/>
        </w:rPr>
        <w:t> </w:t>
      </w:r>
      <w:r>
        <w:rPr/>
        <w:t>日的总股本</w:t>
      </w:r>
      <w:r>
        <w:rPr>
          <w:spacing w:val="-39"/>
        </w:rPr>
        <w:t> </w:t>
      </w:r>
      <w:r>
        <w:rPr/>
        <w:t>100,000,000</w:t>
      </w:r>
      <w:r>
        <w:rPr>
          <w:spacing w:val="-40"/>
        </w:rPr>
        <w:t> </w:t>
      </w:r>
      <w:r>
        <w:rPr/>
        <w:t>股为基数，向全体股东每</w:t>
      </w:r>
      <w:r>
        <w:rPr>
          <w:spacing w:val="-39"/>
        </w:rPr>
        <w:t> </w:t>
      </w:r>
      <w:r>
        <w:rPr/>
        <w:t>10</w:t>
      </w:r>
      <w:r>
        <w:rPr>
          <w:spacing w:val="-39"/>
        </w:rPr>
        <w:t> </w:t>
      </w:r>
      <w:r>
        <w:rPr/>
        <w:t>股派发现金红利</w:t>
      </w:r>
      <w:r>
        <w:rPr>
          <w:spacing w:val="-39"/>
        </w:rPr>
        <w:t> </w:t>
      </w:r>
      <w:r>
        <w:rPr/>
        <w:t>1.8</w:t>
      </w:r>
      <w:r>
        <w:rPr/>
        <w:t> 元（含税）。本次分配方案须经股东大会审议通过后实施。</w:t>
      </w:r>
    </w:p>
    <w:p>
      <w:pPr>
        <w:pStyle w:val="Heading2"/>
        <w:spacing w:line="240" w:lineRule="auto" w:before="2"/>
        <w:ind w:right="193"/>
        <w:jc w:val="left"/>
        <w:rPr>
          <w:b w:val="0"/>
          <w:bCs w:val="0"/>
        </w:rPr>
      </w:pPr>
      <w:r>
        <w:rPr>
          <w:rFonts w:ascii="Calibri" w:hAnsi="Calibri" w:cs="Calibri" w:eastAsia="Calibri" w:hint="default"/>
        </w:rPr>
        <w:t>2</w:t>
      </w:r>
      <w:r>
        <w:rPr/>
        <w:t>、</w:t>
      </w:r>
      <w:r>
        <w:rPr>
          <w:spacing w:val="1"/>
        </w:rPr>
        <w:t> </w:t>
      </w:r>
      <w:r>
        <w:rPr/>
        <w:t>销售退回</w:t>
      </w:r>
      <w:r>
        <w:rPr>
          <w:b w:val="0"/>
          <w:bCs w:val="0"/>
        </w:rPr>
      </w:r>
    </w:p>
    <w:p>
      <w:pPr>
        <w:pStyle w:val="BodyText"/>
        <w:spacing w:line="240" w:lineRule="auto" w:before="108"/>
        <w:ind w:left="641" w:right="193"/>
        <w:jc w:val="left"/>
      </w:pPr>
      <w:r>
        <w:rPr/>
        <w:t>无</w:t>
      </w:r>
    </w:p>
    <w:p>
      <w:pPr>
        <w:spacing w:line="240" w:lineRule="auto" w:before="12"/>
        <w:rPr>
          <w:rFonts w:ascii="宋体" w:hAnsi="宋体" w:cs="宋体" w:eastAsia="宋体" w:hint="default"/>
          <w:sz w:val="25"/>
          <w:szCs w:val="25"/>
        </w:rPr>
      </w:pPr>
    </w:p>
    <w:p>
      <w:pPr>
        <w:pStyle w:val="Heading2"/>
        <w:spacing w:line="240" w:lineRule="auto" w:before="0"/>
        <w:ind w:right="193"/>
        <w:jc w:val="left"/>
        <w:rPr>
          <w:b w:val="0"/>
          <w:bCs w:val="0"/>
        </w:rPr>
      </w:pPr>
      <w:r>
        <w:rPr>
          <w:rFonts w:ascii="Calibri" w:hAnsi="Calibri" w:cs="Calibri" w:eastAsia="Calibri" w:hint="default"/>
        </w:rPr>
        <w:t>3</w:t>
      </w:r>
      <w:r>
        <w:rPr/>
        <w:t>、</w:t>
      </w:r>
      <w:r>
        <w:rPr>
          <w:spacing w:val="-1"/>
        </w:rPr>
        <w:t> </w:t>
      </w:r>
      <w:r>
        <w:rPr/>
        <w:t>其他资产负债表日后事项说明</w:t>
      </w:r>
      <w:r>
        <w:rPr>
          <w:b w:val="0"/>
          <w:bCs w:val="0"/>
        </w:rPr>
      </w:r>
    </w:p>
    <w:p>
      <w:pPr>
        <w:pStyle w:val="BodyText"/>
        <w:spacing w:line="314" w:lineRule="auto" w:before="108"/>
        <w:ind w:left="221" w:right="311" w:firstLine="420"/>
        <w:jc w:val="both"/>
      </w:pPr>
      <w:r>
        <w:rPr/>
        <w:t>2015</w:t>
      </w:r>
      <w:r>
        <w:rPr>
          <w:spacing w:val="-53"/>
        </w:rPr>
        <w:t> </w:t>
      </w:r>
      <w:r>
        <w:rPr/>
        <w:t>年</w:t>
      </w:r>
      <w:r>
        <w:rPr>
          <w:spacing w:val="-54"/>
        </w:rPr>
        <w:t> </w:t>
      </w:r>
      <w:r>
        <w:rPr/>
        <w:t>1</w:t>
      </w:r>
      <w:r>
        <w:rPr>
          <w:spacing w:val="-53"/>
        </w:rPr>
        <w:t> </w:t>
      </w:r>
      <w:r>
        <w:rPr/>
        <w:t>月</w:t>
      </w:r>
      <w:r>
        <w:rPr>
          <w:spacing w:val="-55"/>
        </w:rPr>
        <w:t> </w:t>
      </w:r>
      <w:r>
        <w:rPr/>
        <w:t>31</w:t>
      </w:r>
      <w:r>
        <w:rPr>
          <w:spacing w:val="-53"/>
        </w:rPr>
        <w:t> </w:t>
      </w:r>
      <w:r>
        <w:rPr/>
        <w:t>日公司发布公告：2015</w:t>
      </w:r>
      <w:r>
        <w:rPr>
          <w:spacing w:val="-53"/>
        </w:rPr>
        <w:t> </w:t>
      </w:r>
      <w:r>
        <w:rPr/>
        <w:t>年</w:t>
      </w:r>
      <w:r>
        <w:rPr>
          <w:spacing w:val="-54"/>
        </w:rPr>
        <w:t> </w:t>
      </w:r>
      <w:r>
        <w:rPr/>
        <w:t>1</w:t>
      </w:r>
      <w:r>
        <w:rPr>
          <w:spacing w:val="-53"/>
        </w:rPr>
        <w:t> </w:t>
      </w:r>
      <w:r>
        <w:rPr/>
        <w:t>月</w:t>
      </w:r>
      <w:r>
        <w:rPr>
          <w:spacing w:val="-54"/>
        </w:rPr>
        <w:t> </w:t>
      </w:r>
      <w:r>
        <w:rPr/>
        <w:t>30</w:t>
      </w:r>
      <w:r>
        <w:rPr>
          <w:spacing w:val="-54"/>
        </w:rPr>
        <w:t> </w:t>
      </w:r>
      <w:r>
        <w:rPr/>
        <w:t>日公司实际控制人、董事长吴志雄先生应相</w:t>
      </w:r>
      <w:r>
        <w:rPr/>
        <w:t> </w:t>
      </w:r>
      <w:r>
        <w:rPr>
          <w:spacing w:val="-3"/>
        </w:rPr>
        <w:t>关部门要求协助调查，暂不能履行董事长职责。为保证公司正常运作，根据《公司法》及《公司章</w:t>
      </w:r>
      <w:r>
        <w:rPr>
          <w:spacing w:val="-78"/>
        </w:rPr>
        <w:t> </w:t>
      </w:r>
      <w:r>
        <w:rPr>
          <w:spacing w:val="-78"/>
        </w:rPr>
      </w:r>
      <w:r>
        <w:rPr>
          <w:spacing w:val="-3"/>
        </w:rPr>
        <w:t>程》等有关规定，经半数以上董事推举，暂由公司董事侯济恭先生代理行使董事长职责，全面负责</w:t>
      </w:r>
      <w:r>
        <w:rPr>
          <w:spacing w:val="-80"/>
        </w:rPr>
        <w:t> </w:t>
      </w:r>
      <w:r>
        <w:rPr>
          <w:spacing w:val="-80"/>
        </w:rPr>
      </w:r>
      <w:r>
        <w:rPr>
          <w:spacing w:val="-3"/>
        </w:rPr>
        <w:t>公司的经营管理，直至董事长吴志雄先生恢复履行职责，或者董事会认为有必要改选董事长并通过</w:t>
      </w:r>
      <w:r>
        <w:rPr>
          <w:spacing w:val="-78"/>
        </w:rPr>
        <w:t> </w:t>
      </w:r>
      <w:r>
        <w:rPr>
          <w:spacing w:val="-78"/>
        </w:rPr>
      </w:r>
      <w:r>
        <w:rPr/>
        <w:t>改选董事长议案之日。</w:t>
      </w:r>
    </w:p>
    <w:p>
      <w:pPr>
        <w:pStyle w:val="BodyText"/>
        <w:spacing w:line="314" w:lineRule="auto"/>
        <w:ind w:left="221" w:right="88" w:firstLine="420"/>
        <w:jc w:val="left"/>
      </w:pPr>
      <w:r>
        <w:rPr>
          <w:spacing w:val="-1"/>
        </w:rPr>
        <w:t>公司于</w:t>
      </w:r>
      <w:r>
        <w:rPr>
          <w:spacing w:val="-51"/>
        </w:rPr>
        <w:t> </w:t>
      </w:r>
      <w:r>
        <w:rPr>
          <w:spacing w:val="-1"/>
        </w:rPr>
        <w:t>2015</w:t>
      </w:r>
      <w:r>
        <w:rPr>
          <w:spacing w:val="-51"/>
        </w:rPr>
        <w:t> </w:t>
      </w:r>
      <w:r>
        <w:rPr/>
        <w:t>年</w:t>
      </w:r>
      <w:r>
        <w:rPr>
          <w:spacing w:val="-51"/>
        </w:rPr>
        <w:t> </w:t>
      </w:r>
      <w:r>
        <w:rPr/>
        <w:t>1</w:t>
      </w:r>
      <w:r>
        <w:rPr>
          <w:spacing w:val="-50"/>
        </w:rPr>
        <w:t> </w:t>
      </w:r>
      <w:r>
        <w:rPr/>
        <w:t>月</w:t>
      </w:r>
      <w:r>
        <w:rPr>
          <w:spacing w:val="-52"/>
        </w:rPr>
        <w:t> </w:t>
      </w:r>
      <w:r>
        <w:rPr>
          <w:spacing w:val="-1"/>
        </w:rPr>
        <w:t>19</w:t>
      </w:r>
      <w:r>
        <w:rPr>
          <w:spacing w:val="-50"/>
        </w:rPr>
        <w:t> </w:t>
      </w:r>
      <w:r>
        <w:rPr>
          <w:spacing w:val="-5"/>
        </w:rPr>
        <w:t>日召开的第二届董事会第十次会议审议通过了设立上海子公司，公司拟</w:t>
      </w:r>
      <w:r>
        <w:rPr/>
        <w:t> </w:t>
      </w:r>
      <w:r>
        <w:rPr>
          <w:spacing w:val="-7"/>
        </w:rPr>
        <w:t>与自然人陈茂华共同出资设立“上海南威软件有限公司”（暂定名，最终以工商登记机关核准为准）。</w:t>
      </w:r>
      <w:r>
        <w:rPr>
          <w:spacing w:val="-102"/>
        </w:rPr>
        <w:t> </w:t>
      </w:r>
      <w:r>
        <w:rPr>
          <w:spacing w:val="-102"/>
        </w:rPr>
      </w:r>
      <w:r>
        <w:rPr/>
        <w:t>上海子公司注册资本</w:t>
      </w:r>
      <w:r>
        <w:rPr>
          <w:spacing w:val="-56"/>
        </w:rPr>
        <w:t> </w:t>
      </w:r>
      <w:r>
        <w:rPr/>
        <w:t>1,000.00</w:t>
      </w:r>
      <w:r>
        <w:rPr>
          <w:spacing w:val="-56"/>
        </w:rPr>
        <w:t> </w:t>
      </w:r>
      <w:r>
        <w:rPr/>
        <w:t>万元，其中本公司出资</w:t>
      </w:r>
      <w:r>
        <w:rPr>
          <w:spacing w:val="-9"/>
        </w:rPr>
        <w:t> </w:t>
      </w:r>
      <w:r>
        <w:rPr/>
        <w:t>700.00</w:t>
      </w:r>
      <w:r>
        <w:rPr>
          <w:spacing w:val="-57"/>
        </w:rPr>
        <w:t> </w:t>
      </w:r>
      <w:r>
        <w:rPr/>
        <w:t>万元，占注册资本</w:t>
      </w:r>
      <w:r>
        <w:rPr>
          <w:spacing w:val="-56"/>
        </w:rPr>
        <w:t> </w:t>
      </w:r>
      <w:r>
        <w:rPr/>
        <w:t>70.00%，陈茂华</w:t>
      </w:r>
      <w:r>
        <w:rPr>
          <w:spacing w:val="-1"/>
        </w:rPr>
        <w:t> </w:t>
      </w:r>
      <w:r>
        <w:rPr/>
        <w:t>出资</w:t>
      </w:r>
      <w:r>
        <w:rPr>
          <w:spacing w:val="-60"/>
        </w:rPr>
        <w:t> </w:t>
      </w:r>
      <w:r>
        <w:rPr/>
        <w:t>300.00</w:t>
      </w:r>
      <w:r>
        <w:rPr>
          <w:spacing w:val="-60"/>
        </w:rPr>
        <w:t> </w:t>
      </w:r>
      <w:r>
        <w:rPr/>
        <w:t>万元，占注册资本的</w:t>
      </w:r>
      <w:r>
        <w:rPr>
          <w:spacing w:val="-60"/>
        </w:rPr>
        <w:t> </w:t>
      </w:r>
      <w:r>
        <w:rPr/>
        <w:t>30.00%。</w:t>
      </w:r>
    </w:p>
    <w:p>
      <w:pPr>
        <w:pStyle w:val="BodyText"/>
        <w:spacing w:line="314" w:lineRule="auto"/>
        <w:ind w:left="221" w:right="301" w:firstLine="420"/>
        <w:jc w:val="left"/>
      </w:pPr>
      <w:r>
        <w:rPr/>
        <w:t>2015</w:t>
      </w:r>
      <w:r>
        <w:rPr>
          <w:spacing w:val="10"/>
        </w:rPr>
        <w:t> </w:t>
      </w:r>
      <w:r>
        <w:rPr/>
        <w:t>年</w:t>
      </w:r>
      <w:r>
        <w:rPr>
          <w:spacing w:val="-49"/>
        </w:rPr>
        <w:t> </w:t>
      </w:r>
      <w:r>
        <w:rPr/>
        <w:t>1</w:t>
      </w:r>
      <w:r>
        <w:rPr>
          <w:spacing w:val="-47"/>
        </w:rPr>
        <w:t> </w:t>
      </w:r>
      <w:r>
        <w:rPr/>
        <w:t>月</w:t>
      </w:r>
      <w:r>
        <w:rPr>
          <w:spacing w:val="-49"/>
        </w:rPr>
        <w:t> </w:t>
      </w:r>
      <w:r>
        <w:rPr/>
        <w:t>19</w:t>
      </w:r>
      <w:r>
        <w:rPr>
          <w:spacing w:val="-47"/>
        </w:rPr>
        <w:t> </w:t>
      </w:r>
      <w:r>
        <w:rPr>
          <w:spacing w:val="-4"/>
        </w:rPr>
        <w:t>日，公司第二届董事会第十次会议审议通过了《关于设立重庆全资子公司的议</w:t>
      </w:r>
      <w:r>
        <w:rPr/>
        <w:t> 案》，会议同意公司以自有资金</w:t>
      </w:r>
      <w:r>
        <w:rPr>
          <w:spacing w:val="-69"/>
        </w:rPr>
        <w:t> </w:t>
      </w:r>
      <w:r>
        <w:rPr/>
        <w:t>2,000.00</w:t>
      </w:r>
      <w:r>
        <w:rPr>
          <w:spacing w:val="-68"/>
        </w:rPr>
        <w:t> </w:t>
      </w:r>
      <w:r>
        <w:rPr/>
        <w:t>万元投资成立重庆子公司，公司持有</w:t>
      </w:r>
      <w:r>
        <w:rPr>
          <w:spacing w:val="-69"/>
        </w:rPr>
        <w:t> </w:t>
      </w:r>
      <w:r>
        <w:rPr/>
        <w:t>100.00%股权。</w:t>
      </w:r>
    </w:p>
    <w:p>
      <w:pPr>
        <w:spacing w:line="240" w:lineRule="auto" w:before="13"/>
        <w:rPr>
          <w:rFonts w:ascii="宋体" w:hAnsi="宋体" w:cs="宋体" w:eastAsia="宋体" w:hint="default"/>
          <w:sz w:val="20"/>
          <w:szCs w:val="20"/>
        </w:rPr>
      </w:pPr>
    </w:p>
    <w:p>
      <w:pPr>
        <w:pStyle w:val="Heading2"/>
        <w:tabs>
          <w:tab w:pos="1061" w:val="left" w:leader="none"/>
        </w:tabs>
        <w:spacing w:line="290" w:lineRule="auto" w:before="0"/>
        <w:ind w:right="7137"/>
        <w:jc w:val="left"/>
        <w:rPr>
          <w:b w:val="0"/>
          <w:bCs w:val="0"/>
        </w:rPr>
      </w:pPr>
      <w:r>
        <w:rPr>
          <w:w w:val="95"/>
        </w:rPr>
        <w:t>十四、</w:t>
        <w:tab/>
      </w:r>
      <w:r>
        <w:rPr/>
        <w:t>其他重要事项</w:t>
      </w:r>
      <w:r>
        <w:rPr>
          <w:w w:val="99"/>
        </w:rPr>
        <w:t> </w:t>
      </w:r>
      <w:r>
        <w:rPr/>
        <w:t>1、</w:t>
      </w:r>
      <w:r>
        <w:rPr>
          <w:spacing w:val="2"/>
        </w:rPr>
        <w:t> </w:t>
      </w:r>
      <w:r>
        <w:rPr/>
        <w:t>分部信息</w:t>
      </w:r>
      <w:r>
        <w:rPr>
          <w:b w:val="0"/>
          <w:bCs w:val="0"/>
        </w:rPr>
      </w:r>
    </w:p>
    <w:p>
      <w:pPr>
        <w:tabs>
          <w:tab w:pos="865" w:val="left" w:leader="none"/>
        </w:tabs>
        <w:spacing w:line="357" w:lineRule="auto" w:before="13"/>
        <w:ind w:left="641" w:right="311"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3"/>
          <w:sz w:val="21"/>
          <w:szCs w:val="21"/>
        </w:rPr>
        <w:t>本公司以内部组织结构、管理要求、内部报告制度为依据确定业务分部。本公司的业务分部是</w:t>
      </w:r>
    </w:p>
    <w:p>
      <w:pPr>
        <w:pStyle w:val="BodyText"/>
        <w:spacing w:line="257" w:lineRule="exact" w:before="0"/>
        <w:ind w:left="221" w:right="193"/>
        <w:jc w:val="left"/>
      </w:pPr>
      <w:r>
        <w:rPr/>
        <w:t>指同时满足下列条件的组成部分：</w:t>
      </w:r>
    </w:p>
    <w:p>
      <w:pPr>
        <w:pStyle w:val="BodyText"/>
        <w:spacing w:line="240" w:lineRule="auto" w:before="85"/>
        <w:ind w:left="641" w:right="193"/>
        <w:jc w:val="left"/>
      </w:pPr>
      <w:r>
        <w:rPr/>
        <w:t>（1）该组成部分能够在日常活动中产生收入、发生费用。</w:t>
      </w:r>
    </w:p>
    <w:p>
      <w:pPr>
        <w:pStyle w:val="BodyText"/>
        <w:spacing w:line="240" w:lineRule="auto" w:before="85"/>
        <w:ind w:left="641" w:right="193"/>
        <w:jc w:val="left"/>
      </w:pPr>
      <w:r>
        <w:rPr/>
        <w:t>（2）管理层能够定期评价该组成部分的经营成果，以决定向其配置资源、评价其业绩。</w:t>
      </w:r>
    </w:p>
    <w:p>
      <w:pPr>
        <w:pStyle w:val="BodyText"/>
        <w:spacing w:line="314" w:lineRule="auto" w:before="85"/>
        <w:ind w:left="641" w:right="613"/>
        <w:jc w:val="left"/>
      </w:pPr>
      <w:r>
        <w:rPr/>
        <w:t>（3）能够取得该组成部分的财务状况、经营成果和现金流量等有关会计信息。 本公司以业务分部为基础确定报告分部，满足下列条件之一的业务分部确定为报告分部：</w:t>
      </w:r>
    </w:p>
    <w:p>
      <w:pPr>
        <w:pStyle w:val="BodyText"/>
        <w:spacing w:line="240" w:lineRule="auto"/>
        <w:ind w:left="641" w:right="193"/>
        <w:jc w:val="left"/>
      </w:pPr>
      <w:r>
        <w:rPr/>
        <w:t>（1）该经营分部的分部收入占所有分部收入合计的</w:t>
      </w:r>
      <w:r>
        <w:rPr>
          <w:spacing w:val="-57"/>
        </w:rPr>
        <w:t> </w:t>
      </w:r>
      <w:r>
        <w:rPr/>
        <w:t>10%或者以上；</w:t>
      </w:r>
    </w:p>
    <w:p>
      <w:pPr>
        <w:pStyle w:val="BodyText"/>
        <w:spacing w:line="314" w:lineRule="auto" w:before="85"/>
        <w:ind w:left="221" w:right="298" w:firstLine="420"/>
        <w:jc w:val="left"/>
      </w:pPr>
      <w:r>
        <w:rPr/>
        <w:t>（2）该分部的分部利润（亏损）的绝对额，占所有盈利分部利润合计额或者所有亏损分部亏 损合计额的绝对额两者中较大者的</w:t>
      </w:r>
      <w:r>
        <w:rPr>
          <w:spacing w:val="-55"/>
        </w:rPr>
        <w:t> </w:t>
      </w:r>
      <w:r>
        <w:rPr/>
        <w:t>10%或者以上；</w:t>
      </w:r>
    </w:p>
    <w:p>
      <w:pPr>
        <w:pStyle w:val="BodyText"/>
        <w:spacing w:line="314" w:lineRule="auto"/>
        <w:ind w:left="641" w:right="193"/>
        <w:jc w:val="left"/>
      </w:pPr>
      <w:r>
        <w:rPr/>
        <w:t>（3）该分部的分部资产占所有分部资产合计额的</w:t>
      </w:r>
      <w:r>
        <w:rPr>
          <w:spacing w:val="-54"/>
        </w:rPr>
        <w:t> </w:t>
      </w:r>
      <w:r>
        <w:rPr/>
        <w:t>10%或者以上。</w:t>
      </w:r>
      <w:r>
        <w:rPr/>
        <w:t> </w:t>
      </w:r>
      <w:r>
        <w:rPr>
          <w:spacing w:val="2"/>
        </w:rPr>
        <w:t>按上述会计政策确定的报告分部的经营分部的对外交易收入合计额占合并总收入的比重未达</w:t>
      </w:r>
    </w:p>
    <w:p>
      <w:pPr>
        <w:pStyle w:val="BodyText"/>
        <w:spacing w:line="314" w:lineRule="auto"/>
        <w:ind w:left="221" w:right="303"/>
        <w:jc w:val="left"/>
      </w:pPr>
      <w:r>
        <w:rPr/>
        <w:t>到</w:t>
      </w:r>
      <w:r>
        <w:rPr>
          <w:spacing w:val="-24"/>
        </w:rPr>
        <w:t> </w:t>
      </w:r>
      <w:r>
        <w:rPr>
          <w:spacing w:val="-2"/>
        </w:rPr>
        <w:t>75%时，增加报告分部的数量，按下述规定将其他未作为报告分部的经营分部纳入报告分部的范</w:t>
      </w:r>
      <w:r>
        <w:rPr>
          <w:spacing w:val="-99"/>
        </w:rPr>
        <w:t> </w:t>
      </w:r>
      <w:r>
        <w:rPr>
          <w:spacing w:val="-99"/>
        </w:rPr>
      </w:r>
      <w:r>
        <w:rPr/>
        <w:t>围，直到该比重达到</w:t>
      </w:r>
      <w:r>
        <w:rPr>
          <w:spacing w:val="-65"/>
        </w:rPr>
        <w:t> </w:t>
      </w:r>
      <w:r>
        <w:rPr/>
        <w:t>75%：</w:t>
      </w:r>
    </w:p>
    <w:p>
      <w:pPr>
        <w:pStyle w:val="BodyText"/>
        <w:spacing w:line="240" w:lineRule="auto"/>
        <w:ind w:left="641" w:right="193"/>
        <w:jc w:val="left"/>
      </w:pPr>
      <w:r>
        <w:rPr/>
        <w:t>（1）将管理层认为披露该经营分部信息对会计信息使用者有用的经营分部确定为报告分部；</w:t>
      </w:r>
    </w:p>
    <w:p>
      <w:pPr>
        <w:spacing w:after="0" w:line="240" w:lineRule="auto"/>
        <w:jc w:val="left"/>
        <w:sectPr>
          <w:pgSz w:w="11910" w:h="16840"/>
          <w:pgMar w:header="882" w:footer="977" w:top="1120" w:bottom="1160" w:left="148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0"/>
        <w:ind w:left="221" w:right="118" w:firstLine="420"/>
        <w:jc w:val="left"/>
      </w:pPr>
      <w:r>
        <w:rPr/>
        <w:t>（2）将该经营分部与一个或一个以上的具有相似经济特征、满足经营分部合并条件的其他经 营分部合并，作为一个报告分部。</w:t>
      </w:r>
    </w:p>
    <w:p>
      <w:pPr>
        <w:pStyle w:val="BodyText"/>
        <w:spacing w:line="314" w:lineRule="auto"/>
        <w:ind w:left="221" w:right="118" w:firstLine="420"/>
        <w:jc w:val="left"/>
      </w:pPr>
      <w:r>
        <w:rPr/>
        <w:t>（3）分部间转移价格参照市场价格确定，与各分部共同使用的资产、相关的费用按照收入比 例在不同的分部之间分配。</w:t>
      </w:r>
    </w:p>
    <w:p>
      <w:pPr>
        <w:spacing w:line="240" w:lineRule="auto" w:before="4"/>
        <w:rPr>
          <w:rFonts w:ascii="宋体" w:hAnsi="宋体" w:cs="宋体" w:eastAsia="宋体" w:hint="default"/>
          <w:sz w:val="18"/>
          <w:szCs w:val="18"/>
        </w:rPr>
      </w:pPr>
    </w:p>
    <w:p>
      <w:pPr>
        <w:pStyle w:val="Heading2"/>
        <w:tabs>
          <w:tab w:pos="865" w:val="left" w:leader="none"/>
        </w:tabs>
        <w:spacing w:line="240" w:lineRule="auto"/>
        <w:ind w:right="227"/>
        <w:jc w:val="left"/>
        <w:rPr>
          <w:b w:val="0"/>
          <w:bCs w:val="0"/>
        </w:rPr>
      </w:pPr>
      <w:r>
        <w:rPr>
          <w:w w:val="95"/>
        </w:rPr>
        <w:t>(2).</w:t>
        <w:tab/>
      </w:r>
      <w:r>
        <w:rPr/>
        <w:t>报告分部的财务信息</w:t>
      </w:r>
      <w:r>
        <w:rPr>
          <w:b w:val="0"/>
          <w:bCs w:val="0"/>
        </w:rPr>
      </w:r>
    </w:p>
    <w:p>
      <w:pPr>
        <w:pStyle w:val="BodyText"/>
        <w:tabs>
          <w:tab w:pos="1049" w:val="left" w:leader="none"/>
        </w:tabs>
        <w:spacing w:line="240" w:lineRule="auto" w:before="57"/>
        <w:ind w:left="0" w:right="1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92"/>
        <w:gridCol w:w="2158"/>
        <w:gridCol w:w="2142"/>
        <w:gridCol w:w="2048"/>
      </w:tblGrid>
      <w:tr>
        <w:trPr>
          <w:trHeight w:val="282"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分部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分部间抵销</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exact" w:before="0"/>
        <w:ind w:left="701" w:right="227"/>
        <w:jc w:val="left"/>
      </w:pPr>
      <w:r>
        <w:rPr/>
        <w:t>（</w:t>
      </w:r>
      <w:r>
        <w:rPr>
          <w:rFonts w:ascii="宋体" w:hAnsi="宋体" w:cs="宋体" w:eastAsia="宋体" w:hint="default"/>
        </w:rPr>
        <w:t>1</w:t>
      </w:r>
      <w:r>
        <w:rPr/>
        <w:t>）主营业收入（分地区）</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1"/>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hAnsi="宋体" w:cs="宋体" w:eastAsia="宋体" w:hint="default"/>
                <w:sz w:val="21"/>
                <w:szCs w:val="21"/>
              </w:rPr>
              <w:t>主营业务收入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241,752,340.21</w:t>
            </w:r>
            <w:r>
              <w:rPr>
                <w:rFonts w:ascii="宋体"/>
                <w:sz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148,911,598.89</w:t>
            </w:r>
            <w:r>
              <w:rPr>
                <w:rFonts w:ascii="宋体"/>
                <w:sz w:val="21"/>
              </w:rPr>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80,155,824.81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18,693,494.05</w:t>
            </w:r>
            <w:r>
              <w:rPr>
                <w:rFonts w:ascii="宋体"/>
                <w:sz w:val="21"/>
              </w:rPr>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0"/>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321,908,165.02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167,605,092.94</w:t>
            </w:r>
          </w:p>
        </w:tc>
      </w:tr>
    </w:tbl>
    <w:p>
      <w:pPr>
        <w:pStyle w:val="BodyText"/>
        <w:spacing w:line="240" w:lineRule="exact" w:before="0"/>
        <w:ind w:left="701" w:right="227"/>
        <w:jc w:val="left"/>
      </w:pPr>
      <w:r>
        <w:rPr/>
        <w:t>（</w:t>
      </w:r>
      <w:r>
        <w:rPr>
          <w:rFonts w:ascii="宋体" w:hAnsi="宋体" w:cs="宋体" w:eastAsia="宋体" w:hint="default"/>
        </w:rPr>
        <w:t>2</w:t>
      </w:r>
      <w:r>
        <w:rPr/>
        <w:t>）主营业务收入（分产品）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软件开发（产品）</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117,025,843.51</w:t>
            </w:r>
            <w:r>
              <w:rPr>
                <w:rFonts w:ascii="宋体"/>
                <w:sz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18,158,551.45</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系统集成（产品）</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198,048,587.88</w:t>
            </w:r>
            <w:r>
              <w:rPr>
                <w:rFonts w:ascii="宋体"/>
                <w:sz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149,446,541.48</w:t>
            </w:r>
            <w:r>
              <w:rPr>
                <w:rFonts w:ascii="宋体"/>
                <w:sz w:val="21"/>
              </w:rPr>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技术服务（产品）</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6,833,733.63</w:t>
            </w:r>
            <w:r>
              <w:rPr>
                <w:rFonts w:ascii="宋体"/>
                <w:sz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321,908,165.02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167,605,092.94</w:t>
            </w:r>
          </w:p>
        </w:tc>
      </w:tr>
    </w:tbl>
    <w:p>
      <w:pPr>
        <w:spacing w:line="240" w:lineRule="auto" w:before="0"/>
        <w:rPr>
          <w:rFonts w:ascii="宋体" w:hAnsi="宋体" w:cs="宋体" w:eastAsia="宋体" w:hint="default"/>
          <w:sz w:val="20"/>
          <w:szCs w:val="20"/>
        </w:rPr>
      </w:pPr>
    </w:p>
    <w:p>
      <w:pPr>
        <w:tabs>
          <w:tab w:pos="865" w:val="left" w:leader="none"/>
        </w:tabs>
        <w:spacing w:line="357" w:lineRule="auto" w:before="35"/>
        <w:ind w:left="641" w:right="620" w:hanging="42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b/>
          <w:bCs/>
          <w:w w:val="99"/>
          <w:sz w:val="21"/>
          <w:szCs w:val="21"/>
        </w:rPr>
        <w:t> </w:t>
      </w:r>
      <w:r>
        <w:rPr>
          <w:rFonts w:ascii="宋体" w:hAnsi="宋体" w:cs="宋体" w:eastAsia="宋体" w:hint="default"/>
          <w:sz w:val="21"/>
          <w:szCs w:val="21"/>
        </w:rPr>
        <w:t>因公司资产、负债为各个产品和地区共同占有，故没有按分部披露。</w:t>
      </w:r>
    </w:p>
    <w:p>
      <w:pPr>
        <w:spacing w:line="240" w:lineRule="auto" w:before="1"/>
        <w:rPr>
          <w:rFonts w:ascii="宋体" w:hAnsi="宋体" w:cs="宋体" w:eastAsia="宋体" w:hint="default"/>
          <w:sz w:val="18"/>
          <w:szCs w:val="18"/>
        </w:rPr>
      </w:pPr>
    </w:p>
    <w:p>
      <w:pPr>
        <w:pStyle w:val="Heading2"/>
        <w:tabs>
          <w:tab w:pos="865" w:val="left" w:leader="none"/>
        </w:tabs>
        <w:spacing w:line="357" w:lineRule="auto" w:before="0"/>
        <w:ind w:left="641" w:right="7362" w:hanging="420"/>
        <w:jc w:val="left"/>
        <w:rPr>
          <w:rFonts w:ascii="宋体" w:hAnsi="宋体" w:cs="宋体" w:eastAsia="宋体" w:hint="default"/>
          <w:b w:val="0"/>
          <w:bCs w:val="0"/>
        </w:rPr>
      </w:pPr>
      <w:r>
        <w:rPr>
          <w:w w:val="95"/>
        </w:rPr>
        <w:t>(4).</w:t>
        <w:tab/>
      </w:r>
      <w:r>
        <w:rPr/>
        <w:t>其他说明：</w:t>
      </w:r>
      <w:r>
        <w:rPr>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pStyle w:val="Heading2"/>
        <w:spacing w:line="357" w:lineRule="auto" w:before="0"/>
        <w:ind w:left="641" w:right="4617" w:hanging="421"/>
        <w:jc w:val="left"/>
        <w:rPr>
          <w:rFonts w:ascii="宋体" w:hAnsi="宋体" w:cs="宋体" w:eastAsia="宋体" w:hint="default"/>
          <w:b w:val="0"/>
          <w:bCs w:val="0"/>
        </w:rPr>
      </w:pPr>
      <w:r>
        <w:rPr/>
        <w:t>2、</w:t>
      </w:r>
      <w:r>
        <w:rPr>
          <w:spacing w:val="-1"/>
        </w:rPr>
        <w:t> </w:t>
      </w:r>
      <w:r>
        <w:rPr/>
        <w:t>其他对投资者决策有影响的重要交易和事项</w:t>
      </w:r>
      <w:r>
        <w:rPr>
          <w:spacing w:val="1"/>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pStyle w:val="Heading2"/>
        <w:spacing w:line="240" w:lineRule="auto" w:before="0"/>
        <w:ind w:right="227"/>
        <w:jc w:val="left"/>
        <w:rPr>
          <w:b w:val="0"/>
          <w:bCs w:val="0"/>
        </w:rPr>
      </w:pPr>
      <w:r>
        <w:rPr/>
        <w:t>3、</w:t>
      </w:r>
      <w:r>
        <w:rPr>
          <w:spacing w:val="1"/>
        </w:rPr>
        <w:t> </w:t>
      </w:r>
      <w:r>
        <w:rPr/>
        <w:t>其他</w:t>
      </w:r>
      <w:r>
        <w:rPr>
          <w:b w:val="0"/>
          <w:bCs w:val="0"/>
        </w:rPr>
      </w:r>
    </w:p>
    <w:p>
      <w:pPr>
        <w:pStyle w:val="BodyText"/>
        <w:spacing w:line="240" w:lineRule="auto" w:before="135"/>
        <w:ind w:left="641" w:right="227"/>
        <w:jc w:val="left"/>
      </w:pPr>
      <w:r>
        <w:rPr/>
        <w:t>无。</w:t>
      </w:r>
    </w:p>
    <w:p>
      <w:pPr>
        <w:spacing w:after="0" w:line="240" w:lineRule="auto"/>
        <w:jc w:val="left"/>
        <w:sectPr>
          <w:pgSz w:w="11910" w:h="16840"/>
          <w:pgMar w:header="882" w:footer="977" w:top="1120" w:bottom="1160" w:left="1480" w:right="1140"/>
        </w:sectPr>
      </w:pPr>
    </w:p>
    <w:p>
      <w:pPr>
        <w:spacing w:before="22"/>
        <w:ind w:left="0" w:right="146"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3pt;height:.75pt;mso-position-horizontal-relative:char;mso-position-vertical-relative:line" coordorigin="0,0" coordsize="13926,15">
            <v:group style="position:absolute;left:7;top:7;width:13912;height:2" coordorigin="7,7" coordsize="13912,2">
              <v:shape style="position:absolute;left:7;top:7;width:13912;height:2" coordorigin="7,7" coordsize="13912,0" path="m7,7l1391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69"/>
          <w:footerReference w:type="default" r:id="rId70"/>
          <w:pgSz w:w="16840" w:h="11910" w:orient="landscape"/>
          <w:pgMar w:header="0" w:footer="0" w:top="800" w:bottom="280" w:left="1300" w:right="1400"/>
        </w:sectPr>
      </w:pPr>
    </w:p>
    <w:p>
      <w:pPr>
        <w:pStyle w:val="Heading2"/>
        <w:tabs>
          <w:tab w:pos="979" w:val="left" w:leader="none"/>
        </w:tabs>
        <w:spacing w:line="290" w:lineRule="auto"/>
        <w:ind w:left="139" w:right="0"/>
        <w:jc w:val="left"/>
        <w:rPr>
          <w:b w:val="0"/>
          <w:bCs w:val="0"/>
        </w:rPr>
      </w:pPr>
      <w:r>
        <w:rPr>
          <w:w w:val="95"/>
        </w:rPr>
        <w:t>十五、</w:t>
        <w:tab/>
      </w:r>
      <w:r>
        <w:rPr/>
        <w:t>母公司财务报表主要项目注释</w:t>
      </w:r>
      <w:r>
        <w:rPr>
          <w:spacing w:val="1"/>
          <w:w w:val="99"/>
        </w:rPr>
        <w:t> </w:t>
      </w:r>
      <w:r>
        <w:rPr/>
        <w:t>1、</w:t>
      </w:r>
      <w:r>
        <w:rPr>
          <w:spacing w:val="2"/>
        </w:rPr>
        <w:t> </w:t>
      </w:r>
      <w:r>
        <w:rPr/>
        <w:t>应收账款</w:t>
      </w:r>
      <w:r>
        <w:rPr>
          <w:b w:val="0"/>
          <w:bCs w:val="0"/>
        </w:rPr>
      </w:r>
    </w:p>
    <w:p>
      <w:pPr>
        <w:pStyle w:val="Heading2"/>
        <w:tabs>
          <w:tab w:pos="979" w:val="left" w:leader="none"/>
        </w:tabs>
        <w:spacing w:line="240" w:lineRule="auto" w:before="13"/>
        <w:ind w:left="281" w:right="0"/>
        <w:jc w:val="left"/>
        <w:rPr>
          <w:b w:val="0"/>
          <w:bCs w:val="0"/>
        </w:rPr>
      </w:pPr>
      <w:r>
        <w:rPr>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BodyText"/>
        <w:tabs>
          <w:tab w:pos="1189" w:val="left" w:leader="none"/>
        </w:tabs>
        <w:spacing w:line="240" w:lineRule="auto" w:before="0"/>
        <w:ind w:left="139" w:right="0"/>
        <w:jc w:val="left"/>
      </w:pPr>
      <w:r>
        <w:rPr/>
        <w:t>单位：元</w:t>
        <w:tab/>
        <w:t>币种：人民币</w:t>
      </w:r>
    </w:p>
    <w:p>
      <w:pPr>
        <w:spacing w:after="0" w:line="240" w:lineRule="auto"/>
        <w:jc w:val="left"/>
        <w:sectPr>
          <w:type w:val="continuous"/>
          <w:pgSz w:w="16840" w:h="11910" w:orient="landscape"/>
          <w:pgMar w:top="1120" w:bottom="1160" w:left="1300" w:right="1400"/>
          <w:cols w:num="2" w:equalWidth="0">
            <w:col w:w="3721" w:space="7842"/>
            <w:col w:w="257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99"/>
        <w:gridCol w:w="1752"/>
        <w:gridCol w:w="691"/>
        <w:gridCol w:w="1427"/>
        <w:gridCol w:w="744"/>
        <w:gridCol w:w="1427"/>
        <w:gridCol w:w="1616"/>
        <w:gridCol w:w="899"/>
        <w:gridCol w:w="1464"/>
        <w:gridCol w:w="756"/>
        <w:gridCol w:w="1532"/>
      </w:tblGrid>
      <w:tr>
        <w:trPr>
          <w:trHeight w:val="283" w:hRule="exact"/>
        </w:trPr>
        <w:tc>
          <w:tcPr>
            <w:tcW w:w="149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60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499" w:type="dxa"/>
            <w:vMerge/>
            <w:tcBorders>
              <w:left w:val="single" w:sz="4" w:space="0" w:color="000000"/>
              <w:right w:val="single" w:sz="4" w:space="0" w:color="000000"/>
            </w:tcBorders>
          </w:tcPr>
          <w:p>
            <w:pPr/>
          </w:p>
        </w:tc>
        <w:tc>
          <w:tcPr>
            <w:tcW w:w="2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7" w:right="497"/>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4"/>
              <w:ind w:left="550" w:right="550"/>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499" w:type="dxa"/>
            <w:vMerge/>
            <w:tcBorders>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2" w:right="0"/>
              <w:jc w:val="lef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427"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4"/>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0"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532" w:type="dxa"/>
            <w:vMerge/>
            <w:tcBorders>
              <w:left w:val="single" w:sz="4" w:space="0" w:color="000000"/>
              <w:bottom w:val="single" w:sz="4" w:space="0" w:color="000000"/>
              <w:right w:val="single" w:sz="4" w:space="0" w:color="000000"/>
            </w:tcBorders>
          </w:tcPr>
          <w:p>
            <w:pPr/>
          </w:p>
        </w:tc>
      </w:tr>
      <w:tr>
        <w:trPr>
          <w:trHeight w:val="1099"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25"/>
                <w:sz w:val="21"/>
                <w:szCs w:val="21"/>
              </w:rPr>
              <w:t>单项金额</w:t>
            </w:r>
            <w:r>
              <w:rPr>
                <w:rFonts w:ascii="宋体" w:hAnsi="宋体" w:cs="宋体" w:eastAsia="宋体" w:hint="default"/>
                <w:spacing w:val="-68"/>
                <w:sz w:val="21"/>
                <w:szCs w:val="21"/>
              </w:rPr>
              <w:t> </w:t>
            </w:r>
            <w:r>
              <w:rPr>
                <w:rFonts w:ascii="宋体" w:hAnsi="宋体" w:cs="宋体" w:eastAsia="宋体" w:hint="default"/>
                <w:sz w:val="21"/>
                <w:szCs w:val="21"/>
              </w:rPr>
              <w:t>重</w:t>
            </w:r>
            <w:r>
              <w:rPr>
                <w:rFonts w:ascii="宋体" w:hAnsi="宋体" w:cs="宋体" w:eastAsia="宋体" w:hint="default"/>
                <w:spacing w:val="-68"/>
                <w:sz w:val="21"/>
                <w:szCs w:val="21"/>
              </w:rPr>
              <w:t> </w:t>
            </w:r>
            <w:r>
              <w:rPr>
                <w:rFonts w:ascii="宋体" w:hAnsi="宋体" w:cs="宋体" w:eastAsia="宋体" w:hint="default"/>
                <w:sz w:val="21"/>
                <w:szCs w:val="21"/>
              </w:rPr>
              <w:t>大</w:t>
            </w:r>
          </w:p>
          <w:p>
            <w:pPr>
              <w:pStyle w:val="TableParagraph"/>
              <w:spacing w:line="272" w:lineRule="exact" w:before="26"/>
              <w:ind w:left="26" w:right="24"/>
              <w:jc w:val="both"/>
              <w:rPr>
                <w:rFonts w:ascii="宋体" w:hAnsi="宋体" w:cs="宋体" w:eastAsia="宋体" w:hint="default"/>
                <w:sz w:val="21"/>
                <w:szCs w:val="21"/>
              </w:rPr>
            </w:pPr>
            <w:r>
              <w:rPr>
                <w:rFonts w:ascii="宋体" w:hAnsi="宋体" w:cs="宋体" w:eastAsia="宋体" w:hint="default"/>
                <w:spacing w:val="25"/>
                <w:sz w:val="21"/>
                <w:szCs w:val="21"/>
              </w:rPr>
              <w:t>并单独计</w:t>
            </w:r>
            <w:r>
              <w:rPr>
                <w:rFonts w:ascii="宋体" w:hAnsi="宋体" w:cs="宋体" w:eastAsia="宋体" w:hint="default"/>
                <w:spacing w:val="-69"/>
                <w:sz w:val="21"/>
                <w:szCs w:val="21"/>
              </w:rPr>
              <w:t> </w:t>
            </w:r>
            <w:r>
              <w:rPr>
                <w:rFonts w:ascii="宋体" w:hAnsi="宋体" w:cs="宋体" w:eastAsia="宋体" w:hint="default"/>
                <w:sz w:val="21"/>
                <w:szCs w:val="21"/>
              </w:rPr>
              <w:t>提</w:t>
            </w:r>
            <w:r>
              <w:rPr>
                <w:rFonts w:ascii="宋体" w:hAnsi="宋体" w:cs="宋体" w:eastAsia="宋体" w:hint="default"/>
                <w:spacing w:val="-69"/>
                <w:sz w:val="21"/>
                <w:szCs w:val="21"/>
              </w:rPr>
              <w:t> </w:t>
            </w:r>
            <w:r>
              <w:rPr>
                <w:rFonts w:ascii="宋体" w:hAnsi="宋体" w:cs="宋体" w:eastAsia="宋体" w:hint="default"/>
                <w:sz w:val="21"/>
                <w:szCs w:val="21"/>
              </w:rPr>
              <w:t>坏</w:t>
            </w:r>
            <w:r>
              <w:rPr>
                <w:rFonts w:ascii="宋体" w:hAnsi="宋体" w:cs="宋体" w:eastAsia="宋体" w:hint="default"/>
                <w:sz w:val="21"/>
                <w:szCs w:val="21"/>
              </w:rPr>
              <w:t> </w:t>
            </w:r>
            <w:r>
              <w:rPr>
                <w:rFonts w:ascii="宋体" w:hAnsi="宋体" w:cs="宋体" w:eastAsia="宋体" w:hint="default"/>
                <w:spacing w:val="25"/>
                <w:sz w:val="21"/>
                <w:szCs w:val="21"/>
              </w:rPr>
              <w:t>账准备的</w:t>
            </w:r>
            <w:r>
              <w:rPr>
                <w:rFonts w:ascii="宋体" w:hAnsi="宋体" w:cs="宋体" w:eastAsia="宋体" w:hint="default"/>
                <w:spacing w:val="-69"/>
                <w:sz w:val="21"/>
                <w:szCs w:val="21"/>
              </w:rPr>
              <w:t> </w:t>
            </w:r>
            <w:r>
              <w:rPr>
                <w:rFonts w:ascii="宋体" w:hAnsi="宋体" w:cs="宋体" w:eastAsia="宋体" w:hint="default"/>
                <w:sz w:val="21"/>
                <w:szCs w:val="21"/>
              </w:rPr>
              <w:t>应</w:t>
            </w:r>
            <w:r>
              <w:rPr>
                <w:rFonts w:ascii="宋体" w:hAnsi="宋体" w:cs="宋体" w:eastAsia="宋体" w:hint="default"/>
                <w:spacing w:val="-69"/>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75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25"/>
                <w:sz w:val="21"/>
                <w:szCs w:val="21"/>
              </w:rPr>
              <w:t>按信用风</w:t>
            </w:r>
            <w:r>
              <w:rPr>
                <w:rFonts w:ascii="宋体" w:hAnsi="宋体" w:cs="宋体" w:eastAsia="宋体" w:hint="default"/>
                <w:spacing w:val="-68"/>
                <w:sz w:val="21"/>
                <w:szCs w:val="21"/>
              </w:rPr>
              <w:t> </w:t>
            </w:r>
            <w:r>
              <w:rPr>
                <w:rFonts w:ascii="宋体" w:hAnsi="宋体" w:cs="宋体" w:eastAsia="宋体" w:hint="default"/>
                <w:sz w:val="21"/>
                <w:szCs w:val="21"/>
              </w:rPr>
              <w:t>险</w:t>
            </w:r>
            <w:r>
              <w:rPr>
                <w:rFonts w:ascii="宋体" w:hAnsi="宋体" w:cs="宋体" w:eastAsia="宋体" w:hint="default"/>
                <w:spacing w:val="-68"/>
                <w:sz w:val="21"/>
                <w:szCs w:val="21"/>
              </w:rPr>
              <w:t> </w:t>
            </w:r>
            <w:r>
              <w:rPr>
                <w:rFonts w:ascii="宋体" w:hAnsi="宋体" w:cs="宋体" w:eastAsia="宋体" w:hint="default"/>
                <w:sz w:val="21"/>
                <w:szCs w:val="21"/>
              </w:rPr>
              <w:t>特</w:t>
            </w:r>
          </w:p>
          <w:p>
            <w:pPr>
              <w:pStyle w:val="TableParagraph"/>
              <w:spacing w:line="237" w:lineRule="auto" w:before="1"/>
              <w:ind w:left="26" w:right="24"/>
              <w:jc w:val="both"/>
              <w:rPr>
                <w:rFonts w:ascii="宋体" w:hAnsi="宋体" w:cs="宋体" w:eastAsia="宋体" w:hint="default"/>
                <w:sz w:val="21"/>
                <w:szCs w:val="21"/>
              </w:rPr>
            </w:pPr>
            <w:r>
              <w:rPr>
                <w:rFonts w:ascii="宋体" w:hAnsi="宋体" w:cs="宋体" w:eastAsia="宋体" w:hint="default"/>
                <w:spacing w:val="25"/>
                <w:sz w:val="21"/>
                <w:szCs w:val="21"/>
              </w:rPr>
              <w:t>征组合计</w:t>
            </w:r>
            <w:r>
              <w:rPr>
                <w:rFonts w:ascii="宋体" w:hAnsi="宋体" w:cs="宋体" w:eastAsia="宋体" w:hint="default"/>
                <w:spacing w:val="-69"/>
                <w:sz w:val="21"/>
                <w:szCs w:val="21"/>
              </w:rPr>
              <w:t> </w:t>
            </w:r>
            <w:r>
              <w:rPr>
                <w:rFonts w:ascii="宋体" w:hAnsi="宋体" w:cs="宋体" w:eastAsia="宋体" w:hint="default"/>
                <w:sz w:val="21"/>
                <w:szCs w:val="21"/>
              </w:rPr>
              <w:t>提</w:t>
            </w:r>
            <w:r>
              <w:rPr>
                <w:rFonts w:ascii="宋体" w:hAnsi="宋体" w:cs="宋体" w:eastAsia="宋体" w:hint="default"/>
                <w:spacing w:val="-69"/>
                <w:sz w:val="21"/>
                <w:szCs w:val="21"/>
              </w:rPr>
              <w:t> </w:t>
            </w:r>
            <w:r>
              <w:rPr>
                <w:rFonts w:ascii="宋体" w:hAnsi="宋体" w:cs="宋体" w:eastAsia="宋体" w:hint="default"/>
                <w:sz w:val="21"/>
                <w:szCs w:val="21"/>
              </w:rPr>
              <w:t>坏</w:t>
            </w:r>
            <w:r>
              <w:rPr>
                <w:rFonts w:ascii="宋体" w:hAnsi="宋体" w:cs="宋体" w:eastAsia="宋体" w:hint="default"/>
                <w:sz w:val="21"/>
                <w:szCs w:val="21"/>
              </w:rPr>
              <w:t> </w:t>
            </w:r>
            <w:r>
              <w:rPr>
                <w:rFonts w:ascii="宋体" w:hAnsi="宋体" w:cs="宋体" w:eastAsia="宋体" w:hint="default"/>
                <w:spacing w:val="25"/>
                <w:sz w:val="21"/>
                <w:szCs w:val="21"/>
              </w:rPr>
              <w:t>账准备的</w:t>
            </w:r>
            <w:r>
              <w:rPr>
                <w:rFonts w:ascii="宋体" w:hAnsi="宋体" w:cs="宋体" w:eastAsia="宋体" w:hint="default"/>
                <w:spacing w:val="-69"/>
                <w:sz w:val="21"/>
                <w:szCs w:val="21"/>
              </w:rPr>
              <w:t> </w:t>
            </w:r>
            <w:r>
              <w:rPr>
                <w:rFonts w:ascii="宋体" w:hAnsi="宋体" w:cs="宋体" w:eastAsia="宋体" w:hint="default"/>
                <w:sz w:val="21"/>
                <w:szCs w:val="21"/>
              </w:rPr>
              <w:t>应</w:t>
            </w:r>
            <w:r>
              <w:rPr>
                <w:rFonts w:ascii="宋体" w:hAnsi="宋体" w:cs="宋体" w:eastAsia="宋体" w:hint="default"/>
                <w:spacing w:val="-69"/>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pacing w:val="-1"/>
                <w:sz w:val="21"/>
              </w:rPr>
              <w:t>108,779,219.61</w:t>
            </w:r>
            <w:r>
              <w:rPr>
                <w:rFonts w:ascii="宋体"/>
                <w:sz w:val="21"/>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4" w:right="0"/>
              <w:jc w:val="center"/>
              <w:rPr>
                <w:rFonts w:ascii="宋体" w:hAnsi="宋体" w:cs="宋体" w:eastAsia="宋体" w:hint="default"/>
                <w:sz w:val="21"/>
                <w:szCs w:val="21"/>
              </w:rPr>
            </w:pPr>
            <w:r>
              <w:rPr>
                <w:rFonts w:ascii="宋体"/>
                <w:sz w:val="21"/>
              </w:rPr>
              <w:t>99.57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10,066,765.46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9.25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98,712,454.15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122,464,184.98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7,986,242.85</w:t>
            </w:r>
            <w:r>
              <w:rPr>
                <w:rFonts w:ascii="宋体"/>
                <w:sz w:val="21"/>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6.52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114,477,942.13</w:t>
            </w:r>
            <w:r>
              <w:rPr>
                <w:rFonts w:ascii="宋体"/>
                <w:sz w:val="21"/>
              </w:rPr>
            </w:r>
          </w:p>
        </w:tc>
      </w:tr>
      <w:tr>
        <w:trPr>
          <w:trHeight w:val="408"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pacing w:val="-6"/>
                <w:sz w:val="21"/>
                <w:szCs w:val="21"/>
              </w:rPr>
              <w:t>其中：账龄组合</w:t>
            </w:r>
            <w:r>
              <w:rPr>
                <w:rFonts w:ascii="宋体" w:hAnsi="宋体" w:cs="宋体" w:eastAsia="宋体" w:hint="default"/>
                <w:sz w:val="21"/>
                <w:szCs w:val="21"/>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108,558,123.05</w:t>
            </w:r>
            <w:r>
              <w:rPr>
                <w:rFonts w:ascii="宋体"/>
                <w:sz w:val="21"/>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sz w:val="21"/>
              </w:rPr>
              <w:t>99.37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10,066,765.46</w:t>
            </w:r>
            <w:r>
              <w:rPr>
                <w:rFonts w:ascii="宋体"/>
                <w:sz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9.27</w:t>
            </w:r>
            <w:r>
              <w:rPr>
                <w:rFonts w:ascii="宋体"/>
                <w:sz w:val="21"/>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98,491,357.59</w:t>
            </w:r>
            <w:r>
              <w:rPr>
                <w:rFonts w:ascii="宋体"/>
                <w:sz w:val="21"/>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120,535,058.75</w:t>
            </w:r>
            <w:r>
              <w:rPr>
                <w:rFonts w:ascii="宋体"/>
                <w:sz w:val="21"/>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98.42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7,986,242.85</w:t>
            </w:r>
            <w:r>
              <w:rPr>
                <w:rFonts w:ascii="宋体"/>
                <w:sz w:val="21"/>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6.63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112,548,815.90</w:t>
            </w:r>
            <w:r>
              <w:rPr>
                <w:rFonts w:ascii="宋体"/>
                <w:sz w:val="21"/>
              </w:rPr>
            </w:r>
          </w:p>
        </w:tc>
      </w:tr>
      <w:tr>
        <w:trPr>
          <w:trHeight w:val="407"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21"/>
                <w:szCs w:val="21"/>
              </w:rPr>
            </w:pPr>
            <w:r>
              <w:rPr>
                <w:rFonts w:ascii="宋体" w:hAnsi="宋体" w:cs="宋体" w:eastAsia="宋体" w:hint="default"/>
                <w:sz w:val="21"/>
                <w:szCs w:val="21"/>
              </w:rPr>
              <w:t>关联组合</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
              <w:jc w:val="right"/>
              <w:rPr>
                <w:rFonts w:ascii="宋体" w:hAnsi="宋体" w:cs="宋体" w:eastAsia="宋体" w:hint="default"/>
                <w:sz w:val="21"/>
                <w:szCs w:val="21"/>
              </w:rPr>
            </w:pPr>
            <w:r>
              <w:rPr>
                <w:rFonts w:ascii="宋体"/>
                <w:sz w:val="21"/>
              </w:rPr>
              <w:t>221,096.56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9" w:right="0"/>
              <w:jc w:val="center"/>
              <w:rPr>
                <w:rFonts w:ascii="宋体" w:hAnsi="宋体" w:cs="宋体" w:eastAsia="宋体" w:hint="default"/>
                <w:sz w:val="21"/>
                <w:szCs w:val="21"/>
              </w:rPr>
            </w:pPr>
            <w:r>
              <w:rPr>
                <w:rFonts w:ascii="宋体"/>
                <w:sz w:val="21"/>
              </w:rPr>
              <w:t>0.20</w:t>
            </w:r>
          </w:p>
        </w:tc>
        <w:tc>
          <w:tcPr>
            <w:tcW w:w="1427"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221,096.56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1,929,126.23</w:t>
            </w:r>
            <w:r>
              <w:rPr>
                <w:rFonts w:ascii="宋体"/>
                <w:sz w:val="21"/>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w w:val="95"/>
                <w:sz w:val="21"/>
              </w:rPr>
              <w:t>1.58</w:t>
            </w:r>
            <w:r>
              <w:rPr>
                <w:rFonts w:ascii="宋体"/>
                <w:w w:val="95"/>
                <w:sz w:val="21"/>
              </w:rPr>
            </w:r>
          </w:p>
        </w:tc>
        <w:tc>
          <w:tcPr>
            <w:tcW w:w="14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宋体" w:hAnsi="宋体" w:cs="宋体" w:eastAsia="宋体" w:hint="default"/>
                <w:sz w:val="21"/>
                <w:szCs w:val="21"/>
              </w:rPr>
            </w:pPr>
            <w:r>
              <w:rPr>
                <w:rFonts w:ascii="宋体"/>
                <w:spacing w:val="-1"/>
                <w:sz w:val="21"/>
              </w:rPr>
              <w:t>1,929,126.23</w:t>
            </w:r>
            <w:r>
              <w:rPr>
                <w:rFonts w:ascii="宋体"/>
                <w:sz w:val="21"/>
              </w:rPr>
            </w:r>
          </w:p>
        </w:tc>
      </w:tr>
      <w:tr>
        <w:trPr>
          <w:trHeight w:val="1099"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25"/>
                <w:sz w:val="21"/>
                <w:szCs w:val="21"/>
              </w:rPr>
              <w:t>单项金额</w:t>
            </w:r>
            <w:r>
              <w:rPr>
                <w:rFonts w:ascii="宋体" w:hAnsi="宋体" w:cs="宋体" w:eastAsia="宋体" w:hint="default"/>
                <w:spacing w:val="-68"/>
                <w:sz w:val="21"/>
                <w:szCs w:val="21"/>
              </w:rPr>
              <w:t> </w:t>
            </w:r>
            <w:r>
              <w:rPr>
                <w:rFonts w:ascii="宋体" w:hAnsi="宋体" w:cs="宋体" w:eastAsia="宋体" w:hint="default"/>
                <w:sz w:val="21"/>
                <w:szCs w:val="21"/>
              </w:rPr>
              <w:t>不</w:t>
            </w:r>
            <w:r>
              <w:rPr>
                <w:rFonts w:ascii="宋体" w:hAnsi="宋体" w:cs="宋体" w:eastAsia="宋体" w:hint="default"/>
                <w:spacing w:val="-68"/>
                <w:sz w:val="21"/>
                <w:szCs w:val="21"/>
              </w:rPr>
              <w:t> </w:t>
            </w:r>
            <w:r>
              <w:rPr>
                <w:rFonts w:ascii="宋体" w:hAnsi="宋体" w:cs="宋体" w:eastAsia="宋体" w:hint="default"/>
                <w:sz w:val="21"/>
                <w:szCs w:val="21"/>
              </w:rPr>
              <w:t>重</w:t>
            </w:r>
          </w:p>
          <w:p>
            <w:pPr>
              <w:pStyle w:val="TableParagraph"/>
              <w:spacing w:line="272" w:lineRule="exact" w:before="26"/>
              <w:ind w:left="26" w:right="24"/>
              <w:jc w:val="both"/>
              <w:rPr>
                <w:rFonts w:ascii="宋体" w:hAnsi="宋体" w:cs="宋体" w:eastAsia="宋体" w:hint="default"/>
                <w:sz w:val="21"/>
                <w:szCs w:val="21"/>
              </w:rPr>
            </w:pPr>
            <w:r>
              <w:rPr>
                <w:rFonts w:ascii="宋体" w:hAnsi="宋体" w:cs="宋体" w:eastAsia="宋体" w:hint="default"/>
                <w:spacing w:val="25"/>
                <w:sz w:val="21"/>
                <w:szCs w:val="21"/>
              </w:rPr>
              <w:t>大但单独</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提</w:t>
            </w:r>
            <w:r>
              <w:rPr>
                <w:rFonts w:ascii="宋体" w:hAnsi="宋体" w:cs="宋体" w:eastAsia="宋体" w:hint="default"/>
                <w:sz w:val="21"/>
                <w:szCs w:val="21"/>
              </w:rPr>
              <w:t> </w:t>
            </w:r>
            <w:r>
              <w:rPr>
                <w:rFonts w:ascii="宋体" w:hAnsi="宋体" w:cs="宋体" w:eastAsia="宋体" w:hint="default"/>
                <w:spacing w:val="25"/>
                <w:sz w:val="21"/>
                <w:szCs w:val="21"/>
              </w:rPr>
              <w:t>坏账准备</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应</w:t>
            </w:r>
            <w:r>
              <w:rPr>
                <w:rFonts w:ascii="宋体" w:hAnsi="宋体" w:cs="宋体" w:eastAsia="宋体" w:hint="default"/>
                <w:sz w:val="21"/>
                <w:szCs w:val="21"/>
              </w:rPr>
              <w:t> 收账款</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pacing w:val="-1"/>
                <w:sz w:val="21"/>
              </w:rPr>
              <w:t>474,800.00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09" w:right="0"/>
              <w:jc w:val="center"/>
              <w:rPr>
                <w:rFonts w:ascii="宋体" w:hAnsi="宋体" w:cs="宋体" w:eastAsia="宋体" w:hint="default"/>
                <w:sz w:val="21"/>
                <w:szCs w:val="21"/>
              </w:rPr>
            </w:pPr>
            <w:r>
              <w:rPr>
                <w:rFonts w:ascii="宋体"/>
                <w:sz w:val="21"/>
              </w:rPr>
              <w:t>0.43</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474,800.00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100.00</w:t>
            </w:r>
          </w:p>
        </w:tc>
        <w:tc>
          <w:tcPr>
            <w:tcW w:w="1427"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宋体" w:hAnsi="宋体" w:cs="宋体" w:eastAsia="宋体" w:hint="default"/>
                <w:sz w:val="21"/>
                <w:szCs w:val="21"/>
              </w:rPr>
            </w:pPr>
            <w:r>
              <w:rPr>
                <w:rFonts w:ascii="宋体"/>
                <w:spacing w:val="-1"/>
                <w:sz w:val="21"/>
              </w:rPr>
              <w:t>109,254,019.61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100.00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10,541,565.46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9.65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21"/>
                <w:szCs w:val="21"/>
              </w:rPr>
            </w:pPr>
            <w:r>
              <w:rPr>
                <w:rFonts w:ascii="宋体"/>
                <w:spacing w:val="-12"/>
                <w:sz w:val="21"/>
              </w:rPr>
              <w:t>98,712,454.15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122,464,184.98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7,986,242.85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6.52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宋体" w:hAnsi="宋体" w:cs="宋体" w:eastAsia="宋体" w:hint="default"/>
                <w:sz w:val="21"/>
                <w:szCs w:val="21"/>
              </w:rPr>
            </w:pPr>
            <w:r>
              <w:rPr>
                <w:rFonts w:ascii="宋体"/>
                <w:spacing w:val="-13"/>
                <w:sz w:val="21"/>
              </w:rPr>
              <w:t>114,477,942.13</w:t>
            </w:r>
            <w:r>
              <w:rPr>
                <w:rFonts w:ascii="宋体"/>
                <w:sz w:val="21"/>
              </w:rPr>
            </w:r>
          </w:p>
        </w:tc>
      </w:tr>
    </w:tbl>
    <w:p>
      <w:pPr>
        <w:spacing w:line="240" w:lineRule="auto" w:before="0"/>
        <w:rPr>
          <w:rFonts w:ascii="宋体" w:hAnsi="宋体" w:cs="宋体" w:eastAsia="宋体" w:hint="default"/>
          <w:sz w:val="20"/>
          <w:szCs w:val="20"/>
        </w:rPr>
      </w:pPr>
    </w:p>
    <w:p>
      <w:pPr>
        <w:pStyle w:val="BodyText"/>
        <w:spacing w:line="240" w:lineRule="auto" w:before="35"/>
        <w:ind w:left="139" w:right="0"/>
        <w:jc w:val="left"/>
      </w:pPr>
      <w:r>
        <w:rPr/>
        <w:t>期末单项金额重大并单项计提坏账准备的应收账款：</w:t>
      </w:r>
    </w:p>
    <w:p>
      <w:pPr>
        <w:pStyle w:val="BodyText"/>
        <w:spacing w:line="240" w:lineRule="auto" w:before="57"/>
        <w:ind w:left="139" w:right="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63"/>
        <w:ind w:left="6706" w:right="6695" w:firstLine="0"/>
        <w:jc w:val="center"/>
        <w:rPr>
          <w:rFonts w:ascii="Calibri" w:hAnsi="Calibri" w:cs="Calibri" w:eastAsia="Calibri" w:hint="default"/>
          <w:sz w:val="18"/>
          <w:szCs w:val="18"/>
        </w:rPr>
      </w:pPr>
      <w:r>
        <w:rPr>
          <w:rFonts w:ascii="Calibri"/>
          <w:b/>
          <w:sz w:val="18"/>
        </w:rPr>
        <w:t>135 </w:t>
      </w:r>
      <w:r>
        <w:rPr>
          <w:rFonts w:ascii="Calibri"/>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40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headerReference w:type="default" r:id="rId71"/>
          <w:footerReference w:type="default" r:id="rId72"/>
          <w:pgSz w:w="11910" w:h="16840"/>
          <w:pgMar w:header="882" w:footer="0" w:top="1120" w:bottom="280" w:left="1380" w:right="1040"/>
        </w:sectPr>
      </w:pPr>
    </w:p>
    <w:p>
      <w:pPr>
        <w:pStyle w:val="BodyText"/>
        <w:spacing w:line="240" w:lineRule="auto" w:before="35"/>
        <w:ind w:left="321" w:right="-20"/>
        <w:jc w:val="left"/>
      </w:pPr>
      <w:r>
        <w:rPr/>
        <w:t>组合中，按账龄分析法计提坏账准备的应收账款：</w:t>
      </w:r>
    </w:p>
    <w:p>
      <w:pPr>
        <w:pStyle w:val="BodyText"/>
        <w:spacing w:line="240" w:lineRule="auto" w:before="57"/>
        <w:ind w:left="321"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371" w:val="left" w:leader="none"/>
        </w:tabs>
        <w:spacing w:line="240" w:lineRule="auto" w:before="0"/>
        <w:ind w:left="321" w:right="0"/>
        <w:jc w:val="left"/>
      </w:pPr>
      <w:r>
        <w:rPr/>
        <w:t>单位：元</w:t>
        <w:tab/>
        <w:t>币种：人民币</w:t>
      </w:r>
    </w:p>
    <w:p>
      <w:pPr>
        <w:spacing w:after="0" w:line="240" w:lineRule="auto"/>
        <w:jc w:val="left"/>
        <w:sectPr>
          <w:type w:val="continuous"/>
          <w:pgSz w:w="11910" w:h="16840"/>
          <w:pgMar w:top="1120" w:bottom="1160" w:left="1380" w:right="1040"/>
          <w:cols w:num="2" w:equalWidth="0">
            <w:col w:w="4942" w:space="1677"/>
            <w:col w:w="2871"/>
          </w:cols>
        </w:sectPr>
      </w:pP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704"/>
        <w:gridCol w:w="2188"/>
        <w:gridCol w:w="2136"/>
        <w:gridCol w:w="2118"/>
      </w:tblGrid>
      <w:tr>
        <w:trPr>
          <w:trHeight w:val="307" w:hRule="exact"/>
        </w:trPr>
        <w:tc>
          <w:tcPr>
            <w:tcW w:w="2704" w:type="dxa"/>
            <w:vMerge w:val="restart"/>
            <w:tcBorders>
              <w:top w:val="single" w:sz="4" w:space="0" w:color="000000"/>
              <w:left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4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704" w:type="dxa"/>
            <w:vMerge/>
            <w:tcBorders>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78,585,199.99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2,357,556.00</w:t>
            </w:r>
            <w:r>
              <w:rPr>
                <w:rFonts w:ascii="宋体"/>
                <w:sz w:val="21"/>
              </w:rPr>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w:t>
            </w:r>
          </w:p>
        </w:tc>
      </w:tr>
      <w:tr>
        <w:trPr>
          <w:trHeight w:val="282"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78,585,199.99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2,357,556.00</w:t>
            </w:r>
            <w:r>
              <w:rPr>
                <w:rFonts w:ascii="宋体"/>
                <w:sz w:val="21"/>
              </w:rPr>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w:t>
            </w:r>
          </w:p>
        </w:tc>
      </w:tr>
      <w:tr>
        <w:trPr>
          <w:trHeight w:val="282"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12,884,183.45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1,288,418.35</w:t>
            </w:r>
            <w:r>
              <w:rPr>
                <w:rFonts w:ascii="宋体"/>
                <w:sz w:val="21"/>
              </w:rPr>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8,343,396.42</w:t>
            </w:r>
            <w:r>
              <w:rPr>
                <w:rFonts w:ascii="宋体"/>
                <w:sz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1,668,679.28</w:t>
            </w:r>
            <w:r>
              <w:rPr>
                <w:rFonts w:ascii="宋体"/>
                <w:sz w:val="21"/>
              </w:rPr>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7,756,107.80</w:t>
            </w:r>
            <w:r>
              <w:rPr>
                <w:rFonts w:ascii="宋体"/>
                <w:sz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3,878,053.90</w:t>
            </w:r>
            <w:r>
              <w:rPr>
                <w:rFonts w:ascii="宋体"/>
                <w:sz w:val="21"/>
              </w:rPr>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2"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575,887.29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460,709.83</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r>
      <w:tr>
        <w:trPr>
          <w:trHeight w:val="282"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413,348.10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413,348.10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w:t>
            </w:r>
          </w:p>
        </w:tc>
      </w:tr>
      <w:tr>
        <w:trPr>
          <w:trHeight w:val="283"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108,558,123.05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10,066,765.46</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321" w:right="0"/>
        <w:jc w:val="left"/>
      </w:pPr>
      <w:r>
        <w:rPr/>
        <w:t>组合中，采用余额百分比法计提坏账准备的应收账款：</w:t>
      </w:r>
    </w:p>
    <w:p>
      <w:pPr>
        <w:pStyle w:val="BodyText"/>
        <w:spacing w:line="240" w:lineRule="auto" w:before="57"/>
        <w:ind w:left="321"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tabs>
          <w:tab w:pos="1161" w:val="left" w:leader="none"/>
        </w:tabs>
        <w:spacing w:line="240" w:lineRule="auto" w:before="0"/>
        <w:ind w:left="463" w:right="0"/>
        <w:jc w:val="left"/>
        <w:rPr>
          <w:b w:val="0"/>
          <w:bCs w:val="0"/>
        </w:rPr>
      </w:pPr>
      <w:r>
        <w:rPr>
          <w:w w:val="95"/>
        </w:rPr>
        <w:t>(2).</w:t>
        <w:tab/>
      </w:r>
      <w:r>
        <w:rPr/>
        <w:t>本期计提、收回或转回的坏账准备情况：</w:t>
      </w:r>
      <w:r>
        <w:rPr>
          <w:b w:val="0"/>
          <w:bCs w:val="0"/>
        </w:rPr>
      </w:r>
    </w:p>
    <w:p>
      <w:pPr>
        <w:pStyle w:val="BodyText"/>
        <w:spacing w:line="240" w:lineRule="auto" w:before="135"/>
        <w:ind w:left="741" w:right="0"/>
        <w:jc w:val="left"/>
      </w:pPr>
      <w:r>
        <w:rPr/>
        <w:t>本期计提坏账准备金额</w:t>
      </w:r>
      <w:r>
        <w:rPr>
          <w:spacing w:val="-62"/>
        </w:rPr>
        <w:t> </w:t>
      </w:r>
      <w:r>
        <w:rPr/>
        <w:t>2,555,322.61</w:t>
      </w:r>
      <w:r>
        <w:rPr>
          <w:spacing w:val="-62"/>
        </w:rPr>
        <w:t> </w:t>
      </w:r>
      <w:r>
        <w:rPr/>
        <w:t>元；本期收回或转回坏账准备金额</w:t>
      </w:r>
      <w:r>
        <w:rPr>
          <w:spacing w:val="-62"/>
        </w:rPr>
        <w:t> </w:t>
      </w:r>
      <w:r>
        <w:rPr/>
        <w:t>0</w:t>
      </w:r>
      <w:r>
        <w:rPr>
          <w:spacing w:val="-61"/>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2"/>
        <w:tabs>
          <w:tab w:pos="1161" w:val="left" w:leader="none"/>
        </w:tabs>
        <w:spacing w:line="240" w:lineRule="auto" w:before="0"/>
        <w:ind w:left="463" w:right="0"/>
        <w:jc w:val="left"/>
        <w:rPr>
          <w:b w:val="0"/>
          <w:bCs w:val="0"/>
        </w:rPr>
      </w:pPr>
      <w:r>
        <w:rPr>
          <w:w w:val="95"/>
        </w:rPr>
        <w:t>(3).</w:t>
        <w:tab/>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03" w:type="dxa"/>
        <w:tblLayout w:type="fixed"/>
        <w:tblCellMar>
          <w:top w:w="0" w:type="dxa"/>
          <w:left w:w="0" w:type="dxa"/>
          <w:bottom w:w="0" w:type="dxa"/>
          <w:right w:w="0" w:type="dxa"/>
        </w:tblCellMar>
        <w:tblLook w:val="01E0"/>
      </w:tblPr>
      <w:tblGrid>
        <w:gridCol w:w="2623"/>
        <w:gridCol w:w="1638"/>
        <w:gridCol w:w="2693"/>
        <w:gridCol w:w="2048"/>
      </w:tblGrid>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3"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宋体" w:hAnsi="宋体" w:cs="宋体" w:eastAsia="宋体" w:hint="default"/>
                <w:sz w:val="21"/>
                <w:szCs w:val="21"/>
              </w:rPr>
            </w:pPr>
            <w:r>
              <w:rPr>
                <w:rFonts w:ascii="宋体" w:hAnsi="宋体" w:cs="宋体" w:eastAsia="宋体" w:hint="default"/>
                <w:spacing w:val="-4"/>
                <w:sz w:val="21"/>
                <w:szCs w:val="21"/>
              </w:rPr>
              <w:t>占应收账款总额的比例（%）</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7"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8"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客户一</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spacing w:val="-1"/>
                <w:sz w:val="21"/>
              </w:rPr>
              <w:t>7,760,215.11</w:t>
            </w:r>
            <w:r>
              <w:rPr>
                <w:rFonts w:ascii="宋体"/>
                <w:sz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7.10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232,806.45</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客户二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6,792,050.00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6.22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2,758,563.79</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客户三</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4,900,000.00</w:t>
            </w:r>
            <w:r>
              <w:rPr>
                <w:rFonts w:ascii="宋体"/>
                <w:sz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4.48</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147,000.00</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客户四</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4,887,054.00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4.47</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1,203,373.31</w:t>
            </w:r>
          </w:p>
        </w:tc>
      </w:tr>
      <w:tr>
        <w:trPr>
          <w:trHeight w:val="407"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客户五</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4,589,466.46</w:t>
            </w:r>
            <w:r>
              <w:rPr>
                <w:rFonts w:ascii="宋体"/>
                <w:sz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4.20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137,683.99</w:t>
            </w:r>
          </w:p>
        </w:tc>
      </w:tr>
      <w:tr>
        <w:trPr>
          <w:trHeight w:val="408"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28,928,785.57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26.48</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4,479,427.55</w:t>
            </w:r>
          </w:p>
        </w:tc>
      </w:tr>
    </w:tbl>
    <w:p>
      <w:pPr>
        <w:spacing w:line="240" w:lineRule="auto" w:before="0"/>
        <w:rPr>
          <w:rFonts w:ascii="宋体" w:hAnsi="宋体" w:cs="宋体" w:eastAsia="宋体" w:hint="default"/>
          <w:b/>
          <w:bCs/>
          <w:sz w:val="20"/>
          <w:szCs w:val="20"/>
        </w:rPr>
      </w:pPr>
    </w:p>
    <w:p>
      <w:pPr>
        <w:tabs>
          <w:tab w:pos="1161" w:val="left" w:leader="none"/>
        </w:tabs>
        <w:spacing w:line="367" w:lineRule="auto" w:before="35"/>
        <w:ind w:left="637" w:right="3595" w:hanging="174"/>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因金融资产转移而终止确认的应收账款：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本公司期末无因金融资产转移而终止确认应收账款情况。</w:t>
      </w:r>
    </w:p>
    <w:p>
      <w:pPr>
        <w:spacing w:line="240" w:lineRule="auto" w:before="3"/>
        <w:rPr>
          <w:rFonts w:ascii="宋体" w:hAnsi="宋体" w:cs="宋体" w:eastAsia="宋体" w:hint="default"/>
          <w:sz w:val="14"/>
          <w:szCs w:val="14"/>
        </w:rPr>
      </w:pPr>
    </w:p>
    <w:p>
      <w:pPr>
        <w:tabs>
          <w:tab w:pos="1161" w:val="left" w:leader="none"/>
        </w:tabs>
        <w:spacing w:line="367" w:lineRule="auto" w:before="0"/>
        <w:ind w:left="637" w:right="3385" w:hanging="174"/>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t>本公司期末无转移应收账款且继续涉入形成的资产、负债。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4416" w:right="4330" w:firstLine="0"/>
        <w:jc w:val="center"/>
        <w:rPr>
          <w:rFonts w:ascii="Calibri" w:hAnsi="Calibri" w:cs="Calibri" w:eastAsia="Calibri" w:hint="default"/>
          <w:sz w:val="18"/>
          <w:szCs w:val="18"/>
        </w:rPr>
      </w:pPr>
      <w:r>
        <w:rPr>
          <w:rFonts w:ascii="Calibri"/>
          <w:b/>
          <w:sz w:val="18"/>
        </w:rPr>
        <w:t>136 </w:t>
      </w:r>
      <w:r>
        <w:rPr>
          <w:rFonts w:ascii="Calibri"/>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160" w:left="1380" w:right="1040"/>
        </w:sectPr>
      </w:pPr>
    </w:p>
    <w:p>
      <w:pPr>
        <w:spacing w:before="22"/>
        <w:ind w:left="0" w:right="306"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3pt;height:.75pt;mso-position-horizontal-relative:char;mso-position-vertical-relative:line" coordorigin="0,0" coordsize="13926,15">
            <v:group style="position:absolute;left:7;top:7;width:13912;height:2" coordorigin="7,7" coordsize="13912,2">
              <v:shape style="position:absolute;left:7;top:7;width:13912;height:2" coordorigin="7,7" coordsize="13912,0" path="m7,7l1391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3"/>
          <w:footerReference w:type="default" r:id="rId74"/>
          <w:pgSz w:w="16840" w:h="11910" w:orient="landscape"/>
          <w:pgMar w:header="0" w:footer="0" w:top="800" w:bottom="280" w:left="1300" w:right="1240"/>
        </w:sectPr>
      </w:pPr>
    </w:p>
    <w:p>
      <w:pPr>
        <w:pStyle w:val="Heading2"/>
        <w:spacing w:line="240" w:lineRule="auto"/>
        <w:ind w:left="139" w:right="-19"/>
        <w:jc w:val="left"/>
        <w:rPr>
          <w:b w:val="0"/>
          <w:bCs w:val="0"/>
        </w:rPr>
      </w:pPr>
      <w:r>
        <w:rPr/>
        <w:t>2、 其他应收款</w:t>
      </w:r>
      <w:r>
        <w:rPr>
          <w:b w:val="0"/>
          <w:bCs w:val="0"/>
        </w:rPr>
      </w:r>
    </w:p>
    <w:p>
      <w:pPr>
        <w:pStyle w:val="Heading2"/>
        <w:spacing w:line="240" w:lineRule="auto" w:before="56"/>
        <w:ind w:left="139" w:right="-19"/>
        <w:jc w:val="left"/>
        <w:rPr>
          <w:b w:val="0"/>
          <w:bCs w:val="0"/>
        </w:rPr>
      </w:pPr>
      <w:r>
        <w:rPr/>
        <w:t>(1).</w:t>
      </w:r>
      <w:r>
        <w:rPr>
          <w:spacing w:val="-2"/>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5"/>
        <w:ind w:left="139" w:right="0"/>
        <w:jc w:val="left"/>
      </w:pPr>
      <w:r>
        <w:rPr/>
        <w:t>单位：元</w:t>
        <w:tab/>
        <w:t>币种：人民币</w:t>
      </w:r>
    </w:p>
    <w:p>
      <w:pPr>
        <w:spacing w:after="0" w:line="240" w:lineRule="auto"/>
        <w:jc w:val="left"/>
        <w:sectPr>
          <w:type w:val="continuous"/>
          <w:pgSz w:w="16840" w:h="11910" w:orient="landscape"/>
          <w:pgMar w:top="1120" w:bottom="1160" w:left="1300" w:right="1240"/>
          <w:cols w:num="2" w:equalWidth="0">
            <w:col w:w="2777" w:space="8787"/>
            <w:col w:w="273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58"/>
        <w:gridCol w:w="1565"/>
        <w:gridCol w:w="852"/>
        <w:gridCol w:w="1555"/>
        <w:gridCol w:w="755"/>
        <w:gridCol w:w="1660"/>
        <w:gridCol w:w="1705"/>
        <w:gridCol w:w="850"/>
        <w:gridCol w:w="1559"/>
        <w:gridCol w:w="757"/>
        <w:gridCol w:w="1651"/>
      </w:tblGrid>
      <w:tr>
        <w:trPr>
          <w:trHeight w:val="294" w:hRule="exact"/>
        </w:trPr>
        <w:tc>
          <w:tcPr>
            <w:tcW w:w="11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5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158" w:type="dxa"/>
            <w:vMerge/>
            <w:tcBorders>
              <w:left w:val="single" w:sz="4" w:space="0" w:color="000000"/>
              <w:right w:val="single" w:sz="4" w:space="0" w:color="000000"/>
            </w:tcBorders>
          </w:tcPr>
          <w:p>
            <w:pP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0" w:type="dxa"/>
            <w:vMerge w:val="restart"/>
            <w:tcBorders>
              <w:top w:val="single" w:sz="4" w:space="0" w:color="000000"/>
              <w:left w:val="single" w:sz="4" w:space="0" w:color="000000"/>
              <w:right w:val="single" w:sz="4" w:space="0" w:color="000000"/>
            </w:tcBorders>
          </w:tcPr>
          <w:p>
            <w:pPr>
              <w:pStyle w:val="TableParagraph"/>
              <w:spacing w:line="272" w:lineRule="exact" w:before="134"/>
              <w:ind w:left="614" w:right="613"/>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1" w:type="dxa"/>
            <w:vMerge w:val="restart"/>
            <w:tcBorders>
              <w:top w:val="single" w:sz="4" w:space="0" w:color="000000"/>
              <w:left w:val="single" w:sz="4" w:space="0" w:color="000000"/>
              <w:right w:val="single" w:sz="4" w:space="0" w:color="000000"/>
            </w:tcBorders>
          </w:tcPr>
          <w:p>
            <w:pPr>
              <w:pStyle w:val="TableParagraph"/>
              <w:spacing w:line="272" w:lineRule="exact" w:before="134"/>
              <w:ind w:left="610" w:right="608"/>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158"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3"/>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0"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660" w:type="dxa"/>
            <w:vMerge/>
            <w:tcBorders>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1"/>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1"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651" w:type="dxa"/>
            <w:vMerge/>
            <w:tcBorders>
              <w:left w:val="single" w:sz="4" w:space="0" w:color="000000"/>
              <w:bottom w:val="single" w:sz="4" w:space="0" w:color="000000"/>
              <w:right w:val="single" w:sz="4" w:space="0" w:color="000000"/>
            </w:tcBorders>
          </w:tcPr>
          <w:p>
            <w:pPr/>
          </w:p>
        </w:tc>
      </w:tr>
      <w:tr>
        <w:trPr>
          <w:trHeight w:val="1372"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11"/>
                <w:sz w:val="21"/>
                <w:szCs w:val="21"/>
              </w:rPr>
              <w:t>单项金额重</w:t>
            </w:r>
            <w:r>
              <w:rPr>
                <w:rFonts w:ascii="宋体" w:hAnsi="宋体" w:cs="宋体" w:eastAsia="宋体" w:hint="default"/>
                <w:sz w:val="21"/>
                <w:szCs w:val="21"/>
              </w:rPr>
            </w:r>
          </w:p>
          <w:p>
            <w:pPr>
              <w:pStyle w:val="TableParagraph"/>
              <w:spacing w:line="272" w:lineRule="exact" w:before="26"/>
              <w:ind w:left="26" w:right="11"/>
              <w:jc w:val="both"/>
              <w:rPr>
                <w:rFonts w:ascii="宋体" w:hAnsi="宋体" w:cs="宋体" w:eastAsia="宋体" w:hint="default"/>
                <w:sz w:val="21"/>
                <w:szCs w:val="21"/>
              </w:rPr>
            </w:pPr>
            <w:r>
              <w:rPr>
                <w:rFonts w:ascii="宋体" w:hAnsi="宋体" w:cs="宋体" w:eastAsia="宋体" w:hint="default"/>
                <w:spacing w:val="11"/>
                <w:sz w:val="21"/>
                <w:szCs w:val="21"/>
              </w:rPr>
              <w:t>大并单独计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提坏账准备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11"/>
                <w:sz w:val="21"/>
                <w:szCs w:val="21"/>
              </w:rPr>
              <w:t>按信用风险</w:t>
            </w:r>
            <w:r>
              <w:rPr>
                <w:rFonts w:ascii="宋体" w:hAnsi="宋体" w:cs="宋体" w:eastAsia="宋体" w:hint="default"/>
                <w:sz w:val="21"/>
                <w:szCs w:val="21"/>
              </w:rPr>
            </w:r>
          </w:p>
          <w:p>
            <w:pPr>
              <w:pStyle w:val="TableParagraph"/>
              <w:spacing w:line="272" w:lineRule="exact" w:before="26"/>
              <w:ind w:left="26" w:right="11"/>
              <w:jc w:val="both"/>
              <w:rPr>
                <w:rFonts w:ascii="宋体" w:hAnsi="宋体" w:cs="宋体" w:eastAsia="宋体" w:hint="default"/>
                <w:sz w:val="21"/>
                <w:szCs w:val="21"/>
              </w:rPr>
            </w:pPr>
            <w:r>
              <w:rPr>
                <w:rFonts w:ascii="宋体" w:hAnsi="宋体" w:cs="宋体" w:eastAsia="宋体" w:hint="default"/>
                <w:spacing w:val="11"/>
                <w:sz w:val="21"/>
                <w:szCs w:val="21"/>
              </w:rPr>
              <w:t>特征组合计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提坏账准备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23,833,358.36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1,965,755.30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8.25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21,867,603.06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33,263,418.34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2,128,583.10</w:t>
            </w:r>
            <w:r>
              <w:rPr>
                <w:rFonts w:ascii="宋体"/>
                <w:sz w:val="21"/>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6.40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31,134,835.24</w:t>
            </w:r>
          </w:p>
        </w:tc>
      </w:tr>
      <w:tr>
        <w:trPr>
          <w:trHeight w:val="55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10"/>
              <w:jc w:val="left"/>
              <w:rPr>
                <w:rFonts w:ascii="宋体" w:hAnsi="宋体" w:cs="宋体" w:eastAsia="宋体" w:hint="default"/>
                <w:sz w:val="21"/>
                <w:szCs w:val="21"/>
              </w:rPr>
            </w:pPr>
            <w:r>
              <w:rPr>
                <w:rFonts w:ascii="宋体" w:hAnsi="宋体" w:cs="宋体" w:eastAsia="宋体" w:hint="default"/>
                <w:spacing w:val="29"/>
                <w:sz w:val="21"/>
                <w:szCs w:val="21"/>
              </w:rPr>
              <w:t>其中:账龄</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15,635,022.41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宋体" w:hAnsi="宋体" w:cs="宋体" w:eastAsia="宋体" w:hint="default"/>
                <w:sz w:val="21"/>
                <w:szCs w:val="21"/>
              </w:rPr>
            </w:pPr>
            <w:r>
              <w:rPr>
                <w:rFonts w:ascii="宋体"/>
                <w:spacing w:val="-1"/>
                <w:sz w:val="21"/>
              </w:rPr>
              <w:t>65.60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pacing w:val="-1"/>
                <w:sz w:val="21"/>
              </w:rPr>
              <w:t>1,965,755.30</w:t>
            </w:r>
            <w:r>
              <w:rPr>
                <w:rFonts w:ascii="宋体"/>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12.57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13,669,267.11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24,502,103.10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73.66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2,128,583.10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8.69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22,373,520.00</w:t>
            </w:r>
          </w:p>
        </w:tc>
      </w:tr>
      <w:tr>
        <w:trPr>
          <w:trHeight w:val="408"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
              <w:jc w:val="center"/>
              <w:rPr>
                <w:rFonts w:ascii="宋体" w:hAnsi="宋体" w:cs="宋体" w:eastAsia="宋体" w:hint="default"/>
                <w:sz w:val="21"/>
                <w:szCs w:val="21"/>
              </w:rPr>
            </w:pPr>
            <w:r>
              <w:rPr>
                <w:rFonts w:ascii="宋体" w:hAnsi="宋体" w:cs="宋体" w:eastAsia="宋体" w:hint="default"/>
                <w:sz w:val="21"/>
                <w:szCs w:val="21"/>
              </w:rPr>
              <w:t>关联方组合</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8,198,335.95</w:t>
            </w:r>
            <w:r>
              <w:rPr>
                <w:rFonts w:ascii="宋体"/>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w w:val="95"/>
                <w:sz w:val="21"/>
              </w:rPr>
              <w:t>34.40</w:t>
            </w:r>
            <w:r>
              <w:rPr>
                <w:rFonts w:ascii="宋体"/>
                <w:w w:val="95"/>
                <w:sz w:val="21"/>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8,198,335.95</w:t>
            </w:r>
            <w:r>
              <w:rPr>
                <w:rFonts w:ascii="宋体"/>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8,761,315.24</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w w:val="95"/>
                <w:sz w:val="21"/>
              </w:rPr>
              <w:t>26.34</w:t>
            </w:r>
            <w:r>
              <w:rPr>
                <w:rFonts w:ascii="宋体"/>
                <w:w w:val="95"/>
                <w:sz w:val="21"/>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8,761,315.24</w:t>
            </w:r>
          </w:p>
        </w:tc>
      </w:tr>
      <w:tr>
        <w:trPr>
          <w:trHeight w:val="1372"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11"/>
                <w:sz w:val="21"/>
                <w:szCs w:val="21"/>
              </w:rPr>
              <w:t>单项金额不</w:t>
            </w:r>
            <w:r>
              <w:rPr>
                <w:rFonts w:ascii="宋体" w:hAnsi="宋体" w:cs="宋体" w:eastAsia="宋体" w:hint="default"/>
                <w:sz w:val="21"/>
                <w:szCs w:val="21"/>
              </w:rPr>
            </w:r>
          </w:p>
          <w:p>
            <w:pPr>
              <w:pStyle w:val="TableParagraph"/>
              <w:spacing w:line="272" w:lineRule="exact" w:before="26"/>
              <w:ind w:left="26" w:right="11"/>
              <w:jc w:val="both"/>
              <w:rPr>
                <w:rFonts w:ascii="宋体" w:hAnsi="宋体" w:cs="宋体" w:eastAsia="宋体" w:hint="default"/>
                <w:sz w:val="21"/>
                <w:szCs w:val="21"/>
              </w:rPr>
            </w:pPr>
            <w:r>
              <w:rPr>
                <w:rFonts w:ascii="宋体" w:hAnsi="宋体" w:cs="宋体" w:eastAsia="宋体" w:hint="default"/>
                <w:spacing w:val="11"/>
                <w:sz w:val="21"/>
                <w:szCs w:val="21"/>
              </w:rPr>
              <w:t>重大但单独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备的其他应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收款</w:t>
            </w:r>
          </w:p>
        </w:tc>
        <w:tc>
          <w:tcPr>
            <w:tcW w:w="1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23,833,358.36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6"/>
              <w:jc w:val="right"/>
              <w:rPr>
                <w:rFonts w:ascii="宋体" w:hAnsi="宋体" w:cs="宋体" w:eastAsia="宋体" w:hint="default"/>
                <w:sz w:val="21"/>
                <w:szCs w:val="21"/>
              </w:rPr>
            </w:pPr>
            <w:r>
              <w:rPr>
                <w:rFonts w:ascii="宋体"/>
                <w:spacing w:val="-1"/>
                <w:sz w:val="21"/>
              </w:rPr>
              <w:t>100.00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宋体" w:hAnsi="宋体" w:cs="宋体" w:eastAsia="宋体" w:hint="default"/>
                <w:sz w:val="21"/>
                <w:szCs w:val="21"/>
              </w:rPr>
            </w:pPr>
            <w:r>
              <w:rPr>
                <w:rFonts w:ascii="宋体"/>
                <w:spacing w:val="-1"/>
                <w:sz w:val="21"/>
              </w:rPr>
              <w:t>1,965,755.30</w:t>
            </w:r>
            <w:r>
              <w:rPr>
                <w:rFonts w:ascii="宋体"/>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8.25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21,867,603.06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33,263,418.34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2,128,583.10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6.40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31,134,835.24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63"/>
        <w:ind w:left="6707" w:right="6853" w:firstLine="0"/>
        <w:jc w:val="center"/>
        <w:rPr>
          <w:rFonts w:ascii="Calibri" w:hAnsi="Calibri" w:cs="Calibri" w:eastAsia="Calibri" w:hint="default"/>
          <w:sz w:val="18"/>
          <w:szCs w:val="18"/>
        </w:rPr>
      </w:pPr>
      <w:r>
        <w:rPr>
          <w:rFonts w:ascii="Calibri"/>
          <w:b/>
          <w:sz w:val="18"/>
        </w:rPr>
        <w:t>137 </w:t>
      </w:r>
      <w:r>
        <w:rPr>
          <w:rFonts w:ascii="Calibri"/>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24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75"/>
          <w:pgSz w:w="11910" w:h="16840"/>
          <w:pgMar w:footer="977" w:header="0" w:top="1120" w:bottom="1160" w:left="1480" w:right="1040"/>
          <w:pgNumType w:start="138"/>
        </w:sectPr>
      </w:pPr>
    </w:p>
    <w:p>
      <w:pPr>
        <w:pStyle w:val="BodyText"/>
        <w:spacing w:line="240" w:lineRule="auto" w:before="35"/>
        <w:ind w:left="221" w:right="-20"/>
        <w:jc w:val="left"/>
      </w:pPr>
      <w:r>
        <w:rPr/>
        <w:t>期末单项金额重大并单项计提坏账准备的其他应收款：</w:t>
      </w:r>
    </w:p>
    <w:p>
      <w:pPr>
        <w:pStyle w:val="BodyText"/>
        <w:spacing w:line="290" w:lineRule="auto" w:before="57"/>
        <w:ind w:left="221" w:right="190"/>
        <w:jc w:val="left"/>
      </w:pPr>
      <w:r>
        <w:rPr/>
        <w:t>□适用√不适用</w:t>
      </w:r>
      <w:r>
        <w:rPr>
          <w:spacing w:val="-1"/>
        </w:rPr>
        <w:t> </w:t>
      </w:r>
      <w:r>
        <w:rPr/>
        <w:t>组合中，按账龄分析法计提坏账准备的其他应收款：</w:t>
      </w:r>
    </w:p>
    <w:p>
      <w:pPr>
        <w:pStyle w:val="BodyText"/>
        <w:spacing w:line="240" w:lineRule="auto" w:before="13"/>
        <w:ind w:left="221"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71" w:val="left" w:leader="none"/>
        </w:tabs>
        <w:spacing w:line="240" w:lineRule="auto" w:before="0"/>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5262" w:space="1357"/>
            <w:col w:w="277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610"/>
        <w:gridCol w:w="1842"/>
        <w:gridCol w:w="1842"/>
        <w:gridCol w:w="1852"/>
      </w:tblGrid>
      <w:tr>
        <w:trPr>
          <w:trHeight w:val="282" w:hRule="exact"/>
        </w:trPr>
        <w:tc>
          <w:tcPr>
            <w:tcW w:w="3610"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610"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8,804,846.86</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264,145.41</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8,804,846.86</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264,145.41</w:t>
            </w:r>
            <w:r>
              <w:rPr>
                <w:rFonts w:ascii="宋体"/>
                <w:sz w:val="21"/>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2,893,355.27</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289,335.53</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r>
      <w:tr>
        <w:trPr>
          <w:trHeight w:val="28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2,520,952.60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504,190.52</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w:t>
            </w:r>
          </w:p>
        </w:tc>
      </w:tr>
      <w:tr>
        <w:trPr>
          <w:trHeight w:val="28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995,567.68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497,783.84</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w:t>
            </w:r>
          </w:p>
        </w:tc>
      </w:tr>
      <w:tr>
        <w:trPr>
          <w:trHeight w:val="28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50,000.00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40,000.00</w:t>
            </w:r>
            <w:r>
              <w:rPr>
                <w:rFonts w:ascii="宋体"/>
                <w:sz w:val="21"/>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w:t>
            </w:r>
          </w:p>
        </w:tc>
      </w:tr>
      <w:tr>
        <w:trPr>
          <w:trHeight w:val="28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370,300.00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370,300.00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100</w:t>
            </w:r>
          </w:p>
        </w:tc>
      </w:tr>
      <w:tr>
        <w:trPr>
          <w:trHeight w:val="283"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15,635,022.41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1,965,755.30</w:t>
            </w:r>
            <w:r>
              <w:rPr>
                <w:rFonts w:ascii="宋体"/>
                <w:sz w:val="21"/>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5"/>
        <w:ind w:left="221" w:right="84"/>
        <w:jc w:val="left"/>
      </w:pPr>
      <w:r>
        <w:rPr/>
        <w:t>组合中，采用余额百分比法计提坏账准备的其他应收款：</w:t>
      </w:r>
    </w:p>
    <w:p>
      <w:pPr>
        <w:pStyle w:val="BodyText"/>
        <w:spacing w:line="240" w:lineRule="auto" w:before="57"/>
        <w:ind w:left="221" w:right="8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90" w:lineRule="auto" w:before="0"/>
        <w:ind w:left="221" w:right="4313"/>
        <w:jc w:val="left"/>
      </w:pPr>
      <w:r>
        <w:rPr/>
        <w:t>组合中，采用其他方法计提坏账准备的其他应收款： 无。</w:t>
      </w:r>
    </w:p>
    <w:p>
      <w:pPr>
        <w:spacing w:line="240" w:lineRule="auto" w:before="10"/>
        <w:rPr>
          <w:rFonts w:ascii="宋体" w:hAnsi="宋体" w:cs="宋体" w:eastAsia="宋体" w:hint="default"/>
          <w:sz w:val="21"/>
          <w:szCs w:val="21"/>
        </w:rPr>
      </w:pPr>
    </w:p>
    <w:p>
      <w:pPr>
        <w:pStyle w:val="Heading2"/>
        <w:spacing w:line="240" w:lineRule="auto" w:before="0"/>
        <w:ind w:right="84"/>
        <w:jc w:val="left"/>
        <w:rPr>
          <w:b w:val="0"/>
          <w:bCs w:val="0"/>
        </w:rPr>
      </w:pPr>
      <w:r>
        <w:rPr/>
        <w:t>(2).</w:t>
      </w:r>
      <w:r>
        <w:rPr>
          <w:spacing w:val="-3"/>
        </w:rPr>
        <w:t> </w:t>
      </w:r>
      <w:r>
        <w:rPr/>
        <w:t>本期计提、收回或转回的坏账准备情况：</w:t>
      </w:r>
      <w:r>
        <w:rPr>
          <w:b w:val="0"/>
          <w:bCs w:val="0"/>
        </w:rPr>
      </w:r>
    </w:p>
    <w:p>
      <w:pPr>
        <w:pStyle w:val="BodyText"/>
        <w:spacing w:line="240" w:lineRule="auto" w:before="135"/>
        <w:ind w:left="641" w:right="84"/>
        <w:jc w:val="left"/>
      </w:pPr>
      <w:r>
        <w:rPr/>
        <w:t>本期计提坏账准备金额</w:t>
      </w:r>
      <w:r>
        <w:rPr>
          <w:spacing w:val="-62"/>
        </w:rPr>
        <w:t> </w:t>
      </w:r>
      <w:r>
        <w:rPr/>
        <w:t>0</w:t>
      </w:r>
      <w:r>
        <w:rPr>
          <w:spacing w:val="-61"/>
        </w:rPr>
        <w:t> </w:t>
      </w:r>
      <w:r>
        <w:rPr/>
        <w:t>元；本期收回或转回坏账准备金额</w:t>
      </w:r>
      <w:r>
        <w:rPr>
          <w:spacing w:val="-62"/>
        </w:rPr>
        <w:t> </w:t>
      </w:r>
      <w:r>
        <w:rPr/>
        <w:t>162,827.80</w:t>
      </w:r>
      <w:r>
        <w:rPr>
          <w:spacing w:val="-61"/>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240" w:lineRule="auto" w:before="0"/>
        <w:ind w:right="84"/>
        <w:jc w:val="left"/>
        <w:rPr>
          <w:b w:val="0"/>
          <w:bCs w:val="0"/>
        </w:rPr>
      </w:pPr>
      <w:r>
        <w:rPr/>
        <w:t>(3).</w:t>
      </w:r>
      <w:r>
        <w:rPr>
          <w:spacing w:val="-1"/>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110"/>
        <w:gridCol w:w="3012"/>
        <w:gridCol w:w="3023"/>
      </w:tblGrid>
      <w:tr>
        <w:trPr>
          <w:trHeight w:val="29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7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9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9,895,585.70</w:t>
            </w:r>
            <w:r>
              <w:rPr>
                <w:rFonts w:ascii="宋体"/>
                <w:sz w:val="21"/>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12,028,484.55</w:t>
            </w:r>
          </w:p>
        </w:tc>
      </w:tr>
      <w:tr>
        <w:trPr>
          <w:trHeight w:val="29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8,410,583.63</w:t>
            </w:r>
            <w:r>
              <w:rPr>
                <w:rFonts w:ascii="宋体"/>
                <w:sz w:val="21"/>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9,549,801.15</w:t>
            </w:r>
            <w:r>
              <w:rPr>
                <w:rFonts w:ascii="宋体"/>
                <w:sz w:val="21"/>
              </w:rPr>
            </w:r>
          </w:p>
        </w:tc>
      </w:tr>
      <w:tr>
        <w:trPr>
          <w:trHeight w:val="29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招投标保证金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3,209,563.65</w:t>
            </w:r>
            <w:r>
              <w:rPr>
                <w:rFonts w:ascii="宋体"/>
                <w:sz w:val="21"/>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2,965,900.10</w:t>
            </w:r>
            <w:r>
              <w:rPr>
                <w:rFonts w:ascii="宋体"/>
                <w:sz w:val="21"/>
              </w:rPr>
            </w:r>
          </w:p>
        </w:tc>
      </w:tr>
      <w:tr>
        <w:trPr>
          <w:trHeight w:val="29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日常业务预付款</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1,262,746.73</w:t>
            </w:r>
            <w:r>
              <w:rPr>
                <w:rFonts w:ascii="宋体"/>
                <w:sz w:val="21"/>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4,732,732.47</w:t>
            </w:r>
            <w:r>
              <w:rPr>
                <w:rFonts w:ascii="宋体"/>
                <w:sz w:val="21"/>
              </w:rPr>
            </w:r>
          </w:p>
        </w:tc>
      </w:tr>
      <w:tr>
        <w:trPr>
          <w:trHeight w:val="29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924,308.65</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715,133.84</w:t>
            </w:r>
          </w:p>
        </w:tc>
      </w:tr>
      <w:tr>
        <w:trPr>
          <w:trHeight w:val="29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130,570.00</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102,970.00</w:t>
            </w:r>
          </w:p>
        </w:tc>
      </w:tr>
      <w:tr>
        <w:trPr>
          <w:trHeight w:val="29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3"/>
                <w:sz w:val="21"/>
                <w:szCs w:val="21"/>
              </w:rPr>
              <w:t> </w:t>
            </w:r>
            <w:r>
              <w:rPr>
                <w:rFonts w:ascii="宋体" w:hAnsi="宋体" w:cs="宋体" w:eastAsia="宋体" w:hint="default"/>
                <w:sz w:val="21"/>
                <w:szCs w:val="21"/>
              </w:rPr>
              <w:t>费用</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3,168,396.23</w:t>
            </w:r>
            <w:r>
              <w:rPr>
                <w:rFonts w:ascii="宋体"/>
                <w:sz w:val="21"/>
              </w:rPr>
            </w:r>
          </w:p>
        </w:tc>
      </w:tr>
      <w:tr>
        <w:trPr>
          <w:trHeight w:val="295"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23,833,358.36</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33,263,418.34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84"/>
        <w:jc w:val="left"/>
        <w:rPr>
          <w:b w:val="0"/>
          <w:bCs w:val="0"/>
        </w:rPr>
      </w:pPr>
      <w:r>
        <w:rPr/>
        <w:t>(4).</w:t>
      </w:r>
      <w:r>
        <w:rPr>
          <w:spacing w:val="-4"/>
        </w:rPr>
        <w:t> </w:t>
      </w:r>
      <w:r>
        <w:rPr/>
        <w:t>按欠款方归集的期末余额前五名的其他应收款情况：</w:t>
      </w:r>
      <w:r>
        <w:rPr>
          <w:b w:val="0"/>
          <w:bCs w:val="0"/>
        </w:rPr>
      </w:r>
    </w:p>
    <w:p>
      <w:pPr>
        <w:pStyle w:val="BodyText"/>
        <w:tabs>
          <w:tab w:pos="1049" w:val="left" w:leader="none"/>
        </w:tabs>
        <w:spacing w:line="240" w:lineRule="auto" w:before="56"/>
        <w:ind w:left="0" w:right="231"/>
        <w:jc w:val="right"/>
      </w:pPr>
      <w:r>
        <w:rPr/>
        <w:t>单位：元</w:t>
        <w:tab/>
        <w:t>币种：人民币</w:t>
      </w:r>
    </w:p>
    <w:p>
      <w:pPr>
        <w:spacing w:after="0" w:line="240" w:lineRule="auto"/>
        <w:jc w:val="right"/>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310"/>
        <w:gridCol w:w="1303"/>
        <w:gridCol w:w="1516"/>
        <w:gridCol w:w="2351"/>
        <w:gridCol w:w="1423"/>
        <w:gridCol w:w="1280"/>
      </w:tblGrid>
      <w:tr>
        <w:trPr>
          <w:trHeight w:val="832" w:hRule="exact"/>
        </w:trPr>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6"/>
              <w:ind w:left="127" w:right="72" w:hanging="53"/>
              <w:jc w:val="left"/>
              <w:rPr>
                <w:rFonts w:ascii="宋体" w:hAnsi="宋体" w:cs="宋体" w:eastAsia="宋体" w:hint="default"/>
                <w:sz w:val="21"/>
                <w:szCs w:val="21"/>
              </w:rPr>
            </w:pPr>
            <w:r>
              <w:rPr>
                <w:rFonts w:ascii="宋体" w:hAnsi="宋体" w:cs="宋体" w:eastAsia="宋体" w:hint="default"/>
                <w:sz w:val="21"/>
                <w:szCs w:val="21"/>
              </w:rPr>
              <w:t>期末余额合计 数的比例(%)</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11" w:right="212"/>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60" w:hRule="exact"/>
        </w:trPr>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其他应收客</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户一</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7,135,740.33</w:t>
            </w:r>
            <w:r>
              <w:rPr>
                <w:rFonts w:ascii="宋体"/>
                <w:sz w:val="21"/>
              </w:rPr>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29.94</w:t>
            </w:r>
            <w:r>
              <w:rPr>
                <w:rFonts w:ascii="宋体"/>
                <w:sz w:val="21"/>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w:t>
            </w:r>
          </w:p>
        </w:tc>
      </w:tr>
      <w:tr>
        <w:trPr>
          <w:trHeight w:val="559" w:hRule="exact"/>
        </w:trPr>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其他应收客</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户二</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1"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1,124,901.00</w:t>
            </w:r>
            <w:r>
              <w:rPr>
                <w:rFonts w:ascii="宋体"/>
                <w:sz w:val="21"/>
              </w:rPr>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年以内</w:t>
            </w:r>
            <w:r>
              <w:rPr>
                <w:rFonts w:ascii="宋体" w:hAnsi="宋体" w:cs="宋体" w:eastAsia="宋体" w:hint="default"/>
                <w:spacing w:val="-70"/>
                <w:sz w:val="21"/>
                <w:szCs w:val="21"/>
              </w:rPr>
              <w:t> </w:t>
            </w:r>
            <w:r>
              <w:rPr>
                <w:rFonts w:ascii="宋体" w:hAnsi="宋体" w:cs="宋体" w:eastAsia="宋体" w:hint="default"/>
                <w:sz w:val="21"/>
                <w:szCs w:val="21"/>
              </w:rPr>
              <w:t>876,401.10</w:t>
            </w:r>
            <w:r>
              <w:rPr>
                <w:rFonts w:ascii="宋体" w:hAnsi="宋体" w:cs="宋体" w:eastAsia="宋体" w:hint="default"/>
                <w:spacing w:val="-69"/>
                <w:sz w:val="21"/>
                <w:szCs w:val="21"/>
              </w:rPr>
              <w:t> </w:t>
            </w:r>
            <w:r>
              <w:rPr>
                <w:rFonts w:ascii="宋体" w:hAnsi="宋体" w:cs="宋体" w:eastAsia="宋体" w:hint="default"/>
                <w:sz w:val="21"/>
                <w:szCs w:val="21"/>
              </w:rPr>
              <w:t>元，</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248,500.00</w:t>
            </w:r>
            <w:r>
              <w:rPr>
                <w:rFonts w:ascii="宋体" w:hAnsi="宋体" w:cs="宋体" w:eastAsia="宋体" w:hint="default"/>
                <w:spacing w:val="-54"/>
                <w:sz w:val="21"/>
                <w:szCs w:val="21"/>
              </w:rPr>
              <w:t> </w:t>
            </w:r>
            <w:r>
              <w:rPr>
                <w:rFonts w:ascii="宋体" w:hAnsi="宋体" w:cs="宋体" w:eastAsia="宋体" w:hint="default"/>
                <w:sz w:val="21"/>
                <w:szCs w:val="21"/>
              </w:rPr>
              <w:t>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spacing w:val="-1"/>
                <w:sz w:val="21"/>
              </w:rPr>
              <w:t>4.72</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sz w:val="21"/>
              </w:rPr>
              <w:t>51,142.03</w:t>
            </w:r>
          </w:p>
        </w:tc>
      </w:tr>
      <w:tr>
        <w:trPr>
          <w:trHeight w:val="1104" w:hRule="exact"/>
        </w:trPr>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 w:right="105"/>
              <w:jc w:val="left"/>
              <w:rPr>
                <w:rFonts w:ascii="宋体" w:hAnsi="宋体" w:cs="宋体" w:eastAsia="宋体" w:hint="default"/>
                <w:sz w:val="21"/>
                <w:szCs w:val="21"/>
              </w:rPr>
            </w:pPr>
            <w:r>
              <w:rPr>
                <w:rFonts w:ascii="宋体" w:hAnsi="宋体" w:cs="宋体" w:eastAsia="宋体" w:hint="default"/>
                <w:spacing w:val="17"/>
                <w:sz w:val="21"/>
                <w:szCs w:val="21"/>
              </w:rPr>
              <w:t>其他应收客</w:t>
            </w:r>
            <w:r>
              <w:rPr>
                <w:rFonts w:ascii="宋体" w:hAnsi="宋体" w:cs="宋体" w:eastAsia="宋体" w:hint="default"/>
                <w:spacing w:val="-103"/>
                <w:sz w:val="21"/>
                <w:szCs w:val="21"/>
              </w:rPr>
              <w:t> </w:t>
            </w:r>
            <w:r>
              <w:rPr>
                <w:rFonts w:ascii="宋体" w:hAnsi="宋体" w:cs="宋体" w:eastAsia="宋体" w:hint="default"/>
                <w:sz w:val="21"/>
                <w:szCs w:val="21"/>
              </w:rPr>
              <w:t>户三</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1,056,076.00</w:t>
            </w:r>
            <w:r>
              <w:rPr>
                <w:rFonts w:ascii="宋体"/>
                <w:sz w:val="21"/>
              </w:rPr>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年以内</w:t>
            </w:r>
            <w:r>
              <w:rPr>
                <w:rFonts w:ascii="宋体" w:hAnsi="宋体" w:cs="宋体" w:eastAsia="宋体" w:hint="default"/>
                <w:spacing w:val="-70"/>
                <w:sz w:val="21"/>
                <w:szCs w:val="21"/>
              </w:rPr>
              <w:t> </w:t>
            </w:r>
            <w:r>
              <w:rPr>
                <w:rFonts w:ascii="宋体" w:hAnsi="宋体" w:cs="宋体" w:eastAsia="宋体" w:hint="default"/>
                <w:sz w:val="21"/>
                <w:szCs w:val="21"/>
              </w:rPr>
              <w:t>710,276.00</w:t>
            </w:r>
            <w:r>
              <w:rPr>
                <w:rFonts w:ascii="宋体" w:hAnsi="宋体" w:cs="宋体" w:eastAsia="宋体" w:hint="default"/>
                <w:spacing w:val="-69"/>
                <w:sz w:val="21"/>
                <w:szCs w:val="21"/>
              </w:rPr>
              <w:t> </w:t>
            </w:r>
            <w:r>
              <w:rPr>
                <w:rFonts w:ascii="宋体" w:hAnsi="宋体" w:cs="宋体" w:eastAsia="宋体" w:hint="default"/>
                <w:sz w:val="21"/>
                <w:szCs w:val="21"/>
              </w:rPr>
              <w:t>元，</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273,000.00</w:t>
            </w:r>
            <w:r>
              <w:rPr>
                <w:rFonts w:ascii="宋体" w:hAnsi="宋体" w:cs="宋体" w:eastAsia="宋体" w:hint="default"/>
                <w:spacing w:val="-34"/>
                <w:sz w:val="21"/>
                <w:szCs w:val="21"/>
              </w:rPr>
              <w:t> </w:t>
            </w:r>
            <w:r>
              <w:rPr>
                <w:rFonts w:ascii="宋体" w:hAnsi="宋体" w:cs="宋体" w:eastAsia="宋体" w:hint="default"/>
                <w:sz w:val="21"/>
                <w:szCs w:val="21"/>
              </w:rPr>
              <w:t>元，</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4</w:t>
            </w:r>
            <w:r>
              <w:rPr>
                <w:rFonts w:ascii="宋体" w:hAnsi="宋体" w:cs="宋体" w:eastAsia="宋体" w:hint="default"/>
                <w:sz w:val="21"/>
                <w:szCs w:val="21"/>
              </w:rPr>
              <w:t>,</w:t>
            </w:r>
            <w:r>
              <w:rPr>
                <w:rFonts w:ascii="宋体" w:hAnsi="宋体" w:cs="宋体" w:eastAsia="宋体" w:hint="default"/>
                <w:spacing w:val="-1"/>
                <w:sz w:val="21"/>
                <w:szCs w:val="21"/>
              </w:rPr>
              <w:t>80</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00</w:t>
            </w:r>
            <w:r>
              <w:rPr>
                <w:rFonts w:ascii="宋体" w:hAnsi="宋体" w:cs="宋体" w:eastAsia="宋体" w:hint="default"/>
                <w:spacing w:val="-66"/>
                <w:sz w:val="21"/>
                <w:szCs w:val="21"/>
              </w:rPr>
              <w:t> </w:t>
            </w:r>
            <w:r>
              <w:rPr>
                <w:rFonts w:ascii="宋体" w:hAnsi="宋体" w:cs="宋体" w:eastAsia="宋体" w:hint="default"/>
                <w:sz w:val="21"/>
                <w:szCs w:val="21"/>
              </w:rPr>
              <w:t>元</w:t>
            </w:r>
            <w:r>
              <w:rPr>
                <w:rFonts w:ascii="宋体" w:hAnsi="宋体" w:cs="宋体" w:eastAsia="宋体" w:hint="default"/>
                <w:spacing w:val="-106"/>
                <w:sz w:val="21"/>
                <w:szCs w:val="21"/>
              </w:rPr>
              <w:t>，</w:t>
            </w:r>
            <w:r>
              <w:rPr>
                <w:rFonts w:ascii="宋体" w:hAnsi="宋体" w:cs="宋体" w:eastAsia="宋体" w:hint="default"/>
                <w:sz w:val="21"/>
                <w:szCs w:val="21"/>
              </w:rPr>
              <w:t>3</w:t>
            </w:r>
            <w:r>
              <w:rPr>
                <w:rFonts w:ascii="宋体" w:hAnsi="宋体" w:cs="宋体" w:eastAsia="宋体" w:hint="default"/>
                <w:spacing w:val="-1"/>
                <w:sz w:val="21"/>
                <w:szCs w:val="21"/>
              </w:rPr>
              <w:t>-</w:t>
            </w:r>
            <w:r>
              <w:rPr>
                <w:rFonts w:ascii="宋体" w:hAnsi="宋体" w:cs="宋体" w:eastAsia="宋体" w:hint="default"/>
                <w:sz w:val="21"/>
                <w:szCs w:val="21"/>
              </w:rPr>
              <w:t>4</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58,000.00</w:t>
            </w:r>
            <w:r>
              <w:rPr>
                <w:rFonts w:ascii="宋体" w:hAnsi="宋体" w:cs="宋体" w:eastAsia="宋体" w:hint="default"/>
                <w:spacing w:val="-54"/>
                <w:sz w:val="21"/>
                <w:szCs w:val="21"/>
              </w:rPr>
              <w:t> </w:t>
            </w:r>
            <w:r>
              <w:rPr>
                <w:rFonts w:ascii="宋体" w:hAnsi="宋体" w:cs="宋体" w:eastAsia="宋体" w:hint="default"/>
                <w:sz w:val="21"/>
                <w:szCs w:val="21"/>
              </w:rPr>
              <w:t>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4.43</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80,568.28</w:t>
            </w:r>
            <w:r>
              <w:rPr>
                <w:rFonts w:ascii="宋体"/>
                <w:sz w:val="21"/>
              </w:rPr>
            </w:r>
          </w:p>
        </w:tc>
      </w:tr>
      <w:tr>
        <w:trPr>
          <w:trHeight w:val="560" w:hRule="exact"/>
        </w:trPr>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其他应收客</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户四</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1"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828,130.00</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pacing w:val="-55"/>
                <w:sz w:val="21"/>
                <w:szCs w:val="21"/>
              </w:rPr>
              <w:t> </w:t>
            </w:r>
            <w:r>
              <w:rPr>
                <w:rFonts w:ascii="宋体" w:hAnsi="宋体" w:cs="宋体" w:eastAsia="宋体" w:hint="default"/>
                <w:sz w:val="21"/>
                <w:szCs w:val="21"/>
              </w:rPr>
              <w:t>828,130.00</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spacing w:val="-1"/>
                <w:sz w:val="21"/>
              </w:rPr>
              <w:t>3.47</w:t>
            </w:r>
            <w:r>
              <w:rPr>
                <w:rFonts w:ascii="宋体"/>
                <w:sz w:val="21"/>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sz w:val="21"/>
              </w:rPr>
              <w:t>24,843.90</w:t>
            </w:r>
          </w:p>
        </w:tc>
      </w:tr>
      <w:tr>
        <w:trPr>
          <w:trHeight w:val="559" w:hRule="exact"/>
        </w:trPr>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其他应收客</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户五</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1"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3"/>
              <w:jc w:val="right"/>
              <w:rPr>
                <w:rFonts w:ascii="宋体" w:hAnsi="宋体" w:cs="宋体" w:eastAsia="宋体" w:hint="default"/>
                <w:sz w:val="21"/>
                <w:szCs w:val="21"/>
              </w:rPr>
            </w:pPr>
            <w:r>
              <w:rPr>
                <w:rFonts w:ascii="宋体"/>
                <w:sz w:val="21"/>
              </w:rPr>
              <w:t>676,307.10</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年以内</w:t>
            </w:r>
            <w:r>
              <w:rPr>
                <w:rFonts w:ascii="宋体" w:hAnsi="宋体" w:cs="宋体" w:eastAsia="宋体" w:hint="default"/>
                <w:spacing w:val="-70"/>
                <w:sz w:val="21"/>
                <w:szCs w:val="21"/>
              </w:rPr>
              <w:t> </w:t>
            </w:r>
            <w:r>
              <w:rPr>
                <w:rFonts w:ascii="宋体" w:hAnsi="宋体" w:cs="宋体" w:eastAsia="宋体" w:hint="default"/>
                <w:sz w:val="21"/>
                <w:szCs w:val="21"/>
              </w:rPr>
              <w:t>246,375.85</w:t>
            </w:r>
            <w:r>
              <w:rPr>
                <w:rFonts w:ascii="宋体" w:hAnsi="宋体" w:cs="宋体" w:eastAsia="宋体" w:hint="default"/>
                <w:spacing w:val="-69"/>
                <w:sz w:val="21"/>
                <w:szCs w:val="21"/>
              </w:rPr>
              <w:t> </w:t>
            </w:r>
            <w:r>
              <w:rPr>
                <w:rFonts w:ascii="宋体" w:hAnsi="宋体" w:cs="宋体" w:eastAsia="宋体" w:hint="default"/>
                <w:sz w:val="21"/>
                <w:szCs w:val="21"/>
              </w:rPr>
              <w:t>元，</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429,931.25</w:t>
            </w:r>
            <w:r>
              <w:rPr>
                <w:rFonts w:ascii="宋体" w:hAnsi="宋体" w:cs="宋体" w:eastAsia="宋体" w:hint="default"/>
                <w:spacing w:val="-54"/>
                <w:sz w:val="21"/>
                <w:szCs w:val="21"/>
              </w:rPr>
              <w:t> </w:t>
            </w:r>
            <w:r>
              <w:rPr>
                <w:rFonts w:ascii="宋体" w:hAnsi="宋体" w:cs="宋体" w:eastAsia="宋体" w:hint="default"/>
                <w:sz w:val="21"/>
                <w:szCs w:val="21"/>
              </w:rPr>
              <w:t>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spacing w:val="-1"/>
                <w:sz w:val="21"/>
              </w:rPr>
              <w:t>2.84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sz w:val="21"/>
              </w:rPr>
              <w:t>50,384.41</w:t>
            </w:r>
          </w:p>
        </w:tc>
      </w:tr>
      <w:tr>
        <w:trPr>
          <w:trHeight w:val="354" w:hRule="exact"/>
        </w:trPr>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4"/>
              <w:jc w:val="right"/>
              <w:rPr>
                <w:rFonts w:ascii="宋体" w:hAnsi="宋体" w:cs="宋体" w:eastAsia="宋体" w:hint="default"/>
                <w:sz w:val="21"/>
                <w:szCs w:val="21"/>
              </w:rPr>
            </w:pPr>
            <w:r>
              <w:rPr>
                <w:rFonts w:ascii="宋体"/>
                <w:sz w:val="21"/>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10,821,154.43</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45.40</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8" w:right="0"/>
              <w:jc w:val="left"/>
              <w:rPr>
                <w:rFonts w:ascii="宋体" w:hAnsi="宋体" w:cs="宋体" w:eastAsia="宋体" w:hint="default"/>
                <w:sz w:val="21"/>
                <w:szCs w:val="21"/>
              </w:rPr>
            </w:pPr>
            <w:r>
              <w:rPr>
                <w:rFonts w:ascii="宋体"/>
                <w:sz w:val="21"/>
              </w:rPr>
              <w:t>206,938.62</w:t>
            </w:r>
          </w:p>
        </w:tc>
      </w:tr>
    </w:tbl>
    <w:p>
      <w:pPr>
        <w:spacing w:line="240" w:lineRule="auto" w:before="1"/>
        <w:rPr>
          <w:rFonts w:ascii="宋体" w:hAnsi="宋体" w:cs="宋体" w:eastAsia="宋体" w:hint="default"/>
          <w:sz w:val="20"/>
          <w:szCs w:val="20"/>
        </w:rPr>
      </w:pPr>
    </w:p>
    <w:p>
      <w:pPr>
        <w:spacing w:line="357" w:lineRule="auto" w:before="35"/>
        <w:ind w:left="641" w:right="5693" w:hanging="420"/>
        <w:jc w:val="left"/>
        <w:rPr>
          <w:rFonts w:ascii="宋体" w:hAnsi="宋体" w:cs="宋体" w:eastAsia="宋体" w:hint="default"/>
          <w:sz w:val="21"/>
          <w:szCs w:val="21"/>
        </w:rPr>
      </w:pPr>
      <w:r>
        <w:rPr>
          <w:rFonts w:ascii="宋体" w:hAnsi="宋体" w:cs="宋体" w:eastAsia="宋体" w:hint="default"/>
          <w:b/>
          <w:bCs/>
          <w:sz w:val="21"/>
          <w:szCs w:val="21"/>
        </w:rPr>
        <w:t>(5). 涉及政府补助的应收款项</w:t>
      </w:r>
      <w:r>
        <w:rPr>
          <w:rFonts w:ascii="宋体" w:hAnsi="宋体" w:cs="宋体" w:eastAsia="宋体" w:hint="default"/>
          <w:b/>
          <w:bCs/>
          <w:w w:val="99"/>
          <w:sz w:val="21"/>
          <w:szCs w:val="21"/>
        </w:rPr>
        <w:t> </w:t>
      </w:r>
      <w:r>
        <w:rPr>
          <w:rFonts w:ascii="宋体" w:hAnsi="宋体" w:cs="宋体" w:eastAsia="宋体" w:hint="default"/>
          <w:sz w:val="21"/>
          <w:szCs w:val="21"/>
        </w:rPr>
        <w:t>期末无涉及政府补助的应收款项。</w:t>
      </w:r>
    </w:p>
    <w:p>
      <w:pPr>
        <w:pStyle w:val="Heading2"/>
        <w:spacing w:line="239" w:lineRule="exact" w:before="0"/>
        <w:ind w:right="0"/>
        <w:jc w:val="left"/>
        <w:rPr>
          <w:b w:val="0"/>
          <w:bCs w:val="0"/>
        </w:rPr>
      </w:pPr>
      <w:r>
        <w:rPr/>
        <w:t>(6).</w:t>
      </w:r>
      <w:r>
        <w:rPr>
          <w:spacing w:val="-2"/>
        </w:rPr>
        <w:t> </w:t>
      </w:r>
      <w:r>
        <w:rPr/>
        <w:t>因金融资产转移而终止确认的其他应收款：</w:t>
      </w:r>
      <w:r>
        <w:rPr>
          <w:b w:val="0"/>
          <w:bCs w:val="0"/>
        </w:rPr>
      </w:r>
    </w:p>
    <w:p>
      <w:pPr>
        <w:pStyle w:val="BodyText"/>
        <w:spacing w:line="240" w:lineRule="auto" w:before="135"/>
        <w:ind w:left="641" w:right="0"/>
        <w:jc w:val="left"/>
      </w:pPr>
      <w:r>
        <w:rPr/>
        <w:t>期末无因金融资产转移而终止确认其他应收款情况。</w:t>
      </w:r>
    </w:p>
    <w:p>
      <w:pPr>
        <w:spacing w:line="240" w:lineRule="auto" w:before="12"/>
        <w:rPr>
          <w:rFonts w:ascii="宋体" w:hAnsi="宋体" w:cs="宋体" w:eastAsia="宋体" w:hint="default"/>
          <w:sz w:val="25"/>
          <w:szCs w:val="25"/>
        </w:rPr>
      </w:pPr>
    </w:p>
    <w:p>
      <w:pPr>
        <w:spacing w:line="357" w:lineRule="auto" w:before="0"/>
        <w:ind w:left="641" w:right="3888" w:hanging="42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3"/>
          <w:sz w:val="21"/>
          <w:szCs w:val="21"/>
        </w:rPr>
        <w:t> </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spacing w:val="1"/>
          <w:w w:val="99"/>
          <w:sz w:val="21"/>
          <w:szCs w:val="21"/>
        </w:rPr>
        <w:t> </w:t>
      </w:r>
      <w:r>
        <w:rPr>
          <w:rFonts w:ascii="宋体" w:hAnsi="宋体" w:cs="宋体" w:eastAsia="宋体" w:hint="default"/>
          <w:spacing w:val="-9"/>
          <w:sz w:val="21"/>
          <w:szCs w:val="21"/>
        </w:rPr>
        <w:t>期末无转移其他应收款项且继续涉入形成资产、负债。</w:t>
      </w:r>
      <w:r>
        <w:rPr>
          <w:rFonts w:ascii="宋体" w:hAnsi="宋体" w:cs="宋体" w:eastAsia="宋体" w:hint="default"/>
          <w:sz w:val="21"/>
          <w:szCs w:val="21"/>
        </w:rPr>
      </w:r>
    </w:p>
    <w:p>
      <w:pPr>
        <w:spacing w:line="240" w:lineRule="auto" w:before="5"/>
        <w:rPr>
          <w:rFonts w:ascii="宋体" w:hAnsi="宋体" w:cs="宋体" w:eastAsia="宋体" w:hint="default"/>
          <w:sz w:val="15"/>
          <w:szCs w:val="15"/>
        </w:rPr>
      </w:pPr>
    </w:p>
    <w:p>
      <w:pPr>
        <w:pStyle w:val="Heading2"/>
        <w:spacing w:line="240" w:lineRule="auto"/>
        <w:ind w:right="0"/>
        <w:jc w:val="left"/>
        <w:rPr>
          <w:b w:val="0"/>
          <w:bCs w:val="0"/>
        </w:rPr>
      </w:pPr>
      <w:r>
        <w:rPr/>
        <w:t>3、</w:t>
      </w:r>
      <w:r>
        <w:rPr>
          <w:spacing w:val="-1"/>
        </w:rPr>
        <w:t> </w:t>
      </w:r>
      <w:r>
        <w:rPr/>
        <w:t>长期股权投资</w:t>
      </w:r>
      <w:r>
        <w:rPr>
          <w:b w:val="0"/>
          <w:bCs w:val="0"/>
        </w:rPr>
      </w:r>
    </w:p>
    <w:p>
      <w:pPr>
        <w:pStyle w:val="BodyText"/>
        <w:tabs>
          <w:tab w:pos="1049" w:val="left" w:leader="none"/>
        </w:tabs>
        <w:spacing w:line="240" w:lineRule="auto" w:before="57"/>
        <w:ind w:left="0" w:right="3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888"/>
        <w:gridCol w:w="1427"/>
        <w:gridCol w:w="691"/>
        <w:gridCol w:w="1427"/>
        <w:gridCol w:w="1427"/>
        <w:gridCol w:w="706"/>
        <w:gridCol w:w="1427"/>
      </w:tblGrid>
      <w:tr>
        <w:trPr>
          <w:trHeight w:val="412" w:hRule="exact"/>
        </w:trPr>
        <w:tc>
          <w:tcPr>
            <w:tcW w:w="188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5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888"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2"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64,250,000.00</w:t>
            </w:r>
            <w:r>
              <w:rPr>
                <w:rFonts w:ascii="宋体"/>
                <w:sz w:val="21"/>
              </w:rPr>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0.00</w:t>
            </w:r>
            <w:r>
              <w:rPr>
                <w:rFonts w:ascii="宋体"/>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64,250,000.00</w:t>
            </w:r>
            <w:r>
              <w:rPr>
                <w:rFonts w:ascii="宋体"/>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54,625,000.00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54,625,000.00</w:t>
            </w:r>
          </w:p>
        </w:tc>
      </w:tr>
      <w:tr>
        <w:trPr>
          <w:trHeight w:val="560"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对联营、合营企业投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181,377.82</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181,377.82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199,055.60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199,055.60</w:t>
            </w:r>
          </w:p>
        </w:tc>
      </w:tr>
      <w:tr>
        <w:trPr>
          <w:trHeight w:val="410"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64,431,377.82</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64,431,377.82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54,824,055.60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pacing w:val="-1"/>
                <w:sz w:val="21"/>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54,824,055.60</w:t>
            </w:r>
          </w:p>
        </w:tc>
      </w:tr>
    </w:tbl>
    <w:p>
      <w:pPr>
        <w:pStyle w:val="BodyText"/>
        <w:spacing w:line="314" w:lineRule="auto" w:before="44"/>
        <w:ind w:left="221" w:right="408" w:firstLine="420"/>
        <w:jc w:val="both"/>
      </w:pPr>
      <w:r>
        <w:rPr/>
        <w:t>由于本年新设子公司南平南威软件有限公司和海南科特尔科技有限公司在当地工商局登记的 </w:t>
      </w:r>
      <w:r>
        <w:rPr>
          <w:spacing w:val="-3"/>
        </w:rPr>
        <w:t>注册资本采取认缴的方式，根据新设的两个子公司章程截至</w:t>
      </w:r>
      <w:r>
        <w:rPr>
          <w:spacing w:val="-50"/>
        </w:rPr>
        <w:t> </w:t>
      </w:r>
      <w:r>
        <w:rPr/>
        <w:t>2014</w:t>
      </w:r>
      <w:r>
        <w:rPr>
          <w:spacing w:val="-49"/>
        </w:rPr>
        <w:t> </w:t>
      </w:r>
      <w:r>
        <w:rPr/>
        <w:t>年</w:t>
      </w:r>
      <w:r>
        <w:rPr>
          <w:spacing w:val="-51"/>
        </w:rPr>
        <w:t> </w:t>
      </w:r>
      <w:r>
        <w:rPr/>
        <w:t>12</w:t>
      </w:r>
      <w:r>
        <w:rPr>
          <w:spacing w:val="-50"/>
        </w:rPr>
        <w:t> </w:t>
      </w:r>
      <w:r>
        <w:rPr/>
        <w:t>月</w:t>
      </w:r>
      <w:r>
        <w:rPr>
          <w:spacing w:val="-51"/>
        </w:rPr>
        <w:t> </w:t>
      </w:r>
      <w:r>
        <w:rPr/>
        <w:t>31</w:t>
      </w:r>
      <w:r>
        <w:rPr>
          <w:spacing w:val="-49"/>
        </w:rPr>
        <w:t> </w:t>
      </w:r>
      <w:r>
        <w:rPr/>
        <w:t>日公司认缴注册资本</w:t>
      </w:r>
      <w:r>
        <w:rPr/>
        <w:t> 为零，未达到章程中对认缴注册资本规定的最后期限。</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(1)</w:t>
      </w:r>
      <w:r>
        <w:rPr>
          <w:spacing w:val="-3"/>
        </w:rPr>
        <w:t> </w:t>
      </w:r>
      <w:r>
        <w:rPr/>
        <w:t>对子公司投资</w:t>
      </w:r>
      <w:r>
        <w:rPr>
          <w:b w:val="0"/>
          <w:bCs w:val="0"/>
        </w:rPr>
      </w:r>
    </w:p>
    <w:p>
      <w:pPr>
        <w:pStyle w:val="BodyText"/>
        <w:tabs>
          <w:tab w:pos="1049" w:val="left" w:leader="none"/>
        </w:tabs>
        <w:spacing w:line="240" w:lineRule="auto" w:before="57"/>
        <w:ind w:left="0" w:right="3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73"/>
        <w:gridCol w:w="1598"/>
        <w:gridCol w:w="1493"/>
        <w:gridCol w:w="960"/>
        <w:gridCol w:w="1598"/>
        <w:gridCol w:w="962"/>
        <w:gridCol w:w="960"/>
      </w:tblGrid>
      <w:tr>
        <w:trPr>
          <w:trHeight w:val="827"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68" w:right="159"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66" w:right="159" w:hanging="106"/>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6"/>
              <w:ind w:left="264" w:right="159" w:hanging="106"/>
              <w:jc w:val="left"/>
              <w:rPr>
                <w:rFonts w:ascii="宋体" w:hAnsi="宋体" w:cs="宋体" w:eastAsia="宋体" w:hint="default"/>
                <w:sz w:val="21"/>
                <w:szCs w:val="21"/>
              </w:rPr>
            </w:pPr>
            <w:r>
              <w:rPr>
                <w:rFonts w:ascii="宋体" w:hAnsi="宋体" w:cs="宋体" w:eastAsia="宋体" w:hint="default"/>
                <w:sz w:val="21"/>
                <w:szCs w:val="21"/>
              </w:rPr>
              <w:t>备期末 余额</w:t>
            </w:r>
          </w:p>
        </w:tc>
      </w:tr>
      <w:tr>
        <w:trPr>
          <w:trHeight w:val="283"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6"/>
                <w:sz w:val="21"/>
                <w:szCs w:val="21"/>
              </w:rPr>
              <w:t>北京南威科技</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10,000,000.00</w:t>
            </w: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10,000,000.00</w:t>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7" w:top="1120" w:bottom="1160" w:left="14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573"/>
        <w:gridCol w:w="1598"/>
        <w:gridCol w:w="1493"/>
        <w:gridCol w:w="960"/>
        <w:gridCol w:w="1598"/>
        <w:gridCol w:w="962"/>
        <w:gridCol w:w="960"/>
      </w:tblGrid>
      <w:tr>
        <w:trPr>
          <w:trHeight w:val="282"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宁德南威软件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厦门市南威软</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6"/>
                <w:sz w:val="21"/>
                <w:szCs w:val="21"/>
              </w:rPr>
              <w:t>件科技有限公</w:t>
            </w:r>
            <w:r>
              <w:rPr>
                <w:rFonts w:ascii="宋体" w:hAnsi="宋体" w:cs="宋体" w:eastAsia="宋体" w:hint="default"/>
                <w:sz w:val="21"/>
                <w:szCs w:val="21"/>
              </w:rPr>
              <w:t> 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福建南威软件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20,000,000.00</w:t>
            </w: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20,000,000.00</w:t>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西安南威信息</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6"/>
                <w:sz w:val="21"/>
                <w:szCs w:val="21"/>
              </w:rPr>
              <w:t>科技有限责任</w:t>
            </w:r>
            <w:r>
              <w:rPr>
                <w:rFonts w:ascii="宋体" w:hAnsi="宋体" w:cs="宋体" w:eastAsia="宋体" w:hint="default"/>
                <w:sz w:val="21"/>
                <w:szCs w:val="21"/>
              </w:rPr>
              <w:t> 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3,500,000.00</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3,500,000.00</w:t>
            </w:r>
            <w:r>
              <w:rPr>
                <w:rFonts w:ascii="宋体"/>
                <w:sz w:val="21"/>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昌吉州南威软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成都南威软件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福建神威系统</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6"/>
                <w:sz w:val="21"/>
                <w:szCs w:val="21"/>
              </w:rPr>
              <w:t>集成有限责任</w:t>
            </w:r>
            <w:r>
              <w:rPr>
                <w:rFonts w:ascii="宋体" w:hAnsi="宋体" w:cs="宋体" w:eastAsia="宋体" w:hint="default"/>
                <w:sz w:val="21"/>
                <w:szCs w:val="21"/>
              </w:rPr>
              <w:t> 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4,125,000.00</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 w:right="0"/>
              <w:jc w:val="center"/>
              <w:rPr>
                <w:rFonts w:ascii="宋体" w:hAnsi="宋体" w:cs="宋体" w:eastAsia="宋体" w:hint="default"/>
                <w:sz w:val="21"/>
                <w:szCs w:val="21"/>
              </w:rPr>
            </w:pPr>
            <w:r>
              <w:rPr>
                <w:rFonts w:ascii="宋体"/>
                <w:sz w:val="21"/>
              </w:rPr>
              <w:t>9,625,000.00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13,750,000.00</w:t>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江西南威软件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南平南威软件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海南科特尔科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9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54,625,000.00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 w:right="0"/>
              <w:jc w:val="center"/>
              <w:rPr>
                <w:rFonts w:ascii="宋体" w:hAnsi="宋体" w:cs="宋体" w:eastAsia="宋体" w:hint="default"/>
                <w:sz w:val="21"/>
                <w:szCs w:val="21"/>
              </w:rPr>
            </w:pPr>
            <w:r>
              <w:rPr>
                <w:rFonts w:ascii="宋体"/>
                <w:sz w:val="21"/>
              </w:rPr>
              <w:t>9,625,000.00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64,250,000.00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84"/>
        <w:jc w:val="left"/>
        <w:rPr>
          <w:b w:val="0"/>
          <w:bCs w:val="0"/>
        </w:rPr>
      </w:pPr>
      <w:r>
        <w:rPr/>
        <w:t>(2)</w:t>
      </w:r>
      <w:r>
        <w:rPr>
          <w:spacing w:val="-3"/>
        </w:rPr>
        <w:t> </w:t>
      </w:r>
      <w:r>
        <w:rPr/>
        <w:t>对联营、合营企业投资</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08"/>
        <w:gridCol w:w="1310"/>
        <w:gridCol w:w="418"/>
        <w:gridCol w:w="419"/>
        <w:gridCol w:w="1392"/>
        <w:gridCol w:w="686"/>
        <w:gridCol w:w="559"/>
        <w:gridCol w:w="767"/>
        <w:gridCol w:w="480"/>
        <w:gridCol w:w="422"/>
        <w:gridCol w:w="1372"/>
        <w:gridCol w:w="502"/>
      </w:tblGrid>
      <w:tr>
        <w:trPr>
          <w:trHeight w:val="282" w:hRule="exact"/>
        </w:trPr>
        <w:tc>
          <w:tcPr>
            <w:tcW w:w="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88" w:right="187"/>
              <w:jc w:val="left"/>
              <w:rPr>
                <w:rFonts w:ascii="宋体" w:hAnsi="宋体" w:cs="宋体" w:eastAsia="宋体" w:hint="default"/>
                <w:sz w:val="21"/>
                <w:szCs w:val="21"/>
              </w:rPr>
            </w:pPr>
            <w:r>
              <w:rPr>
                <w:rFonts w:ascii="宋体" w:hAnsi="宋体" w:cs="宋体" w:eastAsia="宋体" w:hint="default"/>
                <w:sz w:val="21"/>
                <w:szCs w:val="21"/>
              </w:rPr>
              <w:t>投资 单位</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440" w:right="438"/>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51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469" w:right="470"/>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502" w:type="dxa"/>
            <w:vMerge w:val="restart"/>
            <w:tcBorders>
              <w:top w:val="single" w:sz="4" w:space="0" w:color="000000"/>
              <w:left w:val="single" w:sz="4" w:space="0" w:color="000000"/>
              <w:right w:val="single" w:sz="4" w:space="0" w:color="000000"/>
            </w:tcBorders>
          </w:tcPr>
          <w:p>
            <w:pPr>
              <w:pStyle w:val="TableParagraph"/>
              <w:spacing w:line="239" w:lineRule="exact"/>
              <w:ind w:left="14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40" w:right="139"/>
              <w:jc w:val="both"/>
              <w:rPr>
                <w:rFonts w:ascii="宋体" w:hAnsi="宋体" w:cs="宋体" w:eastAsia="宋体" w:hint="default"/>
                <w:sz w:val="21"/>
                <w:szCs w:val="21"/>
              </w:rPr>
            </w:pPr>
            <w:r>
              <w:rPr>
                <w:rFonts w:ascii="宋体" w:hAnsi="宋体" w:cs="宋体" w:eastAsia="宋体" w:hint="default"/>
                <w:sz w:val="21"/>
                <w:szCs w:val="21"/>
              </w:rPr>
              <w:t>值 准 备 期 末 余 额</w:t>
            </w:r>
          </w:p>
        </w:tc>
      </w:tr>
      <w:tr>
        <w:trPr>
          <w:trHeight w:val="1907" w:hRule="exact"/>
        </w:trPr>
        <w:tc>
          <w:tcPr>
            <w:tcW w:w="808" w:type="dxa"/>
            <w:vMerge/>
            <w:tcBorders>
              <w:left w:val="single" w:sz="4" w:space="0" w:color="000000"/>
              <w:bottom w:val="single" w:sz="4" w:space="0" w:color="000000"/>
              <w:right w:val="single" w:sz="4" w:space="0" w:color="000000"/>
            </w:tcBorders>
          </w:tcPr>
          <w:p>
            <w:pPr/>
          </w:p>
        </w:tc>
        <w:tc>
          <w:tcPr>
            <w:tcW w:w="1310" w:type="dxa"/>
            <w:vMerge/>
            <w:tcBorders>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102" w:right="95"/>
              <w:jc w:val="both"/>
              <w:rPr>
                <w:rFonts w:ascii="宋体" w:hAnsi="宋体" w:cs="宋体" w:eastAsia="宋体" w:hint="default"/>
                <w:sz w:val="21"/>
                <w:szCs w:val="21"/>
              </w:rPr>
            </w:pPr>
            <w:r>
              <w:rPr>
                <w:rFonts w:ascii="宋体" w:hAnsi="宋体" w:cs="宋体" w:eastAsia="宋体" w:hint="default"/>
                <w:sz w:val="21"/>
                <w:szCs w:val="21"/>
              </w:rPr>
              <w:t>追 加 投 资</w:t>
            </w:r>
          </w:p>
        </w:tc>
        <w:tc>
          <w:tcPr>
            <w:tcW w:w="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103" w:right="95"/>
              <w:jc w:val="both"/>
              <w:rPr>
                <w:rFonts w:ascii="宋体" w:hAnsi="宋体" w:cs="宋体" w:eastAsia="宋体" w:hint="default"/>
                <w:sz w:val="21"/>
                <w:szCs w:val="21"/>
              </w:rPr>
            </w:pPr>
            <w:r>
              <w:rPr>
                <w:rFonts w:ascii="宋体" w:hAnsi="宋体" w:cs="宋体" w:eastAsia="宋体" w:hint="default"/>
                <w:sz w:val="21"/>
                <w:szCs w:val="21"/>
              </w:rPr>
              <w:t>减 少 投 资</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64" w:right="167"/>
              <w:jc w:val="center"/>
              <w:rPr>
                <w:rFonts w:ascii="宋体" w:hAnsi="宋体" w:cs="宋体" w:eastAsia="宋体" w:hint="default"/>
                <w:sz w:val="21"/>
                <w:szCs w:val="21"/>
              </w:rPr>
            </w:pPr>
            <w:r>
              <w:rPr>
                <w:rFonts w:ascii="宋体" w:hAnsi="宋体" w:cs="宋体" w:eastAsia="宋体" w:hint="default"/>
                <w:sz w:val="21"/>
                <w:szCs w:val="21"/>
              </w:rPr>
              <w:t>权益法下确 认的投资损 益</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127" w:right="127"/>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4"/>
              <w:ind w:left="169" w:right="168"/>
              <w:jc w:val="both"/>
              <w:rPr>
                <w:rFonts w:ascii="宋体" w:hAnsi="宋体" w:cs="宋体" w:eastAsia="宋体" w:hint="default"/>
                <w:sz w:val="21"/>
                <w:szCs w:val="21"/>
              </w:rPr>
            </w:pPr>
            <w:r>
              <w:rPr>
                <w:rFonts w:ascii="宋体" w:hAnsi="宋体" w:cs="宋体" w:eastAsia="宋体" w:hint="default"/>
                <w:sz w:val="21"/>
                <w:szCs w:val="21"/>
              </w:rPr>
              <w:t>其 他 权 益 变 动</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4"/>
              <w:ind w:left="166" w:right="168"/>
              <w:jc w:val="both"/>
              <w:rPr>
                <w:rFonts w:ascii="宋体" w:hAnsi="宋体" w:cs="宋体" w:eastAsia="宋体" w:hint="default"/>
                <w:sz w:val="21"/>
                <w:szCs w:val="21"/>
              </w:rPr>
            </w:pPr>
            <w:r>
              <w:rPr>
                <w:rFonts w:ascii="宋体" w:hAnsi="宋体" w:cs="宋体" w:eastAsia="宋体" w:hint="default"/>
                <w:sz w:val="21"/>
                <w:szCs w:val="21"/>
              </w:rPr>
              <w:t>宣告 发放 现金 股利 或利 润</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4"/>
              <w:ind w:left="129" w:right="128"/>
              <w:jc w:val="both"/>
              <w:rPr>
                <w:rFonts w:ascii="宋体" w:hAnsi="宋体" w:cs="宋体" w:eastAsia="宋体" w:hint="default"/>
                <w:sz w:val="21"/>
                <w:szCs w:val="21"/>
              </w:rPr>
            </w:pPr>
            <w:r>
              <w:rPr>
                <w:rFonts w:ascii="宋体" w:hAnsi="宋体" w:cs="宋体" w:eastAsia="宋体" w:hint="default"/>
                <w:sz w:val="21"/>
                <w:szCs w:val="21"/>
              </w:rPr>
              <w:t>计 提 减 值 准 备</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103" w:right="97"/>
              <w:jc w:val="left"/>
              <w:rPr>
                <w:rFonts w:ascii="宋体" w:hAnsi="宋体" w:cs="宋体" w:eastAsia="宋体" w:hint="default"/>
                <w:sz w:val="21"/>
                <w:szCs w:val="21"/>
              </w:rPr>
            </w:pPr>
            <w:r>
              <w:rPr>
                <w:rFonts w:ascii="宋体" w:hAnsi="宋体" w:cs="宋体" w:eastAsia="宋体" w:hint="default"/>
                <w:sz w:val="21"/>
                <w:szCs w:val="21"/>
              </w:rPr>
              <w:t>其 他</w:t>
            </w:r>
          </w:p>
        </w:tc>
        <w:tc>
          <w:tcPr>
            <w:tcW w:w="1372"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r>
      <w:tr>
        <w:trPr>
          <w:trHeight w:val="827"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一、联</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66"/>
                <w:sz w:val="21"/>
                <w:szCs w:val="21"/>
              </w:rPr>
              <w:t> </w:t>
            </w:r>
            <w:r>
              <w:rPr>
                <w:rFonts w:ascii="宋体" w:hAnsi="宋体" w:cs="宋体" w:eastAsia="宋体" w:hint="default"/>
                <w:sz w:val="21"/>
                <w:szCs w:val="21"/>
              </w:rPr>
              <w:t>企</w:t>
            </w:r>
            <w:r>
              <w:rPr>
                <w:rFonts w:ascii="宋体" w:hAnsi="宋体" w:cs="宋体" w:eastAsia="宋体" w:hint="default"/>
                <w:sz w:val="21"/>
                <w:szCs w:val="21"/>
              </w:rPr>
              <w:t> 业</w:t>
            </w:r>
          </w:p>
        </w:tc>
        <w:tc>
          <w:tcPr>
            <w:tcW w:w="131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66"/>
                <w:sz w:val="21"/>
                <w:szCs w:val="21"/>
              </w:rPr>
              <w:t> </w:t>
            </w:r>
            <w:r>
              <w:rPr>
                <w:rFonts w:ascii="宋体" w:hAnsi="宋体" w:cs="宋体" w:eastAsia="宋体" w:hint="default"/>
                <w:sz w:val="21"/>
                <w:szCs w:val="21"/>
              </w:rPr>
              <w:t>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伍</w:t>
            </w:r>
            <w:r>
              <w:rPr>
                <w:rFonts w:ascii="宋体" w:hAnsi="宋体" w:cs="宋体" w:eastAsia="宋体" w:hint="default"/>
                <w:spacing w:val="66"/>
                <w:sz w:val="21"/>
                <w:szCs w:val="21"/>
              </w:rPr>
              <w:t> </w:t>
            </w:r>
            <w:r>
              <w:rPr>
                <w:rFonts w:ascii="宋体" w:hAnsi="宋体" w:cs="宋体" w:eastAsia="宋体" w:hint="default"/>
                <w:sz w:val="21"/>
                <w:szCs w:val="21"/>
              </w:rPr>
              <w:t>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199,055.60</w:t>
            </w:r>
          </w:p>
        </w:tc>
        <w:tc>
          <w:tcPr>
            <w:tcW w:w="418"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-17,677.78</w:t>
            </w: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sz w:val="21"/>
              </w:rPr>
              <w:t>181,377.82</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199,055.60</w:t>
            </w:r>
          </w:p>
        </w:tc>
        <w:tc>
          <w:tcPr>
            <w:tcW w:w="418"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-17,677.78</w:t>
            </w: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181,377.82</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199,055.60</w:t>
            </w:r>
          </w:p>
        </w:tc>
        <w:tc>
          <w:tcPr>
            <w:tcW w:w="418"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-17,677.78</w:t>
            </w: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181,377.82</w:t>
            </w:r>
          </w:p>
        </w:tc>
        <w:tc>
          <w:tcPr>
            <w:tcW w:w="5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6"/>
          <w:pgSz w:w="11910" w:h="16840"/>
          <w:pgMar w:footer="977" w:header="0" w:top="1120" w:bottom="116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84"/>
        <w:jc w:val="left"/>
        <w:rPr>
          <w:b w:val="0"/>
          <w:bCs w:val="0"/>
        </w:rPr>
      </w:pPr>
      <w:r>
        <w:rPr/>
        <w:t>4、</w:t>
      </w:r>
      <w:r>
        <w:rPr>
          <w:spacing w:val="-1"/>
        </w:rPr>
        <w:t> </w:t>
      </w:r>
      <w:r>
        <w:rPr/>
        <w:t>营业收入和营业成本：</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401"/>
        <w:gridCol w:w="1686"/>
        <w:gridCol w:w="1686"/>
        <w:gridCol w:w="1686"/>
        <w:gridCol w:w="1686"/>
      </w:tblGrid>
      <w:tr>
        <w:trPr>
          <w:trHeight w:val="282" w:hRule="exact"/>
        </w:trPr>
        <w:tc>
          <w:tcPr>
            <w:tcW w:w="2401"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401"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9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297,667,154.63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152,040,072.71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274,946,508.63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151,860,615.04</w:t>
            </w:r>
          </w:p>
        </w:tc>
      </w:tr>
      <w:tr>
        <w:trPr>
          <w:trHeight w:val="29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1,407,392.00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536,253.07</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299,074,546.63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152,576,325.78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274,946,508.63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151,860,615.04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84"/>
        <w:jc w:val="left"/>
        <w:rPr>
          <w:b w:val="0"/>
          <w:bCs w:val="0"/>
        </w:rPr>
      </w:pPr>
      <w:r>
        <w:rPr/>
        <w:t>5、</w:t>
      </w:r>
      <w:r>
        <w:rPr>
          <w:spacing w:val="2"/>
        </w:rPr>
        <w:t> </w:t>
      </w:r>
      <w:r>
        <w:rPr/>
        <w:t>投资收益</w:t>
      </w:r>
      <w:r>
        <w:rPr>
          <w:b w:val="0"/>
          <w:bCs w:val="0"/>
        </w:rPr>
      </w:r>
    </w:p>
    <w:p>
      <w:pPr>
        <w:pStyle w:val="BodyText"/>
        <w:tabs>
          <w:tab w:pos="1049" w:val="left" w:leader="none"/>
        </w:tabs>
        <w:spacing w:line="240" w:lineRule="auto" w:before="56"/>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096"/>
        <w:gridCol w:w="2521"/>
        <w:gridCol w:w="2528"/>
      </w:tblGrid>
      <w:tr>
        <w:trPr>
          <w:trHeight w:val="283"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21"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-17,677.78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-944.40</w:t>
            </w:r>
          </w:p>
        </w:tc>
      </w:tr>
      <w:tr>
        <w:trPr>
          <w:trHeight w:val="283"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21"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-45,545.47</w:t>
            </w:r>
          </w:p>
        </w:tc>
      </w:tr>
      <w:tr>
        <w:trPr>
          <w:trHeight w:val="554"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521"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521"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21"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521"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21"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521"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银行理财产品产生的投资收益</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1,004,794.52</w:t>
            </w:r>
            <w:r>
              <w:rPr>
                <w:rFonts w:ascii="宋体"/>
                <w:sz w:val="21"/>
              </w:rPr>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987,116.74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-46,489.87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7"/>
          <w:pgSz w:w="11910" w:h="16840"/>
          <w:pgMar w:footer="977" w:header="0" w:top="1120" w:bottom="1160" w:left="1480" w:right="1040"/>
          <w:pgNumType w:start="141"/>
        </w:sectPr>
      </w:pPr>
    </w:p>
    <w:p>
      <w:pPr>
        <w:pStyle w:val="Heading2"/>
        <w:tabs>
          <w:tab w:pos="1061" w:val="left" w:leader="none"/>
        </w:tabs>
        <w:spacing w:line="240" w:lineRule="auto"/>
        <w:ind w:right="-17"/>
        <w:jc w:val="left"/>
        <w:rPr>
          <w:b w:val="0"/>
          <w:bCs w:val="0"/>
        </w:rPr>
      </w:pPr>
      <w:r>
        <w:rPr>
          <w:w w:val="95"/>
        </w:rPr>
        <w:t>十六、</w:t>
        <w:tab/>
      </w:r>
      <w:r>
        <w:rPr/>
        <w:t>补充资料</w:t>
      </w:r>
      <w:r>
        <w:rPr>
          <w:b w:val="0"/>
          <w:bCs w:val="0"/>
        </w:rPr>
      </w:r>
    </w:p>
    <w:p>
      <w:pPr>
        <w:pStyle w:val="Heading2"/>
        <w:spacing w:line="240" w:lineRule="auto" w:before="57"/>
        <w:ind w:right="-17"/>
        <w:jc w:val="left"/>
        <w:rPr>
          <w:b w:val="0"/>
          <w:bCs w:val="0"/>
        </w:rPr>
      </w:pPr>
      <w:r>
        <w:rPr/>
        <w:t>1、</w:t>
      </w:r>
      <w:r>
        <w:rPr>
          <w:spacing w:val="-4"/>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6"/>
        <w:ind w:left="221" w:right="0"/>
        <w:jc w:val="left"/>
      </w:pPr>
      <w:r>
        <w:rPr/>
        <w:t>单位：元</w:t>
        <w:tab/>
        <w:t>币种：人民币</w:t>
      </w:r>
    </w:p>
    <w:p>
      <w:pPr>
        <w:spacing w:after="0" w:line="240" w:lineRule="auto"/>
        <w:jc w:val="left"/>
        <w:sectPr>
          <w:type w:val="continuous"/>
          <w:pgSz w:w="11910" w:h="16840"/>
          <w:pgMar w:top="1120" w:bottom="1160" w:left="1480" w:right="1040"/>
          <w:cols w:num="2" w:equalWidth="0">
            <w:col w:w="2962" w:space="3657"/>
            <w:col w:w="277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100"/>
        <w:gridCol w:w="2516"/>
        <w:gridCol w:w="2528"/>
      </w:tblGrid>
      <w:tr>
        <w:trPr>
          <w:trHeight w:val="28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-72,267.30</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11,807,837.24</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00"/>
        <w:gridCol w:w="2516"/>
        <w:gridCol w:w="2528"/>
      </w:tblGrid>
      <w:tr>
        <w:trPr>
          <w:trHeight w:val="28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20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1,004,794.52</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-3,335.71</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-1,929,569.31</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-20,590.82</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10,786,868.62</w:t>
            </w:r>
          </w:p>
        </w:tc>
        <w:tc>
          <w:tcPr>
            <w:tcW w:w="25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84"/>
        <w:jc w:val="left"/>
        <w:rPr>
          <w:b w:val="0"/>
          <w:bCs w:val="0"/>
        </w:rPr>
      </w:pPr>
      <w:r>
        <w:rPr/>
        <w:t>2、</w:t>
      </w:r>
      <w:r>
        <w:rPr>
          <w:spacing w:val="-4"/>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2945"/>
        <w:gridCol w:w="1860"/>
        <w:gridCol w:w="2170"/>
        <w:gridCol w:w="2171"/>
      </w:tblGrid>
      <w:tr>
        <w:trPr>
          <w:trHeight w:val="282" w:hRule="exact"/>
        </w:trPr>
        <w:tc>
          <w:tcPr>
            <w:tcW w:w="2945" w:type="dxa"/>
            <w:vMerge w:val="restart"/>
            <w:tcBorders>
              <w:top w:val="single" w:sz="4" w:space="0" w:color="000000"/>
              <w:left w:val="single" w:sz="4" w:space="0" w:color="000000"/>
              <w:right w:val="single" w:sz="4" w:space="0" w:color="000000"/>
            </w:tcBorders>
          </w:tcPr>
          <w:p>
            <w:pPr>
              <w:pStyle w:val="TableParagraph"/>
              <w:spacing w:line="240" w:lineRule="auto" w:before="150"/>
              <w:ind w:left="942"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60" w:type="dxa"/>
            <w:vMerge w:val="restart"/>
            <w:tcBorders>
              <w:top w:val="single" w:sz="4" w:space="0" w:color="000000"/>
              <w:left w:val="single" w:sz="4" w:space="0" w:color="000000"/>
              <w:right w:val="single" w:sz="4" w:space="0" w:color="000000"/>
            </w:tcBorders>
          </w:tcPr>
          <w:p>
            <w:pPr>
              <w:pStyle w:val="TableParagraph"/>
              <w:spacing w:line="272" w:lineRule="exact" w:before="41"/>
              <w:ind w:left="348" w:right="188"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p>
        </w:tc>
        <w:tc>
          <w:tcPr>
            <w:tcW w:w="4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2945" w:type="dxa"/>
            <w:vMerge/>
            <w:tcBorders>
              <w:left w:val="single" w:sz="4" w:space="0" w:color="000000"/>
              <w:bottom w:val="single" w:sz="4" w:space="0" w:color="000000"/>
              <w:right w:val="single" w:sz="4" w:space="0" w:color="000000"/>
            </w:tcBorders>
          </w:tcPr>
          <w:p>
            <w:pPr/>
          </w:p>
        </w:tc>
        <w:tc>
          <w:tcPr>
            <w:tcW w:w="1860" w:type="dxa"/>
            <w:vMerge/>
            <w:tcBorders>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8"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21.12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1.16</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1.16</w:t>
            </w:r>
          </w:p>
        </w:tc>
      </w:tr>
      <w:tr>
        <w:trPr>
          <w:trHeight w:val="55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18.50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1.01</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1.01</w:t>
            </w:r>
          </w:p>
        </w:tc>
      </w:tr>
    </w:tbl>
    <w:p>
      <w:pPr>
        <w:spacing w:line="240" w:lineRule="auto" w:before="12"/>
        <w:rPr>
          <w:rFonts w:ascii="宋体" w:hAnsi="宋体" w:cs="宋体" w:eastAsia="宋体" w:hint="default"/>
          <w:b/>
          <w:bCs/>
          <w:sz w:val="19"/>
          <w:szCs w:val="19"/>
        </w:rPr>
      </w:pPr>
    </w:p>
    <w:p>
      <w:pPr>
        <w:pStyle w:val="Heading2"/>
        <w:spacing w:line="240" w:lineRule="auto"/>
        <w:ind w:right="84"/>
        <w:jc w:val="left"/>
        <w:rPr>
          <w:b w:val="0"/>
          <w:bCs w:val="0"/>
        </w:rPr>
      </w:pPr>
      <w:r>
        <w:rPr/>
        <w:t>3、</w:t>
      </w:r>
      <w:r>
        <w:rPr>
          <w:spacing w:val="-3"/>
        </w:rPr>
        <w:t> </w:t>
      </w:r>
      <w:r>
        <w:rPr/>
        <w:t>境内外会计准则下会计数据差异</w:t>
      </w:r>
      <w:r>
        <w:rPr>
          <w:b w:val="0"/>
          <w:bCs w:val="0"/>
        </w:rPr>
      </w:r>
    </w:p>
    <w:p>
      <w:pPr>
        <w:pStyle w:val="Heading2"/>
        <w:tabs>
          <w:tab w:pos="865" w:val="left" w:leader="none"/>
        </w:tabs>
        <w:spacing w:line="240" w:lineRule="auto" w:before="57"/>
        <w:ind w:right="84"/>
        <w:jc w:val="left"/>
        <w:rPr>
          <w:b w:val="0"/>
          <w:bCs w:val="0"/>
        </w:rPr>
      </w:pPr>
      <w:r>
        <w:rPr>
          <w:w w:val="95"/>
        </w:rPr>
        <w:t>(1).</w:t>
        <w:tab/>
      </w:r>
      <w:r>
        <w:rPr/>
        <w:t>同时按照国际会计准则与按中国会计准则披露的财务报告中净利润和净资产差异情况</w:t>
      </w:r>
      <w:r>
        <w:rPr>
          <w:b w:val="0"/>
          <w:bCs w:val="0"/>
        </w:rPr>
      </w:r>
    </w:p>
    <w:p>
      <w:pPr>
        <w:pStyle w:val="BodyText"/>
        <w:spacing w:line="240" w:lineRule="auto" w:before="57"/>
        <w:ind w:left="221" w:right="84"/>
        <w:jc w:val="left"/>
      </w:pPr>
      <w:r>
        <w:rPr/>
        <w:t>□适用√不适用</w:t>
      </w:r>
    </w:p>
    <w:p>
      <w:pPr>
        <w:spacing w:line="240" w:lineRule="auto" w:before="3"/>
        <w:rPr>
          <w:rFonts w:ascii="宋体" w:hAnsi="宋体" w:cs="宋体" w:eastAsia="宋体" w:hint="default"/>
          <w:sz w:val="25"/>
          <w:szCs w:val="25"/>
        </w:rPr>
      </w:pPr>
    </w:p>
    <w:p>
      <w:pPr>
        <w:pStyle w:val="Heading2"/>
        <w:tabs>
          <w:tab w:pos="865" w:val="left" w:leader="none"/>
        </w:tabs>
        <w:spacing w:line="240" w:lineRule="auto" w:before="0"/>
        <w:ind w:right="84"/>
        <w:jc w:val="left"/>
        <w:rPr>
          <w:b w:val="0"/>
          <w:bCs w:val="0"/>
        </w:rPr>
      </w:pPr>
      <w:r>
        <w:rPr>
          <w:w w:val="95"/>
        </w:rPr>
        <w:t>(2).</w:t>
        <w:tab/>
      </w:r>
      <w:r>
        <w:rPr/>
        <w:t>同时按照境外会计准则与按中国会计准则披露的财务报告中净利润和净资产差异情况</w:t>
      </w:r>
      <w:r>
        <w:rPr>
          <w:b w:val="0"/>
          <w:bCs w:val="0"/>
        </w:rPr>
      </w:r>
    </w:p>
    <w:p>
      <w:pPr>
        <w:pStyle w:val="BodyText"/>
        <w:spacing w:line="240" w:lineRule="auto" w:before="57"/>
        <w:ind w:left="221" w:right="84"/>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84"/>
        <w:jc w:val="left"/>
        <w:rPr>
          <w:b w:val="0"/>
          <w:bCs w:val="0"/>
        </w:rPr>
      </w:pPr>
      <w:r>
        <w:rPr/>
        <w:t>4、</w:t>
      </w:r>
      <w:r>
        <w:rPr>
          <w:spacing w:val="-4"/>
        </w:rPr>
        <w:t> </w:t>
      </w:r>
      <w:r>
        <w:rPr/>
        <w:t>会计政策变更相关补充资料</w:t>
      </w:r>
      <w:r>
        <w:rPr>
          <w:b w:val="0"/>
          <w:bCs w:val="0"/>
        </w:rPr>
      </w:r>
    </w:p>
    <w:p>
      <w:pPr>
        <w:pStyle w:val="BodyText"/>
        <w:spacing w:line="240" w:lineRule="auto" w:before="57"/>
        <w:ind w:left="221" w:right="84"/>
        <w:jc w:val="left"/>
      </w:pPr>
      <w:r>
        <w:rPr/>
        <w:t>□适用</w:t>
      </w:r>
      <w:r>
        <w:rPr>
          <w:spacing w:val="-2"/>
        </w:rPr>
        <w:t> </w:t>
      </w:r>
      <w:r>
        <w:rPr/>
        <w:t>√不适用</w:t>
      </w:r>
    </w:p>
    <w:p>
      <w:pPr>
        <w:spacing w:after="0" w:line="240" w:lineRule="auto"/>
        <w:jc w:val="left"/>
        <w:sectPr>
          <w:pgSz w:w="11910" w:h="16840"/>
          <w:pgMar w:header="0" w:footer="977" w:top="1120" w:bottom="116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left="3116" w:right="3126"/>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06" w:type="dxa"/>
        <w:tblLayout w:type="fixed"/>
        <w:tblCellMar>
          <w:top w:w="0" w:type="dxa"/>
          <w:left w:w="0" w:type="dxa"/>
          <w:bottom w:w="0" w:type="dxa"/>
          <w:right w:w="0" w:type="dxa"/>
        </w:tblCellMar>
        <w:tblLook w:val="01E0"/>
      </w:tblPr>
      <w:tblGrid>
        <w:gridCol w:w="2320"/>
        <w:gridCol w:w="6670"/>
      </w:tblGrid>
      <w:tr>
        <w:trPr>
          <w:trHeight w:val="730" w:hRule="exact"/>
        </w:trPr>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6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3"/>
              <w:jc w:val="left"/>
              <w:rPr>
                <w:rFonts w:ascii="宋体" w:hAnsi="宋体" w:cs="宋体" w:eastAsia="宋体" w:hint="default"/>
                <w:sz w:val="21"/>
                <w:szCs w:val="21"/>
              </w:rPr>
            </w:pPr>
            <w:r>
              <w:rPr>
                <w:rFonts w:ascii="宋体" w:hAnsi="宋体" w:cs="宋体" w:eastAsia="宋体" w:hint="default"/>
                <w:spacing w:val="2"/>
                <w:sz w:val="21"/>
                <w:szCs w:val="21"/>
              </w:rPr>
              <w:t>载有法定代表人、主管会计工作负责人和会计机构负责人签名并盖章的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会计报表</w:t>
            </w:r>
          </w:p>
        </w:tc>
      </w:tr>
      <w:tr>
        <w:trPr>
          <w:trHeight w:val="523" w:hRule="exact"/>
        </w:trPr>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45"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载有会计师事务所、注册会计师签名并盖章的审计报告原件</w:t>
            </w:r>
          </w:p>
        </w:tc>
      </w:tr>
      <w:tr>
        <w:trPr>
          <w:trHeight w:val="731" w:hRule="exact"/>
        </w:trPr>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6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3"/>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报告期内在中国证监会指定报纸上公开披露过的所有公司文件的正本及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公告原稿。</w:t>
            </w:r>
          </w:p>
        </w:tc>
      </w:tr>
    </w:tbl>
    <w:p>
      <w:pPr>
        <w:spacing w:line="240" w:lineRule="auto" w:before="1"/>
        <w:rPr>
          <w:rFonts w:ascii="宋体" w:hAnsi="宋体" w:cs="宋体" w:eastAsia="宋体" w:hint="default"/>
          <w:b/>
          <w:bCs/>
          <w:sz w:val="28"/>
          <w:szCs w:val="28"/>
        </w:rPr>
      </w:pPr>
    </w:p>
    <w:p>
      <w:pPr>
        <w:pStyle w:val="BodyText"/>
        <w:spacing w:line="628" w:lineRule="auto" w:before="35"/>
        <w:ind w:left="5444" w:right="139" w:firstLine="1731"/>
        <w:jc w:val="left"/>
      </w:pPr>
      <w:r>
        <w:rPr/>
        <w:t>代理董事长：侯济恭 董事会批准报送日期：2015</w:t>
      </w:r>
      <w:r>
        <w:rPr>
          <w:spacing w:val="-55"/>
        </w:rPr>
        <w:t> </w:t>
      </w:r>
      <w:r>
        <w:rPr/>
        <w:t>年</w:t>
      </w:r>
      <w:r>
        <w:rPr>
          <w:spacing w:val="-57"/>
        </w:rPr>
        <w:t> </w:t>
      </w:r>
      <w:r>
        <w:rPr/>
        <w:t>4</w:t>
      </w:r>
      <w:r>
        <w:rPr>
          <w:spacing w:val="-55"/>
        </w:rPr>
        <w:t> </w:t>
      </w:r>
      <w:r>
        <w:rPr/>
        <w:t>月</w:t>
      </w:r>
      <w:r>
        <w:rPr>
          <w:spacing w:val="-57"/>
        </w:rPr>
        <w:t> </w:t>
      </w:r>
      <w:r>
        <w:rPr/>
        <w:t>9</w:t>
      </w:r>
      <w:r>
        <w:rPr>
          <w:spacing w:val="-56"/>
        </w:rPr>
        <w:t> </w:t>
      </w:r>
      <w:r>
        <w:rPr/>
        <w:t>日</w:t>
      </w:r>
    </w:p>
    <w:sectPr>
      <w:pgSz w:w="11910" w:h="16840"/>
      <w:pgMar w:header="0" w:footer="977" w:top="1120" w:bottom="1160" w:left="15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79999pt;margin-top:782.149719pt;width:28.85pt;height:11pt;mso-position-horizontal-relative:page;mso-position-vertical-relative:page;z-index:-735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pt;margin-top:782.149719pt;width:33.4pt;height:11pt;mso-position-horizontal-relative:page;mso-position-vertical-relative:page;z-index:-735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70514pt;margin-top:535.549927pt;width:33.4pt;height:11pt;mso-position-horizontal-relative:page;mso-position-vertical-relative:page;z-index:-735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70514pt;margin-top:535.549927pt;width:32.4pt;height:11pt;mso-position-horizontal-relative:page;mso-position-vertical-relative:page;z-index:-735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 </w:t>
                </w:r>
                <w:r>
                  <w:rPr>
                    <w:rFonts w:ascii="Calibri"/>
                    <w:b/>
                    <w:sz w:val="18"/>
                  </w:rPr>
                  <w:t>143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70514pt;margin-top:535.549927pt;width:32.4pt;height:11pt;mso-position-horizontal-relative:page;mso-position-vertical-relative:page;z-index:-735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 </w:t>
                </w:r>
                <w:r>
                  <w:rPr>
                    <w:rFonts w:ascii="Calibri"/>
                    <w:b/>
                    <w:sz w:val="18"/>
                  </w:rPr>
                  <w:t>143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149719pt;width:33.4pt;height:11pt;mso-position-horizontal-relative:page;mso-position-vertical-relative:page;z-index:-734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42</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149719pt;width:32.4pt;height:11pt;mso-position-horizontal-relative:page;mso-position-vertical-relative:page;z-index:-734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 </w:t>
                </w:r>
                <w:r>
                  <w:rPr>
                    <w:rFonts w:ascii="Calibri"/>
                    <w:b/>
                    <w:sz w:val="18"/>
                  </w:rPr>
                  <w:t>143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149719pt;width:33.4pt;height:11pt;mso-position-horizontal-relative:page;mso-position-vertical-relative:page;z-index:-734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149719pt;width:32.4pt;height:11pt;mso-position-horizontal-relative:page;mso-position-vertical-relative:page;z-index:-734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 </w:t>
                </w:r>
                <w:r>
                  <w:rPr>
                    <w:rFonts w:ascii="Calibri"/>
                    <w:b/>
                    <w:sz w:val="18"/>
                  </w:rPr>
                  <w:t>143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149719pt;width:33.4pt;height:11pt;mso-position-horizontal-relative:page;mso-position-vertical-relative:page;z-index:-734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70514pt;margin-top:535.549927pt;width:33.4pt;height:11pt;mso-position-horizontal-relative:page;mso-position-vertical-relative:page;z-index:-734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pt;margin-top:782.149719pt;width:32.4pt;height:11pt;mso-position-horizontal-relative:page;mso-position-vertical-relative:page;z-index:-735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 </w:t>
                </w:r>
                <w:r>
                  <w:rPr>
                    <w:rFonts w:ascii="Calibri"/>
                    <w:b/>
                    <w:sz w:val="18"/>
                  </w:rPr>
                  <w:t>143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70514pt;margin-top:535.549927pt;width:32.4pt;height:11pt;mso-position-horizontal-relative:page;mso-position-vertical-relative:page;z-index:-734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 </w:t>
                </w:r>
                <w:r>
                  <w:rPr>
                    <w:rFonts w:ascii="Calibri"/>
                    <w:b/>
                    <w:sz w:val="18"/>
                  </w:rPr>
                  <w:t>143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70514pt;margin-top:535.549927pt;width:32.4pt;height:11pt;mso-position-horizontal-relative:page;mso-position-vertical-relative:page;z-index:-734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71 </w:t>
                </w:r>
                <w:r>
                  <w:rPr>
                    <w:rFonts w:ascii="Calibri"/>
                    <w:sz w:val="18"/>
                  </w:rPr>
                  <w:t>/ </w:t>
                </w:r>
                <w:r>
                  <w:rPr>
                    <w:rFonts w:ascii="Calibri"/>
                    <w:b/>
                    <w:sz w:val="18"/>
                  </w:rPr>
                  <w:t>143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149719pt;width:33.4pt;height:11pt;mso-position-horizontal-relative:page;mso-position-vertical-relative:page;z-index:-734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149719pt;width:32.4pt;height:11pt;mso-position-horizontal-relative:page;mso-position-vertical-relative:page;z-index:-734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 </w:t>
                </w:r>
                <w:r>
                  <w:rPr>
                    <w:rFonts w:ascii="Calibri"/>
                    <w:b/>
                    <w:sz w:val="18"/>
                  </w:rPr>
                  <w:t>143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149719pt;width:33.4pt;height:11pt;mso-position-horizontal-relative:page;mso-position-vertical-relative:page;z-index:-734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149719pt;width:32.4pt;height:11pt;mso-position-horizontal-relative:page;mso-position-vertical-relative:page;z-index:-734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 </w:t>
                </w:r>
                <w:r>
                  <w:rPr>
                    <w:rFonts w:ascii="Calibri"/>
                    <w:b/>
                    <w:sz w:val="18"/>
                  </w:rPr>
                  <w:t>143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149719pt;width:33.4pt;height:11pt;mso-position-horizontal-relative:page;mso-position-vertical-relative:page;z-index:-734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149719pt;width:33.4pt;height:11pt;mso-position-horizontal-relative:page;mso-position-vertical-relative:page;z-index:-734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pt;margin-top:782.149719pt;width:33.4pt;height:11pt;mso-position-horizontal-relative:page;mso-position-vertical-relative:page;z-index:-735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0007pt;margin-top:782.149719pt;width:37.950pt;height:11pt;mso-position-horizontal-relative:page;mso-position-vertical-relative:page;z-index:-734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0007pt;margin-top:782.149719pt;width:36.950pt;height:11pt;mso-position-horizontal-relative:page;mso-position-vertical-relative:page;z-index:-734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 </w:t>
                </w:r>
                <w:r>
                  <w:rPr>
                    <w:rFonts w:ascii="Calibri"/>
                    <w:b/>
                    <w:sz w:val="18"/>
                  </w:rPr>
                  <w:t>143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0007pt;margin-top:782.149719pt;width:37.950pt;height:11pt;mso-position-horizontal-relative:page;mso-position-vertical-relative:page;z-index:-734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0007pt;margin-top:782.149719pt;width:36.950pt;height:11pt;mso-position-horizontal-relative:page;mso-position-vertical-relative:page;z-index:-734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 </w:t>
                </w:r>
                <w:r>
                  <w:rPr>
                    <w:rFonts w:ascii="Calibri"/>
                    <w:b/>
                    <w:sz w:val="18"/>
                  </w:rPr>
                  <w:t>143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0007pt;margin-top:782.149719pt;width:37.950pt;height:11pt;mso-position-horizontal-relative:page;mso-position-vertical-relative:page;z-index:-734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30505pt;margin-top:535.549927pt;width:37.950pt;height:11pt;mso-position-horizontal-relative:page;mso-position-vertical-relative:page;z-index:-734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0007pt;margin-top:782.149719pt;width:37.950pt;height:11pt;mso-position-horizontal-relative:page;mso-position-vertical-relative:page;z-index:-734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1"/>
                    <w:sz w:val="18"/>
                  </w:rPr>
                  <w:t> </w:t>
                </w:r>
                <w:r>
                  <w:rPr>
                    <w:rFonts w:ascii="Calibri"/>
                    <w:b/>
                    <w:sz w:val="18"/>
                  </w:rPr>
                  <w:t>143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0007pt;margin-top:782.149719pt;width:37.950pt;height:11pt;mso-position-horizontal-relative:page;mso-position-vertical-relative:page;z-index:-734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0007pt;margin-top:782.149719pt;width:37.950pt;height:11pt;mso-position-horizontal-relative:page;mso-position-vertical-relative:page;z-index:-734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0007pt;margin-top:782.149719pt;width:36.950pt;height:11pt;mso-position-horizontal-relative:page;mso-position-vertical-relative:page;z-index:-734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 </w:t>
                </w:r>
                <w:r>
                  <w:rPr>
                    <w:rFonts w:ascii="Calibri"/>
                    <w:b/>
                    <w:sz w:val="18"/>
                  </w:rPr>
                  <w:t>143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0007pt;margin-top:782.149719pt;width:37.950pt;height:11pt;mso-position-horizontal-relative:page;mso-position-vertical-relative:page;z-index:-734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pt;margin-top:782.149719pt;width:33.4pt;height:11pt;mso-position-horizontal-relative:page;mso-position-vertical-relative:page;z-index:-735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pt;margin-top:782.149719pt;width:33.4pt;height:11pt;mso-position-horizontal-relative:page;mso-position-vertical-relative:page;z-index:-735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 </w:t>
                </w:r>
                <w:r>
                  <w:rPr>
                    <w:rFonts w:ascii="Calibri"/>
                    <w:b/>
                    <w:sz w:val="18"/>
                  </w:rPr>
                  <w:t>143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pt;margin-top:782.149719pt;width:32.4pt;height:11pt;mso-position-horizontal-relative:page;mso-position-vertical-relative:page;z-index:-735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 </w:t>
                </w:r>
                <w:r>
                  <w:rPr>
                    <w:rFonts w:ascii="Calibri"/>
                    <w:b/>
                    <w:sz w:val="18"/>
                  </w:rPr>
                  <w:t>143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pt;margin-top:782.149719pt;width:32.4pt;height:11pt;mso-position-horizontal-relative:page;mso-position-vertical-relative:page;z-index:-735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 </w:t>
                </w:r>
                <w:r>
                  <w:rPr>
                    <w:rFonts w:ascii="Calibri"/>
                    <w:b/>
                    <w:sz w:val="18"/>
                  </w:rPr>
                  <w:t>143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00014pt;width:443.6pt;height:.1pt;mso-position-horizontal-relative:page;mso-position-vertical-relative:page;z-index:-735352" coordorigin="1768,1116" coordsize="8872,2">
          <v:shape style="position:absolute;left:1768;top:1116;width:8872;height:2" coordorigin="1768,1116" coordsize="8872,0" path="m1768,1116l10639,1116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720764pt;margin-top:43.105324pt;width:177.75pt;height:12pt;mso-position-horizontal-relative:page;mso-position-vertical-relative:page;z-index:-735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860001pt;width:695.6pt;height:.1pt;mso-position-horizontal-relative:page;mso-position-vertical-relative:page;z-index:-734392" coordorigin="1410,1117" coordsize="13912,2">
          <v:shape style="position:absolute;left:1410;top:1117;width:13912;height:2" coordorigin="1410,1117" coordsize="13912,0" path="m1410,1117l15321,1117e" filled="false" stroked="true" strokeweight=".72pt" strokecolor="#000000">
            <v:path arrowok="t"/>
          </v:shape>
          <w10:wrap type="none"/>
        </v:group>
      </w:pict>
    </w:r>
    <w:r>
      <w:rPr/>
      <w:pict>
        <v:shape style="position:absolute;margin-left:587.830505pt;margin-top:43.105625pt;width:177.75pt;height:12pt;mso-position-horizontal-relative:page;mso-position-vertical-relative:page;z-index:-734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859985pt;width:448.4pt;height:.1pt;mso-position-horizontal-relative:page;mso-position-vertical-relative:page;z-index:-734320" coordorigin="1672,1117" coordsize="8968,2">
          <v:shape style="position:absolute;left:1672;top:1117;width:8968;height:2" coordorigin="1672,1117" coordsize="8968,0" path="m1672,1117l10639,1117e" filled="false" stroked="true" strokeweight=".72003pt" strokecolor="#000000">
            <v:path arrowok="t"/>
          </v:shape>
          <w10:wrap type="none"/>
        </v:group>
      </w:pict>
    </w:r>
    <w:r>
      <w:rPr/>
      <w:pict>
        <v:shape style="position:absolute;margin-left:353.720001pt;margin-top:43.105324pt;width:177.75pt;height:12pt;mso-position-horizontal-relative:page;mso-position-vertical-relative:page;z-index:-734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859985pt;width:448.4pt;height:.1pt;mso-position-horizontal-relative:page;mso-position-vertical-relative:page;z-index:-734224" coordorigin="1672,1117" coordsize="8968,2">
          <v:shape style="position:absolute;left:1672;top:1117;width:8968;height:2" coordorigin="1672,1117" coordsize="8968,0" path="m1672,1117l10639,1117e" filled="false" stroked="true" strokeweight=".72003pt" strokecolor="#000000">
            <v:path arrowok="t"/>
          </v:shape>
          <w10:wrap type="none"/>
        </v:group>
      </w:pict>
    </w:r>
    <w:r>
      <w:rPr/>
      <w:pict>
        <v:shape style="position:absolute;margin-left:353.720001pt;margin-top:43.105324pt;width:177.75pt;height:12pt;mso-position-horizontal-relative:page;mso-position-vertical-relative:page;z-index:-734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50999pt;margin-top:55.799999pt;width:695.6pt;height:.1pt;mso-position-horizontal-relative:page;mso-position-vertical-relative:page;z-index:-735112" coordorigin="1495,1116" coordsize="13912,2">
          <v:shape style="position:absolute;left:1495;top:1116;width:13912;height:2" coordorigin="1495,1116" coordsize="13912,0" path="m1495,1116l15407,1116e" filled="false" stroked="true" strokeweight=".72pt" strokecolor="#000000">
            <v:path arrowok="t"/>
          </v:shape>
          <w10:wrap type="none"/>
        </v:group>
      </w:pict>
    </w:r>
    <w:r>
      <w:rPr/>
      <w:pict>
        <v:shape style="position:absolute;margin-left:592.090515pt;margin-top:43.105625pt;width:177.75pt;height:12pt;mso-position-horizontal-relative:page;mso-position-vertical-relative:page;z-index:-735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800014pt;width:448.4pt;height:.1pt;mso-position-horizontal-relative:page;mso-position-vertical-relative:page;z-index:-734992" coordorigin="1672,1116" coordsize="8968,2">
          <v:shape style="position:absolute;left:1672;top:1116;width:8968;height:2" coordorigin="1672,1116" coordsize="8968,0" path="m1672,1116l10639,1116e" filled="false" stroked="true" strokeweight=".71997pt" strokecolor="#000000">
            <v:path arrowok="t"/>
          </v:shape>
          <w10:wrap type="none"/>
        </v:group>
      </w:pict>
    </w:r>
    <w:r>
      <w:rPr/>
      <w:pict>
        <v:shape style="position:absolute;margin-left:353.720001pt;margin-top:42.865326pt;width:177.75pt;height:12pt;mso-position-horizontal-relative:page;mso-position-vertical-relative:page;z-index:-734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50999pt;margin-top:55.619999pt;width:695.6pt;height:.1pt;mso-position-horizontal-relative:page;mso-position-vertical-relative:page;z-index:-734824" coordorigin="1495,1112" coordsize="13912,2">
          <v:shape style="position:absolute;left:1495;top:1112;width:13912;height:2" coordorigin="1495,1112" coordsize="13912,0" path="m1495,1112l15407,1112e" filled="false" stroked="true" strokeweight=".72pt" strokecolor="#000000">
            <v:path arrowok="t"/>
          </v:shape>
          <w10:wrap type="none"/>
        </v:group>
      </w:pict>
    </w:r>
    <w:r>
      <w:rPr/>
      <w:pict>
        <v:shape style="position:absolute;margin-left:592.090515pt;margin-top:42.865623pt;width:177.75pt;height:12pt;mso-position-horizontal-relative:page;mso-position-vertical-relative:page;z-index:-734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859985pt;width:448.4pt;height:.1pt;mso-position-horizontal-relative:page;mso-position-vertical-relative:page;z-index:-734704" coordorigin="1672,1117" coordsize="8968,2">
          <v:shape style="position:absolute;left:1672;top:1117;width:8968;height:2" coordorigin="1672,1117" coordsize="8968,0" path="m1672,1117l10639,1117e" filled="false" stroked="true" strokeweight=".72003pt" strokecolor="#000000">
            <v:path arrowok="t"/>
          </v:shape>
          <w10:wrap type="none"/>
        </v:group>
      </w:pict>
    </w:r>
    <w:r>
      <w:rPr/>
      <w:pict>
        <v:shape style="position:absolute;margin-left:353.720001pt;margin-top:43.105324pt;width:177.75pt;height:12pt;mso-position-horizontal-relative:page;mso-position-vertical-relative:page;z-index:-734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7"/>
    </w:pPr>
    <w:rPr>
      <w:rFonts w:ascii="宋体" w:hAnsi="宋体" w:eastAsia="宋体"/>
      <w:sz w:val="21"/>
      <w:szCs w:val="21"/>
    </w:rPr>
  </w:style>
  <w:style w:styleId="BodyText" w:type="paragraph">
    <w:name w:val="Body Text"/>
    <w:basedOn w:val="Normal"/>
    <w:uiPriority w:val="1"/>
    <w:qFormat/>
    <w:pPr>
      <w:spacing w:before="20"/>
      <w:ind w:left="141"/>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35"/>
      <w:ind w:left="221"/>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mailto:bona@linewell.com" TargetMode="External"/><Relationship Id="rId17" Type="http://schemas.openxmlformats.org/officeDocument/2006/relationships/hyperlink" Target="http://www.linewell.com/" TargetMode="External"/><Relationship Id="rId18" Type="http://schemas.openxmlformats.org/officeDocument/2006/relationships/hyperlink" Target="mailto:ir@linewell.com" TargetMode="External"/><Relationship Id="rId19" Type="http://schemas.openxmlformats.org/officeDocument/2006/relationships/hyperlink" Target="http://www.sse.com.cn/"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header" Target="header2.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3.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image" Target="media/image10.jpeg"/><Relationship Id="rId32" Type="http://schemas.openxmlformats.org/officeDocument/2006/relationships/header" Target="header4.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header" Target="header5.xml"/><Relationship Id="rId37" Type="http://schemas.openxmlformats.org/officeDocument/2006/relationships/footer" Target="footer14.xml"/><Relationship Id="rId38" Type="http://schemas.openxmlformats.org/officeDocument/2006/relationships/image" Target="media/image11.jpeg"/><Relationship Id="rId39" Type="http://schemas.openxmlformats.org/officeDocument/2006/relationships/image" Target="media/image12.jpeg"/><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header" Target="header6.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header" Target="header7.xml"/><Relationship Id="rId49" Type="http://schemas.openxmlformats.org/officeDocument/2006/relationships/footer" Target="footer22.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8.xml"/><Relationship Id="rId55" Type="http://schemas.openxmlformats.org/officeDocument/2006/relationships/footer" Target="footer27.xml"/><Relationship Id="rId56" Type="http://schemas.openxmlformats.org/officeDocument/2006/relationships/footer" Target="footer28.xml"/><Relationship Id="rId57" Type="http://schemas.openxmlformats.org/officeDocument/2006/relationships/header" Target="header9.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footer" Target="footer33.xml"/><Relationship Id="rId63" Type="http://schemas.openxmlformats.org/officeDocument/2006/relationships/footer" Target="footer34.xml"/><Relationship Id="rId64" Type="http://schemas.openxmlformats.org/officeDocument/2006/relationships/header" Target="header10.xml"/><Relationship Id="rId65" Type="http://schemas.openxmlformats.org/officeDocument/2006/relationships/footer" Target="footer35.xml"/><Relationship Id="rId66" Type="http://schemas.openxmlformats.org/officeDocument/2006/relationships/header" Target="header11.xml"/><Relationship Id="rId67" Type="http://schemas.openxmlformats.org/officeDocument/2006/relationships/footer" Target="footer36.xml"/><Relationship Id="rId68" Type="http://schemas.openxmlformats.org/officeDocument/2006/relationships/footer" Target="footer37.xml"/><Relationship Id="rId69" Type="http://schemas.openxmlformats.org/officeDocument/2006/relationships/header" Target="header12.xml"/><Relationship Id="rId70" Type="http://schemas.openxmlformats.org/officeDocument/2006/relationships/footer" Target="footer38.xml"/><Relationship Id="rId71" Type="http://schemas.openxmlformats.org/officeDocument/2006/relationships/header" Target="header13.xml"/><Relationship Id="rId72" Type="http://schemas.openxmlformats.org/officeDocument/2006/relationships/footer" Target="footer39.xml"/><Relationship Id="rId73" Type="http://schemas.openxmlformats.org/officeDocument/2006/relationships/header" Target="header14.xml"/><Relationship Id="rId74" Type="http://schemas.openxmlformats.org/officeDocument/2006/relationships/footer" Target="footer40.xml"/><Relationship Id="rId75" Type="http://schemas.openxmlformats.org/officeDocument/2006/relationships/footer" Target="footer41.xml"/><Relationship Id="rId76" Type="http://schemas.openxmlformats.org/officeDocument/2006/relationships/footer" Target="footer42.xml"/><Relationship Id="rId77" Type="http://schemas.openxmlformats.org/officeDocument/2006/relationships/footer" Target="foot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- 603636_2014_n.docx</dc:title>
  <dcterms:created xsi:type="dcterms:W3CDTF">2020-05-07T00:47:38Z</dcterms:created>
  <dcterms:modified xsi:type="dcterms:W3CDTF">2020-05-07T00:47:38Z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2015-04-12T00:00:00Z</vt:filetime>
  </property>
  <property fmtid="{D5CDD505-2E9C-101B-9397-08002B2CF9AE}" pid="3" name="Creator">
    <vt:lpwstr>PScript5.dll Version 5.2.2</vt:lpwstr>
  </property>
  <property fmtid="{D5CDD505-2E9C-101B-9397-08002B2CF9AE}" pid="4" name="LastSaved">
    <vt:filetime>2020-05-06T00:00:00Z</vt:filetime>
  </property>
</Properties>
</file>