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jpeg" ContentType="image/jpeg"/>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3.xml" ContentType="application/vnd.openxmlformats-officedocument.wordprocessingml.header+xml"/>
  <Override PartName="/word/footer37.xml" ContentType="application/vnd.openxmlformats-officedocument.wordprocessingml.footer+xml"/>
  <Override PartName="/word/header14.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5.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16.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17.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0"/>
        <w:jc w:val="left"/>
      </w:pPr>
      <w:r>
        <w:rPr>
          <w:spacing w:val="-1"/>
        </w:rPr>
        <w:t>公司代码：</w:t>
      </w:r>
      <w:r>
        <w:rPr>
          <w:rFonts w:ascii="宋体" w:hAnsi="宋体" w:cs="宋体" w:eastAsia="宋体" w:hint="default"/>
          <w:spacing w:val="-1"/>
        </w:rPr>
        <w:t>603636</w:t>
        <w:tab/>
      </w:r>
      <w:r>
        <w:rPr>
          <w:spacing w:val="-2"/>
        </w:rPr>
        <w:t>公司简称：南威软件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0"/>
        <w:ind w:left="2134" w:right="2132" w:firstLine="0"/>
        <w:jc w:val="center"/>
        <w:rPr>
          <w:rFonts w:ascii="黑体" w:hAnsi="黑体" w:cs="黑体" w:eastAsia="黑体" w:hint="default"/>
          <w:sz w:val="48"/>
          <w:szCs w:val="48"/>
        </w:rPr>
      </w:pPr>
      <w:r>
        <w:rPr>
          <w:rFonts w:ascii="黑体" w:hAnsi="黑体" w:cs="黑体" w:eastAsia="黑体" w:hint="default"/>
          <w:sz w:val="48"/>
          <w:szCs w:val="48"/>
        </w:rPr>
        <w:t>南威软件股份有限公司</w:t>
      </w:r>
    </w:p>
    <w:p>
      <w:pPr>
        <w:spacing w:before="311"/>
        <w:ind w:left="2132" w:right="2132" w:firstLine="0"/>
        <w:jc w:val="center"/>
        <w:rPr>
          <w:rFonts w:ascii="黑体" w:hAnsi="黑体" w:cs="黑体" w:eastAsia="黑体" w:hint="default"/>
          <w:sz w:val="44"/>
          <w:szCs w:val="44"/>
        </w:rPr>
      </w:pPr>
      <w:r>
        <w:rPr>
          <w:rFonts w:ascii="黑体" w:hAnsi="黑体" w:cs="黑体" w:eastAsia="黑体" w:hint="default"/>
          <w:sz w:val="44"/>
          <w:szCs w:val="44"/>
        </w:rPr>
        <w:t>2015</w:t>
      </w:r>
      <w:r>
        <w:rPr>
          <w:rFonts w:ascii="黑体" w:hAnsi="黑体" w:cs="黑体" w:eastAsia="黑体" w:hint="default"/>
          <w:spacing w:val="-112"/>
          <w:sz w:val="44"/>
          <w:szCs w:val="44"/>
        </w:rPr>
        <w:t> </w:t>
      </w:r>
      <w:r>
        <w:rPr>
          <w:rFonts w:ascii="黑体" w:hAnsi="黑体" w:cs="黑体" w:eastAsia="黑体" w:hint="default"/>
          <w:sz w:val="44"/>
          <w:szCs w:val="44"/>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4"/>
          <w:szCs w:val="14"/>
        </w:rPr>
      </w:pPr>
    </w:p>
    <w:p>
      <w:pPr>
        <w:spacing w:line="770" w:lineRule="exact"/>
        <w:ind w:left="2007" w:right="0" w:firstLine="0"/>
        <w:rPr>
          <w:rFonts w:ascii="黑体" w:hAnsi="黑体" w:cs="黑体" w:eastAsia="黑体" w:hint="default"/>
          <w:sz w:val="20"/>
          <w:szCs w:val="20"/>
        </w:rPr>
      </w:pPr>
      <w:r>
        <w:rPr>
          <w:rFonts w:ascii="黑体" w:hAnsi="黑体" w:cs="黑体" w:eastAsia="黑体" w:hint="default"/>
          <w:position w:val="-14"/>
          <w:sz w:val="20"/>
          <w:szCs w:val="20"/>
        </w:rPr>
        <w:drawing>
          <wp:inline distT="0" distB="0" distL="0" distR="0">
            <wp:extent cx="3268806" cy="4892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268806" cy="489203"/>
                    </a:xfrm>
                    <a:prstGeom prst="rect">
                      <a:avLst/>
                    </a:prstGeom>
                  </pic:spPr>
                </pic:pic>
              </a:graphicData>
            </a:graphic>
          </wp:inline>
        </w:drawing>
      </w:r>
      <w:r>
        <w:rPr>
          <w:rFonts w:ascii="黑体" w:hAnsi="黑体" w:cs="黑体" w:eastAsia="黑体" w:hint="default"/>
          <w:position w:val="-14"/>
          <w:sz w:val="20"/>
          <w:szCs w:val="20"/>
        </w:rPr>
      </w: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0"/>
        <w:rPr>
          <w:rFonts w:ascii="黑体" w:hAnsi="黑体" w:cs="黑体" w:eastAsia="黑体" w:hint="default"/>
          <w:sz w:val="44"/>
          <w:szCs w:val="44"/>
        </w:rPr>
      </w:pPr>
    </w:p>
    <w:p>
      <w:pPr>
        <w:spacing w:line="240" w:lineRule="auto" w:before="2"/>
        <w:rPr>
          <w:rFonts w:ascii="黑体" w:hAnsi="黑体" w:cs="黑体" w:eastAsia="黑体" w:hint="default"/>
          <w:sz w:val="36"/>
          <w:szCs w:val="36"/>
        </w:rPr>
      </w:pPr>
    </w:p>
    <w:p>
      <w:pPr>
        <w:spacing w:before="0"/>
        <w:ind w:left="2134" w:right="2131" w:firstLine="0"/>
        <w:jc w:val="center"/>
        <w:rPr>
          <w:rFonts w:ascii="黑体" w:hAnsi="黑体" w:cs="黑体" w:eastAsia="黑体" w:hint="default"/>
          <w:sz w:val="40"/>
          <w:szCs w:val="40"/>
        </w:rPr>
      </w:pPr>
      <w:r>
        <w:rPr>
          <w:rFonts w:ascii="黑体" w:hAnsi="黑体" w:cs="黑体" w:eastAsia="黑体" w:hint="default"/>
          <w:sz w:val="40"/>
          <w:szCs w:val="40"/>
        </w:rPr>
        <w:t>二○一六年三月三十日</w:t>
      </w:r>
    </w:p>
    <w:p>
      <w:pPr>
        <w:spacing w:after="0"/>
        <w:jc w:val="center"/>
        <w:rPr>
          <w:rFonts w:ascii="黑体" w:hAnsi="黑体" w:cs="黑体" w:eastAsia="黑体" w:hint="default"/>
          <w:sz w:val="40"/>
          <w:szCs w:val="40"/>
        </w:rPr>
        <w:sectPr>
          <w:headerReference w:type="default" r:id="rId5"/>
          <w:footerReference w:type="default" r:id="rId6"/>
          <w:type w:val="continuous"/>
          <w:pgSz w:w="11910" w:h="16840"/>
          <w:pgMar w:header="880" w:footer="974" w:top="1120" w:bottom="1160" w:left="1660" w:right="1140"/>
          <w:pgNumType w:start="1"/>
        </w:sectPr>
      </w:pPr>
    </w:p>
    <w:p>
      <w:pPr>
        <w:spacing w:line="240" w:lineRule="auto" w:before="12"/>
        <w:rPr>
          <w:rFonts w:ascii="黑体" w:hAnsi="黑体" w:cs="黑体" w:eastAsia="黑体" w:hint="default"/>
          <w:sz w:val="27"/>
          <w:szCs w:val="27"/>
        </w:rPr>
      </w:pPr>
    </w:p>
    <w:p>
      <w:pPr>
        <w:spacing w:line="572" w:lineRule="exact" w:before="20"/>
        <w:ind w:left="2134" w:right="2129"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南威软件股份有限公司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7"/>
        <w:ind w:left="2132" w:right="213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2"/>
        <w:rPr>
          <w:rFonts w:ascii="黑体" w:hAnsi="黑体" w:cs="黑体" w:eastAsia="黑体" w:hint="default"/>
          <w:b/>
          <w:bCs/>
          <w:sz w:val="28"/>
          <w:szCs w:val="28"/>
        </w:rPr>
      </w:pPr>
    </w:p>
    <w:p>
      <w:pPr>
        <w:pStyle w:val="Heading2"/>
        <w:spacing w:line="314" w:lineRule="auto"/>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2"/>
        <w:spacing w:line="240" w:lineRule="auto" w:before="140"/>
        <w:ind w:left="138" w:right="0"/>
        <w:jc w:val="left"/>
        <w:rPr>
          <w:b w:val="0"/>
          <w:bCs w:val="0"/>
        </w:rPr>
      </w:pPr>
      <w:r>
        <w:rPr/>
        <w:t>二、</w:t>
      </w:r>
      <w:r>
        <w:rPr>
          <w:spacing w:val="-80"/>
        </w:rPr>
        <w:t> </w:t>
      </w:r>
      <w:r>
        <w:rPr/>
        <w:t>公司全体董事出席董事会会议。</w:t>
      </w:r>
      <w:r>
        <w:rPr>
          <w:b w:val="0"/>
          <w:bCs w:val="0"/>
        </w:rPr>
      </w:r>
    </w:p>
    <w:p>
      <w:pPr>
        <w:pStyle w:val="Heading2"/>
        <w:spacing w:line="480" w:lineRule="atLeast"/>
        <w:ind w:left="138" w:right="0"/>
        <w:jc w:val="left"/>
        <w:rPr>
          <w:b w:val="0"/>
          <w:bCs w:val="0"/>
        </w:rPr>
      </w:pPr>
      <w:r>
        <w:rPr/>
        <w:t>三、福建华兴会计师事务所（特殊普通合伙）为本公司出具了标准无保留意见的审计报告。</w:t>
      </w:r>
      <w:r>
        <w:rPr>
          <w:spacing w:val="-97"/>
        </w:rPr>
        <w:t> </w:t>
      </w:r>
      <w:r>
        <w:rPr>
          <w:spacing w:val="-97"/>
        </w:rPr>
      </w:r>
      <w:r>
        <w:rPr>
          <w:spacing w:val="-1"/>
        </w:rPr>
        <w:t>四、公司负责人吴志雄、主管会计工作负责人郑金聪及会计机构负责人（会计主管人员）黄丽珠</w:t>
      </w:r>
      <w:r>
        <w:rPr>
          <w:b w:val="0"/>
          <w:bCs w:val="0"/>
          <w:spacing w:val="-1"/>
        </w:rPr>
      </w:r>
    </w:p>
    <w:p>
      <w:pPr>
        <w:pStyle w:val="Heading2"/>
        <w:spacing w:line="240" w:lineRule="auto" w:before="85"/>
        <w:ind w:left="505" w:right="0"/>
        <w:jc w:val="left"/>
        <w:rPr>
          <w:b w:val="0"/>
          <w:bCs w:val="0"/>
        </w:rPr>
      </w:pPr>
      <w:r>
        <w:rPr/>
        <w:t>声明：保证年度报告中财务报告的真实、准确、完整。</w:t>
      </w:r>
      <w:r>
        <w:rPr>
          <w:b w:val="0"/>
          <w:bCs w:val="0"/>
        </w:rPr>
      </w:r>
    </w:p>
    <w:p>
      <w:pPr>
        <w:spacing w:line="240" w:lineRule="auto" w:before="9"/>
        <w:rPr>
          <w:rFonts w:ascii="宋体" w:hAnsi="宋体" w:cs="宋体" w:eastAsia="宋体" w:hint="default"/>
          <w:b/>
          <w:bCs/>
          <w:sz w:val="15"/>
          <w:szCs w:val="15"/>
        </w:rPr>
      </w:pPr>
    </w:p>
    <w:p>
      <w:pPr>
        <w:spacing w:line="314" w:lineRule="auto" w:before="0"/>
        <w:ind w:left="558" w:right="0" w:hanging="42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五、经董事会审议的报告期利润分配预案或公积金转增股本预案</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spacing w:val="-5"/>
          <w:sz w:val="21"/>
          <w:szCs w:val="21"/>
        </w:rPr>
        <w:t>经福建华兴会计师事务所（特殊普通合伙）审计确认，</w:t>
      </w:r>
      <w:r>
        <w:rPr>
          <w:rFonts w:ascii="Times New Roman" w:hAnsi="Times New Roman" w:cs="Times New Roman" w:eastAsia="Times New Roman" w:hint="default"/>
          <w:spacing w:val="-5"/>
          <w:sz w:val="21"/>
          <w:szCs w:val="21"/>
        </w:rPr>
        <w:t>2015</w:t>
      </w:r>
      <w:r>
        <w:rPr>
          <w:rFonts w:ascii="宋体" w:hAnsi="宋体" w:cs="宋体" w:eastAsia="宋体" w:hint="default"/>
          <w:spacing w:val="-5"/>
          <w:sz w:val="21"/>
          <w:szCs w:val="21"/>
        </w:rPr>
        <w:t>年度母公司净利润为</w:t>
      </w:r>
      <w:r>
        <w:rPr>
          <w:rFonts w:ascii="Times New Roman" w:hAnsi="Times New Roman" w:cs="Times New Roman" w:eastAsia="Times New Roman" w:hint="default"/>
          <w:spacing w:val="-5"/>
          <w:sz w:val="21"/>
          <w:szCs w:val="21"/>
        </w:rPr>
        <w:t>72,631,009.90</w:t>
      </w:r>
    </w:p>
    <w:p>
      <w:pPr>
        <w:pStyle w:val="BodyText"/>
        <w:spacing w:line="288" w:lineRule="exact"/>
        <w:ind w:right="0"/>
        <w:jc w:val="left"/>
      </w:pPr>
      <w:r>
        <w:rPr>
          <w:spacing w:val="8"/>
        </w:rPr>
        <w:t>元，按规定提取</w:t>
      </w:r>
      <w:r>
        <w:rPr>
          <w:rFonts w:ascii="Times New Roman" w:hAnsi="Times New Roman" w:cs="Times New Roman" w:eastAsia="Times New Roman" w:hint="default"/>
          <w:spacing w:val="8"/>
        </w:rPr>
        <w:t>10%</w:t>
      </w:r>
      <w:r>
        <w:rPr>
          <w:spacing w:val="8"/>
        </w:rPr>
        <w:t>法定盈余公积金后，截止</w:t>
      </w: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日母公司可供股东分配的利润为</w:t>
      </w:r>
    </w:p>
    <w:p>
      <w:pPr>
        <w:pStyle w:val="BodyText"/>
        <w:spacing w:line="240" w:lineRule="auto" w:before="69"/>
        <w:ind w:right="0"/>
        <w:jc w:val="left"/>
      </w:pPr>
      <w:r>
        <w:rPr>
          <w:rFonts w:ascii="Times New Roman" w:hAnsi="Times New Roman" w:cs="Times New Roman" w:eastAsia="Times New Roman" w:hint="default"/>
        </w:rPr>
        <w:t>331,797,693.14</w:t>
      </w:r>
      <w:r>
        <w:rPr/>
        <w:t>元。</w:t>
      </w:r>
    </w:p>
    <w:p>
      <w:pPr>
        <w:pStyle w:val="BodyText"/>
        <w:spacing w:line="304" w:lineRule="auto" w:before="69"/>
        <w:ind w:right="125" w:firstLine="419"/>
        <w:jc w:val="both"/>
      </w:pPr>
      <w:r>
        <w:rPr>
          <w:spacing w:val="-2"/>
        </w:rPr>
        <w:t>根据《公司章程》和《未来三年分红回报规划》，为回报广大投资者，同时兼顾公司未来业</w:t>
      </w:r>
      <w:r>
        <w:rPr>
          <w:w w:val="100"/>
        </w:rPr>
        <w:t> </w:t>
      </w:r>
      <w:r>
        <w:rPr/>
        <w:t>务发展需求，公司提议</w:t>
      </w:r>
      <w:r>
        <w:rPr>
          <w:rFonts w:ascii="Times New Roman" w:hAnsi="Times New Roman" w:cs="Times New Roman" w:eastAsia="Times New Roman" w:hint="default"/>
        </w:rPr>
        <w:t>2015</w:t>
      </w:r>
      <w:r>
        <w:rPr/>
        <w:t>年度利润分配预案为：以截止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10,000</w:t>
      </w:r>
      <w:r>
        <w:rPr/>
        <w:t>万股</w:t>
      </w:r>
      <w:r>
        <w:rPr>
          <w:spacing w:val="-40"/>
        </w:rPr>
        <w:t> </w:t>
      </w:r>
      <w:r>
        <w:rPr/>
        <w:t>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1.9</w:t>
      </w:r>
      <w:r>
        <w:rPr/>
        <w:t>元（含税），共计分配现金股利</w:t>
      </w:r>
      <w:r>
        <w:rPr>
          <w:rFonts w:ascii="Times New Roman" w:hAnsi="Times New Roman" w:cs="Times New Roman" w:eastAsia="Times New Roman" w:hint="default"/>
        </w:rPr>
        <w:t>19,000,000.00</w:t>
      </w:r>
      <w:r>
        <w:rPr/>
        <w:t>元。</w:t>
      </w:r>
    </w:p>
    <w:p>
      <w:pPr>
        <w:pStyle w:val="BodyText"/>
        <w:spacing w:line="240" w:lineRule="auto" w:before="6"/>
        <w:ind w:left="558" w:right="0"/>
        <w:jc w:val="left"/>
      </w:pPr>
      <w:r>
        <w:rPr/>
        <w:t>公司不实施送股，也不实施资本公积金转增股本，本预案须经股东大会审议通过后实施。</w:t>
      </w:r>
    </w:p>
    <w:p>
      <w:pPr>
        <w:spacing w:line="240" w:lineRule="auto" w:before="9"/>
        <w:rPr>
          <w:rFonts w:ascii="宋体" w:hAnsi="宋体" w:cs="宋体" w:eastAsia="宋体" w:hint="default"/>
          <w:sz w:val="15"/>
          <w:szCs w:val="15"/>
        </w:rPr>
      </w:pPr>
    </w:p>
    <w:p>
      <w:pPr>
        <w:spacing w:line="314"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六、前瞻性陈述的风险声明</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pacing w:val="-2"/>
          <w:sz w:val="21"/>
          <w:szCs w:val="21"/>
        </w:rPr>
        <w:t>本报告中如有涉及未来计划、发展战略等前瞻性描述不构成公司对投资者的承诺，敬请投资</w:t>
      </w:r>
    </w:p>
    <w:p>
      <w:pPr>
        <w:pStyle w:val="BodyText"/>
        <w:spacing w:line="240" w:lineRule="auto" w:before="20"/>
        <w:ind w:right="0"/>
        <w:jc w:val="left"/>
      </w:pPr>
      <w:r>
        <w:rPr/>
        <w:t>者注意投资风险。</w:t>
      </w:r>
    </w:p>
    <w:p>
      <w:pPr>
        <w:spacing w:line="240" w:lineRule="auto" w:before="9"/>
        <w:rPr>
          <w:rFonts w:ascii="宋体" w:hAnsi="宋体" w:cs="宋体" w:eastAsia="宋体" w:hint="default"/>
          <w:sz w:val="15"/>
          <w:szCs w:val="15"/>
        </w:rPr>
      </w:pPr>
    </w:p>
    <w:p>
      <w:pPr>
        <w:pStyle w:val="Heading2"/>
        <w:spacing w:line="314" w:lineRule="auto"/>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pStyle w:val="Heading2"/>
        <w:spacing w:line="247" w:lineRule="auto" w:before="140"/>
        <w:ind w:left="138" w:right="3888"/>
        <w:jc w:val="left"/>
        <w:rPr>
          <w:rFonts w:ascii="宋体" w:hAnsi="宋体" w:cs="宋体" w:eastAsia="宋体" w:hint="default"/>
          <w:b w:val="0"/>
          <w:bCs w:val="0"/>
        </w:rPr>
      </w:pPr>
      <w:r>
        <w:rPr/>
        <w:t>八、是否存在违反规定决策程序对外提供担保的情况？</w:t>
      </w:r>
      <w:r>
        <w:rPr>
          <w:spacing w:val="-95"/>
        </w:rPr>
        <w:t> </w:t>
      </w:r>
      <w:r>
        <w:rPr>
          <w:spacing w:val="-95"/>
        </w:rPr>
      </w:r>
      <w:r>
        <w:rPr>
          <w:rFonts w:ascii="宋体" w:hAnsi="宋体" w:cs="宋体" w:eastAsia="宋体" w:hint="default"/>
          <w:b w:val="0"/>
          <w:bCs w:val="0"/>
        </w:rPr>
        <w:t>否</w:t>
      </w:r>
    </w:p>
    <w:p>
      <w:pPr>
        <w:spacing w:line="240" w:lineRule="auto" w:before="4"/>
        <w:rPr>
          <w:rFonts w:ascii="宋体" w:hAnsi="宋体" w:cs="宋体" w:eastAsia="宋体" w:hint="default"/>
          <w:sz w:val="14"/>
          <w:szCs w:val="14"/>
        </w:rPr>
      </w:pPr>
    </w:p>
    <w:p>
      <w:pPr>
        <w:pStyle w:val="BodyText"/>
        <w:spacing w:line="314" w:lineRule="auto"/>
        <w:ind w:left="558" w:right="0" w:hanging="420"/>
        <w:jc w:val="left"/>
      </w:pPr>
      <w:r>
        <w:rPr>
          <w:rFonts w:ascii="宋体" w:hAnsi="宋体" w:cs="宋体" w:eastAsia="宋体" w:hint="default"/>
          <w:b/>
          <w:bCs/>
        </w:rPr>
        <w:t>九、重大风险提示</w:t>
      </w:r>
      <w:r>
        <w:rPr>
          <w:rFonts w:ascii="宋体" w:hAnsi="宋体" w:cs="宋体" w:eastAsia="宋体" w:hint="default"/>
          <w:b/>
          <w:bCs/>
          <w:spacing w:val="-92"/>
        </w:rPr>
        <w:t> </w:t>
      </w:r>
      <w:r>
        <w:rPr>
          <w:rFonts w:ascii="宋体" w:hAnsi="宋体" w:cs="宋体" w:eastAsia="宋体" w:hint="default"/>
          <w:b/>
          <w:bCs/>
          <w:spacing w:val="-92"/>
        </w:rPr>
      </w:r>
      <w:r>
        <w:rPr>
          <w:spacing w:val="-2"/>
        </w:rPr>
        <w:t>公司已在本报告中详细描述存在的风险，敬请查阅“第四节管理层讨论与分析”中关于公司</w:t>
      </w:r>
    </w:p>
    <w:p>
      <w:pPr>
        <w:pStyle w:val="BodyText"/>
        <w:spacing w:line="240" w:lineRule="auto" w:before="20"/>
        <w:ind w:right="0"/>
        <w:jc w:val="left"/>
      </w:pPr>
      <w:r>
        <w:rPr/>
        <w:t>未来发展的讨论与分析中可能面对的风险因素的内容。</w:t>
      </w:r>
    </w:p>
    <w:p>
      <w:pPr>
        <w:spacing w:before="170"/>
        <w:ind w:left="138" w:right="0" w:firstLine="0"/>
        <w:jc w:val="left"/>
        <w:rPr>
          <w:rFonts w:ascii="宋体" w:hAnsi="宋体" w:cs="宋体" w:eastAsia="宋体" w:hint="default"/>
          <w:sz w:val="24"/>
          <w:szCs w:val="24"/>
        </w:rPr>
      </w:pPr>
      <w:r>
        <w:rPr>
          <w:rFonts w:ascii="宋体" w:hAnsi="宋体" w:cs="宋体" w:eastAsia="宋体" w:hint="default"/>
          <w:b/>
          <w:bCs/>
          <w:spacing w:val="3"/>
          <w:sz w:val="21"/>
          <w:szCs w:val="21"/>
        </w:rPr>
        <w:t>十、</w:t>
      </w:r>
      <w:r>
        <w:rPr>
          <w:rFonts w:ascii="宋体" w:hAnsi="宋体" w:cs="宋体" w:eastAsia="宋体" w:hint="default"/>
          <w:b/>
          <w:bCs/>
          <w:spacing w:val="3"/>
          <w:sz w:val="24"/>
          <w:szCs w:val="24"/>
        </w:rPr>
        <w:t>其他</w:t>
      </w:r>
      <w:r>
        <w:rPr>
          <w:rFonts w:ascii="宋体" w:hAnsi="宋体" w:cs="宋体" w:eastAsia="宋体" w:hint="default"/>
          <w:sz w:val="24"/>
          <w:szCs w:val="24"/>
        </w:rPr>
      </w:r>
    </w:p>
    <w:p>
      <w:pPr>
        <w:pStyle w:val="BodyText"/>
        <w:spacing w:line="240" w:lineRule="auto" w:before="81"/>
        <w:ind w:left="558" w:right="0"/>
        <w:jc w:val="left"/>
      </w:pPr>
      <w:r>
        <w:rPr/>
        <w:t>无。</w:t>
      </w:r>
    </w:p>
    <w:p>
      <w:pPr>
        <w:spacing w:after="0" w:line="240" w:lineRule="auto"/>
        <w:jc w:val="left"/>
        <w:sectPr>
          <w:pgSz w:w="11910" w:h="16840"/>
          <w:pgMar w:header="880" w:footer="974" w:top="1120" w:bottom="1160" w:left="1660" w:right="1140"/>
        </w:sectPr>
      </w:pPr>
    </w:p>
    <w:p>
      <w:pPr>
        <w:spacing w:line="240" w:lineRule="auto" w:before="0"/>
        <w:rPr>
          <w:rFonts w:ascii="宋体" w:hAnsi="宋体" w:cs="宋体" w:eastAsia="宋体" w:hint="default"/>
          <w:sz w:val="26"/>
          <w:szCs w:val="26"/>
        </w:rPr>
      </w:pPr>
    </w:p>
    <w:p>
      <w:pPr>
        <w:spacing w:before="14"/>
        <w:ind w:left="2134" w:right="2132"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161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974" w:top="1120" w:bottom="1160" w:left="1660" w:right="1140"/>
        </w:sectPr>
      </w:pPr>
    </w:p>
    <w:p>
      <w:pPr>
        <w:pStyle w:val="Heading1"/>
        <w:tabs>
          <w:tab w:pos="1341" w:val="left" w:leader="none"/>
        </w:tabs>
        <w:spacing w:line="240" w:lineRule="auto" w:before="547"/>
        <w:ind w:left="80" w:right="0"/>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left="218" w:right="2926"/>
        <w:jc w:val="left"/>
      </w:pPr>
      <w:r>
        <w:rPr/>
        <w:pict>
          <v:shape style="position:absolute;margin-left:84.264pt;margin-top:45.773659pt;width:441.95pt;height:582.9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0"/>
                    <w:gridCol w:w="1135"/>
                    <w:gridCol w:w="4859"/>
                  </w:tblGrid>
                  <w:tr>
                    <w:trPr>
                      <w:trHeight w:val="408"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40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公司、本公司或南威软件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r>
                  <w:tr>
                    <w:trPr>
                      <w:trHeight w:val="406"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凯信金鹏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5"/>
                          <w:jc w:val="left"/>
                          <w:rPr>
                            <w:rFonts w:ascii="宋体" w:hAnsi="宋体" w:cs="宋体" w:eastAsia="宋体" w:hint="default"/>
                            <w:sz w:val="21"/>
                            <w:szCs w:val="21"/>
                          </w:rPr>
                        </w:pPr>
                        <w:r>
                          <w:rPr>
                            <w:rFonts w:ascii="宋体" w:hAnsi="宋体" w:cs="宋体" w:eastAsia="宋体" w:hint="default"/>
                            <w:w w:val="100"/>
                            <w:sz w:val="21"/>
                            <w:szCs w:val="21"/>
                          </w:rPr>
                          <w:t>天津</w:t>
                        </w:r>
                        <w:r>
                          <w:rPr>
                            <w:rFonts w:ascii="宋体" w:hAnsi="宋体" w:cs="宋体" w:eastAsia="宋体" w:hint="default"/>
                            <w:spacing w:val="-3"/>
                            <w:w w:val="100"/>
                            <w:sz w:val="21"/>
                            <w:szCs w:val="21"/>
                          </w:rPr>
                          <w:t>市</w:t>
                        </w:r>
                        <w:r>
                          <w:rPr>
                            <w:rFonts w:ascii="宋体" w:hAnsi="宋体" w:cs="宋体" w:eastAsia="宋体" w:hint="default"/>
                            <w:w w:val="100"/>
                            <w:sz w:val="21"/>
                            <w:szCs w:val="21"/>
                          </w:rPr>
                          <w:t>凯</w:t>
                        </w:r>
                        <w:r>
                          <w:rPr>
                            <w:rFonts w:ascii="宋体" w:hAnsi="宋体" w:cs="宋体" w:eastAsia="宋体" w:hint="default"/>
                            <w:spacing w:val="-3"/>
                            <w:w w:val="100"/>
                            <w:sz w:val="21"/>
                            <w:szCs w:val="21"/>
                          </w:rPr>
                          <w:t>信</w:t>
                        </w:r>
                        <w:r>
                          <w:rPr>
                            <w:rFonts w:ascii="宋体" w:hAnsi="宋体" w:cs="宋体" w:eastAsia="宋体" w:hint="default"/>
                            <w:w w:val="100"/>
                            <w:sz w:val="21"/>
                            <w:szCs w:val="21"/>
                          </w:rPr>
                          <w:t>金</w:t>
                        </w:r>
                        <w:r>
                          <w:rPr>
                            <w:rFonts w:ascii="宋体" w:hAnsi="宋体" w:cs="宋体" w:eastAsia="宋体" w:hint="default"/>
                            <w:spacing w:val="-3"/>
                            <w:w w:val="100"/>
                            <w:sz w:val="21"/>
                            <w:szCs w:val="21"/>
                          </w:rPr>
                          <w:t>鹏</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基金</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3"/>
                            <w:w w:val="100"/>
                            <w:sz w:val="21"/>
                            <w:szCs w:val="21"/>
                          </w:rPr>
                          <w:t>企</w:t>
                        </w:r>
                        <w:r>
                          <w:rPr>
                            <w:rFonts w:ascii="宋体" w:hAnsi="宋体" w:cs="宋体" w:eastAsia="宋体" w:hint="default"/>
                            <w:spacing w:val="-85"/>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p>
                    </w:tc>
                  </w:tr>
                  <w:tr>
                    <w:trPr>
                      <w:trHeight w:val="40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东方汇富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厦门东方汇富股权投资合伙企业（有限合伙）</w:t>
                        </w:r>
                      </w:p>
                    </w:tc>
                  </w:tr>
                  <w:tr>
                    <w:trPr>
                      <w:trHeight w:val="406"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德弘嘉业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福州市晋安区德弘嘉业投资中心（有限合伙）</w:t>
                        </w:r>
                      </w:p>
                    </w:tc>
                  </w:tr>
                  <w:tr>
                    <w:trPr>
                      <w:trHeight w:val="40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盈科成长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福建盈科成长创业投资有限公司</w:t>
                        </w:r>
                      </w:p>
                    </w:tc>
                  </w:tr>
                  <w:tr>
                    <w:trPr>
                      <w:trHeight w:val="40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60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电子政务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5"/>
                          <w:jc w:val="left"/>
                          <w:rPr>
                            <w:rFonts w:ascii="宋体" w:hAnsi="宋体" w:cs="宋体" w:eastAsia="宋体" w:hint="default"/>
                            <w:sz w:val="21"/>
                            <w:szCs w:val="21"/>
                          </w:rPr>
                        </w:pPr>
                        <w:r>
                          <w:rPr>
                            <w:rFonts w:ascii="宋体" w:hAnsi="宋体" w:cs="宋体" w:eastAsia="宋体" w:hint="default"/>
                            <w:sz w:val="21"/>
                            <w:szCs w:val="21"/>
                          </w:rPr>
                          <w:t>运用计算机、网络和通信等现代信息技术手段，实</w:t>
                        </w:r>
                        <w:r>
                          <w:rPr>
                            <w:rFonts w:ascii="宋体" w:hAnsi="宋体" w:cs="宋体" w:eastAsia="宋体" w:hint="default"/>
                            <w:spacing w:val="-79"/>
                            <w:sz w:val="21"/>
                            <w:szCs w:val="21"/>
                          </w:rPr>
                          <w:t> </w:t>
                        </w:r>
                        <w:r>
                          <w:rPr>
                            <w:rFonts w:ascii="宋体" w:hAnsi="宋体" w:cs="宋体" w:eastAsia="宋体" w:hint="default"/>
                            <w:spacing w:val="-5"/>
                            <w:sz w:val="21"/>
                            <w:szCs w:val="21"/>
                          </w:rPr>
                          <w:t>现政府组织结构和工作流程的优化重组，超越时间、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空间和部门分隔的限制，建成一个精简、高效、廉</w:t>
                        </w:r>
                        <w:r>
                          <w:rPr>
                            <w:rFonts w:ascii="宋体" w:hAnsi="宋体" w:cs="宋体" w:eastAsia="宋体" w:hint="default"/>
                            <w:spacing w:val="-79"/>
                            <w:sz w:val="21"/>
                            <w:szCs w:val="21"/>
                          </w:rPr>
                          <w:t> </w:t>
                        </w:r>
                        <w:r>
                          <w:rPr>
                            <w:rFonts w:ascii="宋体" w:hAnsi="宋体" w:cs="宋体" w:eastAsia="宋体" w:hint="default"/>
                            <w:sz w:val="21"/>
                            <w:szCs w:val="21"/>
                          </w:rPr>
                          <w:t>洁、公平的政府运作模式，以便全方位地向社会提</w:t>
                        </w:r>
                        <w:r>
                          <w:rPr>
                            <w:rFonts w:ascii="宋体" w:hAnsi="宋体" w:cs="宋体" w:eastAsia="宋体" w:hint="default"/>
                            <w:spacing w:val="-79"/>
                            <w:sz w:val="21"/>
                            <w:szCs w:val="21"/>
                          </w:rPr>
                          <w:t> </w:t>
                        </w:r>
                        <w:r>
                          <w:rPr>
                            <w:rFonts w:ascii="宋体" w:hAnsi="宋体" w:cs="宋体" w:eastAsia="宋体" w:hint="default"/>
                            <w:spacing w:val="-5"/>
                            <w:sz w:val="21"/>
                            <w:szCs w:val="21"/>
                          </w:rPr>
                          <w:t>供优质、规范、透明、符合国际水准的管理与服务。</w:t>
                        </w:r>
                      </w:p>
                    </w:tc>
                  </w:tr>
                  <w:tr>
                    <w:trPr>
                      <w:trHeight w:val="1292"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解决方案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0" w:right="99"/>
                          <w:jc w:val="both"/>
                          <w:rPr>
                            <w:rFonts w:ascii="宋体" w:hAnsi="宋体" w:cs="宋体" w:eastAsia="宋体" w:hint="default"/>
                            <w:sz w:val="21"/>
                            <w:szCs w:val="21"/>
                          </w:rPr>
                        </w:pPr>
                        <w:r>
                          <w:rPr>
                            <w:rFonts w:ascii="宋体" w:hAnsi="宋体" w:cs="宋体" w:eastAsia="宋体" w:hint="default"/>
                            <w:sz w:val="21"/>
                            <w:szCs w:val="21"/>
                          </w:rPr>
                          <w:t>以应用软件开发为核心，选择适合的外部软件和计</w:t>
                        </w:r>
                        <w:r>
                          <w:rPr>
                            <w:rFonts w:ascii="宋体" w:hAnsi="宋体" w:cs="宋体" w:eastAsia="宋体" w:hint="default"/>
                            <w:spacing w:val="-79"/>
                            <w:sz w:val="21"/>
                            <w:szCs w:val="21"/>
                          </w:rPr>
                          <w:t> </w:t>
                        </w:r>
                        <w:r>
                          <w:rPr>
                            <w:rFonts w:ascii="宋体" w:hAnsi="宋体" w:cs="宋体" w:eastAsia="宋体" w:hint="default"/>
                            <w:sz w:val="21"/>
                            <w:szCs w:val="21"/>
                          </w:rPr>
                          <w:t>算机硬件产品，经过设计、开发、集成、安装、调</w:t>
                        </w:r>
                        <w:r>
                          <w:rPr>
                            <w:rFonts w:ascii="宋体" w:hAnsi="宋体" w:cs="宋体" w:eastAsia="宋体" w:hint="default"/>
                            <w:spacing w:val="-79"/>
                            <w:sz w:val="21"/>
                            <w:szCs w:val="21"/>
                          </w:rPr>
                          <w:t> </w:t>
                        </w:r>
                        <w:r>
                          <w:rPr>
                            <w:rFonts w:ascii="宋体" w:hAnsi="宋体" w:cs="宋体" w:eastAsia="宋体" w:hint="default"/>
                            <w:sz w:val="21"/>
                            <w:szCs w:val="21"/>
                          </w:rPr>
                          <w:t>试和售后服务，使整套系统能够实现特定的业务功</w:t>
                        </w:r>
                        <w:r>
                          <w:rPr>
                            <w:rFonts w:ascii="宋体" w:hAnsi="宋体" w:cs="宋体" w:eastAsia="宋体" w:hint="default"/>
                            <w:spacing w:val="-79"/>
                            <w:sz w:val="21"/>
                            <w:szCs w:val="21"/>
                          </w:rPr>
                          <w:t> </w:t>
                        </w:r>
                        <w:r>
                          <w:rPr>
                            <w:rFonts w:ascii="宋体" w:hAnsi="宋体" w:cs="宋体" w:eastAsia="宋体" w:hint="default"/>
                            <w:sz w:val="21"/>
                            <w:szCs w:val="21"/>
                          </w:rPr>
                          <w:t>能，满足客户业务需求的服务。</w:t>
                        </w:r>
                      </w:p>
                    </w:tc>
                  </w:tr>
                  <w:tr>
                    <w:trPr>
                      <w:trHeight w:val="65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权力阳光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99"/>
                          <w:jc w:val="left"/>
                          <w:rPr>
                            <w:rFonts w:ascii="宋体" w:hAnsi="宋体" w:cs="宋体" w:eastAsia="宋体" w:hint="default"/>
                            <w:sz w:val="21"/>
                            <w:szCs w:val="21"/>
                          </w:rPr>
                        </w:pPr>
                        <w:r>
                          <w:rPr>
                            <w:rFonts w:ascii="宋体" w:hAnsi="宋体" w:cs="宋体" w:eastAsia="宋体" w:hint="default"/>
                            <w:sz w:val="21"/>
                            <w:szCs w:val="21"/>
                          </w:rPr>
                          <w:t>通过深化政务公开，制约公权行使的程序和边界，</w:t>
                        </w:r>
                        <w:r>
                          <w:rPr>
                            <w:rFonts w:ascii="宋体" w:hAnsi="宋体" w:cs="宋体" w:eastAsia="宋体" w:hint="default"/>
                            <w:spacing w:val="-79"/>
                            <w:sz w:val="21"/>
                            <w:szCs w:val="21"/>
                          </w:rPr>
                          <w:t> </w:t>
                        </w:r>
                        <w:r>
                          <w:rPr>
                            <w:rFonts w:ascii="宋体" w:hAnsi="宋体" w:cs="宋体" w:eastAsia="宋体" w:hint="default"/>
                            <w:spacing w:val="-2"/>
                            <w:sz w:val="21"/>
                            <w:szCs w:val="21"/>
                          </w:rPr>
                          <w:t>实现政府行政权力透明、规范、廉洁、高效运行。</w:t>
                        </w:r>
                      </w:p>
                    </w:tc>
                  </w:tr>
                  <w:tr>
                    <w:trPr>
                      <w:trHeight w:val="161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智慧公安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3"/>
                          <w:jc w:val="left"/>
                          <w:rPr>
                            <w:rFonts w:ascii="宋体" w:hAnsi="宋体" w:cs="宋体" w:eastAsia="宋体" w:hint="default"/>
                            <w:sz w:val="21"/>
                            <w:szCs w:val="21"/>
                          </w:rPr>
                        </w:pPr>
                        <w:r>
                          <w:rPr>
                            <w:rFonts w:ascii="宋体" w:hAnsi="宋体" w:cs="宋体" w:eastAsia="宋体" w:hint="default"/>
                            <w:sz w:val="21"/>
                            <w:szCs w:val="21"/>
                          </w:rPr>
                          <w:t>以可视化指挥为理念，运用高清视频、大数据、云</w:t>
                        </w:r>
                        <w:r>
                          <w:rPr>
                            <w:rFonts w:ascii="宋体" w:hAnsi="宋体" w:cs="宋体" w:eastAsia="宋体" w:hint="default"/>
                            <w:spacing w:val="-79"/>
                            <w:sz w:val="21"/>
                            <w:szCs w:val="21"/>
                          </w:rPr>
                          <w:t> </w:t>
                        </w:r>
                        <w:r>
                          <w:rPr>
                            <w:rFonts w:ascii="宋体" w:hAnsi="宋体" w:cs="宋体" w:eastAsia="宋体" w:hint="default"/>
                            <w:sz w:val="21"/>
                            <w:szCs w:val="21"/>
                          </w:rPr>
                          <w:t>计算、智能分析等技术对公安领域的海量信息进行</w:t>
                        </w:r>
                        <w:r>
                          <w:rPr>
                            <w:rFonts w:ascii="宋体" w:hAnsi="宋体" w:cs="宋体" w:eastAsia="宋体" w:hint="default"/>
                            <w:spacing w:val="-79"/>
                            <w:sz w:val="21"/>
                            <w:szCs w:val="21"/>
                          </w:rPr>
                          <w:t> </w:t>
                        </w:r>
                        <w:r>
                          <w:rPr>
                            <w:rFonts w:ascii="宋体" w:hAnsi="宋体" w:cs="宋体" w:eastAsia="宋体" w:hint="default"/>
                            <w:sz w:val="21"/>
                            <w:szCs w:val="21"/>
                          </w:rPr>
                          <w:t>采集、存储、加工和智能化处理，搭建智能、高效</w:t>
                        </w:r>
                        <w:r>
                          <w:rPr>
                            <w:rFonts w:ascii="宋体" w:hAnsi="宋体" w:cs="宋体" w:eastAsia="宋体" w:hint="default"/>
                            <w:spacing w:val="-79"/>
                            <w:sz w:val="21"/>
                            <w:szCs w:val="21"/>
                          </w:rPr>
                          <w:t> </w:t>
                        </w:r>
                        <w:r>
                          <w:rPr>
                            <w:rFonts w:ascii="宋体" w:hAnsi="宋体" w:cs="宋体" w:eastAsia="宋体" w:hint="default"/>
                            <w:spacing w:val="-5"/>
                            <w:sz w:val="21"/>
                            <w:szCs w:val="21"/>
                          </w:rPr>
                          <w:t>的指挥显控平台，实现“多级别、跨警种、跨区域”</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的公安系统应急联动与决策指挥。</w:t>
                        </w:r>
                      </w:p>
                    </w:tc>
                  </w:tr>
                  <w:tr>
                    <w:trPr>
                      <w:trHeight w:val="97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智慧军营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99"/>
                          <w:jc w:val="both"/>
                          <w:rPr>
                            <w:rFonts w:ascii="宋体" w:hAnsi="宋体" w:cs="宋体" w:eastAsia="宋体" w:hint="default"/>
                            <w:sz w:val="21"/>
                            <w:szCs w:val="21"/>
                          </w:rPr>
                        </w:pPr>
                        <w:r>
                          <w:rPr>
                            <w:rFonts w:ascii="宋体" w:hAnsi="宋体" w:cs="宋体" w:eastAsia="宋体" w:hint="default"/>
                            <w:sz w:val="21"/>
                            <w:szCs w:val="21"/>
                          </w:rPr>
                          <w:t>以物联网、数据整合、</w:t>
                        </w:r>
                        <w:r>
                          <w:rPr>
                            <w:rFonts w:ascii="宋体" w:hAnsi="宋体" w:cs="宋体" w:eastAsia="宋体" w:hint="default"/>
                            <w:sz w:val="21"/>
                            <w:szCs w:val="21"/>
                          </w:rPr>
                          <w:t>GIS</w:t>
                        </w:r>
                        <w:r>
                          <w:rPr>
                            <w:rFonts w:ascii="宋体" w:hAnsi="宋体" w:cs="宋体" w:eastAsia="宋体" w:hint="default"/>
                            <w:sz w:val="21"/>
                            <w:szCs w:val="21"/>
                          </w:rPr>
                          <w:t>、</w:t>
                        </w:r>
                        <w:r>
                          <w:rPr>
                            <w:rFonts w:ascii="宋体" w:hAnsi="宋体" w:cs="宋体" w:eastAsia="宋体" w:hint="default"/>
                            <w:sz w:val="21"/>
                            <w:szCs w:val="21"/>
                          </w:rPr>
                          <w:t>3D</w:t>
                        </w:r>
                        <w:r>
                          <w:rPr>
                            <w:rFonts w:ascii="宋体" w:hAnsi="宋体" w:cs="宋体" w:eastAsia="宋体" w:hint="default"/>
                            <w:spacing w:val="22"/>
                            <w:sz w:val="21"/>
                            <w:szCs w:val="21"/>
                          </w:rPr>
                          <w:t> </w:t>
                        </w:r>
                        <w:r>
                          <w:rPr>
                            <w:rFonts w:ascii="宋体" w:hAnsi="宋体" w:cs="宋体" w:eastAsia="宋体" w:hint="default"/>
                            <w:sz w:val="21"/>
                            <w:szCs w:val="21"/>
                          </w:rPr>
                          <w:t>等技术为依托，构</w:t>
                        </w:r>
                        <w:r>
                          <w:rPr>
                            <w:rFonts w:ascii="宋体" w:hAnsi="宋体" w:cs="宋体" w:eastAsia="宋体" w:hint="default"/>
                            <w:spacing w:val="-102"/>
                            <w:sz w:val="21"/>
                            <w:szCs w:val="21"/>
                          </w:rPr>
                          <w:t> </w:t>
                        </w:r>
                        <w:r>
                          <w:rPr>
                            <w:rFonts w:ascii="宋体" w:hAnsi="宋体" w:cs="宋体" w:eastAsia="宋体" w:hint="default"/>
                            <w:sz w:val="21"/>
                            <w:szCs w:val="21"/>
                          </w:rPr>
                          <w:t>建集部队日常工作、营区管理等信息化应用于一体</w:t>
                        </w:r>
                        <w:r>
                          <w:rPr>
                            <w:rFonts w:ascii="宋体" w:hAnsi="宋体" w:cs="宋体" w:eastAsia="宋体" w:hint="default"/>
                            <w:spacing w:val="-79"/>
                            <w:sz w:val="21"/>
                            <w:szCs w:val="21"/>
                          </w:rPr>
                          <w:t> </w:t>
                        </w:r>
                        <w:r>
                          <w:rPr>
                            <w:rFonts w:ascii="宋体" w:hAnsi="宋体" w:cs="宋体" w:eastAsia="宋体" w:hint="default"/>
                            <w:sz w:val="21"/>
                            <w:szCs w:val="21"/>
                          </w:rPr>
                          <w:t>的基层部队综合信息管理平台。</w:t>
                        </w:r>
                      </w:p>
                    </w:tc>
                  </w:tr>
                  <w:tr>
                    <w:trPr>
                      <w:trHeight w:val="1289"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99"/>
                          <w:jc w:val="both"/>
                          <w:rPr>
                            <w:rFonts w:ascii="宋体" w:hAnsi="宋体" w:cs="宋体" w:eastAsia="宋体" w:hint="default"/>
                            <w:sz w:val="21"/>
                            <w:szCs w:val="21"/>
                          </w:rPr>
                        </w:pPr>
                        <w:r>
                          <w:rPr>
                            <w:rFonts w:ascii="宋体" w:hAnsi="宋体" w:cs="宋体" w:eastAsia="宋体" w:hint="default"/>
                            <w:sz w:val="21"/>
                            <w:szCs w:val="21"/>
                          </w:rPr>
                          <w:t>指运用信息和通信技</w:t>
                        </w:r>
                        <w:r>
                          <w:rPr>
                            <w:rFonts w:ascii="宋体" w:hAnsi="宋体" w:cs="宋体" w:eastAsia="宋体" w:hint="default"/>
                            <w:spacing w:val="13"/>
                            <w:sz w:val="21"/>
                            <w:szCs w:val="21"/>
                          </w:rPr>
                          <w:t> </w:t>
                        </w:r>
                        <w:r>
                          <w:rPr>
                            <w:rFonts w:ascii="宋体" w:hAnsi="宋体" w:cs="宋体" w:eastAsia="宋体" w:hint="default"/>
                            <w:spacing w:val="-8"/>
                            <w:sz w:val="21"/>
                            <w:szCs w:val="21"/>
                          </w:rPr>
                          <w:t>术手段感测、分析、整合城市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运行核心系统的各项关键信息，从而对包括民生、</w:t>
                        </w:r>
                        <w:r>
                          <w:rPr>
                            <w:rFonts w:ascii="宋体" w:hAnsi="宋体" w:cs="宋体" w:eastAsia="宋体" w:hint="default"/>
                            <w:spacing w:val="-79"/>
                            <w:sz w:val="21"/>
                            <w:szCs w:val="21"/>
                          </w:rPr>
                          <w:t> </w:t>
                        </w:r>
                        <w:r>
                          <w:rPr>
                            <w:rFonts w:ascii="宋体" w:hAnsi="宋体" w:cs="宋体" w:eastAsia="宋体" w:hint="default"/>
                            <w:sz w:val="21"/>
                            <w:szCs w:val="21"/>
                          </w:rPr>
                          <w:t>环保、公共安全、城市服务、工商业活动在内的各</w:t>
                        </w:r>
                        <w:r>
                          <w:rPr>
                            <w:rFonts w:ascii="宋体" w:hAnsi="宋体" w:cs="宋体" w:eastAsia="宋体" w:hint="default"/>
                            <w:spacing w:val="-79"/>
                            <w:sz w:val="21"/>
                            <w:szCs w:val="21"/>
                          </w:rPr>
                          <w:t> </w:t>
                        </w:r>
                        <w:r>
                          <w:rPr>
                            <w:rFonts w:ascii="宋体" w:hAnsi="宋体" w:cs="宋体" w:eastAsia="宋体" w:hint="default"/>
                            <w:sz w:val="21"/>
                            <w:szCs w:val="21"/>
                          </w:rPr>
                          <w:t>种需求做出智能响应。</w:t>
                        </w:r>
                      </w:p>
                    </w:tc>
                  </w:tr>
                  <w:tr>
                    <w:trPr>
                      <w:trHeight w:val="970"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分享经济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99"/>
                          <w:jc w:val="both"/>
                          <w:rPr>
                            <w:rFonts w:ascii="宋体" w:hAnsi="宋体" w:cs="宋体" w:eastAsia="宋体" w:hint="default"/>
                            <w:sz w:val="21"/>
                            <w:szCs w:val="21"/>
                          </w:rPr>
                        </w:pPr>
                        <w:r>
                          <w:rPr>
                            <w:rFonts w:ascii="宋体" w:hAnsi="宋体" w:cs="宋体" w:eastAsia="宋体" w:hint="default"/>
                            <w:sz w:val="21"/>
                            <w:szCs w:val="21"/>
                          </w:rPr>
                          <w:t>也称为点对点经济</w:t>
                        </w:r>
                        <w:r>
                          <w:rPr>
                            <w:rFonts w:ascii="宋体" w:hAnsi="宋体" w:cs="宋体" w:eastAsia="宋体" w:hint="default"/>
                            <w:sz w:val="21"/>
                            <w:szCs w:val="21"/>
                          </w:rPr>
                          <w:t>(Peer to peer</w:t>
                        </w:r>
                        <w:r>
                          <w:rPr>
                            <w:rFonts w:ascii="宋体" w:hAnsi="宋体" w:cs="宋体" w:eastAsia="宋体" w:hint="default"/>
                            <w:spacing w:val="17"/>
                            <w:sz w:val="21"/>
                            <w:szCs w:val="21"/>
                          </w:rPr>
                          <w:t> </w:t>
                        </w:r>
                        <w:r>
                          <w:rPr>
                            <w:rFonts w:ascii="宋体" w:hAnsi="宋体" w:cs="宋体" w:eastAsia="宋体" w:hint="default"/>
                            <w:sz w:val="21"/>
                            <w:szCs w:val="21"/>
                          </w:rPr>
                          <w:t>economy)</w:t>
                        </w:r>
                        <w:r>
                          <w:rPr>
                            <w:rFonts w:ascii="宋体" w:hAnsi="宋体" w:cs="宋体" w:eastAsia="宋体" w:hint="default"/>
                            <w:sz w:val="21"/>
                            <w:szCs w:val="21"/>
                          </w:rPr>
                          <w:t>、协作</w:t>
                        </w:r>
                        <w:r>
                          <w:rPr>
                            <w:rFonts w:ascii="宋体" w:hAnsi="宋体" w:cs="宋体" w:eastAsia="宋体" w:hint="default"/>
                            <w:w w:val="100"/>
                            <w:sz w:val="21"/>
                            <w:szCs w:val="21"/>
                          </w:rPr>
                          <w:t> </w:t>
                        </w:r>
                        <w:r>
                          <w:rPr>
                            <w:rFonts w:ascii="宋体" w:hAnsi="宋体" w:cs="宋体" w:eastAsia="宋体" w:hint="default"/>
                            <w:sz w:val="21"/>
                            <w:szCs w:val="21"/>
                          </w:rPr>
                          <w:t>经济、协同消费，是一个建立在人与物质资料分享</w:t>
                        </w:r>
                        <w:r>
                          <w:rPr>
                            <w:rFonts w:ascii="宋体" w:hAnsi="宋体" w:cs="宋体" w:eastAsia="宋体" w:hint="default"/>
                            <w:spacing w:val="-79"/>
                            <w:sz w:val="21"/>
                            <w:szCs w:val="21"/>
                          </w:rPr>
                          <w:t> </w:t>
                        </w:r>
                        <w:r>
                          <w:rPr>
                            <w:rFonts w:ascii="宋体" w:hAnsi="宋体" w:cs="宋体" w:eastAsia="宋体" w:hint="default"/>
                            <w:sz w:val="21"/>
                            <w:szCs w:val="21"/>
                          </w:rPr>
                          <w:t>基础上的社会经济生态系统。</w:t>
                        </w:r>
                      </w:p>
                    </w:tc>
                  </w:tr>
                  <w:tr>
                    <w:trPr>
                      <w:trHeight w:val="408" w:hRule="exact"/>
                    </w:trPr>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政务部门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6"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指党委、政府、军队的组成部门或直属机构。</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974" w:top="1120" w:bottom="1160" w:left="158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3637" w:val="left" w:leader="none"/>
        </w:tabs>
        <w:spacing w:line="240" w:lineRule="auto"/>
        <w:ind w:left="237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2"/>
        <w:spacing w:line="240" w:lineRule="auto" w:before="36"/>
        <w:ind w:left="138" w:right="0"/>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3860"/>
        <w:gridCol w:w="5036"/>
      </w:tblGrid>
      <w:tr>
        <w:trPr>
          <w:trHeight w:val="37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南威软件</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Linewell Software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Co.</w:t>
            </w:r>
            <w:r>
              <w:rPr>
                <w:rFonts w:ascii="宋体" w:hAnsi="宋体" w:cs="宋体" w:eastAsia="宋体" w:hint="default"/>
                <w:sz w:val="21"/>
                <w:szCs w:val="21"/>
              </w:rPr>
              <w:t>，</w:t>
            </w:r>
            <w:r>
              <w:rPr>
                <w:rFonts w:ascii="Times New Roman" w:hAnsi="Times New Roman" w:cs="Times New Roman" w:eastAsia="Times New Roman" w:hint="default"/>
                <w:sz w:val="21"/>
                <w:szCs w:val="21"/>
              </w:rPr>
              <w:t>Ltd.</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21"/>
                <w:szCs w:val="21"/>
              </w:rPr>
            </w:pPr>
            <w:r>
              <w:rPr>
                <w:rFonts w:ascii="Times New Roman"/>
                <w:sz w:val="21"/>
              </w:rPr>
              <w:t>Linewell</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吴志雄</w:t>
            </w:r>
          </w:p>
        </w:tc>
      </w:tr>
    </w:tbl>
    <w:p>
      <w:pPr>
        <w:spacing w:line="240" w:lineRule="auto" w:before="10"/>
        <w:rPr>
          <w:rFonts w:ascii="宋体" w:hAnsi="宋体" w:cs="宋体" w:eastAsia="宋体" w:hint="default"/>
          <w:b/>
          <w:bCs/>
          <w:sz w:val="24"/>
          <w:szCs w:val="24"/>
        </w:rPr>
      </w:pPr>
    </w:p>
    <w:p>
      <w:pPr>
        <w:pStyle w:val="Heading2"/>
        <w:spacing w:line="240" w:lineRule="auto" w:before="36"/>
        <w:ind w:left="138" w:right="0"/>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37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7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吴丽卿</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刘培瑜</w:t>
            </w:r>
          </w:p>
        </w:tc>
      </w:tr>
      <w:tr>
        <w:trPr>
          <w:trHeight w:val="73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5"/>
              <w:jc w:val="left"/>
              <w:rPr>
                <w:rFonts w:ascii="宋体" w:hAnsi="宋体" w:cs="宋体" w:eastAsia="宋体" w:hint="default"/>
                <w:sz w:val="21"/>
                <w:szCs w:val="21"/>
              </w:rPr>
            </w:pPr>
            <w:r>
              <w:rPr>
                <w:rFonts w:ascii="宋体" w:hAnsi="宋体" w:cs="宋体" w:eastAsia="宋体" w:hint="default"/>
                <w:spacing w:val="11"/>
                <w:sz w:val="21"/>
                <w:szCs w:val="21"/>
              </w:rPr>
              <w:t>福建省泉州市丰泽区丰海路南</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r>
              <w:rPr>
                <w:rFonts w:ascii="Times New Roman" w:hAnsi="Times New Roman" w:cs="Times New Roman" w:eastAsia="Times New Roman" w:hint="default"/>
                <w:sz w:val="21"/>
                <w:szCs w:val="21"/>
              </w:rPr>
              <w:t>21</w:t>
            </w:r>
            <w:r>
              <w:rPr>
                <w:rFonts w:ascii="宋体" w:hAnsi="宋体" w:cs="宋体" w:eastAsia="宋体" w:hint="default"/>
                <w:sz w:val="21"/>
                <w:szCs w:val="21"/>
              </w:rPr>
              <w:t>层</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22"/>
              <w:jc w:val="left"/>
              <w:rPr>
                <w:rFonts w:ascii="宋体" w:hAnsi="宋体" w:cs="宋体" w:eastAsia="宋体" w:hint="default"/>
                <w:sz w:val="21"/>
                <w:szCs w:val="21"/>
              </w:rPr>
            </w:pPr>
            <w:r>
              <w:rPr>
                <w:rFonts w:ascii="宋体" w:hAnsi="宋体" w:cs="宋体" w:eastAsia="宋体" w:hint="default"/>
                <w:spacing w:val="11"/>
                <w:sz w:val="21"/>
                <w:szCs w:val="21"/>
              </w:rPr>
              <w:t>福建省泉州市丰泽区丰海路南</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r>
              <w:rPr>
                <w:rFonts w:ascii="Times New Roman" w:hAnsi="Times New Roman" w:cs="Times New Roman" w:eastAsia="Times New Roman" w:hint="default"/>
                <w:sz w:val="21"/>
                <w:szCs w:val="21"/>
              </w:rPr>
              <w:t>21</w:t>
            </w:r>
            <w:r>
              <w:rPr>
                <w:rFonts w:ascii="宋体" w:hAnsi="宋体" w:cs="宋体" w:eastAsia="宋体" w:hint="default"/>
                <w:sz w:val="21"/>
                <w:szCs w:val="21"/>
              </w:rPr>
              <w:t>层</w:t>
            </w:r>
          </w:p>
        </w:tc>
      </w:tr>
      <w:tr>
        <w:trPr>
          <w:trHeight w:val="37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r>
              <w:rPr>
                <w:rFonts w:ascii="Times New Roman"/>
                <w:sz w:val="21"/>
              </w:rPr>
              <w:t>0595-68288889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r>
              <w:rPr>
                <w:rFonts w:ascii="Times New Roman"/>
                <w:sz w:val="21"/>
              </w:rPr>
              <w:t>0595-68288889</w:t>
            </w:r>
          </w:p>
        </w:tc>
      </w:tr>
      <w:tr>
        <w:trPr>
          <w:trHeight w:val="37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r>
              <w:rPr>
                <w:rFonts w:ascii="Times New Roman"/>
                <w:sz w:val="21"/>
              </w:rPr>
              <w:t>0595-68288887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r>
              <w:rPr>
                <w:rFonts w:ascii="Times New Roman"/>
                <w:sz w:val="21"/>
              </w:rPr>
              <w:t>0595-68288887</w:t>
            </w:r>
          </w:p>
        </w:tc>
      </w:tr>
      <w:tr>
        <w:trPr>
          <w:trHeight w:val="37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hyperlink r:id="rId8">
              <w:r>
                <w:rPr>
                  <w:rFonts w:ascii="Times New Roman"/>
                  <w:sz w:val="21"/>
                </w:rPr>
                <w:t>bona@linewell.com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hyperlink r:id="rId9">
              <w:r>
                <w:rPr>
                  <w:rFonts w:ascii="Times New Roman"/>
                  <w:sz w:val="21"/>
                </w:rPr>
                <w:t>lpeiyu@linewell.com</w:t>
              </w:r>
            </w:hyperlink>
          </w:p>
        </w:tc>
      </w:tr>
    </w:tbl>
    <w:p>
      <w:pPr>
        <w:spacing w:line="240" w:lineRule="auto" w:before="10"/>
        <w:rPr>
          <w:rFonts w:ascii="宋体" w:hAnsi="宋体" w:cs="宋体" w:eastAsia="宋体" w:hint="default"/>
          <w:b/>
          <w:bCs/>
          <w:sz w:val="24"/>
          <w:szCs w:val="24"/>
        </w:rPr>
      </w:pPr>
    </w:p>
    <w:p>
      <w:pPr>
        <w:pStyle w:val="Heading2"/>
        <w:spacing w:line="240" w:lineRule="auto" w:before="36"/>
        <w:ind w:left="138" w:right="0"/>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3860"/>
        <w:gridCol w:w="5036"/>
      </w:tblGrid>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21"/>
                <w:szCs w:val="21"/>
              </w:rPr>
            </w:pPr>
            <w:r>
              <w:rPr>
                <w:rFonts w:ascii="Times New Roman"/>
                <w:sz w:val="21"/>
              </w:rPr>
              <w:t>362000</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21"/>
                <w:szCs w:val="21"/>
              </w:rPr>
            </w:pPr>
            <w:r>
              <w:rPr>
                <w:rFonts w:ascii="Times New Roman"/>
                <w:sz w:val="21"/>
              </w:rPr>
              <w:t>362000</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21"/>
                <w:szCs w:val="21"/>
              </w:rPr>
            </w:pPr>
            <w:hyperlink r:id="rId10">
              <w:r>
                <w:rPr>
                  <w:rFonts w:ascii="Times New Roman"/>
                  <w:sz w:val="21"/>
                </w:rPr>
                <w:t>http://www.linewell.com</w:t>
              </w:r>
            </w:hyperlink>
          </w:p>
        </w:tc>
      </w:tr>
      <w:tr>
        <w:trPr>
          <w:trHeight w:val="37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21"/>
                <w:szCs w:val="21"/>
              </w:rPr>
            </w:pPr>
            <w:hyperlink r:id="rId11">
              <w:r>
                <w:rPr>
                  <w:rFonts w:ascii="Times New Roman"/>
                  <w:sz w:val="21"/>
                </w:rPr>
                <w:t>ir@linewell.com</w:t>
              </w:r>
            </w:hyperlink>
          </w:p>
        </w:tc>
      </w:tr>
    </w:tbl>
    <w:p>
      <w:pPr>
        <w:spacing w:line="240" w:lineRule="auto" w:before="9"/>
        <w:rPr>
          <w:rFonts w:ascii="宋体" w:hAnsi="宋体" w:cs="宋体" w:eastAsia="宋体" w:hint="default"/>
          <w:b/>
          <w:bCs/>
          <w:sz w:val="24"/>
          <w:szCs w:val="24"/>
        </w:rPr>
      </w:pPr>
    </w:p>
    <w:p>
      <w:pPr>
        <w:pStyle w:val="Heading2"/>
        <w:spacing w:line="240" w:lineRule="auto" w:before="36"/>
        <w:ind w:left="138" w:right="0"/>
        <w:jc w:val="left"/>
        <w:rPr>
          <w:b w:val="0"/>
          <w:bCs w:val="0"/>
        </w:rPr>
      </w:pPr>
      <w:r>
        <w:rPr/>
        <w:t>四、</w:t>
      </w:r>
      <w:r>
        <w:rPr>
          <w:spacing w:val="-28"/>
        </w:rPr>
        <w:t> </w:t>
      </w:r>
      <w:r>
        <w:rPr/>
        <w:t>信息披露及备置地点</w:t>
      </w:r>
      <w:r>
        <w:rPr>
          <w:b w:val="0"/>
          <w:bCs w:val="0"/>
        </w:rPr>
      </w:r>
    </w:p>
    <w:p>
      <w:pPr>
        <w:spacing w:line="240" w:lineRule="auto" w:before="6"/>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4143"/>
        <w:gridCol w:w="4753"/>
      </w:tblGrid>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《中国证券报》、《上海证券报》、《证券日报》</w:t>
            </w: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21"/>
                <w:szCs w:val="21"/>
              </w:rPr>
            </w:pPr>
            <w:hyperlink r:id="rId12">
              <w:r>
                <w:rPr>
                  <w:rFonts w:ascii="Times New Roman"/>
                  <w:sz w:val="21"/>
                </w:rPr>
                <w:t>http://www.sse.com.cn</w:t>
              </w:r>
            </w:hyperlink>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福建省泉州市丰泽区丰海路南威大厦</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p>
        </w:tc>
      </w:tr>
    </w:tbl>
    <w:p>
      <w:pPr>
        <w:spacing w:line="240" w:lineRule="auto" w:before="10"/>
        <w:rPr>
          <w:rFonts w:ascii="宋体" w:hAnsi="宋体" w:cs="宋体" w:eastAsia="宋体" w:hint="default"/>
          <w:b/>
          <w:bCs/>
          <w:sz w:val="21"/>
          <w:szCs w:val="21"/>
        </w:rPr>
      </w:pPr>
    </w:p>
    <w:p>
      <w:pPr>
        <w:pStyle w:val="Heading2"/>
        <w:spacing w:line="240" w:lineRule="auto" w:before="36"/>
        <w:ind w:left="138" w:right="0"/>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70"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70"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7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3" w:right="0"/>
              <w:jc w:val="left"/>
              <w:rPr>
                <w:rFonts w:ascii="宋体" w:hAnsi="宋体" w:cs="宋体" w:eastAsia="宋体" w:hint="default"/>
                <w:sz w:val="21"/>
                <w:szCs w:val="21"/>
              </w:rPr>
            </w:pPr>
            <w:r>
              <w:rPr>
                <w:rFonts w:ascii="宋体" w:hAnsi="宋体" w:cs="宋体" w:eastAsia="宋体" w:hint="default"/>
                <w:sz w:val="21"/>
                <w:szCs w:val="21"/>
              </w:rPr>
              <w:t>南威软件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603636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880" w:footer="974" w:top="1120" w:bottom="1160" w:left="1660" w:right="1120"/>
        </w:sectPr>
      </w:pPr>
    </w:p>
    <w:p>
      <w:pPr>
        <w:spacing w:line="240" w:lineRule="auto" w:before="12"/>
        <w:rPr>
          <w:rFonts w:ascii="宋体" w:hAnsi="宋体" w:cs="宋体" w:eastAsia="宋体" w:hint="default"/>
          <w:b/>
          <w:bCs/>
          <w:sz w:val="26"/>
          <w:szCs w:val="26"/>
        </w:rPr>
      </w:pPr>
    </w:p>
    <w:p>
      <w:pPr>
        <w:pStyle w:val="Heading2"/>
        <w:spacing w:line="240" w:lineRule="auto" w:before="36"/>
        <w:ind w:right="0"/>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758"/>
        <w:gridCol w:w="1795"/>
        <w:gridCol w:w="4263"/>
      </w:tblGrid>
      <w:tr>
        <w:trPr>
          <w:trHeight w:val="372" w:hRule="exact"/>
        </w:trPr>
        <w:tc>
          <w:tcPr>
            <w:tcW w:w="27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8"/>
                <w:sz w:val="21"/>
                <w:szCs w:val="21"/>
              </w:rPr>
              <w:t>公司聘请的会计师事务所</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1" w:right="0"/>
              <w:jc w:val="left"/>
              <w:rPr>
                <w:rFonts w:ascii="宋体" w:hAnsi="宋体" w:cs="宋体" w:eastAsia="宋体" w:hint="default"/>
                <w:sz w:val="21"/>
                <w:szCs w:val="21"/>
              </w:rPr>
            </w:pPr>
            <w:r>
              <w:rPr>
                <w:rFonts w:ascii="宋体" w:hAnsi="宋体" w:cs="宋体" w:eastAsia="宋体" w:hint="default"/>
                <w:sz w:val="21"/>
                <w:szCs w:val="21"/>
              </w:rPr>
              <w:t>福建华兴会计师事务所（特殊普通合伙）</w:t>
            </w:r>
          </w:p>
        </w:tc>
      </w:tr>
      <w:tr>
        <w:trPr>
          <w:trHeight w:val="370" w:hRule="exact"/>
        </w:trPr>
        <w:tc>
          <w:tcPr>
            <w:tcW w:w="2758"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福建省福州市湖东路中山大厦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 </w:t>
            </w:r>
            <w:r>
              <w:rPr>
                <w:rFonts w:ascii="宋体" w:hAnsi="宋体" w:cs="宋体" w:eastAsia="宋体" w:hint="default"/>
                <w:sz w:val="21"/>
                <w:szCs w:val="21"/>
              </w:rPr>
              <w:t>楼</w:t>
            </w:r>
          </w:p>
        </w:tc>
      </w:tr>
      <w:tr>
        <w:trPr>
          <w:trHeight w:val="370" w:hRule="exact"/>
        </w:trPr>
        <w:tc>
          <w:tcPr>
            <w:tcW w:w="2758"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蒋新红、林力</w:t>
            </w:r>
          </w:p>
        </w:tc>
      </w:tr>
      <w:tr>
        <w:trPr>
          <w:trHeight w:val="370" w:hRule="exact"/>
        </w:trPr>
        <w:tc>
          <w:tcPr>
            <w:tcW w:w="2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7"/>
                <w:szCs w:val="27"/>
              </w:rPr>
            </w:pPr>
          </w:p>
          <w:p>
            <w:pPr>
              <w:pStyle w:val="TableParagraph"/>
              <w:spacing w:line="314" w:lineRule="auto"/>
              <w:ind w:left="103" w:right="102"/>
              <w:jc w:val="left"/>
              <w:rPr>
                <w:rFonts w:ascii="宋体" w:hAnsi="宋体" w:cs="宋体" w:eastAsia="宋体" w:hint="default"/>
                <w:sz w:val="21"/>
                <w:szCs w:val="21"/>
              </w:rPr>
            </w:pPr>
            <w:r>
              <w:rPr>
                <w:rFonts w:ascii="宋体" w:hAnsi="宋体" w:cs="宋体" w:eastAsia="宋体" w:hint="default"/>
                <w:sz w:val="21"/>
                <w:szCs w:val="21"/>
              </w:rPr>
              <w:t>报告期内履行持续督导职责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的保荐机构</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太平洋证券股份有限公司</w:t>
            </w:r>
          </w:p>
        </w:tc>
      </w:tr>
      <w:tr>
        <w:trPr>
          <w:trHeight w:val="370" w:hRule="exact"/>
        </w:trPr>
        <w:tc>
          <w:tcPr>
            <w:tcW w:w="2758"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云南省昆明市青年路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号志远大厦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730" w:hRule="exact"/>
        </w:trPr>
        <w:tc>
          <w:tcPr>
            <w:tcW w:w="2758"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1"/>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鞠卉、马晓敏</w:t>
            </w:r>
          </w:p>
        </w:tc>
      </w:tr>
      <w:tr>
        <w:trPr>
          <w:trHeight w:val="409" w:hRule="exact"/>
        </w:trPr>
        <w:tc>
          <w:tcPr>
            <w:tcW w:w="2758"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974" w:top="1120" w:bottom="1160" w:left="1580" w:right="1080"/>
        </w:sectPr>
      </w:pPr>
    </w:p>
    <w:p>
      <w:pPr>
        <w:pStyle w:val="Heading2"/>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80"/>
          <w:cols w:num="2" w:equalWidth="0">
            <w:col w:w="3667" w:space="2854"/>
            <w:col w:w="272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14"/>
        <w:gridCol w:w="1742"/>
        <w:gridCol w:w="1745"/>
        <w:gridCol w:w="1311"/>
        <w:gridCol w:w="1598"/>
      </w:tblGrid>
      <w:tr>
        <w:trPr>
          <w:trHeight w:val="7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7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r>
      <w:tr>
        <w:trPr>
          <w:trHeight w:val="37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342,493,302.27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323,315,557.02</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5.93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280,587,600.83</w:t>
            </w:r>
          </w:p>
        </w:tc>
      </w:tr>
      <w:tr>
        <w:trPr>
          <w:trHeight w:val="73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利润</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63,140,346.92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86,886,642.29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79,494,630.51</w:t>
            </w:r>
          </w:p>
        </w:tc>
      </w:tr>
      <w:tr>
        <w:trPr>
          <w:trHeight w:val="73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除非经常性损益的净利润</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36,255,013.44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76,099,773.67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65,108,179.71</w:t>
            </w:r>
          </w:p>
        </w:tc>
      </w:tr>
      <w:tr>
        <w:trPr>
          <w:trHeight w:val="73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经营活动产生的现金流量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净额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30,497,980.67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104,650,567.90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-70.86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100,561,099.68</w:t>
            </w:r>
          </w:p>
        </w:tc>
      </w:tr>
      <w:tr>
        <w:trPr>
          <w:trHeight w:val="826"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年末</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47" w:right="120" w:hanging="123"/>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年末</w:t>
            </w:r>
          </w:p>
        </w:tc>
      </w:tr>
      <w:tr>
        <w:trPr>
          <w:trHeight w:val="73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资产</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849,115,065.50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803,974,718.58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368,008,076.29</w:t>
            </w:r>
          </w:p>
        </w:tc>
      </w:tr>
      <w:tr>
        <w:trPr>
          <w:trHeight w:val="37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1,232,276,482.31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1,095,318,471.13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12.5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589,906,685.93</w:t>
            </w:r>
          </w:p>
        </w:tc>
      </w:tr>
      <w:tr>
        <w:trPr>
          <w:trHeight w:val="37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100,000,000.00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100,000,000.00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75,000,000</w:t>
            </w:r>
          </w:p>
        </w:tc>
      </w:tr>
    </w:tbl>
    <w:p>
      <w:pPr>
        <w:spacing w:line="240" w:lineRule="auto" w:before="8"/>
        <w:rPr>
          <w:rFonts w:ascii="宋体" w:hAnsi="宋体" w:cs="宋体" w:eastAsia="宋体" w:hint="default"/>
          <w:sz w:val="21"/>
          <w:szCs w:val="21"/>
        </w:rPr>
      </w:pPr>
    </w:p>
    <w:p>
      <w:pPr>
        <w:pStyle w:val="Heading2"/>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3032"/>
        <w:gridCol w:w="1181"/>
        <w:gridCol w:w="1016"/>
        <w:gridCol w:w="2619"/>
        <w:gridCol w:w="1058"/>
      </w:tblGrid>
      <w:tr>
        <w:trPr>
          <w:trHeight w:val="370"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8"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本期比上年同期增减</w:t>
            </w:r>
            <w:r>
              <w:rPr>
                <w:rFonts w:ascii="Times New Roman" w:hAnsi="Times New Roman" w:cs="Times New Roman" w:eastAsia="Times New Roman" w:hint="default"/>
                <w:sz w:val="21"/>
                <w:szCs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r>
      <w:tr>
        <w:trPr>
          <w:trHeight w:val="37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0.63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1.16</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-45.69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1.06</w:t>
            </w:r>
          </w:p>
        </w:tc>
      </w:tr>
      <w:tr>
        <w:trPr>
          <w:trHeight w:val="370"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0.63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1.16</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-45.69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1.06</w:t>
            </w:r>
          </w:p>
        </w:tc>
      </w:tr>
      <w:tr>
        <w:trPr>
          <w:trHeight w:val="730"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股收益（元／股）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0.36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1.01</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-64.36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0.87</w:t>
            </w:r>
          </w:p>
        </w:tc>
      </w:tr>
      <w:tr>
        <w:trPr>
          <w:trHeight w:val="370"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7.64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21.12</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13.48</w:t>
            </w:r>
            <w:r>
              <w:rPr>
                <w:rFonts w:ascii="宋体" w:hAnsi="宋体" w:cs="宋体" w:eastAsia="宋体" w:hint="default"/>
                <w:spacing w:val="-1"/>
                <w:sz w:val="21"/>
                <w:szCs w:val="21"/>
              </w:rPr>
              <w:t>个百分点</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24.22</w:t>
            </w:r>
          </w:p>
        </w:tc>
      </w:tr>
      <w:tr>
        <w:trPr>
          <w:trHeight w:val="370"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4.39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18.50</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14.11</w:t>
            </w:r>
            <w:r>
              <w:rPr>
                <w:rFonts w:ascii="宋体" w:hAnsi="宋体" w:cs="宋体" w:eastAsia="宋体" w:hint="default"/>
                <w:spacing w:val="-1"/>
                <w:sz w:val="21"/>
                <w:szCs w:val="21"/>
              </w:rPr>
              <w:t>个百分点</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19.83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181"/>
        <w:gridCol w:w="1016"/>
        <w:gridCol w:w="2619"/>
        <w:gridCol w:w="1058"/>
      </w:tblGrid>
      <w:tr>
        <w:trPr>
          <w:trHeight w:val="37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BodyText"/>
        <w:spacing w:line="240" w:lineRule="auto" w:before="36"/>
        <w:ind w:left="218" w:right="227"/>
        <w:jc w:val="left"/>
      </w:pPr>
      <w:r>
        <w:rPr/>
        <w:t>报告期末公司前三年主要会计数据和财务指标的说明</w:t>
      </w:r>
    </w:p>
    <w:p>
      <w:pPr>
        <w:pStyle w:val="BodyText"/>
        <w:spacing w:line="314" w:lineRule="auto" w:before="92"/>
        <w:ind w:left="218" w:right="227" w:firstLine="419"/>
        <w:jc w:val="both"/>
      </w:pPr>
      <w:r>
        <w:rPr/>
        <w:t>报告期末，营业收入同比略增</w:t>
      </w:r>
      <w:r>
        <w:rPr>
          <w:spacing w:val="-52"/>
        </w:rPr>
        <w:t> </w:t>
      </w:r>
      <w:r>
        <w:rPr>
          <w:rFonts w:ascii="宋体" w:hAnsi="宋体" w:cs="宋体" w:eastAsia="宋体" w:hint="default"/>
        </w:rPr>
        <w:t>5.93%</w:t>
      </w:r>
      <w:r>
        <w:rPr/>
        <w:t>，归属于上市公司股东的净利润同比下降</w:t>
      </w:r>
      <w:r>
        <w:rPr>
          <w:spacing w:val="-49"/>
        </w:rPr>
        <w:t> </w:t>
      </w:r>
      <w:r>
        <w:rPr>
          <w:rFonts w:ascii="宋体" w:hAnsi="宋体" w:cs="宋体" w:eastAsia="宋体" w:hint="default"/>
        </w:rPr>
        <w:t>27.36%</w:t>
      </w:r>
      <w:r>
        <w:rPr/>
        <w:t>，主要</w:t>
      </w:r>
      <w:r>
        <w:rPr>
          <w:w w:val="100"/>
        </w:rPr>
        <w:t> </w:t>
      </w:r>
      <w:r>
        <w:rPr>
          <w:spacing w:val="-2"/>
        </w:rPr>
        <w:t>系销售毛利率下降和销售费用增加所致；经营活动产生的现金流量净额同比下降</w:t>
      </w:r>
      <w:r>
        <w:rPr/>
        <w:t> </w:t>
      </w:r>
      <w:r>
        <w:rPr>
          <w:rFonts w:ascii="宋体" w:hAnsi="宋体" w:cs="宋体" w:eastAsia="宋体" w:hint="default"/>
          <w:spacing w:val="-4"/>
        </w:rPr>
        <w:t>70.86%</w:t>
      </w:r>
      <w:r>
        <w:rPr>
          <w:spacing w:val="-4"/>
        </w:rPr>
        <w:t>，主要系</w:t>
      </w:r>
      <w:r>
        <w:rPr>
          <w:spacing w:val="-97"/>
        </w:rPr>
        <w:t> </w:t>
      </w:r>
      <w:r>
        <w:rPr>
          <w:spacing w:val="-97"/>
        </w:rPr>
      </w:r>
      <w:r>
        <w:rPr/>
        <w:t>购买商品、接受劳务支付的现金增加所致。</w:t>
      </w:r>
    </w:p>
    <w:p>
      <w:pPr>
        <w:pStyle w:val="BodyText"/>
        <w:spacing w:line="297" w:lineRule="auto" w:before="20"/>
        <w:ind w:left="218" w:right="227" w:firstLine="419"/>
        <w:jc w:val="both"/>
      </w:pPr>
      <w:r>
        <w:rPr/>
        <w:t>财务指标方面，基本每股收益为 </w:t>
      </w:r>
      <w:r>
        <w:rPr>
          <w:rFonts w:ascii="Times New Roman" w:hAnsi="Times New Roman" w:cs="Times New Roman" w:eastAsia="Times New Roman" w:hint="default"/>
        </w:rPr>
        <w:t>0.63 </w:t>
      </w:r>
      <w:r>
        <w:rPr/>
        <w:t>元，同比下降</w:t>
      </w:r>
      <w:r>
        <w:rPr>
          <w:spacing w:val="-65"/>
        </w:rPr>
        <w:t> </w:t>
      </w:r>
      <w:r>
        <w:rPr>
          <w:rFonts w:ascii="Times New Roman" w:hAnsi="Times New Roman" w:cs="Times New Roman" w:eastAsia="Times New Roman" w:hint="default"/>
        </w:rPr>
        <w:t>45.69%</w:t>
      </w:r>
      <w:r>
        <w:rPr/>
        <w:t>，扣除非经常性损益后的基本每</w:t>
      </w:r>
      <w:r>
        <w:rPr>
          <w:w w:val="100"/>
        </w:rPr>
        <w:t> </w:t>
      </w:r>
      <w:r>
        <w:rPr/>
        <w:t>股收益为</w:t>
      </w:r>
      <w:r>
        <w:rPr>
          <w:spacing w:val="-46"/>
        </w:rPr>
        <w:t> </w:t>
      </w:r>
      <w:r>
        <w:rPr>
          <w:rFonts w:ascii="Times New Roman" w:hAnsi="Times New Roman" w:cs="Times New Roman" w:eastAsia="Times New Roman" w:hint="default"/>
        </w:rPr>
        <w:t>0.36</w:t>
      </w:r>
      <w:r>
        <w:rPr>
          <w:rFonts w:ascii="Times New Roman" w:hAnsi="Times New Roman" w:cs="Times New Roman" w:eastAsia="Times New Roman" w:hint="default"/>
          <w:spacing w:val="4"/>
        </w:rPr>
        <w:t> </w:t>
      </w:r>
      <w:r>
        <w:rPr>
          <w:spacing w:val="-15"/>
        </w:rPr>
        <w:t>元，同比下降</w:t>
      </w:r>
      <w:r>
        <w:rPr>
          <w:spacing w:val="-45"/>
        </w:rPr>
        <w:t> </w:t>
      </w:r>
      <w:r>
        <w:rPr>
          <w:rFonts w:ascii="Times New Roman" w:hAnsi="Times New Roman" w:cs="Times New Roman" w:eastAsia="Times New Roman" w:hint="default"/>
          <w:spacing w:val="-6"/>
        </w:rPr>
        <w:t>64.36%</w:t>
      </w:r>
      <w:r>
        <w:rPr>
          <w:spacing w:val="-6"/>
        </w:rPr>
        <w:t>。加权平均净资产收益率为</w:t>
      </w:r>
      <w:r>
        <w:rPr>
          <w:spacing w:val="-46"/>
        </w:rPr>
        <w:t> </w:t>
      </w:r>
      <w:r>
        <w:rPr>
          <w:rFonts w:ascii="Times New Roman" w:hAnsi="Times New Roman" w:cs="Times New Roman" w:eastAsia="Times New Roman" w:hint="default"/>
          <w:spacing w:val="-9"/>
        </w:rPr>
        <w:t>7.64%</w:t>
      </w:r>
      <w:r>
        <w:rPr>
          <w:spacing w:val="-9"/>
        </w:rPr>
        <w:t>，同比降低</w:t>
      </w:r>
      <w:r>
        <w:rPr>
          <w:spacing w:val="-45"/>
        </w:rPr>
        <w:t> </w:t>
      </w:r>
      <w:r>
        <w:rPr>
          <w:rFonts w:ascii="Times New Roman" w:hAnsi="Times New Roman" w:cs="Times New Roman" w:eastAsia="Times New Roman" w:hint="default"/>
        </w:rPr>
        <w:t>13.48</w:t>
      </w:r>
      <w:r>
        <w:rPr>
          <w:rFonts w:ascii="Times New Roman" w:hAnsi="Times New Roman" w:cs="Times New Roman" w:eastAsia="Times New Roman" w:hint="default"/>
          <w:spacing w:val="7"/>
        </w:rPr>
        <w:t> </w:t>
      </w:r>
      <w:r>
        <w:rPr/>
        <w:t>个百分点。</w:t>
      </w:r>
      <w:r>
        <w:rPr>
          <w:spacing w:val="-102"/>
        </w:rPr>
        <w:t> </w:t>
      </w:r>
      <w:r>
        <w:rPr>
          <w:spacing w:val="-102"/>
        </w:rPr>
      </w:r>
      <w:r>
        <w:rPr/>
        <w:t>扣除非经常性损益后的加权平均净资产收益率为</w:t>
      </w:r>
      <w:r>
        <w:rPr>
          <w:spacing w:val="-54"/>
        </w:rPr>
        <w:t> </w:t>
      </w:r>
      <w:r>
        <w:rPr>
          <w:rFonts w:ascii="Times New Roman" w:hAnsi="Times New Roman" w:cs="Times New Roman" w:eastAsia="Times New Roman" w:hint="default"/>
        </w:rPr>
        <w:t>4.39%</w:t>
      </w:r>
      <w:r>
        <w:rPr/>
        <w:t>，同比降低</w:t>
      </w:r>
      <w:r>
        <w:rPr>
          <w:spacing w:val="-54"/>
        </w:rPr>
        <w:t> </w:t>
      </w:r>
      <w:r>
        <w:rPr>
          <w:rFonts w:ascii="Times New Roman" w:hAnsi="Times New Roman" w:cs="Times New Roman" w:eastAsia="Times New Roman" w:hint="default"/>
        </w:rPr>
        <w:t>14.11</w:t>
      </w:r>
      <w:r>
        <w:rPr>
          <w:rFonts w:ascii="Times New Roman" w:hAnsi="Times New Roman" w:cs="Times New Roman" w:eastAsia="Times New Roman" w:hint="default"/>
          <w:spacing w:val="-4"/>
        </w:rPr>
        <w:t> </w:t>
      </w:r>
      <w:r>
        <w:rPr/>
        <w:t>个百分点。</w:t>
      </w:r>
    </w:p>
    <w:p>
      <w:pPr>
        <w:spacing w:line="240" w:lineRule="auto" w:before="4"/>
        <w:rPr>
          <w:rFonts w:ascii="宋体" w:hAnsi="宋体" w:cs="宋体" w:eastAsia="宋体" w:hint="default"/>
          <w:sz w:val="25"/>
          <w:szCs w:val="25"/>
        </w:rPr>
      </w:pPr>
    </w:p>
    <w:p>
      <w:pPr>
        <w:pStyle w:val="Heading2"/>
        <w:spacing w:line="240" w:lineRule="auto"/>
        <w:ind w:right="227"/>
        <w:jc w:val="left"/>
        <w:rPr>
          <w:b w:val="0"/>
          <w:bCs w:val="0"/>
        </w:rPr>
      </w:pPr>
      <w:r>
        <w:rPr/>
        <w:t>八、</w:t>
      </w:r>
      <w:r>
        <w:rPr>
          <w:spacing w:val="-32"/>
        </w:rPr>
        <w:t> </w:t>
      </w:r>
      <w:r>
        <w:rPr/>
        <w:t>境内外会计准则下会计数据差异</w:t>
      </w:r>
      <w:r>
        <w:rPr>
          <w:b w:val="0"/>
          <w:bCs w:val="0"/>
        </w:rPr>
      </w:r>
    </w:p>
    <w:p>
      <w:pPr>
        <w:pStyle w:val="Heading2"/>
        <w:spacing w:line="285" w:lineRule="auto" w:before="15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105"/>
        <w:ind w:left="638" w:right="227"/>
        <w:jc w:val="left"/>
      </w:pPr>
      <w:r>
        <w:rPr/>
        <w:t>□适用 √不适用</w:t>
      </w:r>
    </w:p>
    <w:p>
      <w:pPr>
        <w:pStyle w:val="Heading2"/>
        <w:spacing w:line="285" w:lineRule="auto" w:before="145"/>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105"/>
        <w:ind w:left="638" w:right="227"/>
        <w:jc w:val="left"/>
      </w:pPr>
      <w:r>
        <w:rPr/>
        <w:t>□适用 √不适用</w:t>
      </w:r>
    </w:p>
    <w:p>
      <w:pPr>
        <w:pStyle w:val="Heading2"/>
        <w:spacing w:line="333" w:lineRule="auto" w:before="145"/>
        <w:ind w:left="638" w:right="5890" w:hanging="42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1"/>
          <w:szCs w:val="21"/>
        </w:rPr>
      </w:pPr>
    </w:p>
    <w:p>
      <w:pPr>
        <w:pStyle w:val="Heading2"/>
        <w:spacing w:line="240" w:lineRule="auto" w:before="36"/>
        <w:ind w:right="227"/>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177"/>
        <w:gridCol w:w="1745"/>
        <w:gridCol w:w="1745"/>
        <w:gridCol w:w="1654"/>
        <w:gridCol w:w="1728"/>
      </w:tblGrid>
      <w:tr>
        <w:trPr>
          <w:trHeight w:val="730" w:hRule="exact"/>
        </w:trPr>
        <w:tc>
          <w:tcPr>
            <w:tcW w:w="217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85"/>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85"/>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85"/>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85"/>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48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15,098,649.99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128,946,743.61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54,463,379.20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143,984,529.50</w:t>
            </w:r>
          </w:p>
        </w:tc>
      </w:tr>
      <w:tr>
        <w:trPr>
          <w:trHeight w:val="73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的净利润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-3,183,481.08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26,135,697.1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8,762,826.95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31,425,303.95</w:t>
            </w:r>
          </w:p>
        </w:tc>
      </w:tr>
      <w:tr>
        <w:trPr>
          <w:trHeight w:val="1092"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both"/>
              <w:rPr>
                <w:rFonts w:ascii="宋体" w:hAnsi="宋体" w:cs="宋体" w:eastAsia="宋体" w:hint="default"/>
                <w:sz w:val="21"/>
                <w:szCs w:val="21"/>
              </w:rPr>
            </w:pPr>
            <w:r>
              <w:rPr>
                <w:rFonts w:ascii="宋体" w:hAnsi="宋体" w:cs="宋体" w:eastAsia="宋体" w:hint="default"/>
                <w:spacing w:val="5"/>
                <w:sz w:val="21"/>
                <w:szCs w:val="21"/>
              </w:rPr>
              <w:t>归属于上市公司股东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后的净利润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-5,750,735.08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23,068,486.24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7,838,344.55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11,098,917.73</w:t>
            </w:r>
          </w:p>
        </w:tc>
      </w:tr>
      <w:tr>
        <w:trPr>
          <w:trHeight w:val="73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5"/>
                <w:sz w:val="21"/>
                <w:szCs w:val="21"/>
              </w:rPr>
              <w:t>经营活动产生的现金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流量净额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-82,893,566.86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-28,745,726.8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-5,203,618.84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147,340,893.17</w:t>
            </w:r>
          </w:p>
        </w:tc>
      </w:tr>
    </w:tbl>
    <w:p>
      <w:pPr>
        <w:spacing w:line="240" w:lineRule="auto" w:before="2"/>
        <w:rPr>
          <w:rFonts w:ascii="宋体" w:hAnsi="宋体" w:cs="宋体" w:eastAsia="宋体" w:hint="default"/>
          <w:sz w:val="20"/>
          <w:szCs w:val="20"/>
        </w:rPr>
      </w:pPr>
    </w:p>
    <w:p>
      <w:pPr>
        <w:pStyle w:val="BodyText"/>
        <w:spacing w:line="240" w:lineRule="auto" w:before="36"/>
        <w:ind w:left="218" w:right="227"/>
        <w:jc w:val="left"/>
      </w:pPr>
      <w:r>
        <w:rPr/>
        <w:t>季度数据与已披露定期报告数据差异说明</w:t>
      </w:r>
    </w:p>
    <w:p>
      <w:pPr>
        <w:pStyle w:val="BodyText"/>
        <w:spacing w:line="240" w:lineRule="auto" w:before="92"/>
        <w:ind w:left="218" w:right="227"/>
        <w:jc w:val="left"/>
      </w:pPr>
      <w:r>
        <w:rPr/>
        <w:t>□适用</w:t>
      </w:r>
      <w:r>
        <w:rPr>
          <w:spacing w:val="-1"/>
        </w:rPr>
        <w:t> </w:t>
      </w:r>
      <w:r>
        <w:rPr/>
        <w:t>√不适用</w:t>
      </w:r>
    </w:p>
    <w:p>
      <w:pPr>
        <w:spacing w:after="0" w:line="240" w:lineRule="auto"/>
        <w:jc w:val="left"/>
        <w:sectPr>
          <w:pgSz w:w="11910" w:h="16840"/>
          <w:pgMar w:header="880" w:footer="974" w:top="1120" w:bottom="116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974" w:top="1120" w:bottom="1160" w:left="1580" w:right="1140"/>
        </w:sectPr>
      </w:pPr>
    </w:p>
    <w:p>
      <w:pPr>
        <w:pStyle w:val="Heading2"/>
        <w:spacing w:line="240" w:lineRule="auto" w:before="36"/>
        <w:ind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160" w:left="1580" w:right="1140"/>
          <w:cols w:num="2" w:equalWidth="0">
            <w:col w:w="3036" w:space="3697"/>
            <w:col w:w="24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97"/>
        <w:gridCol w:w="1459"/>
        <w:gridCol w:w="1284"/>
        <w:gridCol w:w="1460"/>
        <w:gridCol w:w="1459"/>
      </w:tblGrid>
      <w:tr>
        <w:trPr>
          <w:trHeight w:val="73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3"/>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before="85"/>
              <w:ind w:right="12"/>
              <w:jc w:val="center"/>
              <w:rPr>
                <w:rFonts w:ascii="宋体" w:hAnsi="宋体" w:cs="宋体" w:eastAsia="宋体" w:hint="default"/>
                <w:sz w:val="21"/>
                <w:szCs w:val="21"/>
              </w:rPr>
            </w:pPr>
            <w:r>
              <w:rPr>
                <w:rFonts w:ascii="宋体" w:hAnsi="宋体" w:cs="宋体" w:eastAsia="宋体" w:hint="default"/>
                <w:sz w:val="21"/>
                <w:szCs w:val="21"/>
              </w:rPr>
              <w:t>（如适用）</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年金额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年金额</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-179,315.68</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-72,267.30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21"/>
                <w:szCs w:val="21"/>
              </w:rPr>
            </w:pPr>
            <w:r>
              <w:rPr>
                <w:rFonts w:ascii="Times New Roman"/>
                <w:sz w:val="21"/>
              </w:rPr>
              <w:t>-10,762.27</w:t>
            </w: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或偶发性的税收返还、减免</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181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公司正常经营业务密切相关，符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合国家政策规定、按照一定标准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定额或定量持续享受的政府补助</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除外</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18,044,066.67</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11,807,837.24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16,409,034.15</w:t>
            </w: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取的资金占用费</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营企业的投资成本小于取得投资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时应享有被投资单位可辨认净资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产公允价值产生的收益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害而计提的各项资产减值准备</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出、整合费用等</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超过公允价值部分的损益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2"/>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司期初至合并日的当期净损益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事项产生的损益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21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效套期保值业务外，持有交易性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金融资产、交易性金融负债产生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的公允价值变动损益，以及处置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交易性金融资产、交易性金融负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债和可供出售金融资产取得的投</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13,896,823.77</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1,004,794.52</w:t>
            </w: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97"/>
        <w:gridCol w:w="1459"/>
        <w:gridCol w:w="1284"/>
        <w:gridCol w:w="1460"/>
        <w:gridCol w:w="1459"/>
      </w:tblGrid>
      <w:tr>
        <w:trPr>
          <w:trHeight w:val="37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值准备转回</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both"/>
              <w:rPr>
                <w:rFonts w:ascii="宋体" w:hAnsi="宋体" w:cs="宋体" w:eastAsia="宋体" w:hint="default"/>
                <w:sz w:val="21"/>
                <w:szCs w:val="21"/>
              </w:rPr>
            </w:pPr>
            <w:r>
              <w:rPr>
                <w:rFonts w:ascii="宋体" w:hAnsi="宋体" w:cs="宋体" w:eastAsia="宋体" w:hint="default"/>
                <w:sz w:val="21"/>
                <w:szCs w:val="21"/>
              </w:rPr>
              <w:t>采用公允价值模式进行后续计量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的投资性房地产公允价值变动产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生的损益</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both"/>
              <w:rPr>
                <w:rFonts w:ascii="宋体" w:hAnsi="宋体" w:cs="宋体" w:eastAsia="宋体" w:hint="default"/>
                <w:sz w:val="21"/>
                <w:szCs w:val="21"/>
              </w:rPr>
            </w:pPr>
            <w:r>
              <w:rPr>
                <w:rFonts w:ascii="宋体" w:hAnsi="宋体" w:cs="宋体" w:eastAsia="宋体" w:hint="default"/>
                <w:sz w:val="21"/>
                <w:szCs w:val="21"/>
              </w:rPr>
              <w:t>根据税收、会计等法律、法规的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要求对当期损益进行一次性调整</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对当期损益的影响</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2"/>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入和支出</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-120,357.27</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-3,335.71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220,948.85</w:t>
            </w:r>
          </w:p>
        </w:tc>
      </w:tr>
      <w:tr>
        <w:trPr>
          <w:trHeight w:val="73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益项目</w:t>
            </w:r>
          </w:p>
        </w:tc>
        <w:tc>
          <w:tcPr>
            <w:tcW w:w="145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21,433.75</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-20,590.82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-40,972.50</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-4,777,317.76</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-1,929,569.31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-2,191,797.43</w:t>
            </w:r>
          </w:p>
        </w:tc>
      </w:tr>
      <w:tr>
        <w:trPr>
          <w:trHeight w:val="37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26,885,333.48</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10,786,868.62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14,386,450.80</w:t>
            </w:r>
          </w:p>
        </w:tc>
      </w:tr>
    </w:tbl>
    <w:p>
      <w:pPr>
        <w:spacing w:line="240" w:lineRule="auto" w:before="10"/>
        <w:rPr>
          <w:rFonts w:ascii="宋体" w:hAnsi="宋体" w:cs="宋体" w:eastAsia="宋体" w:hint="default"/>
          <w:sz w:val="24"/>
          <w:szCs w:val="24"/>
        </w:rPr>
      </w:pPr>
    </w:p>
    <w:p>
      <w:pPr>
        <w:pStyle w:val="Heading2"/>
        <w:tabs>
          <w:tab w:pos="1057" w:val="left" w:leader="none"/>
        </w:tabs>
        <w:spacing w:line="240" w:lineRule="auto" w:before="36"/>
        <w:ind w:right="2926"/>
        <w:jc w:val="left"/>
        <w:rPr>
          <w:b w:val="0"/>
          <w:bCs w:val="0"/>
        </w:rPr>
      </w:pPr>
      <w:r>
        <w:rPr/>
        <w:t>十一、</w:t>
        <w:tab/>
        <w:t>采用公允价值计量的项目</w:t>
      </w:r>
      <w:r>
        <w:rPr>
          <w:b w:val="0"/>
          <w:bCs w:val="0"/>
        </w:rPr>
      </w:r>
    </w:p>
    <w:p>
      <w:pPr>
        <w:pStyle w:val="BodyText"/>
        <w:tabs>
          <w:tab w:pos="1051" w:val="left" w:leader="none"/>
        </w:tabs>
        <w:spacing w:line="240" w:lineRule="auto" w:before="97"/>
        <w:ind w:left="0" w:right="339"/>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97"/>
        <w:gridCol w:w="1107"/>
        <w:gridCol w:w="1692"/>
        <w:gridCol w:w="1678"/>
        <w:gridCol w:w="2470"/>
      </w:tblGrid>
      <w:tr>
        <w:trPr>
          <w:trHeight w:val="37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0"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7" w:right="0"/>
              <w:jc w:val="left"/>
              <w:rPr>
                <w:rFonts w:ascii="宋体" w:hAnsi="宋体" w:cs="宋体" w:eastAsia="宋体" w:hint="default"/>
                <w:sz w:val="21"/>
                <w:szCs w:val="21"/>
              </w:rPr>
            </w:pPr>
            <w:r>
              <w:rPr>
                <w:rFonts w:ascii="宋体" w:hAnsi="宋体" w:cs="宋体" w:eastAsia="宋体" w:hint="default"/>
                <w:sz w:val="21"/>
                <w:szCs w:val="21"/>
              </w:rPr>
              <w:t>对当期利润的影响金额</w:t>
            </w:r>
          </w:p>
        </w:tc>
      </w:tr>
      <w:tr>
        <w:trPr>
          <w:trHeight w:val="53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10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69" w:right="0"/>
              <w:jc w:val="left"/>
              <w:rPr>
                <w:rFonts w:ascii="Times New Roman" w:hAnsi="Times New Roman" w:cs="Times New Roman" w:eastAsia="Times New Roman" w:hint="default"/>
                <w:sz w:val="21"/>
                <w:szCs w:val="21"/>
              </w:rPr>
            </w:pPr>
            <w:r>
              <w:rPr>
                <w:rFonts w:ascii="Times New Roman"/>
                <w:sz w:val="21"/>
              </w:rPr>
              <w:t>85,742,297.47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1"/>
                <w:szCs w:val="21"/>
              </w:rPr>
            </w:pPr>
            <w:r>
              <w:rPr>
                <w:rFonts w:ascii="Times New Roman"/>
                <w:spacing w:val="-1"/>
                <w:sz w:val="21"/>
              </w:rPr>
              <w:t>85,742,297.47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Times New Roman" w:hAnsi="Times New Roman" w:cs="Times New Roman" w:eastAsia="Times New Roman" w:hint="default"/>
                <w:sz w:val="21"/>
                <w:szCs w:val="21"/>
              </w:rPr>
            </w:pPr>
            <w:r>
              <w:rPr>
                <w:rFonts w:ascii="Times New Roman"/>
                <w:spacing w:val="-1"/>
                <w:sz w:val="21"/>
              </w:rPr>
              <w:t>4,834,111.51</w:t>
            </w: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07"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9" w:right="0"/>
              <w:jc w:val="left"/>
              <w:rPr>
                <w:rFonts w:ascii="Times New Roman" w:hAnsi="Times New Roman" w:cs="Times New Roman" w:eastAsia="Times New Roman" w:hint="default"/>
                <w:sz w:val="21"/>
                <w:szCs w:val="21"/>
              </w:rPr>
            </w:pPr>
            <w:r>
              <w:rPr>
                <w:rFonts w:ascii="Times New Roman"/>
                <w:sz w:val="21"/>
              </w:rPr>
              <w:t>85,742,297.47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85,742,297.47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4,834,111.51</w:t>
            </w:r>
          </w:p>
        </w:tc>
      </w:tr>
    </w:tbl>
    <w:p>
      <w:pPr>
        <w:spacing w:line="240" w:lineRule="auto" w:before="9"/>
        <w:rPr>
          <w:rFonts w:ascii="宋体" w:hAnsi="宋体" w:cs="宋体" w:eastAsia="宋体" w:hint="default"/>
          <w:sz w:val="24"/>
          <w:szCs w:val="24"/>
        </w:rPr>
      </w:pPr>
    </w:p>
    <w:p>
      <w:pPr>
        <w:tabs>
          <w:tab w:pos="1057" w:val="left" w:leader="none"/>
        </w:tabs>
        <w:spacing w:line="326" w:lineRule="auto" w:before="36"/>
        <w:ind w:left="638" w:right="7704" w:hanging="420"/>
        <w:jc w:val="left"/>
        <w:rPr>
          <w:rFonts w:ascii="宋体" w:hAnsi="宋体" w:cs="宋体" w:eastAsia="宋体" w:hint="default"/>
          <w:sz w:val="21"/>
          <w:szCs w:val="21"/>
        </w:rPr>
      </w:pPr>
      <w:r>
        <w:rPr>
          <w:rFonts w:ascii="宋体" w:hAnsi="宋体" w:cs="宋体" w:eastAsia="宋体" w:hint="default"/>
          <w:b/>
          <w:bCs/>
          <w:sz w:val="21"/>
          <w:szCs w:val="21"/>
        </w:rPr>
        <w:t>十二、</w:t>
        <w:tab/>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after="0" w:line="326" w:lineRule="auto"/>
        <w:jc w:val="left"/>
        <w:rPr>
          <w:rFonts w:ascii="宋体" w:hAnsi="宋体" w:cs="宋体" w:eastAsia="宋体" w:hint="default"/>
          <w:sz w:val="21"/>
          <w:szCs w:val="21"/>
        </w:rPr>
        <w:sectPr>
          <w:pgSz w:w="11910" w:h="16840"/>
          <w:pgMar w:header="880" w:footer="974" w:top="1120" w:bottom="1160" w:left="158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5"/>
        <w:rPr>
          <w:rFonts w:ascii="黑体" w:hAnsi="黑体" w:cs="黑体" w:eastAsia="黑体" w:hint="default"/>
          <w:b/>
          <w:bCs/>
          <w:sz w:val="21"/>
          <w:szCs w:val="21"/>
        </w:rPr>
      </w:pPr>
    </w:p>
    <w:p>
      <w:pPr>
        <w:pStyle w:val="Heading2"/>
        <w:spacing w:line="240" w:lineRule="auto"/>
        <w:ind w:left="138" w:right="0"/>
        <w:jc w:val="left"/>
        <w:rPr>
          <w:b w:val="0"/>
          <w:bCs w:val="0"/>
        </w:rPr>
      </w:pPr>
      <w:r>
        <w:rPr/>
        <w:t>一、报告期内公司所从事的主要业务、经营模式及行业情况说明</w:t>
      </w:r>
      <w:r>
        <w:rPr>
          <w:b w:val="0"/>
          <w:bCs w:val="0"/>
        </w:rPr>
      </w:r>
    </w:p>
    <w:p>
      <w:pPr>
        <w:pStyle w:val="Heading2"/>
        <w:spacing w:line="240" w:lineRule="auto" w:before="152"/>
        <w:ind w:left="558" w:right="0"/>
        <w:jc w:val="left"/>
        <w:rPr>
          <w:b w:val="0"/>
          <w:bCs w:val="0"/>
        </w:rPr>
      </w:pPr>
      <w:r>
        <w:rPr/>
        <w:t>（一）公司从事的主要业务与经营模式说明</w:t>
      </w:r>
      <w:r>
        <w:rPr>
          <w:b w:val="0"/>
          <w:bCs w:val="0"/>
        </w:rPr>
      </w:r>
    </w:p>
    <w:p>
      <w:pPr>
        <w:pStyle w:val="BodyText"/>
        <w:spacing w:line="304" w:lineRule="auto" w:before="85"/>
        <w:ind w:right="128"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6"/>
        </w:rPr>
        <w:t> </w:t>
      </w:r>
      <w:r>
        <w:rPr>
          <w:spacing w:val="-3"/>
        </w:rPr>
        <w:t>年，公司以电子政务整体解决方案提供商、智慧城市综合开发商和分享经济平台运营商</w:t>
      </w:r>
      <w:r>
        <w:rPr>
          <w:w w:val="100"/>
        </w:rPr>
        <w:t> </w:t>
      </w:r>
      <w:r>
        <w:rPr>
          <w:spacing w:val="-1"/>
        </w:rPr>
        <w:t>为定位，继续深耕党务信息、权力阳光、智慧公安、智慧军营四大细分行业线，构建资本驱动发</w:t>
      </w:r>
      <w:r>
        <w:rPr>
          <w:spacing w:val="-55"/>
        </w:rPr>
        <w:t> </w:t>
      </w:r>
      <w:r>
        <w:rPr>
          <w:spacing w:val="-55"/>
        </w:rPr>
      </w:r>
      <w:r>
        <w:rPr/>
        <w:t>展模式，将公司逐步打造成具有生态功能的发展平台。公司的主要业务情况说明如下：</w:t>
      </w:r>
    </w:p>
    <w:p>
      <w:pPr>
        <w:pStyle w:val="BodyText"/>
        <w:spacing w:line="307" w:lineRule="auto" w:before="28"/>
        <w:ind w:right="128" w:firstLine="419"/>
        <w:jc w:val="both"/>
      </w:pPr>
      <w:r>
        <w:rPr>
          <w:rFonts w:ascii="Times New Roman" w:hAnsi="Times New Roman" w:cs="Times New Roman" w:eastAsia="Times New Roman" w:hint="default"/>
          <w:spacing w:val="-4"/>
        </w:rPr>
        <w:t>1</w:t>
      </w:r>
      <w:r>
        <w:rPr>
          <w:spacing w:val="-4"/>
        </w:rPr>
        <w:t>、电子政务整体解决方案。公司主要从事电子政务的软件开发、系统集成及技术服务，并以</w:t>
      </w:r>
      <w:r>
        <w:rPr>
          <w:w w:val="100"/>
        </w:rPr>
        <w:t> </w:t>
      </w:r>
      <w:r>
        <w:rPr>
          <w:spacing w:val="-6"/>
        </w:rPr>
        <w:t>解决方案的方式向政务部门提供上述全部或部分业务。深度耕作权力阳光、信息党务、智慧公安、</w:t>
      </w:r>
      <w:r>
        <w:rPr>
          <w:spacing w:val="-54"/>
        </w:rPr>
        <w:t> </w:t>
      </w:r>
      <w:r>
        <w:rPr>
          <w:spacing w:val="-54"/>
        </w:rPr>
      </w:r>
      <w:r>
        <w:rPr>
          <w:spacing w:val="-4"/>
        </w:rPr>
        <w:t>智慧军营等四个细分行业线，产品涉及的领域集中于：（</w:t>
      </w:r>
      <w:r>
        <w:rPr>
          <w:rFonts w:ascii="Times New Roman" w:hAnsi="Times New Roman" w:cs="Times New Roman" w:eastAsia="Times New Roman" w:hint="default"/>
          <w:spacing w:val="-4"/>
        </w:rPr>
        <w:t>1</w:t>
      </w:r>
      <w:r>
        <w:rPr>
          <w:spacing w:val="-4"/>
        </w:rPr>
        <w:t>）电子政务主要应用系统，主要包括权</w:t>
      </w:r>
      <w:r>
        <w:rPr>
          <w:spacing w:val="-34"/>
        </w:rPr>
        <w:t> </w:t>
      </w:r>
      <w:r>
        <w:rPr>
          <w:spacing w:val="-34"/>
        </w:rPr>
      </w:r>
      <w:r>
        <w:rPr>
          <w:spacing w:val="-4"/>
        </w:rPr>
        <w:t>力阳光产品、党（军）委信息化产品；（</w:t>
      </w:r>
      <w:r>
        <w:rPr>
          <w:rFonts w:ascii="Times New Roman" w:hAnsi="Times New Roman" w:cs="Times New Roman" w:eastAsia="Times New Roman" w:hint="default"/>
          <w:spacing w:val="-4"/>
        </w:rPr>
        <w:t>2</w:t>
      </w:r>
      <w:r>
        <w:rPr>
          <w:spacing w:val="-4"/>
        </w:rPr>
        <w:t>）社会管理与公共服务系统，主要包括智慧公安、平安</w:t>
      </w:r>
      <w:r>
        <w:rPr>
          <w:spacing w:val="-33"/>
        </w:rPr>
        <w:t> </w:t>
      </w:r>
      <w:r>
        <w:rPr>
          <w:spacing w:val="-33"/>
        </w:rPr>
      </w:r>
      <w:r>
        <w:rPr>
          <w:spacing w:val="-1"/>
        </w:rPr>
        <w:t>城市等信息系统等。针对这类业务，公司一般采取直销方式向客户提供产品和服务，通过参与招</w:t>
      </w:r>
      <w:r>
        <w:rPr>
          <w:spacing w:val="-55"/>
        </w:rPr>
        <w:t> </w:t>
      </w:r>
      <w:r>
        <w:rPr>
          <w:spacing w:val="-55"/>
        </w:rPr>
      </w:r>
      <w:r>
        <w:rPr>
          <w:spacing w:val="-1"/>
        </w:rPr>
        <w:t>投标的方式实现销售后，根据客户的具体要求和业务特点开展系统的设计开发及项目实施。</w:t>
      </w:r>
      <w:r>
        <w:rPr>
          <w:rFonts w:ascii="宋体" w:hAnsi="宋体" w:cs="宋体" w:eastAsia="宋体" w:hint="default"/>
          <w:spacing w:val="-1"/>
        </w:rPr>
        <w:t>2015</w:t>
      </w:r>
      <w:r>
        <w:rPr>
          <w:rFonts w:ascii="宋体" w:hAnsi="宋体" w:cs="宋体" w:eastAsia="宋体" w:hint="default"/>
          <w:spacing w:val="-53"/>
        </w:rPr>
        <w:t> </w:t>
      </w:r>
      <w:r>
        <w:rPr>
          <w:spacing w:val="-1"/>
        </w:rPr>
        <w:t>年，公司尝试通过参与地方政府发起设立的产业基金、与合作伙伴共同建立分布式云平台，运用</w:t>
      </w:r>
      <w:r>
        <w:rPr>
          <w:spacing w:val="-56"/>
        </w:rPr>
        <w:t> </w:t>
      </w:r>
      <w:r>
        <w:rPr>
          <w:spacing w:val="-56"/>
        </w:rPr>
      </w:r>
      <w:r>
        <w:rPr>
          <w:spacing w:val="-1"/>
        </w:rPr>
        <w:t>计量收费、分期付款、租赁等方式，实现业务资本化，将公司解决方案和产品整体打包销售，促</w:t>
      </w:r>
      <w:r>
        <w:rPr>
          <w:spacing w:val="-55"/>
        </w:rPr>
        <w:t> </w:t>
      </w:r>
      <w:r>
        <w:rPr>
          <w:spacing w:val="-55"/>
        </w:rPr>
      </w:r>
      <w:r>
        <w:rPr/>
        <w:t>进公司从电子政务项目型企业向运营型企业转变。</w:t>
      </w:r>
    </w:p>
    <w:p>
      <w:pPr>
        <w:pStyle w:val="BodyText"/>
        <w:spacing w:line="304" w:lineRule="auto" w:before="26"/>
        <w:ind w:right="128" w:firstLine="419"/>
        <w:jc w:val="both"/>
      </w:pPr>
      <w:r>
        <w:rPr>
          <w:rFonts w:ascii="Times New Roman" w:hAnsi="Times New Roman" w:cs="Times New Roman" w:eastAsia="Times New Roman" w:hint="default"/>
          <w:spacing w:val="-3"/>
        </w:rPr>
        <w:t>2</w:t>
      </w:r>
      <w:r>
        <w:rPr>
          <w:spacing w:val="-3"/>
        </w:rPr>
        <w:t>、智慧城市综合开发业务。</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
        </w:rPr>
        <w:t> </w:t>
      </w:r>
      <w:r>
        <w:rPr>
          <w:spacing w:val="-3"/>
        </w:rPr>
        <w:t>年下半年，公司顺应“互联网+”、“双创”和信息技术国</w:t>
      </w:r>
      <w:r>
        <w:rPr>
          <w:w w:val="100"/>
        </w:rPr>
        <w:t> </w:t>
      </w:r>
      <w:r>
        <w:rPr>
          <w:spacing w:val="-7"/>
        </w:rPr>
        <w:t>产化的发展趋势，开始通过</w:t>
      </w:r>
      <w:r>
        <w:rPr>
          <w:spacing w:val="-19"/>
        </w:rPr>
        <w:t> </w:t>
      </w:r>
      <w:r>
        <w:rPr>
          <w:rFonts w:ascii="宋体" w:hAnsi="宋体" w:cs="宋体" w:eastAsia="宋体" w:hint="default"/>
          <w:spacing w:val="-13"/>
        </w:rPr>
        <w:t>PPP</w:t>
      </w:r>
      <w:r>
        <w:rPr>
          <w:spacing w:val="-13"/>
        </w:rPr>
        <w:t>、</w:t>
      </w:r>
      <w:r>
        <w:rPr>
          <w:rFonts w:ascii="宋体" w:hAnsi="宋体" w:cs="宋体" w:eastAsia="宋体" w:hint="default"/>
          <w:spacing w:val="-13"/>
        </w:rPr>
        <w:t>BT</w:t>
      </w:r>
      <w:r>
        <w:rPr>
          <w:spacing w:val="-13"/>
        </w:rPr>
        <w:t>、</w:t>
      </w:r>
      <w:r>
        <w:rPr>
          <w:rFonts w:ascii="宋体" w:hAnsi="宋体" w:cs="宋体" w:eastAsia="宋体" w:hint="default"/>
          <w:spacing w:val="-13"/>
        </w:rPr>
        <w:t>BOT</w:t>
      </w:r>
      <w:r>
        <w:rPr>
          <w:rFonts w:ascii="宋体" w:hAnsi="宋体" w:cs="宋体" w:eastAsia="宋体" w:hint="default"/>
          <w:spacing w:val="-22"/>
        </w:rPr>
        <w:t> </w:t>
      </w:r>
      <w:r>
        <w:rPr>
          <w:spacing w:val="-7"/>
        </w:rPr>
        <w:t>等方式开展智慧城市综合运营工作，与重庆江北、平潭、</w:t>
      </w:r>
      <w:r>
        <w:rPr>
          <w:spacing w:val="-92"/>
        </w:rPr>
        <w:t> </w:t>
      </w:r>
      <w:r>
        <w:rPr>
          <w:spacing w:val="-92"/>
        </w:rPr>
      </w:r>
      <w:r>
        <w:rPr>
          <w:spacing w:val="-3"/>
        </w:rPr>
        <w:t>安溪、丰泽等多个城市签署了智慧城市战略合作协议，全面布局智慧城市综合开发业务。</w:t>
      </w:r>
      <w:r>
        <w:rPr>
          <w:rFonts w:ascii="Times New Roman" w:hAnsi="Times New Roman" w:cs="Times New Roman" w:eastAsia="Times New Roman" w:hint="default"/>
          <w:spacing w:val="-3"/>
        </w:rPr>
        <w:t>2015 </w:t>
      </w:r>
      <w:r>
        <w:rPr/>
        <w:t>年</w:t>
      </w:r>
      <w:r>
        <w:rPr>
          <w:spacing w:val="-72"/>
        </w:rPr>
        <w:t> </w:t>
      </w:r>
      <w:r>
        <w:rPr>
          <w:spacing w:val="-1"/>
        </w:rPr>
        <w:t>公司已取得智慧城市业务的订单但尚未确认收入，预计未来智慧城市综合开发业务将成为公司重</w:t>
      </w:r>
      <w:r>
        <w:rPr>
          <w:spacing w:val="-54"/>
        </w:rPr>
        <w:t> </w:t>
      </w:r>
      <w:r>
        <w:rPr>
          <w:spacing w:val="-54"/>
        </w:rPr>
      </w:r>
      <w:r>
        <w:rPr/>
        <w:t>要的增长。</w:t>
      </w:r>
    </w:p>
    <w:p>
      <w:pPr>
        <w:pStyle w:val="BodyText"/>
        <w:spacing w:line="312" w:lineRule="auto" w:before="28"/>
        <w:ind w:right="127" w:firstLine="419"/>
        <w:jc w:val="both"/>
      </w:pPr>
      <w:r>
        <w:rPr>
          <w:rFonts w:ascii="Times New Roman" w:hAnsi="Times New Roman" w:cs="Times New Roman" w:eastAsia="Times New Roman" w:hint="default"/>
        </w:rPr>
        <w:t>3</w:t>
      </w:r>
      <w:r>
        <w:rPr/>
        <w:t>、分享经济平台运营商方面。</w:t>
      </w:r>
      <w:r>
        <w:rPr>
          <w:rFonts w:ascii="Times New Roman" w:hAnsi="Times New Roman" w:cs="Times New Roman" w:eastAsia="Times New Roman" w:hint="default"/>
        </w:rPr>
        <w:t>2015 </w:t>
      </w:r>
      <w:r>
        <w:rPr/>
        <w:t>年，公司通过转型提升战略积极布局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大新兴业态，创</w:t>
      </w:r>
      <w:r>
        <w:rPr>
          <w:w w:val="100"/>
        </w:rPr>
        <w:t> </w:t>
      </w:r>
      <w:r>
        <w:rPr>
          <w:spacing w:val="-1"/>
        </w:rPr>
        <w:t>立以创客、车辆、家居为三大入口，以大数据为支撑的互联网产业平台，夯实分享经济技术服务</w:t>
      </w:r>
      <w:r>
        <w:rPr>
          <w:spacing w:val="-55"/>
        </w:rPr>
        <w:t> </w:t>
      </w:r>
      <w:r>
        <w:rPr>
          <w:spacing w:val="-55"/>
        </w:rPr>
      </w:r>
      <w:r>
        <w:rPr>
          <w:spacing w:val="-1"/>
        </w:rPr>
        <w:t>能力，加快确立公司作为分享经济平台运营商的定位。一是打造万创中国平台。万创中国服务于</w:t>
      </w:r>
      <w:r>
        <w:rPr>
          <w:spacing w:val="-56"/>
        </w:rPr>
        <w:t> </w:t>
      </w:r>
      <w:r>
        <w:rPr>
          <w:spacing w:val="-56"/>
        </w:rPr>
      </w:r>
      <w:r>
        <w:rPr>
          <w:spacing w:val="-1"/>
        </w:rPr>
        <w:t>创客与自由职业者，是聚集服务于创新创业全要素的互联网生态平台，提供“万创众包、万创众</w:t>
      </w:r>
      <w:r>
        <w:rPr>
          <w:spacing w:val="-55"/>
        </w:rPr>
        <w:t> </w:t>
      </w:r>
      <w:r>
        <w:rPr>
          <w:spacing w:val="-55"/>
        </w:rPr>
      </w:r>
      <w:r>
        <w:rPr>
          <w:spacing w:val="-1"/>
        </w:rPr>
        <w:t>筹、万创空间、万创工具、万创众推”等五大类服务，解决产品创意、设计、制造、交易全生命</w:t>
      </w:r>
      <w:r>
        <w:rPr>
          <w:spacing w:val="-56"/>
        </w:rPr>
        <w:t> </w:t>
      </w:r>
      <w:r>
        <w:rPr>
          <w:spacing w:val="-56"/>
        </w:rPr>
      </w:r>
      <w:r>
        <w:rPr>
          <w:spacing w:val="-6"/>
        </w:rPr>
        <w:t>周期的痛点，满足消费者参与产品设计的个性化定制、柔性化制造需求，促进供需之间精准匹配、</w:t>
      </w:r>
      <w:r>
        <w:rPr>
          <w:spacing w:val="-54"/>
        </w:rPr>
        <w:t> </w:t>
      </w:r>
      <w:r>
        <w:rPr>
          <w:spacing w:val="-54"/>
        </w:rPr>
      </w:r>
      <w:r>
        <w:rPr>
          <w:spacing w:val="-1"/>
        </w:rPr>
        <w:t>快速对接，降低创新创业的风险和成本，提升创新创业的效率和成功率。围绕创业创新全要素聚</w:t>
      </w:r>
      <w:r>
        <w:rPr>
          <w:spacing w:val="-55"/>
        </w:rPr>
        <w:t> </w:t>
      </w:r>
      <w:r>
        <w:rPr>
          <w:spacing w:val="-55"/>
        </w:rPr>
      </w:r>
      <w:r>
        <w:rPr>
          <w:spacing w:val="-1"/>
        </w:rPr>
        <w:t>集人气达成交易，通过交易形成资金蓄水池，通过蓄水池实现互联网金融。二是打造新能源交通</w:t>
      </w:r>
      <w:r>
        <w:rPr>
          <w:spacing w:val="-55"/>
        </w:rPr>
        <w:t> </w:t>
      </w:r>
      <w:r>
        <w:rPr>
          <w:spacing w:val="-55"/>
        </w:rPr>
      </w:r>
      <w:r>
        <w:rPr>
          <w:spacing w:val="-2"/>
        </w:rPr>
        <w:t>生态圈运营平台（也称为“智慧交通</w:t>
      </w:r>
      <w:r>
        <w:rPr/>
        <w:t> </w:t>
      </w:r>
      <w:r>
        <w:rPr>
          <w:rFonts w:ascii="Times New Roman" w:hAnsi="Times New Roman" w:cs="Times New Roman" w:eastAsia="Times New Roman" w:hint="default"/>
          <w:spacing w:val="-2"/>
        </w:rPr>
        <w:t>2.0</w:t>
      </w:r>
      <w:r>
        <w:rPr>
          <w:spacing w:val="-2"/>
        </w:rPr>
        <w:t>”），基于“互联网+”，建立连接车辆、充电桩、路灯</w:t>
      </w:r>
      <w:r>
        <w:rPr>
          <w:spacing w:val="-67"/>
        </w:rPr>
        <w:t> </w:t>
      </w:r>
      <w:r>
        <w:rPr>
          <w:spacing w:val="-67"/>
        </w:rPr>
      </w:r>
      <w:r>
        <w:rPr>
          <w:spacing w:val="-7"/>
        </w:rPr>
        <w:t>网络、停车场、交通信息服务等五大要素的智慧交通系统，开展出行服务、停车服务、智能充电、</w:t>
      </w:r>
      <w:r>
        <w:rPr>
          <w:spacing w:val="-13"/>
        </w:rPr>
        <w:t> </w:t>
      </w:r>
      <w:r>
        <w:rPr>
          <w:spacing w:val="-13"/>
        </w:rPr>
      </w:r>
      <w:r>
        <w:rPr>
          <w:spacing w:val="-1"/>
        </w:rPr>
        <w:t>精准广告、定制公交、车后市场等多元增值业务，形成以“车辆”为核心，以大数据为支撑，重</w:t>
      </w:r>
      <w:r>
        <w:rPr>
          <w:spacing w:val="-55"/>
        </w:rPr>
        <w:t> </w:t>
      </w:r>
      <w:r>
        <w:rPr>
          <w:spacing w:val="-55"/>
        </w:rPr>
      </w:r>
      <w:r>
        <w:rPr/>
        <w:t>服务、可运营的智慧交通生态产业链。</w:t>
      </w:r>
    </w:p>
    <w:p>
      <w:pPr>
        <w:pStyle w:val="BodyText"/>
        <w:spacing w:line="314" w:lineRule="auto" w:before="22"/>
        <w:ind w:left="558" w:right="124" w:firstLine="2"/>
        <w:jc w:val="left"/>
      </w:pPr>
      <w:r>
        <w:rPr>
          <w:rFonts w:ascii="宋体" w:hAnsi="宋体" w:cs="宋体" w:eastAsia="宋体" w:hint="default"/>
          <w:b/>
          <w:bCs/>
        </w:rPr>
        <w:t>（二）行业情况说明</w:t>
      </w:r>
      <w:r>
        <w:rPr>
          <w:rFonts w:ascii="宋体" w:hAnsi="宋体" w:cs="宋体" w:eastAsia="宋体" w:hint="default"/>
          <w:b/>
          <w:bCs/>
          <w:w w:val="100"/>
        </w:rPr>
        <w:t> </w:t>
      </w:r>
      <w:r>
        <w:rPr>
          <w:spacing w:val="-3"/>
        </w:rPr>
        <w:t>电子政务业务方面，根据北京赛迪顾问有限公司的行业市场数据预测，</w:t>
      </w:r>
      <w:r>
        <w:rPr>
          <w:rFonts w:ascii="宋体" w:hAnsi="宋体" w:cs="宋体" w:eastAsia="宋体" w:hint="default"/>
          <w:spacing w:val="-3"/>
        </w:rPr>
        <w:t>2015</w:t>
      </w:r>
      <w:r>
        <w:rPr>
          <w:rFonts w:ascii="宋体" w:hAnsi="宋体" w:cs="宋体" w:eastAsia="宋体" w:hint="default"/>
          <w:spacing w:val="4"/>
        </w:rPr>
        <w:t> </w:t>
      </w:r>
      <w:r>
        <w:rPr/>
        <w:t>年电子政务市场</w:t>
      </w:r>
    </w:p>
    <w:p>
      <w:pPr>
        <w:pStyle w:val="BodyText"/>
        <w:spacing w:line="314" w:lineRule="auto" w:before="20"/>
        <w:ind w:left="10" w:right="0"/>
        <w:jc w:val="center"/>
      </w:pPr>
      <w:r>
        <w:rPr/>
        <w:t>的整体投资规模不低于</w:t>
      </w:r>
      <w:r>
        <w:rPr>
          <w:spacing w:val="-50"/>
        </w:rPr>
        <w:t> </w:t>
      </w:r>
      <w:r>
        <w:rPr>
          <w:rFonts w:ascii="宋体" w:hAnsi="宋体" w:cs="宋体" w:eastAsia="宋体" w:hint="default"/>
        </w:rPr>
        <w:t>1,500</w:t>
      </w:r>
      <w:r>
        <w:rPr>
          <w:rFonts w:ascii="宋体" w:hAnsi="宋体" w:cs="宋体" w:eastAsia="宋体" w:hint="default"/>
          <w:spacing w:val="-50"/>
        </w:rPr>
        <w:t> </w:t>
      </w:r>
      <w:r>
        <w:rPr/>
        <w:t>亿，且呈逐年增长态势。电子政务市场容量巨大但高度分散，单个</w:t>
      </w:r>
      <w:r>
        <w:rPr>
          <w:w w:val="100"/>
        </w:rPr>
        <w:t> </w:t>
      </w:r>
      <w:r>
        <w:rPr>
          <w:spacing w:val="-1"/>
        </w:rPr>
        <w:t>供应商在市场中所占份额较低。电子政务的推进受到所在地区经济和信息化发展水平的影响，相</w:t>
      </w:r>
    </w:p>
    <w:p>
      <w:pPr>
        <w:spacing w:after="0" w:line="314" w:lineRule="auto"/>
        <w:jc w:val="center"/>
        <w:sectPr>
          <w:footerReference w:type="default" r:id="rId13"/>
          <w:pgSz w:w="11910" w:h="16840"/>
          <w:pgMar w:footer="974" w:header="880" w:top="1120" w:bottom="116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128"/>
        <w:jc w:val="both"/>
      </w:pPr>
      <w:r>
        <w:rPr>
          <w:spacing w:val="-1"/>
        </w:rPr>
        <w:t>关业务存在一定的区域性差异。电子政务市场规模主要与政府投资强度相关。由于我国行政管理</w:t>
      </w:r>
      <w:r>
        <w:rPr>
          <w:spacing w:val="-55"/>
        </w:rPr>
        <w:t> </w:t>
      </w:r>
      <w:r>
        <w:rPr>
          <w:spacing w:val="-55"/>
        </w:rPr>
      </w:r>
      <w:r>
        <w:rPr/>
        <w:t>体制改革正持续深化，电子政务行业也在持续发展，行业尚未表现出明显的周期性。</w:t>
      </w:r>
    </w:p>
    <w:p>
      <w:pPr>
        <w:pStyle w:val="BodyText"/>
        <w:spacing w:line="314" w:lineRule="auto" w:before="20"/>
        <w:ind w:right="128" w:firstLine="419"/>
        <w:jc w:val="both"/>
      </w:pPr>
      <w:r>
        <w:rPr>
          <w:spacing w:val="-2"/>
        </w:rPr>
        <w:t>在智慧城市综合开发业务方面，国内外多个城市启动“智慧城市”建设项目，国家也连续制</w:t>
      </w:r>
      <w:r>
        <w:rPr>
          <w:w w:val="100"/>
        </w:rPr>
        <w:t> </w:t>
      </w:r>
      <w:r>
        <w:rPr>
          <w:spacing w:val="-6"/>
          <w:w w:val="100"/>
        </w:rPr>
        <w:t>定了三批试点工作计划。智慧城市的建设正在从传统的信息资源基础建设逐步过渡到“全面融合、</w:t>
      </w:r>
      <w:r>
        <w:rPr>
          <w:spacing w:val="-104"/>
          <w:w w:val="100"/>
        </w:rPr>
        <w:t> </w:t>
      </w:r>
      <w:r>
        <w:rPr>
          <w:spacing w:val="-104"/>
          <w:w w:val="100"/>
        </w:rPr>
      </w:r>
      <w:r>
        <w:rPr>
          <w:spacing w:val="-1"/>
        </w:rPr>
        <w:t>全面创新、智能服务”的阶段。公司的智慧城市综合解决方案，将以应用创新与项目落地为重点</w:t>
      </w:r>
      <w:r>
        <w:rPr>
          <w:spacing w:val="-55"/>
        </w:rPr>
        <w:t> </w:t>
      </w:r>
      <w:r>
        <w:rPr>
          <w:spacing w:val="-55"/>
        </w:rPr>
      </w:r>
      <w:r>
        <w:rPr/>
        <w:t>突破口，实现城市资源、数据、业务的全面运营，打造与众不同的可持续发展“智慧城市”。</w:t>
      </w:r>
    </w:p>
    <w:p>
      <w:pPr>
        <w:pStyle w:val="BodyText"/>
        <w:spacing w:line="314" w:lineRule="auto" w:before="20"/>
        <w:ind w:right="0" w:firstLine="419"/>
        <w:jc w:val="left"/>
      </w:pPr>
      <w:r>
        <w:rPr>
          <w:spacing w:val="-1"/>
        </w:rPr>
        <w:t>在分享经济平台运营商方面，未来将会有更多资本支持共享经济实体发展，还会有更多人参</w:t>
      </w:r>
      <w:r>
        <w:rPr>
          <w:w w:val="100"/>
        </w:rPr>
        <w:t> </w:t>
      </w:r>
      <w:r>
        <w:rPr>
          <w:spacing w:val="-6"/>
        </w:rPr>
        <w:t>与到经济活动中，激活共享经济，同时政策、规范也都将逐步落地，共享经济将迎来真正的腾飞。</w:t>
      </w:r>
    </w:p>
    <w:p>
      <w:pPr>
        <w:spacing w:line="240" w:lineRule="auto" w:before="6"/>
        <w:rPr>
          <w:rFonts w:ascii="宋体" w:hAnsi="宋体" w:cs="宋体" w:eastAsia="宋体" w:hint="default"/>
          <w:sz w:val="29"/>
          <w:szCs w:val="29"/>
        </w:rPr>
      </w:pPr>
    </w:p>
    <w:p>
      <w:pPr>
        <w:pStyle w:val="Heading2"/>
        <w:spacing w:line="240" w:lineRule="auto"/>
        <w:ind w:left="138" w:right="0"/>
        <w:jc w:val="both"/>
        <w:rPr>
          <w:b w:val="0"/>
          <w:bCs w:val="0"/>
        </w:rPr>
      </w:pPr>
      <w:r>
        <w:rPr/>
        <w:t>二、报告期内公司主要资产发生重大变化情况的说明</w:t>
      </w:r>
      <w:r>
        <w:rPr>
          <w:b w:val="0"/>
          <w:bCs w:val="0"/>
        </w:rPr>
      </w:r>
    </w:p>
    <w:p>
      <w:pPr>
        <w:pStyle w:val="BodyText"/>
        <w:tabs>
          <w:tab w:pos="3448" w:val="left" w:leader="none"/>
        </w:tabs>
        <w:spacing w:line="314" w:lineRule="auto" w:before="152"/>
        <w:ind w:left="558" w:right="978"/>
        <w:jc w:val="left"/>
      </w:pPr>
      <w:r>
        <w:rPr>
          <w:spacing w:val="-2"/>
        </w:rPr>
        <w:t>报告期内，公司其他流动资产、在建工程和其他非流动资产较上年发生重大变化。</w:t>
      </w:r>
      <w:r>
        <w:rPr>
          <w:spacing w:val="-35"/>
        </w:rPr>
        <w:t> </w:t>
      </w:r>
      <w:r>
        <w:rPr>
          <w:spacing w:val="-35"/>
        </w:rPr>
      </w:r>
      <w:r>
        <w:rPr/>
        <w:t>其中：境外资产</w:t>
      </w:r>
      <w:r>
        <w:rPr>
          <w:spacing w:val="-54"/>
        </w:rPr>
        <w:t> </w:t>
      </w:r>
      <w:r>
        <w:rPr>
          <w:rFonts w:ascii="宋体" w:hAnsi="宋体" w:cs="宋体" w:eastAsia="宋体" w:hint="default"/>
        </w:rPr>
        <w:t>0</w:t>
      </w:r>
      <w:r>
        <w:rPr/>
        <w:t>（单位：元</w:t>
        <w:tab/>
        <w:t>币种：人民币），占总资产的比例为</w:t>
      </w:r>
      <w:r>
        <w:rPr>
          <w:spacing w:val="-57"/>
        </w:rPr>
        <w:t> </w:t>
      </w:r>
      <w:r>
        <w:rPr>
          <w:rFonts w:ascii="宋体" w:hAnsi="宋体" w:cs="宋体" w:eastAsia="宋体" w:hint="default"/>
        </w:rPr>
        <w:t>0%</w:t>
      </w:r>
      <w:r>
        <w:rPr/>
        <w:t>。</w:t>
      </w:r>
    </w:p>
    <w:p>
      <w:pPr>
        <w:pStyle w:val="BodyText"/>
        <w:spacing w:line="297" w:lineRule="auto" w:before="20"/>
        <w:ind w:right="0" w:firstLine="419"/>
        <w:jc w:val="left"/>
      </w:pPr>
      <w:r>
        <w:rPr>
          <w:rFonts w:ascii="Times New Roman" w:hAnsi="Times New Roman" w:cs="Times New Roman" w:eastAsia="Times New Roman" w:hint="default"/>
          <w:spacing w:val="-5"/>
        </w:rPr>
        <w:t>1</w:t>
      </w:r>
      <w:r>
        <w:rPr>
          <w:spacing w:val="-5"/>
        </w:rPr>
        <w:t>、预付款项</w:t>
      </w:r>
      <w:r>
        <w:rPr>
          <w:spacing w:val="-53"/>
        </w:rPr>
        <w:t> </w:t>
      </w:r>
      <w:r>
        <w:rPr>
          <w:rFonts w:ascii="Times New Roman" w:hAnsi="Times New Roman" w:cs="Times New Roman" w:eastAsia="Times New Roman" w:hint="default"/>
        </w:rPr>
        <w:t>3,719.83 </w:t>
      </w:r>
      <w:r>
        <w:rPr>
          <w:spacing w:val="-4"/>
        </w:rPr>
        <w:t>万元，较上年增幅为</w:t>
      </w:r>
      <w:r>
        <w:rPr>
          <w:spacing w:val="-55"/>
        </w:rPr>
        <w:t> </w:t>
      </w:r>
      <w:r>
        <w:rPr>
          <w:rFonts w:ascii="Times New Roman" w:hAnsi="Times New Roman" w:cs="Times New Roman" w:eastAsia="Times New Roman" w:hint="default"/>
        </w:rPr>
        <w:t>778.68%</w:t>
      </w:r>
      <w:r>
        <w:rPr/>
        <w:t>，主要系子公司福建南威购买福州软件园</w:t>
      </w:r>
      <w:r>
        <w:rPr>
          <w:w w:val="100"/>
        </w:rPr>
        <w:t> </w:t>
      </w:r>
      <w:r>
        <w:rPr/>
        <w:t>办公楼预付款项所致；</w:t>
      </w:r>
    </w:p>
    <w:p>
      <w:pPr>
        <w:pStyle w:val="BodyText"/>
        <w:spacing w:line="297" w:lineRule="auto" w:before="34"/>
        <w:ind w:right="125" w:firstLine="419"/>
        <w:jc w:val="left"/>
      </w:pPr>
      <w:r>
        <w:rPr>
          <w:rFonts w:ascii="Times New Roman" w:hAnsi="Times New Roman" w:cs="Times New Roman" w:eastAsia="Times New Roman" w:hint="default"/>
        </w:rPr>
        <w:t>2</w:t>
      </w:r>
      <w:r>
        <w:rPr/>
        <w:t>、其他流动资产</w:t>
      </w:r>
      <w:r>
        <w:rPr>
          <w:spacing w:val="-58"/>
        </w:rPr>
        <w:t> </w:t>
      </w:r>
      <w:r>
        <w:rPr>
          <w:rFonts w:ascii="Times New Roman" w:hAnsi="Times New Roman" w:cs="Times New Roman" w:eastAsia="Times New Roman" w:hint="default"/>
        </w:rPr>
        <w:t>2,061.82</w:t>
      </w:r>
      <w:r>
        <w:rPr>
          <w:rFonts w:ascii="Times New Roman" w:hAnsi="Times New Roman" w:cs="Times New Roman" w:eastAsia="Times New Roman" w:hint="default"/>
          <w:spacing w:val="-6"/>
        </w:rPr>
        <w:t> </w:t>
      </w:r>
      <w:r>
        <w:rPr/>
        <w:t>万元，较上年增幅为</w:t>
      </w:r>
      <w:r>
        <w:rPr>
          <w:spacing w:val="-55"/>
        </w:rPr>
        <w:t> </w:t>
      </w:r>
      <w:r>
        <w:rPr>
          <w:rFonts w:ascii="Times New Roman" w:hAnsi="Times New Roman" w:cs="Times New Roman" w:eastAsia="Times New Roman" w:hint="default"/>
        </w:rPr>
        <w:t>2,989.87%</w:t>
      </w:r>
      <w:r>
        <w:rPr/>
        <w:t>，主要系公司新增购买理财产品所</w:t>
      </w:r>
      <w:r>
        <w:rPr>
          <w:w w:val="100"/>
        </w:rPr>
        <w:t> </w:t>
      </w:r>
      <w:r>
        <w:rPr/>
        <w:t>致；</w:t>
      </w:r>
    </w:p>
    <w:p>
      <w:pPr>
        <w:pStyle w:val="BodyText"/>
        <w:spacing w:line="240" w:lineRule="auto" w:before="34"/>
        <w:ind w:left="558" w:right="0"/>
        <w:jc w:val="left"/>
      </w:pPr>
      <w:r>
        <w:rPr/>
        <w:t>详见本报告第四节二、（三）资产、负债情况分析。</w:t>
      </w:r>
    </w:p>
    <w:p>
      <w:pPr>
        <w:spacing w:line="240" w:lineRule="auto" w:before="0"/>
        <w:rPr>
          <w:rFonts w:ascii="宋体" w:hAnsi="宋体" w:cs="宋体" w:eastAsia="宋体" w:hint="default"/>
          <w:sz w:val="20"/>
          <w:szCs w:val="20"/>
        </w:rPr>
      </w:pPr>
    </w:p>
    <w:p>
      <w:pPr>
        <w:pStyle w:val="Heading2"/>
        <w:spacing w:line="240" w:lineRule="auto" w:before="140"/>
        <w:ind w:left="138" w:right="0"/>
        <w:jc w:val="both"/>
        <w:rPr>
          <w:b w:val="0"/>
          <w:bCs w:val="0"/>
        </w:rPr>
      </w:pPr>
      <w:r>
        <w:rPr/>
        <w:t>三、报告期内核心竞争力分析</w:t>
      </w:r>
      <w:r>
        <w:rPr>
          <w:b w:val="0"/>
          <w:bCs w:val="0"/>
        </w:rPr>
      </w:r>
    </w:p>
    <w:p>
      <w:pPr>
        <w:pStyle w:val="BodyText"/>
        <w:spacing w:line="297" w:lineRule="auto" w:before="152"/>
        <w:ind w:left="558" w:right="0"/>
        <w:jc w:val="left"/>
      </w:pPr>
      <w:r>
        <w:rPr>
          <w:rFonts w:ascii="Times New Roman" w:hAnsi="Times New Roman" w:cs="Times New Roman" w:eastAsia="Times New Roman" w:hint="default"/>
          <w:b/>
          <w:bCs/>
        </w:rPr>
        <w:t>1</w:t>
      </w:r>
      <w:r>
        <w:rPr>
          <w:rFonts w:ascii="宋体" w:hAnsi="宋体" w:cs="宋体" w:eastAsia="宋体" w:hint="default"/>
          <w:b/>
          <w:bCs/>
        </w:rPr>
        <w:t>、技术研发优势</w:t>
      </w:r>
      <w:r>
        <w:rPr>
          <w:rFonts w:ascii="宋体" w:hAnsi="宋体" w:cs="宋体" w:eastAsia="宋体" w:hint="default"/>
          <w:b/>
          <w:bCs/>
          <w:spacing w:val="-103"/>
        </w:rPr>
        <w:t> </w:t>
      </w:r>
      <w:r>
        <w:rPr>
          <w:spacing w:val="-2"/>
        </w:rPr>
        <w:t>公司将技术创新作为推动企业发展的核心动力，在核心业务领域不断加大研发投入，以技术</w:t>
      </w:r>
    </w:p>
    <w:p>
      <w:pPr>
        <w:pStyle w:val="BodyText"/>
        <w:spacing w:line="314" w:lineRule="auto" w:before="34"/>
        <w:ind w:right="127"/>
        <w:jc w:val="both"/>
        <w:rPr>
          <w:rFonts w:ascii="Times New Roman" w:hAnsi="Times New Roman" w:cs="Times New Roman" w:eastAsia="Times New Roman" w:hint="default"/>
        </w:rPr>
      </w:pPr>
      <w:r>
        <w:rPr>
          <w:spacing w:val="-2"/>
        </w:rPr>
        <w:t>驱动业务持续增长。公司建设的“自主可控软件实验室”被认定为福建省重点实验室，自主可控</w:t>
      </w:r>
      <w:r>
        <w:rPr>
          <w:spacing w:val="-15"/>
        </w:rPr>
        <w:t> </w:t>
      </w:r>
      <w:r>
        <w:rPr>
          <w:spacing w:val="-15"/>
        </w:rPr>
      </w:r>
      <w:r>
        <w:rPr>
          <w:spacing w:val="-3"/>
        </w:rPr>
        <w:t>软件研发实力得到认可；公司累计承担了国家发改委、国家科技部、国家工信部等部委组织的</w:t>
      </w:r>
      <w:r>
        <w:rPr>
          <w:spacing w:val="23"/>
        </w:rPr>
        <w:t> </w:t>
      </w:r>
      <w:r>
        <w:rPr>
          <w:rFonts w:ascii="Times New Roman" w:hAnsi="Times New Roman" w:cs="Times New Roman" w:eastAsia="Times New Roman" w:hint="default"/>
          <w:spacing w:val="-3"/>
        </w:rPr>
        <w:t>18</w:t>
      </w:r>
      <w:r>
        <w:rPr>
          <w:rFonts w:ascii="Times New Roman" w:hAnsi="Times New Roman" w:cs="Times New Roman" w:eastAsia="Times New Roman" w:hint="default"/>
        </w:rPr>
      </w:r>
    </w:p>
    <w:p>
      <w:pPr>
        <w:pStyle w:val="BodyText"/>
        <w:spacing w:line="288" w:lineRule="exact"/>
        <w:ind w:right="0"/>
        <w:jc w:val="both"/>
      </w:pPr>
      <w:r>
        <w:rPr>
          <w:w w:val="100"/>
        </w:rPr>
        <w:t>项国</w:t>
      </w:r>
      <w:r>
        <w:rPr>
          <w:spacing w:val="-3"/>
          <w:w w:val="100"/>
        </w:rPr>
        <w:t>家</w:t>
      </w:r>
      <w:r>
        <w:rPr>
          <w:w w:val="100"/>
        </w:rPr>
        <w:t>级</w:t>
      </w:r>
      <w:r>
        <w:rPr>
          <w:spacing w:val="-3"/>
          <w:w w:val="100"/>
        </w:rPr>
        <w:t>课</w:t>
      </w:r>
      <w:r>
        <w:rPr>
          <w:w w:val="100"/>
        </w:rPr>
        <w:t>题</w:t>
      </w:r>
      <w:r>
        <w:rPr>
          <w:spacing w:val="-104"/>
          <w:w w:val="100"/>
        </w:rPr>
        <w:t>，</w:t>
      </w:r>
      <w:r>
        <w:rPr>
          <w:w w:val="100"/>
        </w:rPr>
        <w:t>以</w:t>
      </w:r>
      <w:r>
        <w:rPr>
          <w:spacing w:val="-3"/>
          <w:w w:val="100"/>
        </w:rPr>
        <w:t>及</w:t>
      </w:r>
      <w:r>
        <w:rPr>
          <w:w w:val="100"/>
        </w:rPr>
        <w:t>福</w:t>
      </w:r>
      <w:r>
        <w:rPr>
          <w:spacing w:val="-3"/>
          <w:w w:val="100"/>
        </w:rPr>
        <w:t>建</w:t>
      </w:r>
      <w:r>
        <w:rPr>
          <w:spacing w:val="-2"/>
          <w:w w:val="100"/>
        </w:rPr>
        <w:t>省</w:t>
      </w:r>
      <w:r>
        <w:rPr>
          <w:w w:val="100"/>
        </w:rPr>
        <w:t>发改</w:t>
      </w:r>
      <w:r>
        <w:rPr>
          <w:spacing w:val="-3"/>
          <w:w w:val="100"/>
        </w:rPr>
        <w:t>委</w:t>
      </w:r>
      <w:r>
        <w:rPr>
          <w:spacing w:val="-101"/>
          <w:w w:val="100"/>
        </w:rPr>
        <w:t>、</w:t>
      </w:r>
      <w:r>
        <w:rPr>
          <w:spacing w:val="-3"/>
          <w:w w:val="100"/>
        </w:rPr>
        <w:t>福</w:t>
      </w:r>
      <w:r>
        <w:rPr>
          <w:w w:val="100"/>
        </w:rPr>
        <w:t>建</w:t>
      </w:r>
      <w:r>
        <w:rPr>
          <w:spacing w:val="-3"/>
          <w:w w:val="100"/>
        </w:rPr>
        <w:t>省</w:t>
      </w:r>
      <w:r>
        <w:rPr>
          <w:spacing w:val="-1"/>
          <w:w w:val="100"/>
        </w:rPr>
        <w:t>科</w:t>
      </w:r>
      <w:r>
        <w:rPr>
          <w:spacing w:val="-3"/>
          <w:w w:val="100"/>
        </w:rPr>
        <w:t>技</w:t>
      </w:r>
      <w:r>
        <w:rPr>
          <w:w w:val="100"/>
        </w:rPr>
        <w:t>厅</w:t>
      </w:r>
      <w:r>
        <w:rPr>
          <w:spacing w:val="-104"/>
          <w:w w:val="100"/>
        </w:rPr>
        <w:t>、</w:t>
      </w:r>
      <w:r>
        <w:rPr>
          <w:spacing w:val="-3"/>
          <w:w w:val="100"/>
        </w:rPr>
        <w:t>福</w:t>
      </w:r>
      <w:r>
        <w:rPr>
          <w:w w:val="100"/>
        </w:rPr>
        <w:t>建省</w:t>
      </w:r>
      <w:r>
        <w:rPr>
          <w:spacing w:val="-3"/>
          <w:w w:val="100"/>
        </w:rPr>
        <w:t>信</w:t>
      </w:r>
      <w:r>
        <w:rPr>
          <w:w w:val="100"/>
        </w:rPr>
        <w:t>息</w:t>
      </w:r>
      <w:r>
        <w:rPr>
          <w:spacing w:val="-3"/>
          <w:w w:val="100"/>
        </w:rPr>
        <w:t>化</w:t>
      </w:r>
      <w:r>
        <w:rPr>
          <w:w w:val="100"/>
        </w:rPr>
        <w:t>局</w:t>
      </w:r>
      <w:r>
        <w:rPr>
          <w:spacing w:val="-3"/>
          <w:w w:val="100"/>
        </w:rPr>
        <w:t>等</w:t>
      </w:r>
      <w:r>
        <w:rPr>
          <w:w w:val="100"/>
        </w:rPr>
        <w:t>部</w:t>
      </w:r>
      <w:r>
        <w:rPr>
          <w:spacing w:val="-3"/>
          <w:w w:val="100"/>
        </w:rPr>
        <w:t>门</w:t>
      </w:r>
      <w:r>
        <w:rPr>
          <w:w w:val="100"/>
        </w:rPr>
        <w:t>组</w:t>
      </w:r>
      <w:r>
        <w:rPr>
          <w:spacing w:val="-3"/>
          <w:w w:val="100"/>
        </w:rPr>
        <w:t>织</w:t>
      </w:r>
      <w:r>
        <w:rPr>
          <w:w w:val="100"/>
        </w:rPr>
        <w:t>的</w:t>
      </w:r>
      <w:r>
        <w:rPr>
          <w:spacing w:val="-52"/>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3"/>
        </w:rPr>
        <w:t> </w:t>
      </w:r>
      <w:r>
        <w:rPr>
          <w:w w:val="100"/>
        </w:rPr>
        <w:t>项</w:t>
      </w:r>
      <w:r>
        <w:rPr>
          <w:spacing w:val="-3"/>
          <w:w w:val="100"/>
        </w:rPr>
        <w:t>省</w:t>
      </w:r>
      <w:r>
        <w:rPr>
          <w:w w:val="100"/>
        </w:rPr>
        <w:t>级</w:t>
      </w:r>
      <w:r>
        <w:rPr>
          <w:spacing w:val="-3"/>
          <w:w w:val="100"/>
        </w:rPr>
        <w:t>课</w:t>
      </w:r>
      <w:r>
        <w:rPr>
          <w:w w:val="100"/>
        </w:rPr>
        <w:t>题，</w:t>
      </w:r>
    </w:p>
    <w:p>
      <w:pPr>
        <w:pStyle w:val="BodyText"/>
        <w:spacing w:line="297" w:lineRule="auto" w:before="69"/>
        <w:ind w:left="558" w:right="0" w:hanging="420"/>
        <w:jc w:val="left"/>
      </w:pPr>
      <w:r>
        <w:rPr/>
        <w:t>目前拥有发明专利</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项，实用新型专利</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项，自主产品计算机软件著作权超</w:t>
      </w:r>
      <w:r>
        <w:rPr>
          <w:spacing w:val="-55"/>
        </w:rPr>
        <w:t> </w:t>
      </w:r>
      <w:r>
        <w:rPr>
          <w:rFonts w:ascii="Times New Roman" w:hAnsi="Times New Roman" w:cs="Times New Roman" w:eastAsia="Times New Roman" w:hint="default"/>
        </w:rPr>
        <w:t>200 </w:t>
      </w:r>
      <w:r>
        <w:rPr/>
        <w:t>项。</w:t>
      </w:r>
      <w:r>
        <w:rPr>
          <w:w w:val="100"/>
        </w:rPr>
        <w:t> </w:t>
      </w:r>
      <w:r>
        <w:rPr>
          <w:rFonts w:ascii="Times New Roman" w:hAnsi="Times New Roman" w:cs="Times New Roman" w:eastAsia="Times New Roman" w:hint="default"/>
          <w:b/>
          <w:bCs/>
        </w:rPr>
        <w:t>2</w:t>
      </w:r>
      <w:r>
        <w:rPr>
          <w:rFonts w:ascii="宋体" w:hAnsi="宋体" w:cs="宋体" w:eastAsia="宋体" w:hint="default"/>
          <w:b/>
          <w:bCs/>
        </w:rPr>
        <w:t>、产品和解决方案优势</w:t>
      </w:r>
      <w:r>
        <w:rPr>
          <w:rFonts w:ascii="宋体" w:hAnsi="宋体" w:cs="宋体" w:eastAsia="宋体" w:hint="default"/>
          <w:b/>
          <w:bCs/>
          <w:w w:val="100"/>
        </w:rPr>
        <w:t> </w:t>
      </w:r>
      <w:r>
        <w:rPr>
          <w:spacing w:val="-2"/>
        </w:rPr>
        <w:t>公司依托自身先进的技术水平和丰富的实践经验，研发了行政审批、电子监察、电子证照、</w:t>
      </w:r>
    </w:p>
    <w:p>
      <w:pPr>
        <w:pStyle w:val="BodyText"/>
        <w:spacing w:line="314" w:lineRule="auto" w:before="35"/>
        <w:ind w:right="128"/>
        <w:jc w:val="both"/>
      </w:pPr>
      <w:r>
        <w:rPr>
          <w:spacing w:val="-1"/>
        </w:rPr>
        <w:t>党委内网门户监管系统、军队基层通用信息系统等多个在细分领域具有较高知名度和比较优势的</w:t>
      </w:r>
      <w:r>
        <w:rPr>
          <w:spacing w:val="-55"/>
        </w:rPr>
        <w:t> </w:t>
      </w:r>
      <w:r>
        <w:rPr>
          <w:spacing w:val="-55"/>
        </w:rPr>
      </w:r>
      <w:r>
        <w:rPr>
          <w:spacing w:val="-6"/>
        </w:rPr>
        <w:t>软件产品。同时，根据公司作为电子政务整体解决方案提供商的发展定位，综合提出了智慧城市、</w:t>
      </w:r>
      <w:r>
        <w:rPr>
          <w:spacing w:val="-54"/>
        </w:rPr>
        <w:t> </w:t>
      </w:r>
      <w:r>
        <w:rPr>
          <w:spacing w:val="-54"/>
        </w:rPr>
      </w:r>
      <w:r>
        <w:rPr>
          <w:spacing w:val="-1"/>
        </w:rPr>
        <w:t>智慧政务、智慧公安、平安城市、党委系统信息化、智慧军营等多项整体解决方案，为政务部门</w:t>
      </w:r>
      <w:r>
        <w:rPr>
          <w:spacing w:val="-55"/>
        </w:rPr>
        <w:t> </w:t>
      </w:r>
      <w:r>
        <w:rPr>
          <w:spacing w:val="-55"/>
        </w:rPr>
      </w:r>
      <w:r>
        <w:rPr/>
        <w:t>提供包括技术、业务、运行等多方面的综合服务。</w:t>
      </w:r>
    </w:p>
    <w:p>
      <w:pPr>
        <w:pStyle w:val="Heading2"/>
        <w:spacing w:line="240" w:lineRule="auto" w:before="20"/>
        <w:ind w:left="560" w:right="0"/>
        <w:jc w:val="left"/>
        <w:rPr>
          <w:b w:val="0"/>
          <w:bCs w:val="0"/>
        </w:rPr>
      </w:pPr>
      <w:r>
        <w:rPr>
          <w:rFonts w:ascii="Times New Roman" w:hAnsi="Times New Roman" w:cs="Times New Roman" w:eastAsia="Times New Roman" w:hint="default"/>
        </w:rPr>
        <w:t>3</w:t>
      </w:r>
      <w:r>
        <w:rPr/>
        <w:t>、规模优势</w:t>
      </w:r>
      <w:r>
        <w:rPr>
          <w:b w:val="0"/>
          <w:bCs w:val="0"/>
        </w:rPr>
      </w:r>
    </w:p>
    <w:p>
      <w:pPr>
        <w:pStyle w:val="BodyText"/>
        <w:spacing w:line="240" w:lineRule="auto" w:before="69"/>
        <w:ind w:left="558" w:right="0"/>
        <w:jc w:val="left"/>
      </w:pPr>
      <w:r>
        <w:rPr/>
        <w:t>公司业务已经覆盖全国</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10"/>
        </w:rPr>
        <w:t>多个省份，建立了</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spacing w:val="-8"/>
        </w:rPr>
        <w:t>个业务机构，形成辐射五大片区，纵深军队、</w:t>
      </w:r>
    </w:p>
    <w:p>
      <w:pPr>
        <w:pStyle w:val="BodyText"/>
        <w:spacing w:line="240" w:lineRule="auto" w:before="69"/>
        <w:ind w:right="0"/>
        <w:jc w:val="both"/>
      </w:pPr>
      <w:r>
        <w:rPr/>
        <w:t>公安两条行业线的全国市场营销与服务网络。公司积累了国家部委、省、市、县、乡</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级政务部</w:t>
      </w:r>
    </w:p>
    <w:p>
      <w:pPr>
        <w:pStyle w:val="BodyText"/>
        <w:spacing w:line="304" w:lineRule="auto" w:before="69"/>
        <w:ind w:right="128"/>
        <w:jc w:val="both"/>
      </w:pPr>
      <w:r>
        <w:rPr/>
        <w:t>门</w:t>
      </w:r>
      <w:r>
        <w:rPr>
          <w:spacing w:val="-3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2"/>
        </w:rPr>
        <w:t> </w:t>
      </w:r>
      <w:r>
        <w:rPr>
          <w:spacing w:val="-4"/>
        </w:rPr>
        <w:t>多家客户，承担建设了中共中央办公厅、国务院办公厅、中共中央组织部、公安部等国家</w:t>
      </w:r>
      <w:r>
        <w:rPr>
          <w:spacing w:val="-96"/>
        </w:rPr>
        <w:t> </w:t>
      </w:r>
      <w:r>
        <w:rPr>
          <w:spacing w:val="-96"/>
        </w:rPr>
      </w:r>
      <w:r>
        <w:rPr>
          <w:spacing w:val="-1"/>
        </w:rPr>
        <w:t>部委，以及福建、浙江、四川等省级党委、政府部门、公安系统的信息化项目，形成了广泛稳定</w:t>
      </w:r>
      <w:r>
        <w:rPr>
          <w:spacing w:val="-55"/>
        </w:rPr>
        <w:t> </w:t>
      </w:r>
      <w:r>
        <w:rPr>
          <w:spacing w:val="-55"/>
        </w:rPr>
      </w:r>
      <w:r>
        <w:rPr/>
        <w:t>的客户群体，具备较高的行业影响力。</w:t>
      </w:r>
    </w:p>
    <w:p>
      <w:pPr>
        <w:pStyle w:val="Heading2"/>
        <w:spacing w:line="240" w:lineRule="auto" w:before="28"/>
        <w:ind w:left="560" w:right="0"/>
        <w:jc w:val="left"/>
        <w:rPr>
          <w:b w:val="0"/>
          <w:bCs w:val="0"/>
        </w:rPr>
      </w:pPr>
      <w:r>
        <w:rPr>
          <w:rFonts w:ascii="Times New Roman" w:hAnsi="Times New Roman" w:cs="Times New Roman" w:eastAsia="Times New Roman" w:hint="default"/>
        </w:rPr>
        <w:t>4</w:t>
      </w:r>
      <w:r>
        <w:rPr/>
        <w:t>、资质与品牌优势</w:t>
      </w:r>
      <w:r>
        <w:rPr>
          <w:b w:val="0"/>
          <w:bCs w:val="0"/>
        </w:rPr>
      </w:r>
    </w:p>
    <w:p>
      <w:pPr>
        <w:spacing w:after="0" w:line="240" w:lineRule="auto"/>
        <w:jc w:val="left"/>
        <w:sectPr>
          <w:footerReference w:type="default" r:id="rId14"/>
          <w:pgSz w:w="11910" w:h="16840"/>
          <w:pgMar w:footer="974" w:header="880" w:top="1120" w:bottom="1160" w:left="1660" w:right="1140"/>
          <w:pgNumType w:start="11"/>
        </w:sectPr>
      </w:pPr>
    </w:p>
    <w:p>
      <w:pPr>
        <w:spacing w:line="240" w:lineRule="auto" w:before="0"/>
        <w:rPr>
          <w:rFonts w:ascii="宋体" w:hAnsi="宋体" w:cs="宋体" w:eastAsia="宋体" w:hint="default"/>
          <w:b/>
          <w:bCs/>
          <w:sz w:val="20"/>
          <w:szCs w:val="20"/>
        </w:rPr>
      </w:pPr>
    </w:p>
    <w:p>
      <w:pPr>
        <w:pStyle w:val="BodyText"/>
        <w:spacing w:line="314" w:lineRule="auto" w:before="182"/>
        <w:ind w:right="130" w:firstLine="419"/>
        <w:jc w:val="both"/>
      </w:pPr>
      <w:r>
        <w:rPr>
          <w:spacing w:val="-2"/>
        </w:rPr>
        <w:t>公司已取得计算机信息系统集成壹级资质、建筑智能工程设计与施工壹级资质、安防工程企</w:t>
      </w:r>
      <w:r>
        <w:rPr>
          <w:w w:val="100"/>
        </w:rPr>
        <w:t> </w:t>
      </w:r>
      <w:r>
        <w:rPr/>
        <w:t>业壹级资质和</w:t>
      </w:r>
      <w:r>
        <w:rPr>
          <w:spacing w:val="-58"/>
        </w:rPr>
        <w:t> </w:t>
      </w:r>
      <w:r>
        <w:rPr>
          <w:rFonts w:ascii="Times New Roman" w:hAnsi="Times New Roman" w:cs="Times New Roman" w:eastAsia="Times New Roman" w:hint="default"/>
        </w:rPr>
        <w:t>CMMI5</w:t>
      </w:r>
      <w:r>
        <w:rPr>
          <w:rFonts w:ascii="Times New Roman" w:hAnsi="Times New Roman" w:cs="Times New Roman" w:eastAsia="Times New Roman" w:hint="default"/>
          <w:spacing w:val="-2"/>
        </w:rPr>
        <w:t> </w:t>
      </w:r>
      <w:r>
        <w:rPr/>
        <w:t>级认证等，具备进入重点行业、重要领域、重大工程的资质条件。</w:t>
      </w:r>
    </w:p>
    <w:p>
      <w:pPr>
        <w:pStyle w:val="BodyText"/>
        <w:spacing w:line="302" w:lineRule="auto"/>
        <w:ind w:right="127" w:firstLine="419"/>
        <w:jc w:val="both"/>
      </w:pPr>
      <w:r>
        <w:rPr>
          <w:spacing w:val="-2"/>
        </w:rPr>
        <w:t>公司是国家火炬计划重点高新技术企业，被国家工信部授予“国家软件公共服务平台海西云</w:t>
      </w:r>
      <w:r>
        <w:rPr>
          <w:w w:val="100"/>
        </w:rPr>
        <w:t> </w:t>
      </w:r>
      <w:r>
        <w:rPr>
          <w:spacing w:val="-10"/>
        </w:rPr>
        <w:t>计算技术创新中心”，获得</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年第十九届中国国际软件博览会</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项大奖和第十五届中国信息产</w:t>
      </w:r>
      <w:r>
        <w:rPr>
          <w:spacing w:val="-103"/>
        </w:rPr>
        <w:t> </w:t>
      </w:r>
      <w:r>
        <w:rPr>
          <w:spacing w:val="-103"/>
        </w:rPr>
      </w:r>
      <w:r>
        <w:rPr/>
        <w:t>业经济年会“</w:t>
      </w:r>
      <w:r>
        <w:rPr>
          <w:rFonts w:ascii="Times New Roman" w:hAnsi="Times New Roman" w:cs="Times New Roman" w:eastAsia="Times New Roman" w:hint="default"/>
        </w:rPr>
        <w:t>2015</w:t>
      </w:r>
      <w:r>
        <w:rPr>
          <w:rFonts w:ascii="Times New Roman" w:hAnsi="Times New Roman" w:cs="Times New Roman" w:eastAsia="Times New Roman" w:hint="default"/>
          <w:spacing w:val="39"/>
        </w:rPr>
        <w:t> </w:t>
      </w:r>
      <w:r>
        <w:rPr>
          <w:spacing w:val="-3"/>
        </w:rPr>
        <w:t>中国信息产业年度影响力企业”等奖项。近年来，公司持续加强营销渠道与品</w:t>
      </w:r>
      <w:r>
        <w:rPr>
          <w:spacing w:val="-89"/>
        </w:rPr>
        <w:t> </w:t>
      </w:r>
      <w:r>
        <w:rPr>
          <w:spacing w:val="-89"/>
        </w:rPr>
      </w:r>
      <w:r>
        <w:rPr/>
        <w:t>牌建设，持续加大品牌与市场对业务发展的引领和拉动作用。</w:t>
      </w:r>
    </w:p>
    <w:p>
      <w:pPr>
        <w:spacing w:after="0" w:line="302" w:lineRule="auto"/>
        <w:jc w:val="both"/>
        <w:sectPr>
          <w:pgSz w:w="11910" w:h="16840"/>
          <w:pgMar w:header="880"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75"/>
        <w:jc w:val="center"/>
        <w:rPr>
          <w:b w:val="0"/>
          <w:bCs w:val="0"/>
        </w:rPr>
      </w:pPr>
      <w:bookmarkStart w:name="_TOC_250008" w:id="4"/>
      <w:r>
        <w:rPr>
          <w:w w:val="95"/>
        </w:rPr>
        <w:t>第四节</w:t>
        <w:tab/>
      </w:r>
      <w:r>
        <w:rPr/>
        <w:t>管理层讨论与分析</w:t>
      </w:r>
      <w:bookmarkEnd w:id="4"/>
      <w:r>
        <w:rPr>
          <w:b w:val="0"/>
          <w:bCs w:val="0"/>
        </w:rPr>
      </w:r>
    </w:p>
    <w:p>
      <w:pPr>
        <w:pStyle w:val="Heading2"/>
        <w:spacing w:line="240" w:lineRule="auto" w:before="219"/>
        <w:ind w:left="138" w:right="0"/>
        <w:jc w:val="both"/>
        <w:rPr>
          <w:b w:val="0"/>
          <w:bCs w:val="0"/>
        </w:rPr>
      </w:pPr>
      <w:r>
        <w:rPr/>
        <w:t>一、管理层讨论与分析</w:t>
      </w:r>
      <w:r>
        <w:rPr>
          <w:b w:val="0"/>
          <w:bCs w:val="0"/>
        </w:rPr>
      </w:r>
    </w:p>
    <w:p>
      <w:pPr>
        <w:pStyle w:val="BodyText"/>
        <w:spacing w:line="309" w:lineRule="auto" w:before="152"/>
        <w:ind w:right="98" w:firstLine="41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6"/>
        </w:rPr>
        <w:t>年是不平凡的一年，公司以稳中求快为总基调，以打造具有生态功能的发展平台为主题，</w:t>
      </w:r>
      <w:r>
        <w:rPr>
          <w:w w:val="100"/>
        </w:rPr>
        <w:t> </w:t>
      </w:r>
      <w:r>
        <w:rPr/>
        <w:t>以构建自主、可控、安全的软件和信息技术服务能力为导向，以建立健全上市企业经营管理体系</w:t>
      </w:r>
      <w:r>
        <w:rPr>
          <w:spacing w:val="-97"/>
        </w:rPr>
        <w:t> </w:t>
      </w:r>
      <w:r>
        <w:rPr>
          <w:spacing w:val="-97"/>
        </w:rPr>
      </w:r>
      <w:r>
        <w:rPr/>
        <w:t>为统筹，立足优势基础，加强综合创新，继续深耕党务信息、权力阳光、智慧公安、智慧军营四</w:t>
      </w:r>
      <w:r>
        <w:rPr>
          <w:spacing w:val="-97"/>
        </w:rPr>
        <w:t> </w:t>
      </w:r>
      <w:r>
        <w:rPr>
          <w:spacing w:val="-97"/>
        </w:rPr>
      </w:r>
      <w:r>
        <w:rPr/>
        <w:t>大细分行业线，健全上市企业经营管理体系；创新转型工作快速推进，战略布局基本完成，较好</w:t>
      </w:r>
      <w:r>
        <w:rPr>
          <w:spacing w:val="-96"/>
        </w:rPr>
        <w:t> </w:t>
      </w:r>
      <w:r>
        <w:rPr>
          <w:spacing w:val="-96"/>
        </w:rPr>
      </w:r>
      <w:r>
        <w:rPr/>
        <w:t>地达成年度工作任务。报告期内，公司围绕年初既定的经营计划主要开展了如下工作：</w:t>
      </w:r>
    </w:p>
    <w:p>
      <w:pPr>
        <w:pStyle w:val="BodyText"/>
        <w:spacing w:line="314" w:lineRule="auto" w:before="24"/>
        <w:ind w:left="558" w:right="98"/>
        <w:jc w:val="left"/>
      </w:pPr>
      <w:r>
        <w:rPr/>
        <w:t>（一）战略布局基本完成</w:t>
      </w:r>
      <w:r>
        <w:rPr>
          <w:w w:val="100"/>
        </w:rPr>
        <w:t> </w:t>
      </w:r>
      <w:r>
        <w:rPr>
          <w:spacing w:val="-7"/>
        </w:rPr>
        <w:t>去年下半年以来，公司加快推进新阶段的战略布局。签订了智慧平潭、智慧江北、智慧安溪、</w:t>
      </w:r>
    </w:p>
    <w:p>
      <w:pPr>
        <w:pStyle w:val="BodyText"/>
        <w:spacing w:line="304" w:lineRule="auto" w:before="20"/>
        <w:ind w:right="207"/>
        <w:jc w:val="both"/>
      </w:pPr>
      <w:r>
        <w:rPr/>
        <w:t>智慧丰泽等</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spacing w:val="-5"/>
        </w:rPr>
        <w:t>个重大合作协议，启动了万创中国网、智慧交通</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4"/>
        </w:rPr>
        <w:t>个互联网运营平台建设，公司</w:t>
      </w:r>
      <w:r>
        <w:rPr>
          <w:spacing w:val="-101"/>
        </w:rPr>
        <w:t> </w:t>
      </w:r>
      <w:r>
        <w:rPr>
          <w:spacing w:val="-101"/>
        </w:rPr>
      </w:r>
      <w:r>
        <w:rPr>
          <w:spacing w:val="-1"/>
        </w:rPr>
        <w:t>业务从单一的电子政务整体解决方案服务，拓展到智慧城市综合开发、分享经济平台运营，发展</w:t>
      </w:r>
      <w:r>
        <w:rPr>
          <w:spacing w:val="-55"/>
        </w:rPr>
        <w:t> </w:t>
      </w:r>
      <w:r>
        <w:rPr>
          <w:spacing w:val="-55"/>
        </w:rPr>
      </w:r>
      <w:r>
        <w:rPr/>
        <w:t>空间有效扩大。</w:t>
      </w:r>
    </w:p>
    <w:p>
      <w:pPr>
        <w:pStyle w:val="BodyText"/>
        <w:spacing w:line="314" w:lineRule="auto" w:before="28"/>
        <w:ind w:left="558" w:right="98"/>
        <w:jc w:val="left"/>
      </w:pPr>
      <w:r>
        <w:rPr/>
        <w:t>（二）业务创新快速突破</w:t>
      </w:r>
      <w:r>
        <w:rPr>
          <w:w w:val="100"/>
        </w:rPr>
        <w:t> </w:t>
      </w:r>
      <w:r>
        <w:rPr>
          <w:spacing w:val="-2"/>
        </w:rPr>
        <w:t>通过联合上下游企业、借力资本杠杆效应，创新了电子政务传统业务的发展模式。一是产品</w:t>
      </w:r>
    </w:p>
    <w:p>
      <w:pPr>
        <w:pStyle w:val="BodyText"/>
        <w:spacing w:line="314" w:lineRule="auto" w:before="20"/>
        <w:ind w:right="208"/>
        <w:jc w:val="both"/>
      </w:pPr>
      <w:r>
        <w:rPr>
          <w:spacing w:val="-1"/>
        </w:rPr>
        <w:t>服务化，变做项目为推服务。联合合作伙伴共同打造中国分布式电子政务云，以云的方式提供软</w:t>
      </w:r>
      <w:r>
        <w:rPr>
          <w:spacing w:val="-55"/>
        </w:rPr>
        <w:t> </w:t>
      </w:r>
      <w:r>
        <w:rPr>
          <w:spacing w:val="-55"/>
        </w:rPr>
      </w:r>
      <w:r>
        <w:rPr>
          <w:spacing w:val="-1"/>
        </w:rPr>
        <w:t>硬件一体化、基础资源到应用软件全链条的电子政务服务，把公司电子政务主线产品打包推向各</w:t>
      </w:r>
      <w:r>
        <w:rPr>
          <w:spacing w:val="-55"/>
        </w:rPr>
        <w:t> </w:t>
      </w:r>
      <w:r>
        <w:rPr>
          <w:spacing w:val="-55"/>
        </w:rPr>
      </w:r>
      <w:r>
        <w:rPr>
          <w:spacing w:val="-1"/>
        </w:rPr>
        <w:t>地。二是业务资本化，变“找项目”为“造项目”。参与地方政府发起设立的产业基金，通过投</w:t>
      </w:r>
      <w:r>
        <w:rPr>
          <w:spacing w:val="-55"/>
        </w:rPr>
        <w:t> </w:t>
      </w:r>
      <w:r>
        <w:rPr>
          <w:spacing w:val="-55"/>
        </w:rPr>
      </w:r>
      <w:r>
        <w:rPr/>
        <w:t>资的方式，推广公司解决方案和产品，实现“被动型营销”向“主动型营销”提升。</w:t>
      </w:r>
    </w:p>
    <w:p>
      <w:pPr>
        <w:pStyle w:val="BodyText"/>
        <w:spacing w:line="240" w:lineRule="auto" w:before="20"/>
        <w:ind w:left="558" w:right="2926"/>
        <w:jc w:val="left"/>
      </w:pPr>
      <w:r>
        <w:rPr/>
        <w:t>（三）人才引进富有实效</w:t>
      </w:r>
    </w:p>
    <w:p>
      <w:pPr>
        <w:pStyle w:val="BodyText"/>
        <w:spacing w:line="304" w:lineRule="auto" w:before="85"/>
        <w:ind w:right="207"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8"/>
        </w:rPr>
        <w:t> </w:t>
      </w:r>
      <w:r>
        <w:rPr>
          <w:spacing w:val="-3"/>
        </w:rPr>
        <w:t>年，公司确立将资本作为企业发展重要动力源的战略举措，建立健全了内部投资决策委</w:t>
      </w:r>
      <w:r>
        <w:rPr>
          <w:w w:val="100"/>
        </w:rPr>
        <w:t> </w:t>
      </w:r>
      <w:r>
        <w:rPr>
          <w:spacing w:val="-1"/>
        </w:rPr>
        <w:t>员、项目初审会等制度。利用上市平台效应，通过联合办企等方式，引进了万创中国网、智慧交</w:t>
      </w:r>
      <w:r>
        <w:rPr>
          <w:spacing w:val="-55"/>
        </w:rPr>
        <w:t> </w:t>
      </w:r>
      <w:r>
        <w:rPr>
          <w:spacing w:val="-55"/>
        </w:rPr>
      </w:r>
      <w:r>
        <w:rPr/>
        <w:t>通</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等新培育业务的高级人才团队，为战略拓展奠定了重要的人力基础。</w:t>
      </w:r>
    </w:p>
    <w:p>
      <w:pPr>
        <w:pStyle w:val="BodyText"/>
        <w:spacing w:line="240" w:lineRule="auto" w:before="6"/>
        <w:ind w:left="558" w:right="2926"/>
        <w:jc w:val="left"/>
      </w:pPr>
      <w:r>
        <w:rPr/>
        <w:t>（四）治理结构不断提升</w:t>
      </w:r>
    </w:p>
    <w:p>
      <w:pPr>
        <w:pStyle w:val="BodyText"/>
        <w:spacing w:line="304" w:lineRule="auto" w:before="85"/>
        <w:ind w:right="208"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3"/>
        </w:rPr>
        <w:t> </w:t>
      </w:r>
      <w:r>
        <w:rPr>
          <w:spacing w:val="-3"/>
        </w:rPr>
        <w:t>年，公司积极推进内部机构改革，完善公司治理结构，进一步推动公司战略转型的落地</w:t>
      </w:r>
      <w:r>
        <w:rPr>
          <w:w w:val="100"/>
        </w:rPr>
        <w:t> </w:t>
      </w:r>
      <w:r>
        <w:rPr>
          <w:spacing w:val="-6"/>
        </w:rPr>
        <w:t>实施。公司构建以集团建制为基本模式的组织体系，设立集团总部八大中心，精益人力资源管理，</w:t>
      </w:r>
      <w:r>
        <w:rPr>
          <w:spacing w:val="-54"/>
        </w:rPr>
        <w:t> </w:t>
      </w:r>
      <w:r>
        <w:rPr>
          <w:spacing w:val="-54"/>
        </w:rPr>
      </w:r>
      <w:r>
        <w:rPr/>
        <w:t>梳理完善内控制度，持续激发企业内部的活力与创新力。</w:t>
      </w:r>
    </w:p>
    <w:p>
      <w:pPr>
        <w:spacing w:line="240" w:lineRule="auto" w:before="6"/>
        <w:rPr>
          <w:rFonts w:ascii="宋体" w:hAnsi="宋体" w:cs="宋体" w:eastAsia="宋体" w:hint="default"/>
          <w:sz w:val="26"/>
          <w:szCs w:val="26"/>
        </w:rPr>
      </w:pPr>
    </w:p>
    <w:p>
      <w:pPr>
        <w:pStyle w:val="Heading2"/>
        <w:spacing w:line="240" w:lineRule="auto"/>
        <w:ind w:left="138" w:right="0"/>
        <w:jc w:val="both"/>
        <w:rPr>
          <w:b w:val="0"/>
          <w:bCs w:val="0"/>
        </w:rPr>
      </w:pPr>
      <w:r>
        <w:rPr/>
        <w:t>二、报告期内主要经营情况</w:t>
      </w:r>
      <w:r>
        <w:rPr>
          <w:b w:val="0"/>
          <w:bCs w:val="0"/>
        </w:rPr>
      </w:r>
    </w:p>
    <w:p>
      <w:pPr>
        <w:pStyle w:val="BodyText"/>
        <w:spacing w:line="297" w:lineRule="auto" w:before="152"/>
        <w:ind w:right="208" w:firstLine="419"/>
        <w:jc w:val="both"/>
        <w:rPr>
          <w:rFonts w:ascii="Times New Roman" w:hAnsi="Times New Roman" w:cs="Times New Roman" w:eastAsia="Times New Roman" w:hint="default"/>
        </w:rPr>
      </w:pPr>
      <w:r>
        <w:rPr>
          <w:spacing w:val="-3"/>
        </w:rPr>
        <w:t>报告期内，公司实现营业收入 </w:t>
      </w:r>
      <w:r>
        <w:rPr>
          <w:rFonts w:ascii="Times New Roman" w:hAnsi="Times New Roman" w:cs="Times New Roman" w:eastAsia="Times New Roman" w:hint="default"/>
        </w:rPr>
        <w:t>34,249.33 </w:t>
      </w:r>
      <w:r>
        <w:rPr>
          <w:spacing w:val="-4"/>
        </w:rPr>
        <w:t>万元，较去年增长</w:t>
      </w:r>
      <w:r>
        <w:rPr>
          <w:spacing w:val="-54"/>
        </w:rPr>
        <w:t> </w:t>
      </w:r>
      <w:r>
        <w:rPr>
          <w:rFonts w:ascii="Times New Roman" w:hAnsi="Times New Roman" w:cs="Times New Roman" w:eastAsia="Times New Roman" w:hint="default"/>
          <w:spacing w:val="-3"/>
        </w:rPr>
        <w:t>5.93%</w:t>
      </w:r>
      <w:r>
        <w:rPr>
          <w:spacing w:val="-3"/>
        </w:rPr>
        <w:t>；受销售毛利率下降因素的</w:t>
      </w:r>
      <w:r>
        <w:rPr>
          <w:w w:val="100"/>
        </w:rPr>
        <w:t> </w:t>
      </w:r>
      <w:r>
        <w:rPr>
          <w:spacing w:val="-4"/>
        </w:rPr>
        <w:t>影响，</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
        </w:rPr>
        <w:t> </w:t>
      </w:r>
      <w:r>
        <w:rPr/>
        <w:t>年归属于上市股东的净利润为</w:t>
      </w:r>
      <w:r>
        <w:rPr>
          <w:spacing w:val="-47"/>
        </w:rPr>
        <w:t> </w:t>
      </w:r>
      <w:r>
        <w:rPr>
          <w:rFonts w:ascii="Times New Roman" w:hAnsi="Times New Roman" w:cs="Times New Roman" w:eastAsia="Times New Roman" w:hint="default"/>
        </w:rPr>
        <w:t>6,314.03</w:t>
      </w:r>
      <w:r>
        <w:rPr>
          <w:rFonts w:ascii="Times New Roman" w:hAnsi="Times New Roman" w:cs="Times New Roman" w:eastAsia="Times New Roman" w:hint="default"/>
          <w:spacing w:val="4"/>
        </w:rPr>
        <w:t> </w:t>
      </w:r>
      <w:r>
        <w:rPr>
          <w:spacing w:val="-4"/>
        </w:rPr>
        <w:t>万元，较去年下降了</w:t>
      </w:r>
      <w:r>
        <w:rPr>
          <w:spacing w:val="-49"/>
        </w:rPr>
        <w:t> </w:t>
      </w:r>
      <w:r>
        <w:rPr>
          <w:rFonts w:ascii="Times New Roman" w:hAnsi="Times New Roman" w:cs="Times New Roman" w:eastAsia="Times New Roman" w:hint="default"/>
          <w:spacing w:val="-4"/>
        </w:rPr>
        <w:t>27.33%</w:t>
      </w:r>
      <w:r>
        <w:rPr>
          <w:spacing w:val="-4"/>
        </w:rPr>
        <w:t>；截止</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12</w:t>
      </w:r>
    </w:p>
    <w:p>
      <w:pPr>
        <w:pStyle w:val="BodyText"/>
        <w:spacing w:line="240" w:lineRule="auto" w:before="13"/>
        <w:ind w:right="0"/>
        <w:jc w:val="both"/>
      </w:pPr>
      <w:r>
        <w:rPr/>
        <w:t>月 </w:t>
      </w:r>
      <w:r>
        <w:rPr>
          <w:rFonts w:ascii="Times New Roman" w:hAnsi="Times New Roman" w:cs="Times New Roman" w:eastAsia="Times New Roman" w:hint="default"/>
        </w:rPr>
        <w:t>31  </w:t>
      </w:r>
      <w:r>
        <w:rPr/>
        <w:t>日，公司总资产 </w:t>
      </w:r>
      <w:r>
        <w:rPr>
          <w:rFonts w:ascii="Times New Roman" w:hAnsi="Times New Roman" w:cs="Times New Roman" w:eastAsia="Times New Roman" w:hint="default"/>
        </w:rPr>
        <w:t>123,227.65  </w:t>
      </w:r>
      <w:r>
        <w:rPr/>
        <w:t>万元，较年初增长</w:t>
      </w:r>
      <w:r>
        <w:rPr>
          <w:spacing w:val="-14"/>
        </w:rPr>
        <w:t> </w:t>
      </w:r>
      <w:r>
        <w:rPr>
          <w:rFonts w:ascii="Times New Roman" w:hAnsi="Times New Roman" w:cs="Times New Roman" w:eastAsia="Times New Roman" w:hint="default"/>
        </w:rPr>
        <w:t>12.50%</w:t>
      </w:r>
      <w:r>
        <w:rPr/>
        <w:t>；归属于上市股东的所有者权益为</w:t>
      </w:r>
    </w:p>
    <w:p>
      <w:pPr>
        <w:pStyle w:val="BodyText"/>
        <w:spacing w:line="297" w:lineRule="auto" w:before="69"/>
        <w:ind w:left="558" w:right="2926" w:hanging="420"/>
        <w:jc w:val="left"/>
      </w:pPr>
      <w:r>
        <w:rPr>
          <w:rFonts w:ascii="Times New Roman" w:hAnsi="Times New Roman" w:cs="Times New Roman" w:eastAsia="Times New Roman" w:hint="default"/>
        </w:rPr>
        <w:t>84,911.51 </w:t>
      </w:r>
      <w:r>
        <w:rPr/>
        <w:t>万元，较年初增长</w:t>
      </w:r>
      <w:r>
        <w:rPr>
          <w:spacing w:val="-55"/>
        </w:rPr>
        <w:t> </w:t>
      </w:r>
      <w:r>
        <w:rPr>
          <w:rFonts w:ascii="Times New Roman" w:hAnsi="Times New Roman" w:cs="Times New Roman" w:eastAsia="Times New Roman" w:hint="default"/>
        </w:rPr>
        <w:t>5.61%</w:t>
      </w:r>
      <w:r>
        <w:rPr/>
        <w:t>。</w:t>
      </w:r>
      <w:r>
        <w:rPr>
          <w:w w:val="100"/>
        </w:rPr>
        <w:t> </w:t>
      </w:r>
      <w:r>
        <w:rPr/>
        <w:t>报告期内，公司销售合同总额为</w:t>
      </w:r>
      <w:r>
        <w:rPr>
          <w:spacing w:val="-54"/>
        </w:rPr>
        <w:t> </w:t>
      </w:r>
      <w:r>
        <w:rPr>
          <w:rFonts w:ascii="Times New Roman" w:hAnsi="Times New Roman" w:cs="Times New Roman" w:eastAsia="Times New Roman" w:hint="default"/>
        </w:rPr>
        <w:t>5.72</w:t>
      </w:r>
      <w:r>
        <w:rPr>
          <w:rFonts w:ascii="Times New Roman" w:hAnsi="Times New Roman" w:cs="Times New Roman" w:eastAsia="Times New Roman" w:hint="default"/>
          <w:spacing w:val="-2"/>
        </w:rPr>
        <w:t> </w:t>
      </w:r>
      <w:r>
        <w:rPr/>
        <w:t>亿元，同比增长</w:t>
      </w:r>
      <w:r>
        <w:rPr>
          <w:spacing w:val="-55"/>
        </w:rPr>
        <w:t> </w:t>
      </w:r>
      <w:r>
        <w:rPr>
          <w:rFonts w:ascii="Times New Roman" w:hAnsi="Times New Roman" w:cs="Times New Roman" w:eastAsia="Times New Roman" w:hint="default"/>
        </w:rPr>
        <w:t>17.2%</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974" w:top="1120" w:bottom="1160" w:left="1660" w:right="1060"/>
        </w:sectPr>
      </w:pPr>
    </w:p>
    <w:p>
      <w:pPr>
        <w:pStyle w:val="Heading2"/>
        <w:spacing w:line="240" w:lineRule="auto" w:before="36"/>
        <w:ind w:left="138"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15"/>
          <w:szCs w:val="15"/>
        </w:rPr>
      </w:pPr>
    </w:p>
    <w:p>
      <w:pPr>
        <w:pStyle w:val="Heading2"/>
        <w:spacing w:line="240" w:lineRule="auto"/>
        <w:ind w:left="13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160" w:left="1660" w:right="1060"/>
          <w:cols w:num="3" w:equalWidth="0">
            <w:col w:w="1775" w:space="928"/>
            <w:col w:w="3936" w:space="94"/>
            <w:col w:w="2457"/>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9"/>
        <w:gridCol w:w="1923"/>
        <w:gridCol w:w="1778"/>
        <w:gridCol w:w="2009"/>
      </w:tblGrid>
      <w:tr>
        <w:trPr>
          <w:trHeight w:val="37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1"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342,493,302.27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323,315,557.02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5.93</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227,817,320.40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168,141,346.01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35.49</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28,747,183.21</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20,250,402.25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41.96</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56,141,280.76</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54,363,666.97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3.27</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-5,852,587.38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-4,579,023.24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-27.81</w:t>
            </w:r>
          </w:p>
        </w:tc>
      </w:tr>
      <w:tr>
        <w:trPr>
          <w:trHeight w:val="37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30,497,980.67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104,650,567.90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-70.86</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-147,475,103.55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-27,081,206.57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-444.57</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-8,296,600.66</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339,829,009.14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-102.44</w:t>
            </w:r>
          </w:p>
        </w:tc>
      </w:tr>
      <w:tr>
        <w:trPr>
          <w:trHeight w:val="370"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37,963,155.7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25,653,314.15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47.99</w:t>
            </w:r>
          </w:p>
        </w:tc>
      </w:tr>
    </w:tbl>
    <w:p>
      <w:pPr>
        <w:spacing w:line="240" w:lineRule="auto" w:before="9"/>
        <w:rPr>
          <w:rFonts w:ascii="宋体" w:hAnsi="宋体" w:cs="宋体" w:eastAsia="宋体" w:hint="default"/>
          <w:sz w:val="24"/>
          <w:szCs w:val="24"/>
        </w:rPr>
      </w:pPr>
    </w:p>
    <w:p>
      <w:pPr>
        <w:pStyle w:val="Heading2"/>
        <w:tabs>
          <w:tab w:pos="637" w:val="left" w:leader="none"/>
        </w:tabs>
        <w:spacing w:line="240" w:lineRule="auto" w:before="36"/>
        <w:ind w:right="227"/>
        <w:jc w:val="left"/>
        <w:rPr>
          <w:b w:val="0"/>
          <w:bCs w:val="0"/>
        </w:rPr>
      </w:pPr>
      <w:r>
        <w:rPr>
          <w:rFonts w:ascii="宋体" w:hAnsi="宋体" w:cs="宋体" w:eastAsia="宋体" w:hint="default"/>
          <w:w w:val="95"/>
        </w:rPr>
        <w:t>1.</w:t>
        <w:tab/>
      </w:r>
      <w:r>
        <w:rPr/>
        <w:t>收入和成本分析</w:t>
      </w:r>
      <w:r>
        <w:rPr>
          <w:b w:val="0"/>
          <w:bCs w:val="0"/>
        </w:rPr>
      </w:r>
    </w:p>
    <w:p>
      <w:pPr>
        <w:pStyle w:val="BodyText"/>
        <w:spacing w:line="297" w:lineRule="auto" w:before="152"/>
        <w:ind w:left="218" w:right="221" w:firstLine="419"/>
        <w:jc w:val="left"/>
      </w:pPr>
      <w:r>
        <w:rPr/>
        <w:t>报告期内，公司营业收入同比略增</w:t>
      </w:r>
      <w:r>
        <w:rPr>
          <w:spacing w:val="-66"/>
        </w:rPr>
        <w:t> </w:t>
      </w:r>
      <w:r>
        <w:rPr>
          <w:rFonts w:ascii="Times New Roman" w:hAnsi="Times New Roman" w:cs="Times New Roman" w:eastAsia="Times New Roman" w:hint="default"/>
        </w:rPr>
        <w:t>5.93%</w:t>
      </w:r>
      <w:r>
        <w:rPr/>
        <w:t>，营业成本同比上升</w:t>
      </w:r>
      <w:r>
        <w:rPr>
          <w:spacing w:val="-66"/>
        </w:rPr>
        <w:t> </w:t>
      </w:r>
      <w:r>
        <w:rPr>
          <w:rFonts w:ascii="Times New Roman" w:hAnsi="Times New Roman" w:cs="Times New Roman" w:eastAsia="Times New Roman" w:hint="default"/>
        </w:rPr>
        <w:t>35.49%</w:t>
      </w:r>
      <w:r>
        <w:rPr/>
        <w:t>，主要系公司的软件产</w:t>
      </w:r>
      <w:r>
        <w:rPr>
          <w:w w:val="100"/>
        </w:rPr>
        <w:t> </w:t>
      </w:r>
      <w:r>
        <w:rPr/>
        <w:t>品和系统集成毛利率下降所致，销售毛利率比降</w:t>
      </w:r>
      <w:r>
        <w:rPr>
          <w:spacing w:val="-56"/>
        </w:rPr>
        <w:t> </w:t>
      </w:r>
      <w:r>
        <w:rPr>
          <w:rFonts w:ascii="Times New Roman" w:hAnsi="Times New Roman" w:cs="Times New Roman" w:eastAsia="Times New Roman" w:hint="default"/>
        </w:rPr>
        <w:t>14.36</w:t>
      </w:r>
      <w:r>
        <w:rPr>
          <w:rFonts w:ascii="Times New Roman" w:hAnsi="Times New Roman" w:cs="Times New Roman" w:eastAsia="Times New Roman" w:hint="default"/>
          <w:spacing w:val="-3"/>
        </w:rPr>
        <w:t> </w:t>
      </w:r>
      <w:r>
        <w:rPr/>
        <w:t>个百分点。</w:t>
      </w:r>
    </w:p>
    <w:p>
      <w:pPr>
        <w:spacing w:line="240" w:lineRule="auto" w:before="9"/>
        <w:rPr>
          <w:rFonts w:ascii="宋体" w:hAnsi="宋体" w:cs="宋体" w:eastAsia="宋体" w:hint="default"/>
          <w:sz w:val="26"/>
          <w:szCs w:val="26"/>
        </w:rPr>
      </w:pPr>
    </w:p>
    <w:p>
      <w:pPr>
        <w:pStyle w:val="Heading2"/>
        <w:spacing w:line="240" w:lineRule="auto" w:before="36"/>
        <w:ind w:right="22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145"/>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23"/>
        <w:gridCol w:w="1671"/>
        <w:gridCol w:w="1548"/>
        <w:gridCol w:w="999"/>
        <w:gridCol w:w="1123"/>
        <w:gridCol w:w="1124"/>
        <w:gridCol w:w="1462"/>
      </w:tblGrid>
      <w:tr>
        <w:trPr>
          <w:trHeight w:val="370"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0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34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5"/>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79"/>
              <w:jc w:val="both"/>
              <w:rPr>
                <w:rFonts w:ascii="宋体" w:hAnsi="宋体" w:cs="宋体" w:eastAsia="宋体" w:hint="default"/>
                <w:sz w:val="21"/>
                <w:szCs w:val="21"/>
              </w:rPr>
            </w:pPr>
            <w:r>
              <w:rPr>
                <w:rFonts w:ascii="宋体" w:hAnsi="宋体" w:cs="宋体" w:eastAsia="宋体" w:hint="default"/>
                <w:spacing w:val="15"/>
                <w:sz w:val="21"/>
                <w:szCs w:val="21"/>
              </w:rPr>
              <w:t>营业收入</w:t>
            </w:r>
            <w:r>
              <w:rPr>
                <w:rFonts w:ascii="宋体" w:hAnsi="宋体" w:cs="宋体" w:eastAsia="宋体" w:hint="default"/>
                <w:spacing w:val="-98"/>
                <w:sz w:val="21"/>
                <w:szCs w:val="21"/>
              </w:rPr>
              <w:t> </w:t>
            </w:r>
            <w:r>
              <w:rPr>
                <w:rFonts w:ascii="宋体" w:hAnsi="宋体" w:cs="宋体" w:eastAsia="宋体" w:hint="default"/>
                <w:spacing w:val="15"/>
                <w:sz w:val="21"/>
                <w:szCs w:val="21"/>
              </w:rPr>
              <w:t>比上年增</w:t>
            </w:r>
            <w:r>
              <w:rPr>
                <w:rFonts w:ascii="宋体" w:hAnsi="宋体" w:cs="宋体" w:eastAsia="宋体" w:hint="default"/>
                <w:spacing w:val="-98"/>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77"/>
              <w:jc w:val="both"/>
              <w:rPr>
                <w:rFonts w:ascii="宋体" w:hAnsi="宋体" w:cs="宋体" w:eastAsia="宋体" w:hint="default"/>
                <w:sz w:val="21"/>
                <w:szCs w:val="21"/>
              </w:rPr>
            </w:pPr>
            <w:r>
              <w:rPr>
                <w:rFonts w:ascii="宋体" w:hAnsi="宋体" w:cs="宋体" w:eastAsia="宋体" w:hint="default"/>
                <w:spacing w:val="15"/>
                <w:sz w:val="21"/>
                <w:szCs w:val="21"/>
              </w:rPr>
              <w:t>营业成本</w:t>
            </w:r>
            <w:r>
              <w:rPr>
                <w:rFonts w:ascii="宋体" w:hAnsi="宋体" w:cs="宋体" w:eastAsia="宋体" w:hint="default"/>
                <w:spacing w:val="-98"/>
                <w:sz w:val="21"/>
                <w:szCs w:val="21"/>
              </w:rPr>
              <w:t> </w:t>
            </w:r>
            <w:r>
              <w:rPr>
                <w:rFonts w:ascii="宋体" w:hAnsi="宋体" w:cs="宋体" w:eastAsia="宋体" w:hint="default"/>
                <w:spacing w:val="15"/>
                <w:sz w:val="21"/>
                <w:szCs w:val="21"/>
              </w:rPr>
              <w:t>比上年增</w:t>
            </w:r>
            <w:r>
              <w:rPr>
                <w:rFonts w:ascii="宋体" w:hAnsi="宋体" w:cs="宋体" w:eastAsia="宋体" w:hint="default"/>
                <w:spacing w:val="-98"/>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103" w:right="50"/>
              <w:jc w:val="left"/>
              <w:rPr>
                <w:rFonts w:ascii="宋体" w:hAnsi="宋体" w:cs="宋体" w:eastAsia="宋体" w:hint="default"/>
                <w:sz w:val="21"/>
                <w:szCs w:val="21"/>
              </w:rPr>
            </w:pPr>
            <w:r>
              <w:rPr>
                <w:rFonts w:ascii="宋体" w:hAnsi="宋体" w:cs="宋体" w:eastAsia="宋体" w:hint="default"/>
                <w:spacing w:val="31"/>
                <w:sz w:val="21"/>
                <w:szCs w:val="21"/>
              </w:rPr>
              <w:t>毛利率</w:t>
            </w:r>
            <w:r>
              <w:rPr>
                <w:rFonts w:ascii="宋体" w:hAnsi="宋体" w:cs="宋体" w:eastAsia="宋体" w:hint="default"/>
                <w:spacing w:val="-53"/>
                <w:sz w:val="21"/>
                <w:szCs w:val="21"/>
              </w:rPr>
              <w:t> </w:t>
            </w:r>
            <w:r>
              <w:rPr>
                <w:rFonts w:ascii="宋体" w:hAnsi="宋体" w:cs="宋体" w:eastAsia="宋体" w:hint="default"/>
                <w:spacing w:val="23"/>
                <w:sz w:val="21"/>
                <w:szCs w:val="21"/>
              </w:rPr>
              <w:t>比上</w:t>
            </w:r>
            <w:r>
              <w:rPr>
                <w:rFonts w:ascii="宋体" w:hAnsi="宋体" w:cs="宋体" w:eastAsia="宋体" w:hint="default"/>
                <w:spacing w:val="-99"/>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73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340,823,237.82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226,411,266.27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33.57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5.88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35.09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69"/>
              <w:ind w:left="71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370"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40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4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5"/>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79"/>
              <w:jc w:val="both"/>
              <w:rPr>
                <w:rFonts w:ascii="宋体" w:hAnsi="宋体" w:cs="宋体" w:eastAsia="宋体" w:hint="default"/>
                <w:sz w:val="21"/>
                <w:szCs w:val="21"/>
              </w:rPr>
            </w:pPr>
            <w:r>
              <w:rPr>
                <w:rFonts w:ascii="宋体" w:hAnsi="宋体" w:cs="宋体" w:eastAsia="宋体" w:hint="default"/>
                <w:spacing w:val="15"/>
                <w:sz w:val="21"/>
                <w:szCs w:val="21"/>
              </w:rPr>
              <w:t>营业收入</w:t>
            </w:r>
            <w:r>
              <w:rPr>
                <w:rFonts w:ascii="宋体" w:hAnsi="宋体" w:cs="宋体" w:eastAsia="宋体" w:hint="default"/>
                <w:spacing w:val="-98"/>
                <w:sz w:val="21"/>
                <w:szCs w:val="21"/>
              </w:rPr>
              <w:t> </w:t>
            </w:r>
            <w:r>
              <w:rPr>
                <w:rFonts w:ascii="宋体" w:hAnsi="宋体" w:cs="宋体" w:eastAsia="宋体" w:hint="default"/>
                <w:spacing w:val="15"/>
                <w:sz w:val="21"/>
                <w:szCs w:val="21"/>
              </w:rPr>
              <w:t>比上年增</w:t>
            </w:r>
            <w:r>
              <w:rPr>
                <w:rFonts w:ascii="宋体" w:hAnsi="宋体" w:cs="宋体" w:eastAsia="宋体" w:hint="default"/>
                <w:spacing w:val="-98"/>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77"/>
              <w:jc w:val="both"/>
              <w:rPr>
                <w:rFonts w:ascii="宋体" w:hAnsi="宋体" w:cs="宋体" w:eastAsia="宋体" w:hint="default"/>
                <w:sz w:val="21"/>
                <w:szCs w:val="21"/>
              </w:rPr>
            </w:pPr>
            <w:r>
              <w:rPr>
                <w:rFonts w:ascii="宋体" w:hAnsi="宋体" w:cs="宋体" w:eastAsia="宋体" w:hint="default"/>
                <w:spacing w:val="15"/>
                <w:sz w:val="21"/>
                <w:szCs w:val="21"/>
              </w:rPr>
              <w:t>营业成本</w:t>
            </w:r>
            <w:r>
              <w:rPr>
                <w:rFonts w:ascii="宋体" w:hAnsi="宋体" w:cs="宋体" w:eastAsia="宋体" w:hint="default"/>
                <w:spacing w:val="-98"/>
                <w:sz w:val="21"/>
                <w:szCs w:val="21"/>
              </w:rPr>
              <w:t> </w:t>
            </w:r>
            <w:r>
              <w:rPr>
                <w:rFonts w:ascii="宋体" w:hAnsi="宋体" w:cs="宋体" w:eastAsia="宋体" w:hint="default"/>
                <w:spacing w:val="15"/>
                <w:sz w:val="21"/>
                <w:szCs w:val="21"/>
              </w:rPr>
              <w:t>比上年增</w:t>
            </w:r>
            <w:r>
              <w:rPr>
                <w:rFonts w:ascii="宋体" w:hAnsi="宋体" w:cs="宋体" w:eastAsia="宋体" w:hint="default"/>
                <w:spacing w:val="-98"/>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50"/>
              <w:jc w:val="left"/>
              <w:rPr>
                <w:rFonts w:ascii="宋体" w:hAnsi="宋体" w:cs="宋体" w:eastAsia="宋体" w:hint="default"/>
                <w:sz w:val="21"/>
                <w:szCs w:val="21"/>
              </w:rPr>
            </w:pPr>
            <w:r>
              <w:rPr>
                <w:rFonts w:ascii="宋体" w:hAnsi="宋体" w:cs="宋体" w:eastAsia="宋体" w:hint="default"/>
                <w:spacing w:val="31"/>
                <w:sz w:val="21"/>
                <w:szCs w:val="21"/>
              </w:rPr>
              <w:t>毛利率</w:t>
            </w:r>
            <w:r>
              <w:rPr>
                <w:rFonts w:ascii="宋体" w:hAnsi="宋体" w:cs="宋体" w:eastAsia="宋体" w:hint="default"/>
                <w:spacing w:val="-53"/>
                <w:sz w:val="21"/>
                <w:szCs w:val="21"/>
              </w:rPr>
              <w:t> </w:t>
            </w:r>
            <w:r>
              <w:rPr>
                <w:rFonts w:ascii="宋体" w:hAnsi="宋体" w:cs="宋体" w:eastAsia="宋体" w:hint="default"/>
                <w:spacing w:val="23"/>
                <w:sz w:val="21"/>
                <w:szCs w:val="21"/>
              </w:rPr>
              <w:t>比上</w:t>
            </w:r>
            <w:r>
              <w:rPr>
                <w:rFonts w:ascii="宋体" w:hAnsi="宋体" w:cs="宋体" w:eastAsia="宋体" w:hint="default"/>
                <w:spacing w:val="-99"/>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73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6" w:right="0"/>
              <w:jc w:val="left"/>
              <w:rPr>
                <w:rFonts w:ascii="宋体" w:hAnsi="宋体" w:cs="宋体" w:eastAsia="宋体" w:hint="default"/>
                <w:sz w:val="21"/>
                <w:szCs w:val="21"/>
              </w:rPr>
            </w:pPr>
            <w:r>
              <w:rPr>
                <w:rFonts w:ascii="宋体" w:hAnsi="宋体" w:cs="宋体" w:eastAsia="宋体" w:hint="default"/>
                <w:sz w:val="21"/>
                <w:szCs w:val="21"/>
              </w:rPr>
              <w:t>软件开发</w:t>
            </w:r>
          </w:p>
          <w:p>
            <w:pPr>
              <w:pStyle w:val="TableParagraph"/>
              <w:spacing w:line="240" w:lineRule="auto" w:before="85"/>
              <w:ind w:left="136"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110,959,862.26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38,745,712.61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65.08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-5.18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113.37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69"/>
              <w:ind w:left="71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73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6" w:right="0"/>
              <w:jc w:val="left"/>
              <w:rPr>
                <w:rFonts w:ascii="宋体" w:hAnsi="宋体" w:cs="宋体" w:eastAsia="宋体" w:hint="default"/>
                <w:sz w:val="21"/>
                <w:szCs w:val="21"/>
              </w:rPr>
            </w:pPr>
            <w:r>
              <w:rPr>
                <w:rFonts w:ascii="宋体" w:hAnsi="宋体" w:cs="宋体" w:eastAsia="宋体" w:hint="default"/>
                <w:sz w:val="21"/>
                <w:szCs w:val="21"/>
              </w:rPr>
              <w:t>系统集成</w:t>
            </w:r>
          </w:p>
          <w:p>
            <w:pPr>
              <w:pStyle w:val="TableParagraph"/>
              <w:spacing w:line="240" w:lineRule="auto" w:before="85"/>
              <w:ind w:left="136"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211,022,733.20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186,732,028.74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11.51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6.55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69"/>
              <w:ind w:left="71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732"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6" w:right="0"/>
              <w:jc w:val="left"/>
              <w:rPr>
                <w:rFonts w:ascii="宋体" w:hAnsi="宋体" w:cs="宋体" w:eastAsia="宋体" w:hint="default"/>
                <w:sz w:val="21"/>
                <w:szCs w:val="21"/>
              </w:rPr>
            </w:pPr>
            <w:r>
              <w:rPr>
                <w:rFonts w:ascii="宋体" w:hAnsi="宋体" w:cs="宋体" w:eastAsia="宋体" w:hint="default"/>
                <w:sz w:val="21"/>
                <w:szCs w:val="21"/>
              </w:rPr>
              <w:t>技术服务</w:t>
            </w:r>
          </w:p>
          <w:p>
            <w:pPr>
              <w:pStyle w:val="TableParagraph"/>
              <w:spacing w:line="240" w:lineRule="auto" w:before="85"/>
              <w:ind w:left="136"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18,840,642.36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933,524.92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95.05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z w:val="21"/>
              </w:rPr>
              <w:t>175.7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69"/>
              <w:ind w:left="71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73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340,823,237.82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226,411,266.27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33.57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5.88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35.09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69"/>
              <w:ind w:left="71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370"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37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4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77"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9"/>
              <w:jc w:val="right"/>
              <w:rPr>
                <w:rFonts w:ascii="宋体" w:hAnsi="宋体" w:cs="宋体" w:eastAsia="宋体" w:hint="default"/>
                <w:sz w:val="21"/>
                <w:szCs w:val="21"/>
              </w:rPr>
            </w:pPr>
            <w:r>
              <w:rPr>
                <w:rFonts w:ascii="宋体" w:hAnsi="宋体" w:cs="宋体" w:eastAsia="宋体" w:hint="default"/>
                <w:spacing w:val="15"/>
                <w:sz w:val="21"/>
                <w:szCs w:val="21"/>
              </w:rPr>
              <w:t>营业收入</w:t>
            </w:r>
            <w:r>
              <w:rPr>
                <w:rFonts w:ascii="宋体" w:hAnsi="宋体" w:cs="宋体" w:eastAsia="宋体" w:hint="default"/>
                <w:spacing w:val="-84"/>
                <w:sz w:val="21"/>
                <w:szCs w:val="21"/>
              </w:rPr>
              <w:t> </w:t>
            </w:r>
            <w:r>
              <w:rPr>
                <w:rFonts w:ascii="宋体" w:hAnsi="宋体" w:cs="宋体" w:eastAsia="宋体" w:hint="default"/>
                <w:sz w:val="21"/>
                <w:szCs w:val="21"/>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7"/>
              <w:jc w:val="right"/>
              <w:rPr>
                <w:rFonts w:ascii="宋体" w:hAnsi="宋体" w:cs="宋体" w:eastAsia="宋体" w:hint="default"/>
                <w:sz w:val="21"/>
                <w:szCs w:val="21"/>
              </w:rPr>
            </w:pPr>
            <w:r>
              <w:rPr>
                <w:rFonts w:ascii="宋体" w:hAnsi="宋体" w:cs="宋体" w:eastAsia="宋体" w:hint="default"/>
                <w:spacing w:val="15"/>
                <w:sz w:val="21"/>
                <w:szCs w:val="21"/>
              </w:rPr>
              <w:t>营业成本</w:t>
            </w:r>
            <w:r>
              <w:rPr>
                <w:rFonts w:ascii="宋体" w:hAnsi="宋体" w:cs="宋体" w:eastAsia="宋体" w:hint="default"/>
                <w:spacing w:val="-84"/>
                <w:sz w:val="21"/>
                <w:szCs w:val="21"/>
              </w:rPr>
              <w:t> </w:t>
            </w:r>
            <w:r>
              <w:rPr>
                <w:rFonts w:ascii="宋体" w:hAnsi="宋体" w:cs="宋体" w:eastAsia="宋体" w:hint="default"/>
                <w:sz w:val="21"/>
                <w:szCs w:val="21"/>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1"/>
                <w:sz w:val="21"/>
                <w:szCs w:val="21"/>
              </w:rPr>
              <w:t>毛利率</w:t>
            </w:r>
            <w:r>
              <w:rPr>
                <w:rFonts w:ascii="宋体" w:hAnsi="宋体" w:cs="宋体" w:eastAsia="宋体" w:hint="default"/>
                <w:spacing w:val="-47"/>
                <w:sz w:val="21"/>
                <w:szCs w:val="21"/>
              </w:rPr>
              <w:t> </w:t>
            </w:r>
            <w:r>
              <w:rPr>
                <w:rFonts w:ascii="宋体" w:hAnsi="宋体" w:cs="宋体" w:eastAsia="宋体" w:hint="default"/>
                <w:spacing w:val="23"/>
                <w:sz w:val="21"/>
                <w:szCs w:val="21"/>
              </w:rPr>
              <w:t>比上</w:t>
            </w:r>
            <w:r>
              <w:rPr>
                <w:rFonts w:ascii="宋体" w:hAnsi="宋体" w:cs="宋体" w:eastAsia="宋体" w:hint="default"/>
                <w:spacing w:val="-57"/>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23"/>
        <w:gridCol w:w="1671"/>
        <w:gridCol w:w="1548"/>
        <w:gridCol w:w="999"/>
        <w:gridCol w:w="1123"/>
        <w:gridCol w:w="1124"/>
        <w:gridCol w:w="1462"/>
      </w:tblGrid>
      <w:tr>
        <w:trPr>
          <w:trHeight w:val="732" w:hRule="exact"/>
        </w:trPr>
        <w:tc>
          <w:tcPr>
            <w:tcW w:w="1123"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79"/>
              <w:jc w:val="left"/>
              <w:rPr>
                <w:rFonts w:ascii="宋体" w:hAnsi="宋体" w:cs="宋体" w:eastAsia="宋体" w:hint="default"/>
                <w:sz w:val="21"/>
                <w:szCs w:val="21"/>
              </w:rPr>
            </w:pPr>
            <w:r>
              <w:rPr>
                <w:rFonts w:ascii="宋体" w:hAnsi="宋体" w:cs="宋体" w:eastAsia="宋体" w:hint="default"/>
                <w:spacing w:val="15"/>
                <w:sz w:val="21"/>
                <w:szCs w:val="21"/>
              </w:rPr>
              <w:t>比上年增</w:t>
            </w:r>
            <w:r>
              <w:rPr>
                <w:rFonts w:ascii="宋体" w:hAnsi="宋体" w:cs="宋体" w:eastAsia="宋体" w:hint="default"/>
                <w:spacing w:val="-98"/>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77"/>
              <w:jc w:val="left"/>
              <w:rPr>
                <w:rFonts w:ascii="宋体" w:hAnsi="宋体" w:cs="宋体" w:eastAsia="宋体" w:hint="default"/>
                <w:sz w:val="21"/>
                <w:szCs w:val="21"/>
              </w:rPr>
            </w:pPr>
            <w:r>
              <w:rPr>
                <w:rFonts w:ascii="宋体" w:hAnsi="宋体" w:cs="宋体" w:eastAsia="宋体" w:hint="default"/>
                <w:spacing w:val="15"/>
                <w:sz w:val="21"/>
                <w:szCs w:val="21"/>
              </w:rPr>
              <w:t>比上年增</w:t>
            </w:r>
            <w:r>
              <w:rPr>
                <w:rFonts w:ascii="宋体" w:hAnsi="宋体" w:cs="宋体" w:eastAsia="宋体" w:hint="default"/>
                <w:spacing w:val="-98"/>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73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福建省内</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230,896,783.51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174,139,649.12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24.58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-4.49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69"/>
              <w:ind w:left="71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73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福建省外</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109,926,454.31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52,271,617.15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52.45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37.14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179.62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69"/>
              <w:ind w:left="71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73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340,823,237.82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226,411,266.27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33.57</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5.88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35.09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w:t>
            </w:r>
          </w:p>
          <w:p>
            <w:pPr>
              <w:pStyle w:val="TableParagraph"/>
              <w:spacing w:line="240" w:lineRule="auto" w:before="69"/>
              <w:ind w:left="717"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1"/>
        <w:rPr>
          <w:rFonts w:ascii="宋体" w:hAnsi="宋体" w:cs="宋体" w:eastAsia="宋体" w:hint="default"/>
          <w:sz w:val="28"/>
          <w:szCs w:val="28"/>
        </w:rPr>
      </w:pPr>
    </w:p>
    <w:p>
      <w:pPr>
        <w:pStyle w:val="BodyText"/>
        <w:spacing w:line="240" w:lineRule="auto" w:before="36"/>
        <w:ind w:left="218" w:right="227"/>
        <w:jc w:val="left"/>
      </w:pPr>
      <w:r>
        <w:rPr/>
        <w:t>主营业务分行业、分产品、分地区情况的说明</w:t>
      </w:r>
    </w:p>
    <w:p>
      <w:pPr>
        <w:pStyle w:val="BodyText"/>
        <w:spacing w:line="240" w:lineRule="auto" w:before="85"/>
        <w:ind w:left="638" w:right="227"/>
        <w:jc w:val="left"/>
      </w:pPr>
      <w:r>
        <w:rPr>
          <w:rFonts w:ascii="Times New Roman" w:hAnsi="Times New Roman" w:cs="Times New Roman" w:eastAsia="Times New Roman" w:hint="default"/>
        </w:rPr>
        <w:t>1</w:t>
      </w:r>
      <w:r>
        <w:rPr/>
        <w:t>、报告期内，公司的主营业务收入仍来自于软件行业。</w:t>
      </w:r>
    </w:p>
    <w:p>
      <w:pPr>
        <w:pStyle w:val="BodyText"/>
        <w:spacing w:line="297" w:lineRule="auto" w:before="69"/>
        <w:ind w:left="218" w:right="227" w:firstLine="419"/>
        <w:jc w:val="both"/>
      </w:pPr>
      <w:r>
        <w:rPr>
          <w:rFonts w:ascii="Times New Roman" w:hAnsi="Times New Roman" w:cs="Times New Roman" w:eastAsia="Times New Roman" w:hint="default"/>
        </w:rPr>
        <w:t>2</w:t>
      </w:r>
      <w:r>
        <w:rPr/>
        <w:t>、报告期内，公司的主营业务收入按产品类别的构成来看，软件开发收入占比</w:t>
      </w:r>
      <w:r>
        <w:rPr>
          <w:spacing w:val="-13"/>
        </w:rPr>
        <w:t> </w:t>
      </w:r>
      <w:r>
        <w:rPr>
          <w:rFonts w:ascii="Times New Roman" w:hAnsi="Times New Roman" w:cs="Times New Roman" w:eastAsia="Times New Roman" w:hint="default"/>
        </w:rPr>
        <w:t>32.56%</w:t>
      </w:r>
      <w:r>
        <w:rPr/>
        <w:t>，系</w:t>
      </w:r>
      <w:r>
        <w:rPr>
          <w:spacing w:val="-3"/>
          <w:w w:val="100"/>
        </w:rPr>
        <w:t> </w:t>
      </w:r>
      <w:r>
        <w:rPr/>
        <w:t>统集成收入占比</w:t>
      </w:r>
      <w:r>
        <w:rPr>
          <w:spacing w:val="-66"/>
        </w:rPr>
        <w:t> </w:t>
      </w:r>
      <w:r>
        <w:rPr>
          <w:rFonts w:ascii="Times New Roman" w:hAnsi="Times New Roman" w:cs="Times New Roman" w:eastAsia="Times New Roman" w:hint="default"/>
        </w:rPr>
        <w:t>61.92%</w:t>
      </w:r>
      <w:r>
        <w:rPr/>
        <w:t>，技术服务费收入占比</w:t>
      </w:r>
      <w:r>
        <w:rPr>
          <w:spacing w:val="-66"/>
        </w:rPr>
        <w:t> </w:t>
      </w:r>
      <w:r>
        <w:rPr>
          <w:rFonts w:ascii="Times New Roman" w:hAnsi="Times New Roman" w:cs="Times New Roman" w:eastAsia="Times New Roman" w:hint="default"/>
        </w:rPr>
        <w:t>5.52%</w:t>
      </w:r>
      <w:r>
        <w:rPr/>
        <w:t>，各类产品的收入结构较为稳定。受软件产</w:t>
      </w:r>
      <w:r>
        <w:rPr>
          <w:w w:val="100"/>
        </w:rPr>
        <w:t> </w:t>
      </w:r>
      <w:r>
        <w:rPr/>
        <w:t>品和系统集成产品毛利率下降因素影响，公司的销售毛利率下降了</w:t>
      </w:r>
      <w:r>
        <w:rPr>
          <w:spacing w:val="-56"/>
        </w:rPr>
        <w:t> </w:t>
      </w:r>
      <w:r>
        <w:rPr>
          <w:rFonts w:ascii="Times New Roman" w:hAnsi="Times New Roman" w:cs="Times New Roman" w:eastAsia="Times New Roman" w:hint="default"/>
        </w:rPr>
        <w:t>14.36</w:t>
      </w:r>
      <w:r>
        <w:rPr>
          <w:rFonts w:ascii="Times New Roman" w:hAnsi="Times New Roman" w:cs="Times New Roman" w:eastAsia="Times New Roman" w:hint="default"/>
          <w:spacing w:val="-3"/>
        </w:rPr>
        <w:t> </w:t>
      </w:r>
      <w:r>
        <w:rPr/>
        <w:t>个百分点。</w:t>
      </w:r>
    </w:p>
    <w:p>
      <w:pPr>
        <w:pStyle w:val="BodyText"/>
        <w:spacing w:line="297" w:lineRule="auto" w:before="13"/>
        <w:ind w:left="218" w:right="230" w:firstLine="419"/>
        <w:jc w:val="both"/>
      </w:pPr>
      <w:r>
        <w:rPr>
          <w:rFonts w:ascii="Times New Roman" w:hAnsi="Times New Roman" w:cs="Times New Roman" w:eastAsia="Times New Roman" w:hint="default"/>
        </w:rPr>
        <w:t>3</w:t>
      </w:r>
      <w:r>
        <w:rPr/>
        <w:t>、报告期内，公司在福建省外业务收入为</w:t>
      </w:r>
      <w:r>
        <w:rPr>
          <w:spacing w:val="-44"/>
        </w:rPr>
        <w:t> </w:t>
      </w:r>
      <w:r>
        <w:rPr>
          <w:rFonts w:ascii="Times New Roman" w:hAnsi="Times New Roman" w:cs="Times New Roman" w:eastAsia="Times New Roman" w:hint="default"/>
        </w:rPr>
        <w:t>10,992.65</w:t>
      </w:r>
      <w:r>
        <w:rPr>
          <w:rFonts w:ascii="Times New Roman" w:hAnsi="Times New Roman" w:cs="Times New Roman" w:eastAsia="Times New Roman" w:hint="default"/>
          <w:spacing w:val="6"/>
        </w:rPr>
        <w:t> </w:t>
      </w:r>
      <w:r>
        <w:rPr/>
        <w:t>万元，占比</w:t>
      </w:r>
      <w:r>
        <w:rPr>
          <w:spacing w:val="-44"/>
        </w:rPr>
        <w:t> </w:t>
      </w:r>
      <w:r>
        <w:rPr>
          <w:rFonts w:ascii="Times New Roman" w:hAnsi="Times New Roman" w:cs="Times New Roman" w:eastAsia="Times New Roman" w:hint="default"/>
        </w:rPr>
        <w:t>32.25%</w:t>
      </w:r>
      <w:r>
        <w:rPr/>
        <w:t>，同比</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年省外</w:t>
      </w:r>
      <w:r>
        <w:rPr>
          <w:w w:val="100"/>
        </w:rPr>
        <w:t> </w:t>
      </w:r>
      <w:r>
        <w:rPr/>
        <w:t>收入占比</w:t>
      </w:r>
      <w:r>
        <w:rPr>
          <w:spacing w:val="-56"/>
        </w:rPr>
        <w:t> </w:t>
      </w:r>
      <w:r>
        <w:rPr>
          <w:rFonts w:ascii="Times New Roman" w:hAnsi="Times New Roman" w:cs="Times New Roman" w:eastAsia="Times New Roman" w:hint="default"/>
        </w:rPr>
        <w:t>24.90%</w:t>
      </w:r>
      <w:r>
        <w:rPr/>
        <w:t>上升了</w:t>
      </w:r>
      <w:r>
        <w:rPr>
          <w:spacing w:val="-55"/>
        </w:rPr>
        <w:t> </w:t>
      </w:r>
      <w:r>
        <w:rPr>
          <w:rFonts w:ascii="Times New Roman" w:hAnsi="Times New Roman" w:cs="Times New Roman" w:eastAsia="Times New Roman" w:hint="default"/>
        </w:rPr>
        <w:t>7.35</w:t>
      </w:r>
      <w:r>
        <w:rPr>
          <w:rFonts w:ascii="Times New Roman" w:hAnsi="Times New Roman" w:cs="Times New Roman" w:eastAsia="Times New Roman" w:hint="default"/>
          <w:spacing w:val="-3"/>
        </w:rPr>
        <w:t> </w:t>
      </w:r>
      <w:r>
        <w:rPr/>
        <w:t>个百分点，公司全国网络营销与服务体系建设初见成效。</w:t>
      </w:r>
    </w:p>
    <w:p>
      <w:pPr>
        <w:spacing w:line="240" w:lineRule="auto" w:before="9"/>
        <w:rPr>
          <w:rFonts w:ascii="宋体" w:hAnsi="宋体" w:cs="宋体" w:eastAsia="宋体" w:hint="default"/>
          <w:sz w:val="26"/>
          <w:szCs w:val="26"/>
        </w:rPr>
      </w:pPr>
    </w:p>
    <w:p>
      <w:pPr>
        <w:pStyle w:val="Heading2"/>
        <w:spacing w:line="240" w:lineRule="auto" w:before="36"/>
        <w:ind w:right="227"/>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145"/>
        <w:ind w:left="0" w:right="230"/>
        <w:jc w:val="right"/>
      </w:pPr>
      <w:r>
        <w:rPr>
          <w:spacing w:val="-1"/>
        </w:rPr>
        <w:t>单位：元</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54"/>
        <w:gridCol w:w="907"/>
        <w:gridCol w:w="1565"/>
        <w:gridCol w:w="960"/>
        <w:gridCol w:w="1642"/>
        <w:gridCol w:w="893"/>
        <w:gridCol w:w="1136"/>
        <w:gridCol w:w="792"/>
      </w:tblGrid>
      <w:tr>
        <w:trPr>
          <w:trHeight w:val="526"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26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32" w:right="131"/>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本</w:t>
            </w:r>
            <w:r>
              <w:rPr>
                <w:rFonts w:ascii="宋体" w:hAnsi="宋体" w:cs="宋体" w:eastAsia="宋体" w:hint="default"/>
                <w:spacing w:val="-47"/>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占</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spacing w:val="-47"/>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74"/>
              <w:jc w:val="both"/>
              <w:rPr>
                <w:rFonts w:ascii="Times New Roman" w:hAnsi="Times New Roman" w:cs="Times New Roman" w:eastAsia="Times New Roman" w:hint="default"/>
                <w:sz w:val="21"/>
                <w:szCs w:val="21"/>
              </w:rPr>
            </w:pPr>
            <w:r>
              <w:rPr>
                <w:rFonts w:ascii="宋体" w:hAnsi="宋体" w:cs="宋体" w:eastAsia="宋体" w:hint="default"/>
                <w:spacing w:val="15"/>
                <w:sz w:val="21"/>
                <w:szCs w:val="21"/>
              </w:rPr>
              <w:t>上年同</w:t>
            </w:r>
            <w:r>
              <w:rPr>
                <w:rFonts w:ascii="宋体" w:hAnsi="宋体" w:cs="宋体" w:eastAsia="宋体" w:hint="default"/>
                <w:spacing w:val="-99"/>
                <w:sz w:val="21"/>
                <w:szCs w:val="21"/>
              </w:rPr>
              <w:t> </w:t>
            </w:r>
            <w:r>
              <w:rPr>
                <w:rFonts w:ascii="宋体" w:hAnsi="宋体" w:cs="宋体" w:eastAsia="宋体" w:hint="default"/>
                <w:spacing w:val="15"/>
                <w:sz w:val="21"/>
                <w:szCs w:val="21"/>
              </w:rPr>
              <w:t>期占总</w:t>
            </w:r>
            <w:r>
              <w:rPr>
                <w:rFonts w:ascii="宋体" w:hAnsi="宋体" w:cs="宋体" w:eastAsia="宋体" w:hint="default"/>
                <w:spacing w:val="-99"/>
                <w:sz w:val="21"/>
                <w:szCs w:val="21"/>
              </w:rPr>
              <w:t> </w:t>
            </w:r>
            <w:r>
              <w:rPr>
                <w:rFonts w:ascii="宋体" w:hAnsi="宋体" w:cs="宋体" w:eastAsia="宋体" w:hint="default"/>
                <w:spacing w:val="15"/>
                <w:sz w:val="21"/>
                <w:szCs w:val="21"/>
              </w:rPr>
              <w:t>成本比</w:t>
            </w:r>
            <w:r>
              <w:rPr>
                <w:rFonts w:ascii="宋体" w:hAnsi="宋体" w:cs="宋体" w:eastAsia="宋体" w:hint="default"/>
                <w:spacing w:val="-99"/>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本</w:t>
            </w:r>
            <w:r>
              <w:rPr>
                <w:rFonts w:ascii="宋体" w:hAnsi="宋体" w:cs="宋体" w:eastAsia="宋体" w:hint="default"/>
                <w:spacing w:val="-77"/>
                <w:sz w:val="21"/>
                <w:szCs w:val="21"/>
              </w:rPr>
              <w:t> </w:t>
            </w:r>
            <w:r>
              <w:rPr>
                <w:rFonts w:ascii="宋体" w:hAnsi="宋体" w:cs="宋体" w:eastAsia="宋体" w:hint="default"/>
                <w:spacing w:val="11"/>
                <w:sz w:val="21"/>
                <w:szCs w:val="21"/>
              </w:rPr>
              <w:t>期金</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较</w:t>
            </w:r>
            <w:r>
              <w:rPr>
                <w:rFonts w:ascii="宋体" w:hAnsi="宋体" w:cs="宋体" w:eastAsia="宋体" w:hint="default"/>
                <w:spacing w:val="-77"/>
                <w:sz w:val="21"/>
                <w:szCs w:val="21"/>
              </w:rPr>
              <w:t> </w:t>
            </w:r>
            <w:r>
              <w:rPr>
                <w:rFonts w:ascii="宋体" w:hAnsi="宋体" w:cs="宋体" w:eastAsia="宋体" w:hint="default"/>
                <w:spacing w:val="11"/>
                <w:sz w:val="21"/>
                <w:szCs w:val="21"/>
              </w:rPr>
              <w:t>上年</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pacing w:val="11"/>
                <w:sz w:val="21"/>
                <w:szCs w:val="21"/>
              </w:rPr>
              <w:t>变动</w:t>
            </w:r>
            <w:r>
              <w:rPr>
                <w:rFonts w:ascii="宋体" w:hAnsi="宋体" w:cs="宋体" w:eastAsia="宋体" w:hint="default"/>
                <w:spacing w:val="-77"/>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80" w:right="17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7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3"/>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90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226,411,266.27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167,605,092.94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35.09</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25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14" w:lineRule="auto"/>
              <w:ind w:left="132" w:right="131"/>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3"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本</w:t>
            </w:r>
            <w:r>
              <w:rPr>
                <w:rFonts w:ascii="宋体" w:hAnsi="宋体" w:cs="宋体" w:eastAsia="宋体" w:hint="default"/>
                <w:spacing w:val="-47"/>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占</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spacing w:val="-47"/>
                <w:sz w:val="21"/>
                <w:szCs w:val="21"/>
              </w:rPr>
              <w:t> </w:t>
            </w:r>
            <w:r>
              <w:rPr>
                <w:rFonts w:ascii="宋体" w:hAnsi="宋体" w:cs="宋体" w:eastAsia="宋体" w:hint="default"/>
                <w:sz w:val="21"/>
                <w:szCs w:val="21"/>
              </w:rPr>
              <w:t>成</w:t>
            </w:r>
            <w:r>
              <w:rPr>
                <w:rFonts w:ascii="宋体" w:hAnsi="宋体" w:cs="宋体" w:eastAsia="宋体" w:hint="default"/>
                <w:spacing w:val="-5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74"/>
              <w:jc w:val="both"/>
              <w:rPr>
                <w:rFonts w:ascii="Times New Roman" w:hAnsi="Times New Roman" w:cs="Times New Roman" w:eastAsia="Times New Roman" w:hint="default"/>
                <w:sz w:val="21"/>
                <w:szCs w:val="21"/>
              </w:rPr>
            </w:pPr>
            <w:r>
              <w:rPr>
                <w:rFonts w:ascii="宋体" w:hAnsi="宋体" w:cs="宋体" w:eastAsia="宋体" w:hint="default"/>
                <w:spacing w:val="15"/>
                <w:sz w:val="21"/>
                <w:szCs w:val="21"/>
              </w:rPr>
              <w:t>上年同</w:t>
            </w:r>
            <w:r>
              <w:rPr>
                <w:rFonts w:ascii="宋体" w:hAnsi="宋体" w:cs="宋体" w:eastAsia="宋体" w:hint="default"/>
                <w:spacing w:val="-99"/>
                <w:sz w:val="21"/>
                <w:szCs w:val="21"/>
              </w:rPr>
              <w:t> </w:t>
            </w:r>
            <w:r>
              <w:rPr>
                <w:rFonts w:ascii="宋体" w:hAnsi="宋体" w:cs="宋体" w:eastAsia="宋体" w:hint="default"/>
                <w:spacing w:val="15"/>
                <w:sz w:val="21"/>
                <w:szCs w:val="21"/>
              </w:rPr>
              <w:t>期占总</w:t>
            </w:r>
            <w:r>
              <w:rPr>
                <w:rFonts w:ascii="宋体" w:hAnsi="宋体" w:cs="宋体" w:eastAsia="宋体" w:hint="default"/>
                <w:spacing w:val="-99"/>
                <w:sz w:val="21"/>
                <w:szCs w:val="21"/>
              </w:rPr>
              <w:t> </w:t>
            </w:r>
            <w:r>
              <w:rPr>
                <w:rFonts w:ascii="宋体" w:hAnsi="宋体" w:cs="宋体" w:eastAsia="宋体" w:hint="default"/>
                <w:spacing w:val="15"/>
                <w:sz w:val="21"/>
                <w:szCs w:val="21"/>
              </w:rPr>
              <w:t>成本比</w:t>
            </w:r>
            <w:r>
              <w:rPr>
                <w:rFonts w:ascii="宋体" w:hAnsi="宋体" w:cs="宋体" w:eastAsia="宋体" w:hint="default"/>
                <w:spacing w:val="-99"/>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Times New Roman" w:hAnsi="Times New Roman" w:cs="Times New Roman" w:eastAsia="Times New Roman" w:hint="default"/>
                <w:sz w:val="21"/>
                <w:szCs w:val="21"/>
              </w:rPr>
            </w:pPr>
            <w:r>
              <w:rPr>
                <w:rFonts w:ascii="宋体" w:hAnsi="宋体" w:cs="宋体" w:eastAsia="宋体" w:hint="default"/>
                <w:sz w:val="21"/>
                <w:szCs w:val="21"/>
              </w:rPr>
              <w:t>本</w:t>
            </w:r>
            <w:r>
              <w:rPr>
                <w:rFonts w:ascii="宋体" w:hAnsi="宋体" w:cs="宋体" w:eastAsia="宋体" w:hint="default"/>
                <w:spacing w:val="-77"/>
                <w:sz w:val="21"/>
                <w:szCs w:val="21"/>
              </w:rPr>
              <w:t> </w:t>
            </w:r>
            <w:r>
              <w:rPr>
                <w:rFonts w:ascii="宋体" w:hAnsi="宋体" w:cs="宋体" w:eastAsia="宋体" w:hint="default"/>
                <w:spacing w:val="11"/>
                <w:sz w:val="21"/>
                <w:szCs w:val="21"/>
              </w:rPr>
              <w:t>期金</w:t>
            </w:r>
            <w:r>
              <w:rPr>
                <w:rFonts w:ascii="宋体" w:hAnsi="宋体" w:cs="宋体" w:eastAsia="宋体" w:hint="default"/>
                <w:spacing w:val="-77"/>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较</w:t>
            </w:r>
            <w:r>
              <w:rPr>
                <w:rFonts w:ascii="宋体" w:hAnsi="宋体" w:cs="宋体" w:eastAsia="宋体" w:hint="default"/>
                <w:spacing w:val="-77"/>
                <w:sz w:val="21"/>
                <w:szCs w:val="21"/>
              </w:rPr>
              <w:t> </w:t>
            </w:r>
            <w:r>
              <w:rPr>
                <w:rFonts w:ascii="宋体" w:hAnsi="宋体" w:cs="宋体" w:eastAsia="宋体" w:hint="default"/>
                <w:spacing w:val="11"/>
                <w:sz w:val="21"/>
                <w:szCs w:val="21"/>
              </w:rPr>
              <w:t>上年</w:t>
            </w:r>
            <w:r>
              <w:rPr>
                <w:rFonts w:ascii="宋体" w:hAnsi="宋体" w:cs="宋体" w:eastAsia="宋体" w:hint="default"/>
                <w:spacing w:val="-77"/>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pacing w:val="-77"/>
                <w:sz w:val="21"/>
                <w:szCs w:val="21"/>
              </w:rPr>
              <w:t> </w:t>
            </w:r>
            <w:r>
              <w:rPr>
                <w:rFonts w:ascii="宋体" w:hAnsi="宋体" w:cs="宋体" w:eastAsia="宋体" w:hint="default"/>
                <w:spacing w:val="11"/>
                <w:sz w:val="21"/>
                <w:szCs w:val="21"/>
              </w:rPr>
              <w:t>变动</w:t>
            </w:r>
            <w:r>
              <w:rPr>
                <w:rFonts w:ascii="宋体" w:hAnsi="宋体" w:cs="宋体" w:eastAsia="宋体" w:hint="default"/>
                <w:spacing w:val="-77"/>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14" w:lineRule="auto"/>
              <w:ind w:left="180" w:right="17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73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软件开发</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90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38,745,712.61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17.11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18,158,551.45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10.83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113.37</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系统集成</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90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186,732,028.74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82.47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149,446,541.48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89.17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24.95</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90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933,524.92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0.41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8"/>
          <w:szCs w:val="28"/>
        </w:rPr>
      </w:pPr>
    </w:p>
    <w:p>
      <w:pPr>
        <w:pStyle w:val="BodyText"/>
        <w:spacing w:line="240" w:lineRule="auto" w:before="36"/>
        <w:ind w:left="218" w:right="227"/>
        <w:jc w:val="left"/>
      </w:pPr>
      <w:r>
        <w:rPr/>
        <w:t>成本分析其他情况说明</w:t>
      </w:r>
    </w:p>
    <w:p>
      <w:pPr>
        <w:spacing w:after="0" w:line="240" w:lineRule="auto"/>
        <w:jc w:val="left"/>
        <w:sectPr>
          <w:pgSz w:w="11910" w:h="16840"/>
          <w:pgMar w:header="88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658" w:right="0"/>
        <w:jc w:val="left"/>
      </w:pPr>
      <w:r>
        <w:rPr>
          <w:spacing w:val="-3"/>
        </w:rPr>
        <w:t>受人工成本及外购软件成本上升因素的影响，软件开发收入毛利率下降 </w:t>
      </w:r>
      <w:r>
        <w:rPr>
          <w:rFonts w:ascii="宋体" w:hAnsi="宋体" w:cs="宋体" w:eastAsia="宋体" w:hint="default"/>
        </w:rPr>
        <w:t>19.4</w:t>
      </w:r>
      <w:r>
        <w:rPr>
          <w:rFonts w:ascii="宋体" w:hAnsi="宋体" w:cs="宋体" w:eastAsia="宋体" w:hint="default"/>
          <w:spacing w:val="-53"/>
        </w:rPr>
        <w:t> </w:t>
      </w:r>
      <w:r>
        <w:rPr>
          <w:spacing w:val="-9"/>
        </w:rPr>
        <w:t>个百分点；收入</w:t>
      </w:r>
      <w:r>
        <w:rPr/>
      </w:r>
    </w:p>
    <w:p>
      <w:pPr>
        <w:pStyle w:val="BodyText"/>
        <w:spacing w:line="240" w:lineRule="auto" w:before="85"/>
        <w:ind w:left="238" w:right="0"/>
        <w:jc w:val="left"/>
      </w:pPr>
      <w:r>
        <w:rPr/>
        <w:t>占比较大的系统集成收入毛利率下降</w:t>
      </w:r>
      <w:r>
        <w:rPr>
          <w:spacing w:val="-52"/>
        </w:rPr>
        <w:t> </w:t>
      </w:r>
      <w:r>
        <w:rPr>
          <w:rFonts w:ascii="宋体" w:hAnsi="宋体" w:cs="宋体" w:eastAsia="宋体" w:hint="default"/>
        </w:rPr>
        <w:t>13.03</w:t>
      </w:r>
      <w:r>
        <w:rPr>
          <w:rFonts w:ascii="宋体" w:hAnsi="宋体" w:cs="宋体" w:eastAsia="宋体" w:hint="default"/>
          <w:spacing w:val="-52"/>
        </w:rPr>
        <w:t> </w:t>
      </w:r>
      <w:r>
        <w:rPr/>
        <w:t>个百分点。在上述因素的共同影响下，报告期公司主</w:t>
      </w:r>
    </w:p>
    <w:p>
      <w:pPr>
        <w:pStyle w:val="BodyText"/>
        <w:spacing w:line="240" w:lineRule="auto" w:before="85"/>
        <w:ind w:left="238" w:right="0"/>
        <w:jc w:val="left"/>
      </w:pPr>
      <w:r>
        <w:rPr/>
        <w:t>营业务毛利率下降</w:t>
      </w:r>
      <w:r>
        <w:rPr>
          <w:spacing w:val="-52"/>
        </w:rPr>
        <w:t> </w:t>
      </w:r>
      <w:r>
        <w:rPr>
          <w:rFonts w:ascii="宋体" w:hAnsi="宋体" w:cs="宋体" w:eastAsia="宋体" w:hint="default"/>
        </w:rPr>
        <w:t>14.36</w:t>
      </w:r>
      <w:r>
        <w:rPr>
          <w:rFonts w:ascii="宋体" w:hAnsi="宋体" w:cs="宋体" w:eastAsia="宋体" w:hint="default"/>
          <w:spacing w:val="-54"/>
        </w:rPr>
        <w:t> </w:t>
      </w:r>
      <w:r>
        <w:rPr/>
        <w:t>个百分点。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tabs>
          <w:tab w:pos="657" w:val="left" w:leader="none"/>
        </w:tabs>
        <w:spacing w:line="240" w:lineRule="auto"/>
        <w:ind w:left="238" w:right="0"/>
        <w:jc w:val="left"/>
        <w:rPr>
          <w:b w:val="0"/>
          <w:bCs w:val="0"/>
        </w:rPr>
      </w:pPr>
      <w:r>
        <w:rPr>
          <w:rFonts w:ascii="宋体" w:hAnsi="宋体" w:cs="宋体" w:eastAsia="宋体" w:hint="default"/>
          <w:w w:val="95"/>
        </w:rPr>
        <w:t>2.</w:t>
        <w:tab/>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1702"/>
        <w:gridCol w:w="1424"/>
        <w:gridCol w:w="1423"/>
        <w:gridCol w:w="1121"/>
        <w:gridCol w:w="3409"/>
      </w:tblGrid>
      <w:tr>
        <w:trPr>
          <w:trHeight w:val="742"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b/>
                <w:bCs/>
                <w:sz w:val="21"/>
                <w:szCs w:val="21"/>
              </w:rPr>
              <w:t>增减比率</w:t>
            </w:r>
            <w:r>
              <w:rPr>
                <w:rFonts w:ascii="宋体" w:hAnsi="宋体" w:cs="宋体" w:eastAsia="宋体" w:hint="default"/>
                <w:sz w:val="21"/>
                <w:szCs w:val="21"/>
              </w:rPr>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3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740"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2,594,034.83</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4,473,916.58</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-42.02</w:t>
            </w:r>
          </w:p>
        </w:tc>
        <w:tc>
          <w:tcPr>
            <w:tcW w:w="340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2"/>
              <w:ind w:left="98" w:right="97"/>
              <w:jc w:val="left"/>
              <w:rPr>
                <w:rFonts w:ascii="宋体" w:hAnsi="宋体" w:cs="宋体" w:eastAsia="宋体" w:hint="default"/>
                <w:sz w:val="21"/>
                <w:szCs w:val="21"/>
              </w:rPr>
            </w:pPr>
            <w:r>
              <w:rPr>
                <w:rFonts w:ascii="宋体" w:hAnsi="宋体" w:cs="宋体" w:eastAsia="宋体" w:hint="default"/>
                <w:sz w:val="21"/>
                <w:szCs w:val="21"/>
              </w:rPr>
              <w:t>主要系报告期内建安类项目收入减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少，相应减少了营业税金的确认。</w:t>
            </w:r>
          </w:p>
        </w:tc>
      </w:tr>
      <w:tr>
        <w:trPr>
          <w:trHeight w:val="1459"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28,747,183.21</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20,250,402.25</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41.96</w:t>
            </w:r>
          </w:p>
        </w:tc>
        <w:tc>
          <w:tcPr>
            <w:tcW w:w="340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2"/>
              <w:ind w:left="98" w:right="95"/>
              <w:jc w:val="both"/>
              <w:rPr>
                <w:rFonts w:ascii="宋体" w:hAnsi="宋体" w:cs="宋体" w:eastAsia="宋体" w:hint="default"/>
                <w:sz w:val="21"/>
                <w:szCs w:val="21"/>
              </w:rPr>
            </w:pPr>
            <w:r>
              <w:rPr>
                <w:rFonts w:ascii="宋体" w:hAnsi="宋体" w:cs="宋体" w:eastAsia="宋体" w:hint="default"/>
                <w:sz w:val="21"/>
                <w:szCs w:val="21"/>
              </w:rPr>
              <w:t>主要系公司加大市场宣传推广力度</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宣传费用有所增加，以及公司加强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5"/>
                <w:sz w:val="21"/>
                <w:szCs w:val="21"/>
              </w:rPr>
              <w:t>全国网络营销与服务体系建设所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致。</w:t>
            </w:r>
          </w:p>
        </w:tc>
      </w:tr>
      <w:tr>
        <w:trPr>
          <w:trHeight w:val="41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56,141,280.76</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54,363,666.97</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sz w:val="21"/>
              </w:rPr>
              <w:t>3.27</w:t>
            </w:r>
          </w:p>
        </w:tc>
        <w:tc>
          <w:tcPr>
            <w:tcW w:w="3409" w:type="dxa"/>
            <w:tcBorders>
              <w:top w:val="single" w:sz="8" w:space="0" w:color="000000"/>
              <w:left w:val="single" w:sz="8" w:space="0" w:color="000000"/>
              <w:bottom w:val="single" w:sz="8" w:space="0" w:color="000000"/>
              <w:right w:val="single" w:sz="8" w:space="0" w:color="000000"/>
            </w:tcBorders>
          </w:tcPr>
          <w:p>
            <w:pPr/>
          </w:p>
        </w:tc>
      </w:tr>
      <w:tr>
        <w:trPr>
          <w:trHeight w:val="418"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30" w:right="0"/>
              <w:jc w:val="center"/>
              <w:rPr>
                <w:rFonts w:ascii="Times New Roman" w:hAnsi="Times New Roman" w:cs="Times New Roman" w:eastAsia="Times New Roman" w:hint="default"/>
                <w:sz w:val="21"/>
                <w:szCs w:val="21"/>
              </w:rPr>
            </w:pPr>
            <w:r>
              <w:rPr>
                <w:rFonts w:ascii="Times New Roman"/>
                <w:sz w:val="21"/>
              </w:rPr>
              <w:t>-5,852,587.38</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35" w:right="0"/>
              <w:jc w:val="center"/>
              <w:rPr>
                <w:rFonts w:ascii="Times New Roman" w:hAnsi="Times New Roman" w:cs="Times New Roman" w:eastAsia="Times New Roman" w:hint="default"/>
                <w:sz w:val="21"/>
                <w:szCs w:val="21"/>
              </w:rPr>
            </w:pPr>
            <w:r>
              <w:rPr>
                <w:rFonts w:ascii="Times New Roman"/>
                <w:sz w:val="21"/>
              </w:rPr>
              <w:t>-4,579,023.24</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sz w:val="21"/>
              </w:rPr>
              <w:t>27.81</w:t>
            </w:r>
          </w:p>
        </w:tc>
        <w:tc>
          <w:tcPr>
            <w:tcW w:w="3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主要系利息收入增加所致。</w:t>
            </w:r>
          </w:p>
        </w:tc>
      </w:tr>
      <w:tr>
        <w:trPr>
          <w:trHeight w:val="740"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5,008,815.19</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2,768,042.37</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80.95</w:t>
            </w:r>
          </w:p>
        </w:tc>
        <w:tc>
          <w:tcPr>
            <w:tcW w:w="340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2"/>
              <w:ind w:left="98" w:right="97"/>
              <w:jc w:val="left"/>
              <w:rPr>
                <w:rFonts w:ascii="宋体" w:hAnsi="宋体" w:cs="宋体" w:eastAsia="宋体" w:hint="default"/>
                <w:sz w:val="21"/>
                <w:szCs w:val="21"/>
              </w:rPr>
            </w:pPr>
            <w:r>
              <w:rPr>
                <w:rFonts w:ascii="宋体" w:hAnsi="宋体" w:cs="宋体" w:eastAsia="宋体" w:hint="default"/>
                <w:sz w:val="21"/>
                <w:szCs w:val="21"/>
              </w:rPr>
              <w:t>主要系公司的应收账款增加，计提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的坏账准备金提高所致。</w:t>
            </w:r>
          </w:p>
        </w:tc>
      </w:tr>
      <w:tr>
        <w:trPr>
          <w:trHeight w:val="1102" w:hRule="exact"/>
        </w:trPr>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30"/>
                <w:szCs w:val="30"/>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所得税费用</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02" w:right="0"/>
              <w:jc w:val="center"/>
              <w:rPr>
                <w:rFonts w:ascii="Times New Roman" w:hAnsi="Times New Roman" w:cs="Times New Roman" w:eastAsia="Times New Roman" w:hint="default"/>
                <w:sz w:val="21"/>
                <w:szCs w:val="21"/>
              </w:rPr>
            </w:pPr>
            <w:r>
              <w:rPr>
                <w:rFonts w:ascii="Times New Roman"/>
                <w:sz w:val="21"/>
              </w:rPr>
              <w:t>6,836,304.81</w:t>
            </w:r>
          </w:p>
        </w:tc>
        <w:tc>
          <w:tcPr>
            <w:tcW w:w="14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13,953,370.08</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-51.01</w:t>
            </w:r>
          </w:p>
        </w:tc>
        <w:tc>
          <w:tcPr>
            <w:tcW w:w="3409"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5"/>
              <w:ind w:left="98" w:right="96"/>
              <w:jc w:val="both"/>
              <w:rPr>
                <w:rFonts w:ascii="宋体" w:hAnsi="宋体" w:cs="宋体" w:eastAsia="宋体" w:hint="default"/>
                <w:sz w:val="21"/>
                <w:szCs w:val="21"/>
              </w:rPr>
            </w:pPr>
            <w:r>
              <w:rPr>
                <w:rFonts w:ascii="宋体" w:hAnsi="宋体" w:cs="宋体" w:eastAsia="宋体" w:hint="default"/>
                <w:sz w:val="21"/>
                <w:szCs w:val="21"/>
              </w:rPr>
              <w:t>主要系利润总额下降及税收政策对</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5"/>
                <w:sz w:val="21"/>
                <w:szCs w:val="21"/>
              </w:rPr>
              <w:t>工资项的应纳税所得额的变化调</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整，减少了递延所得税费用。</w:t>
            </w:r>
          </w:p>
        </w:tc>
      </w:tr>
    </w:tbl>
    <w:p>
      <w:pPr>
        <w:spacing w:line="240" w:lineRule="auto" w:before="9"/>
        <w:rPr>
          <w:rFonts w:ascii="宋体" w:hAnsi="宋体" w:cs="宋体" w:eastAsia="宋体" w:hint="default"/>
          <w:b/>
          <w:bCs/>
          <w:sz w:val="24"/>
          <w:szCs w:val="24"/>
        </w:rPr>
      </w:pPr>
    </w:p>
    <w:p>
      <w:pPr>
        <w:pStyle w:val="Heading2"/>
        <w:tabs>
          <w:tab w:pos="657" w:val="left" w:leader="none"/>
        </w:tabs>
        <w:spacing w:line="240" w:lineRule="auto" w:before="36"/>
        <w:ind w:left="238" w:right="0"/>
        <w:jc w:val="left"/>
        <w:rPr>
          <w:b w:val="0"/>
          <w:bCs w:val="0"/>
        </w:rPr>
      </w:pPr>
      <w:r>
        <w:rPr>
          <w:rFonts w:ascii="宋体" w:hAnsi="宋体" w:cs="宋体" w:eastAsia="宋体" w:hint="default"/>
          <w:w w:val="95"/>
        </w:rPr>
        <w:t>3.</w:t>
        <w:tab/>
      </w:r>
      <w:r>
        <w:rPr/>
        <w:t>研发投入</w:t>
      </w:r>
      <w:r>
        <w:rPr>
          <w:b w:val="0"/>
          <w:bCs w:val="0"/>
        </w:rPr>
      </w:r>
    </w:p>
    <w:p>
      <w:pPr>
        <w:spacing w:line="240" w:lineRule="auto" w:before="11"/>
        <w:rPr>
          <w:rFonts w:ascii="宋体" w:hAnsi="宋体" w:cs="宋体" w:eastAsia="宋体" w:hint="default"/>
          <w:b/>
          <w:bCs/>
          <w:sz w:val="8"/>
          <w:szCs w:val="8"/>
        </w:rPr>
      </w:pPr>
    </w:p>
    <w:p>
      <w:pPr>
        <w:pStyle w:val="Heading2"/>
        <w:spacing w:line="240" w:lineRule="auto" w:before="36"/>
        <w:ind w:left="238" w:right="0"/>
        <w:jc w:val="left"/>
        <w:rPr>
          <w:b w:val="0"/>
          <w:bCs w:val="0"/>
        </w:rPr>
      </w:pPr>
      <w:r>
        <w:rPr/>
        <w:t>研发投入情况表</w:t>
      </w:r>
      <w:r>
        <w:rPr>
          <w:b w:val="0"/>
          <w:bCs w:val="0"/>
        </w:rPr>
      </w:r>
    </w:p>
    <w:p>
      <w:pPr>
        <w:pStyle w:val="BodyText"/>
        <w:spacing w:line="240" w:lineRule="auto" w:before="145"/>
        <w:ind w:left="0" w:right="250"/>
        <w:jc w:val="right"/>
      </w:pPr>
      <w:r>
        <w:rPr>
          <w:spacing w:val="-1"/>
        </w:rPr>
        <w:t>单位：元</w:t>
      </w:r>
    </w:p>
    <w:p>
      <w:pPr>
        <w:spacing w:line="240" w:lineRule="auto" w:before="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920"/>
        <w:gridCol w:w="5130"/>
      </w:tblGrid>
      <w:tr>
        <w:trPr>
          <w:trHeight w:val="370"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7,102,286.06</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30,860,869.64</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37,963,155.70</w:t>
            </w:r>
          </w:p>
        </w:tc>
      </w:tr>
      <w:tr>
        <w:trPr>
          <w:trHeight w:val="37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2"/>
                <w:sz w:val="21"/>
              </w:rPr>
              <w:t>11.08</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202</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22.37</w:t>
            </w:r>
          </w:p>
        </w:tc>
      </w:tr>
      <w:tr>
        <w:trPr>
          <w:trHeight w:val="370"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81.29</w:t>
            </w:r>
          </w:p>
        </w:tc>
      </w:tr>
    </w:tbl>
    <w:p>
      <w:pPr>
        <w:pStyle w:val="Heading2"/>
        <w:spacing w:line="240" w:lineRule="auto" w:before="47"/>
        <w:ind w:left="238" w:right="0"/>
        <w:jc w:val="left"/>
        <w:rPr>
          <w:b w:val="0"/>
          <w:bCs w:val="0"/>
        </w:rPr>
      </w:pPr>
      <w:r>
        <w:rPr/>
        <w:t>情况说明</w:t>
      </w:r>
      <w:r>
        <w:rPr>
          <w:b w:val="0"/>
          <w:bCs w:val="0"/>
        </w:rPr>
      </w:r>
    </w:p>
    <w:p>
      <w:pPr>
        <w:pStyle w:val="BodyText"/>
        <w:spacing w:line="297" w:lineRule="auto" w:before="152"/>
        <w:ind w:left="238" w:right="248" w:firstLine="419"/>
        <w:jc w:val="both"/>
      </w:pPr>
      <w:r>
        <w:rPr>
          <w:spacing w:val="-3"/>
        </w:rPr>
        <w:t>报告期内，公司的研发投入总额为 </w:t>
      </w:r>
      <w:r>
        <w:rPr>
          <w:rFonts w:ascii="Times New Roman" w:hAnsi="Times New Roman" w:cs="Times New Roman" w:eastAsia="Times New Roman" w:hint="default"/>
        </w:rPr>
        <w:t>3,796.32 </w:t>
      </w:r>
      <w:r>
        <w:rPr>
          <w:spacing w:val="-4"/>
        </w:rPr>
        <w:t>万元，同比增长</w:t>
      </w:r>
      <w:r>
        <w:rPr>
          <w:spacing w:val="-52"/>
        </w:rPr>
        <w:t> </w:t>
      </w:r>
      <w:r>
        <w:rPr>
          <w:rFonts w:ascii="Times New Roman" w:hAnsi="Times New Roman" w:cs="Times New Roman" w:eastAsia="Times New Roman" w:hint="default"/>
          <w:spacing w:val="-3"/>
        </w:rPr>
        <w:t>47.98%</w:t>
      </w:r>
      <w:r>
        <w:rPr>
          <w:spacing w:val="-3"/>
        </w:rPr>
        <w:t>，研发投入占营业收入比</w:t>
      </w:r>
      <w:r>
        <w:rPr>
          <w:w w:val="100"/>
        </w:rPr>
        <w:t> </w:t>
      </w:r>
      <w:r>
        <w:rPr/>
        <w:t>例为</w:t>
      </w:r>
      <w:r>
        <w:rPr>
          <w:spacing w:val="-51"/>
        </w:rPr>
        <w:t> </w:t>
      </w:r>
      <w:r>
        <w:rPr>
          <w:rFonts w:ascii="Times New Roman" w:hAnsi="Times New Roman" w:cs="Times New Roman" w:eastAsia="Times New Roman" w:hint="default"/>
        </w:rPr>
        <w:t>11.08%</w:t>
      </w:r>
      <w:r>
        <w:rPr/>
        <w:t>，同比上年同期增加</w:t>
      </w:r>
      <w:r>
        <w:rPr>
          <w:spacing w:val="-48"/>
        </w:rPr>
        <w:t> </w:t>
      </w:r>
      <w:r>
        <w:rPr>
          <w:rFonts w:ascii="Times New Roman" w:hAnsi="Times New Roman" w:cs="Times New Roman" w:eastAsia="Times New Roman" w:hint="default"/>
        </w:rPr>
        <w:t>3.15</w:t>
      </w:r>
      <w:r>
        <w:rPr>
          <w:rFonts w:ascii="Times New Roman" w:hAnsi="Times New Roman" w:cs="Times New Roman" w:eastAsia="Times New Roman" w:hint="default"/>
          <w:spacing w:val="4"/>
        </w:rPr>
        <w:t> </w:t>
      </w:r>
      <w:r>
        <w:rPr/>
        <w:t>个百分点。研发投入的资本化比重为</w:t>
      </w:r>
      <w:r>
        <w:rPr>
          <w:spacing w:val="-48"/>
        </w:rPr>
        <w:t> </w:t>
      </w:r>
      <w:r>
        <w:rPr>
          <w:rFonts w:ascii="Times New Roman" w:hAnsi="Times New Roman" w:cs="Times New Roman" w:eastAsia="Times New Roman" w:hint="default"/>
        </w:rPr>
        <w:t>81.29%</w:t>
      </w:r>
      <w:r>
        <w:rPr/>
        <w:t>，主要系公司</w:t>
      </w:r>
      <w:r>
        <w:rPr>
          <w:w w:val="100"/>
        </w:rPr>
        <w:t> </w:t>
      </w:r>
      <w:r>
        <w:rPr/>
        <w:t>全面开展募投项目的研发投入。</w:t>
      </w:r>
    </w:p>
    <w:p>
      <w:pPr>
        <w:spacing w:after="0" w:line="297" w:lineRule="auto"/>
        <w:jc w:val="both"/>
        <w:sectPr>
          <w:pgSz w:w="11910" w:h="16840"/>
          <w:pgMar w:header="880" w:footer="974" w:top="1120" w:bottom="1160" w:left="1560" w:right="1020"/>
        </w:sectPr>
      </w:pPr>
    </w:p>
    <w:p>
      <w:pPr>
        <w:spacing w:line="240" w:lineRule="auto" w:before="12"/>
        <w:rPr>
          <w:rFonts w:ascii="宋体" w:hAnsi="宋体" w:cs="宋体" w:eastAsia="宋体" w:hint="default"/>
          <w:sz w:val="26"/>
          <w:szCs w:val="26"/>
        </w:rPr>
      </w:pPr>
    </w:p>
    <w:p>
      <w:pPr>
        <w:pStyle w:val="Heading2"/>
        <w:tabs>
          <w:tab w:pos="657" w:val="left" w:leader="none"/>
        </w:tabs>
        <w:spacing w:line="240" w:lineRule="auto" w:before="36"/>
        <w:ind w:left="238" w:right="0"/>
        <w:jc w:val="left"/>
        <w:rPr>
          <w:b w:val="0"/>
          <w:bCs w:val="0"/>
        </w:rPr>
      </w:pPr>
      <w:r>
        <w:rPr>
          <w:rFonts w:ascii="宋体" w:hAnsi="宋体" w:cs="宋体" w:eastAsia="宋体" w:hint="default"/>
          <w:w w:val="95"/>
        </w:rPr>
        <w:t>4.</w:t>
        <w:tab/>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15" w:type="dxa"/>
        <w:tblLayout w:type="fixed"/>
        <w:tblCellMar>
          <w:top w:w="0" w:type="dxa"/>
          <w:left w:w="0" w:type="dxa"/>
          <w:bottom w:w="0" w:type="dxa"/>
          <w:right w:w="0" w:type="dxa"/>
        </w:tblCellMar>
        <w:tblLook w:val="01E0"/>
      </w:tblPr>
      <w:tblGrid>
        <w:gridCol w:w="1706"/>
        <w:gridCol w:w="1700"/>
        <w:gridCol w:w="1560"/>
        <w:gridCol w:w="1135"/>
        <w:gridCol w:w="2789"/>
      </w:tblGrid>
      <w:tr>
        <w:trPr>
          <w:trHeight w:val="732"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增长比率</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73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6"/>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83"/>
                <w:sz w:val="21"/>
                <w:szCs w:val="21"/>
              </w:rPr>
              <w:t> </w:t>
            </w: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30,497,980.67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104,650,567.90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pacing w:val="-1"/>
                <w:sz w:val="21"/>
              </w:rPr>
              <w:t>-70.86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2"/>
                <w:sz w:val="21"/>
                <w:szCs w:val="21"/>
              </w:rPr>
              <w:t>主要系采购商品和劳务支付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的款项增加所致。</w:t>
            </w:r>
          </w:p>
        </w:tc>
      </w:tr>
      <w:tr>
        <w:trPr>
          <w:trHeight w:val="73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6"/>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83"/>
                <w:sz w:val="21"/>
                <w:szCs w:val="21"/>
              </w:rPr>
              <w:t> </w:t>
            </w: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-147,475,103.55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-27,081,206.57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-444.57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2"/>
                <w:sz w:val="21"/>
                <w:szCs w:val="21"/>
              </w:rPr>
              <w:t>主要系公司用于购买理财产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品所致。</w:t>
            </w:r>
          </w:p>
        </w:tc>
      </w:tr>
      <w:tr>
        <w:trPr>
          <w:trHeight w:val="1450"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14" w:lineRule="auto" w:before="141"/>
              <w:ind w:left="103" w:right="96"/>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83"/>
                <w:sz w:val="21"/>
                <w:szCs w:val="21"/>
              </w:rPr>
              <w:t> </w:t>
            </w: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-8,296,600.66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339,829,009.14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43"/>
              <w:jc w:val="right"/>
              <w:rPr>
                <w:rFonts w:ascii="Times New Roman" w:hAnsi="Times New Roman" w:cs="Times New Roman" w:eastAsia="Times New Roman" w:hint="default"/>
                <w:sz w:val="21"/>
                <w:szCs w:val="21"/>
              </w:rPr>
            </w:pPr>
            <w:r>
              <w:rPr>
                <w:rFonts w:ascii="Times New Roman"/>
                <w:spacing w:val="-1"/>
                <w:sz w:val="21"/>
              </w:rPr>
              <w:t>-102.44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pacing w:val="2"/>
                <w:sz w:val="21"/>
                <w:szCs w:val="21"/>
              </w:rPr>
              <w:t>主要系报告上期首次公开发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行股票的募集资金到位，本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期无银行或其他渠道筹集资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金所致。</w:t>
            </w:r>
          </w:p>
        </w:tc>
      </w:tr>
    </w:tbl>
    <w:p>
      <w:pPr>
        <w:spacing w:line="240" w:lineRule="auto" w:before="9"/>
        <w:rPr>
          <w:rFonts w:ascii="宋体" w:hAnsi="宋体" w:cs="宋体" w:eastAsia="宋体" w:hint="default"/>
          <w:b/>
          <w:bCs/>
          <w:sz w:val="24"/>
          <w:szCs w:val="24"/>
        </w:rPr>
      </w:pPr>
    </w:p>
    <w:p>
      <w:pPr>
        <w:pStyle w:val="Heading2"/>
        <w:spacing w:line="240" w:lineRule="auto" w:before="36"/>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70"/>
        <w:ind w:left="23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974" w:top="1120" w:bottom="1160" w:left="1560" w:right="940"/>
        </w:sectPr>
      </w:pPr>
    </w:p>
    <w:p>
      <w:pPr>
        <w:pStyle w:val="Heading2"/>
        <w:spacing w:line="240" w:lineRule="auto" w:before="36"/>
        <w:ind w:left="238"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2"/>
        <w:spacing w:line="240" w:lineRule="auto" w:before="146"/>
        <w:ind w:left="238"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240" w:lineRule="auto"/>
        <w:ind w:left="238" w:right="0"/>
        <w:jc w:val="left"/>
      </w:pPr>
      <w:r>
        <w:rPr/>
        <w:t>单位：元</w:t>
      </w:r>
    </w:p>
    <w:p>
      <w:pPr>
        <w:spacing w:after="0" w:line="240" w:lineRule="auto"/>
        <w:jc w:val="left"/>
        <w:sectPr>
          <w:type w:val="continuous"/>
          <w:pgSz w:w="11910" w:h="16840"/>
          <w:pgMar w:top="1120" w:bottom="1160" w:left="1560" w:right="940"/>
          <w:cols w:num="3" w:equalWidth="0">
            <w:col w:w="2559" w:space="1118"/>
            <w:col w:w="1717" w:space="2599"/>
            <w:col w:w="1417"/>
          </w:cols>
        </w:sectPr>
      </w:pP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121"/>
        <w:gridCol w:w="1731"/>
        <w:gridCol w:w="782"/>
        <w:gridCol w:w="1743"/>
        <w:gridCol w:w="761"/>
        <w:gridCol w:w="1129"/>
        <w:gridCol w:w="1889"/>
      </w:tblGrid>
      <w:tr>
        <w:trPr>
          <w:trHeight w:val="219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3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43"/>
                <w:sz w:val="21"/>
                <w:szCs w:val="21"/>
              </w:rPr>
              <w:t> </w:t>
            </w:r>
            <w:r>
              <w:rPr>
                <w:rFonts w:ascii="宋体" w:hAnsi="宋体" w:cs="宋体" w:eastAsia="宋体" w:hint="default"/>
                <w:sz w:val="21"/>
                <w:szCs w:val="21"/>
              </w:rPr>
              <w:t>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43"/>
                <w:sz w:val="21"/>
                <w:szCs w:val="21"/>
              </w:rPr>
              <w:t> </w:t>
            </w:r>
            <w:r>
              <w:rPr>
                <w:rFonts w:ascii="宋体" w:hAnsi="宋体" w:cs="宋体" w:eastAsia="宋体" w:hint="default"/>
                <w:sz w:val="21"/>
                <w:szCs w:val="21"/>
              </w:rPr>
              <w:t>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43"/>
                <w:sz w:val="21"/>
                <w:szCs w:val="21"/>
              </w:rPr>
              <w:t> </w:t>
            </w:r>
            <w:r>
              <w:rPr>
                <w:rFonts w:ascii="宋体" w:hAnsi="宋体" w:cs="宋体" w:eastAsia="宋体" w:hint="default"/>
                <w:sz w:val="21"/>
                <w:szCs w:val="21"/>
              </w:rPr>
              <w:t>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pacing w:val="43"/>
                <w:sz w:val="21"/>
                <w:szCs w:val="21"/>
              </w:rPr>
              <w:t> </w:t>
            </w:r>
            <w:r>
              <w:rPr>
                <w:rFonts w:ascii="宋体" w:hAnsi="宋体" w:cs="宋体" w:eastAsia="宋体" w:hint="default"/>
                <w:sz w:val="21"/>
                <w:szCs w:val="21"/>
              </w:rPr>
              <w:t>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43"/>
                <w:sz w:val="21"/>
                <w:szCs w:val="21"/>
              </w:rPr>
              <w:t> </w:t>
            </w:r>
            <w:r>
              <w:rPr>
                <w:rFonts w:ascii="宋体" w:hAnsi="宋体" w:cs="宋体" w:eastAsia="宋体" w:hint="default"/>
                <w:sz w:val="21"/>
                <w:szCs w:val="21"/>
              </w:rPr>
              <w:t>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43"/>
                <w:sz w:val="21"/>
                <w:szCs w:val="21"/>
              </w:rPr>
              <w:t> </w:t>
            </w:r>
            <w:r>
              <w:rPr>
                <w:rFonts w:ascii="宋体" w:hAnsi="宋体" w:cs="宋体" w:eastAsia="宋体" w:hint="default"/>
                <w:sz w:val="21"/>
                <w:szCs w:val="21"/>
              </w:rPr>
              <w:t>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4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21"/>
                <w:sz w:val="21"/>
                <w:szCs w:val="21"/>
              </w:rPr>
              <w:t> </w:t>
            </w:r>
            <w:r>
              <w:rPr>
                <w:rFonts w:ascii="宋体" w:hAnsi="宋体" w:cs="宋体" w:eastAsia="宋体" w:hint="default"/>
                <w:sz w:val="21"/>
                <w:szCs w:val="21"/>
              </w:rPr>
              <w:t>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21"/>
                <w:sz w:val="21"/>
                <w:szCs w:val="21"/>
              </w:rPr>
              <w:t> </w:t>
            </w:r>
            <w:r>
              <w:rPr>
                <w:rFonts w:ascii="宋体" w:hAnsi="宋体" w:cs="宋体" w:eastAsia="宋体" w:hint="default"/>
                <w:sz w:val="21"/>
                <w:szCs w:val="21"/>
              </w:rPr>
              <w:t>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21"/>
                <w:sz w:val="21"/>
                <w:szCs w:val="21"/>
              </w:rPr>
              <w:t> </w:t>
            </w:r>
            <w:r>
              <w:rPr>
                <w:rFonts w:ascii="宋体" w:hAnsi="宋体" w:cs="宋体" w:eastAsia="宋体" w:hint="default"/>
                <w:sz w:val="21"/>
                <w:szCs w:val="21"/>
              </w:rPr>
              <w:t>占</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pacing w:val="21"/>
                <w:sz w:val="21"/>
                <w:szCs w:val="21"/>
              </w:rPr>
              <w:t> </w:t>
            </w:r>
            <w:r>
              <w:rPr>
                <w:rFonts w:ascii="宋体" w:hAnsi="宋体" w:cs="宋体" w:eastAsia="宋体" w:hint="default"/>
                <w:sz w:val="21"/>
                <w:szCs w:val="21"/>
              </w:rPr>
              <w:t>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21"/>
                <w:sz w:val="21"/>
                <w:szCs w:val="21"/>
              </w:rPr>
              <w:t> </w:t>
            </w:r>
            <w:r>
              <w:rPr>
                <w:rFonts w:ascii="宋体" w:hAnsi="宋体" w:cs="宋体" w:eastAsia="宋体" w:hint="default"/>
                <w:sz w:val="21"/>
                <w:szCs w:val="21"/>
              </w:rPr>
              <w:t>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21"/>
                <w:sz w:val="21"/>
                <w:szCs w:val="21"/>
              </w:rPr>
              <w:t> </w:t>
            </w:r>
            <w:r>
              <w:rPr>
                <w:rFonts w:ascii="宋体" w:hAnsi="宋体" w:cs="宋体" w:eastAsia="宋体" w:hint="default"/>
                <w:sz w:val="21"/>
                <w:szCs w:val="21"/>
              </w:rPr>
              <w:t>例</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6"/>
                <w:sz w:val="21"/>
                <w:szCs w:val="21"/>
              </w:rPr>
              <w:t>本期期末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6"/>
                <w:sz w:val="21"/>
                <w:szCs w:val="21"/>
              </w:rPr>
              <w:t>金额较上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6"/>
                <w:sz w:val="21"/>
                <w:szCs w:val="21"/>
              </w:rPr>
              <w:t>期期末变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动 比</w:t>
            </w:r>
            <w:r>
              <w:rPr>
                <w:rFonts w:ascii="宋体" w:hAnsi="宋体" w:cs="宋体" w:eastAsia="宋体" w:hint="default"/>
                <w:spacing w:val="72"/>
                <w:sz w:val="21"/>
                <w:szCs w:val="21"/>
              </w:rPr>
              <w:t> </w:t>
            </w:r>
            <w:r>
              <w:rPr>
                <w:rFonts w:ascii="宋体" w:hAnsi="宋体" w:cs="宋体" w:eastAsia="宋体" w:hint="default"/>
                <w:sz w:val="21"/>
                <w:szCs w:val="21"/>
              </w:rPr>
              <w:t>例</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518"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73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495,745,640.69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40.23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616,032,504.48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56.24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-19.53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pacing w:val="21"/>
                <w:sz w:val="21"/>
                <w:szCs w:val="21"/>
              </w:rPr>
              <w:t>主要系</w:t>
            </w:r>
            <w:r>
              <w:rPr>
                <w:rFonts w:ascii="宋体" w:hAnsi="宋体" w:cs="宋体" w:eastAsia="宋体" w:hint="default"/>
                <w:spacing w:val="-72"/>
                <w:sz w:val="21"/>
                <w:szCs w:val="21"/>
              </w:rPr>
              <w:t> </w:t>
            </w:r>
            <w:r>
              <w:rPr>
                <w:rFonts w:ascii="宋体" w:hAnsi="宋体" w:cs="宋体" w:eastAsia="宋体" w:hint="default"/>
                <w:sz w:val="21"/>
                <w:szCs w:val="21"/>
              </w:rPr>
              <w:t>购</w:t>
            </w:r>
            <w:r>
              <w:rPr>
                <w:rFonts w:ascii="宋体" w:hAnsi="宋体" w:cs="宋体" w:eastAsia="宋体" w:hint="default"/>
                <w:spacing w:val="-70"/>
                <w:sz w:val="21"/>
                <w:szCs w:val="21"/>
              </w:rPr>
              <w:t> </w:t>
            </w:r>
            <w:r>
              <w:rPr>
                <w:rFonts w:ascii="宋体" w:hAnsi="宋体" w:cs="宋体" w:eastAsia="宋体" w:hint="default"/>
                <w:sz w:val="21"/>
                <w:szCs w:val="21"/>
              </w:rPr>
              <w:t>买</w:t>
            </w:r>
            <w:r>
              <w:rPr>
                <w:rFonts w:ascii="宋体" w:hAnsi="宋体" w:cs="宋体" w:eastAsia="宋体" w:hint="default"/>
                <w:spacing w:val="-70"/>
                <w:sz w:val="21"/>
                <w:szCs w:val="21"/>
              </w:rPr>
              <w:t> </w:t>
            </w:r>
            <w:r>
              <w:rPr>
                <w:rFonts w:ascii="宋体" w:hAnsi="宋体" w:cs="宋体" w:eastAsia="宋体" w:hint="default"/>
                <w:sz w:val="21"/>
                <w:szCs w:val="21"/>
              </w:rPr>
              <w:t>理</w:t>
            </w:r>
            <w:r>
              <w:rPr>
                <w:rFonts w:ascii="宋体" w:hAnsi="宋体" w:cs="宋体" w:eastAsia="宋体" w:hint="default"/>
                <w:spacing w:val="-72"/>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产品等所致。</w:t>
            </w:r>
          </w:p>
        </w:tc>
      </w:tr>
      <w:tr>
        <w:trPr>
          <w:trHeight w:val="109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603,646.16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3,519,781.60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0.32</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-82.85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定</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spacing w:val="-71"/>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实</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息所致。</w:t>
            </w:r>
          </w:p>
        </w:tc>
      </w:tr>
      <w:tr>
        <w:trPr>
          <w:trHeight w:val="109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其他应收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28,306,339.13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15,171,224.65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86.58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标</w:t>
            </w:r>
            <w:r>
              <w:rPr>
                <w:rFonts w:ascii="宋体" w:hAnsi="宋体" w:cs="宋体" w:eastAsia="宋体" w:hint="default"/>
                <w:spacing w:val="-71"/>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spacing w:val="-71"/>
                <w:sz w:val="21"/>
                <w:szCs w:val="21"/>
              </w:rPr>
              <w:t> </w:t>
            </w:r>
            <w:r>
              <w:rPr>
                <w:rFonts w:ascii="宋体" w:hAnsi="宋体" w:cs="宋体" w:eastAsia="宋体" w:hint="default"/>
                <w:sz w:val="21"/>
                <w:szCs w:val="21"/>
              </w:rPr>
              <w:t>保</w:t>
            </w:r>
            <w:r>
              <w:rPr>
                <w:rFonts w:ascii="宋体" w:hAnsi="宋体" w:cs="宋体" w:eastAsia="宋体" w:hint="default"/>
                <w:spacing w:val="-71"/>
                <w:sz w:val="21"/>
                <w:szCs w:val="21"/>
              </w:rPr>
              <w:t> </w:t>
            </w:r>
            <w:r>
              <w:rPr>
                <w:rFonts w:ascii="宋体" w:hAnsi="宋体" w:cs="宋体" w:eastAsia="宋体" w:hint="default"/>
                <w:sz w:val="21"/>
                <w:szCs w:val="21"/>
              </w:rPr>
              <w:t>证</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09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196,501,073.48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15.95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168,456,508.38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15.38</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16.65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报</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spacing w:val="-71"/>
                <w:sz w:val="21"/>
                <w:szCs w:val="21"/>
              </w:rPr>
              <w:t> </w:t>
            </w:r>
            <w:r>
              <w:rPr>
                <w:rFonts w:ascii="宋体" w:hAnsi="宋体" w:cs="宋体" w:eastAsia="宋体" w:hint="default"/>
                <w:sz w:val="21"/>
                <w:szCs w:val="21"/>
              </w:rPr>
              <w:t>建</w:t>
            </w:r>
            <w:r>
              <w:rPr>
                <w:rFonts w:ascii="宋体" w:hAnsi="宋体" w:cs="宋体" w:eastAsia="宋体" w:hint="default"/>
                <w:spacing w:val="-71"/>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目</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73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left"/>
              <w:rPr>
                <w:rFonts w:ascii="宋体" w:hAnsi="宋体" w:cs="宋体" w:eastAsia="宋体" w:hint="default"/>
                <w:sz w:val="21"/>
                <w:szCs w:val="21"/>
              </w:rPr>
            </w:pPr>
            <w:r>
              <w:rPr>
                <w:rFonts w:ascii="宋体" w:hAnsi="宋体" w:cs="宋体" w:eastAsia="宋体" w:hint="default"/>
                <w:spacing w:val="14"/>
                <w:sz w:val="21"/>
                <w:szCs w:val="21"/>
              </w:rPr>
              <w:t>其他流动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资产</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20,618,176.72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667,283.58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2,989.87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理财产品所致。</w:t>
            </w:r>
          </w:p>
        </w:tc>
      </w:tr>
    </w:tbl>
    <w:p>
      <w:pPr>
        <w:spacing w:after="0" w:line="314" w:lineRule="auto"/>
        <w:jc w:val="left"/>
        <w:rPr>
          <w:rFonts w:ascii="宋体" w:hAnsi="宋体" w:cs="宋体" w:eastAsia="宋体" w:hint="default"/>
          <w:sz w:val="21"/>
          <w:szCs w:val="21"/>
        </w:rPr>
        <w:sectPr>
          <w:type w:val="continuous"/>
          <w:pgSz w:w="11910" w:h="16840"/>
          <w:pgMar w:top="1120" w:bottom="1160" w:left="156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21"/>
        <w:gridCol w:w="1731"/>
        <w:gridCol w:w="782"/>
        <w:gridCol w:w="1743"/>
        <w:gridCol w:w="761"/>
        <w:gridCol w:w="1129"/>
        <w:gridCol w:w="1889"/>
      </w:tblGrid>
      <w:tr>
        <w:trPr>
          <w:trHeight w:val="109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85,170,645.72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6.91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80,885,184.27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7.38</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备</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81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2,948,562.82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0.24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247,166.82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0.02</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1,092.94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报</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pacing w:val="10"/>
                <w:sz w:val="21"/>
                <w:szCs w:val="21"/>
              </w:rPr>
              <w:t>南威大厦</w:t>
            </w:r>
            <w:r>
              <w:rPr>
                <w:rFonts w:ascii="宋体" w:hAnsi="宋体" w:cs="宋体" w:eastAsia="宋体" w:hint="default"/>
                <w:spacing w:val="30"/>
                <w:sz w:val="21"/>
                <w:szCs w:val="21"/>
              </w:rPr>
              <w:t> </w:t>
            </w:r>
            <w:r>
              <w:rPr>
                <w:rFonts w:ascii="宋体" w:hAnsi="宋体" w:cs="宋体" w:eastAsia="宋体" w:hint="default"/>
                <w:spacing w:val="6"/>
                <w:sz w:val="21"/>
                <w:szCs w:val="21"/>
              </w:rPr>
              <w:t>2#</w:t>
            </w:r>
            <w:r>
              <w:rPr>
                <w:rFonts w:ascii="宋体" w:hAnsi="宋体" w:cs="宋体" w:eastAsia="宋体" w:hint="default"/>
                <w:spacing w:val="6"/>
                <w:sz w:val="21"/>
                <w:szCs w:val="21"/>
              </w:rPr>
              <w:t>新增</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pacing w:val="-71"/>
                <w:sz w:val="21"/>
                <w:szCs w:val="21"/>
              </w:rPr>
              <w:t> </w:t>
            </w:r>
            <w:r>
              <w:rPr>
                <w:rFonts w:ascii="宋体" w:hAnsi="宋体" w:cs="宋体" w:eastAsia="宋体" w:hint="default"/>
                <w:sz w:val="21"/>
                <w:szCs w:val="21"/>
              </w:rPr>
              <w:t>分</w:t>
            </w:r>
            <w:r>
              <w:rPr>
                <w:rFonts w:ascii="宋体" w:hAnsi="宋体" w:cs="宋体" w:eastAsia="宋体" w:hint="default"/>
                <w:spacing w:val="-71"/>
                <w:sz w:val="21"/>
                <w:szCs w:val="21"/>
              </w:rPr>
              <w:t> </w:t>
            </w:r>
            <w:r>
              <w:rPr>
                <w:rFonts w:ascii="宋体" w:hAnsi="宋体" w:cs="宋体" w:eastAsia="宋体" w:hint="default"/>
                <w:sz w:val="21"/>
                <w:szCs w:val="21"/>
              </w:rPr>
              <w:t>智</w:t>
            </w:r>
            <w:r>
              <w:rPr>
                <w:rFonts w:ascii="宋体" w:hAnsi="宋体" w:cs="宋体" w:eastAsia="宋体" w:hint="default"/>
                <w:spacing w:val="-73"/>
                <w:sz w:val="21"/>
                <w:szCs w:val="21"/>
              </w:rPr>
              <w:t> </w:t>
            </w:r>
            <w:r>
              <w:rPr>
                <w:rFonts w:ascii="宋体" w:hAnsi="宋体" w:cs="宋体" w:eastAsia="宋体" w:hint="default"/>
                <w:sz w:val="21"/>
                <w:szCs w:val="21"/>
              </w:rPr>
              <w:t>能</w:t>
            </w:r>
            <w:r>
              <w:rPr>
                <w:rFonts w:ascii="宋体" w:hAnsi="宋体" w:cs="宋体" w:eastAsia="宋体" w:hint="default"/>
                <w:spacing w:val="-71"/>
                <w:sz w:val="21"/>
                <w:szCs w:val="21"/>
              </w:rPr>
              <w:t> </w:t>
            </w:r>
            <w:r>
              <w:rPr>
                <w:rFonts w:ascii="宋体" w:hAnsi="宋体" w:cs="宋体" w:eastAsia="宋体" w:hint="default"/>
                <w:sz w:val="21"/>
                <w:szCs w:val="21"/>
              </w:rPr>
              <w:t>化</w:t>
            </w:r>
            <w:r>
              <w:rPr>
                <w:rFonts w:ascii="宋体" w:hAnsi="宋体" w:cs="宋体" w:eastAsia="宋体" w:hint="default"/>
                <w:spacing w:val="-71"/>
                <w:sz w:val="21"/>
                <w:szCs w:val="21"/>
              </w:rPr>
              <w:t> </w:t>
            </w:r>
            <w:r>
              <w:rPr>
                <w:rFonts w:ascii="宋体" w:hAnsi="宋体" w:cs="宋体" w:eastAsia="宋体" w:hint="default"/>
                <w:sz w:val="21"/>
                <w:szCs w:val="21"/>
              </w:rPr>
              <w:t>工</w:t>
            </w:r>
            <w:r>
              <w:rPr>
                <w:rFonts w:ascii="宋体" w:hAnsi="宋体" w:cs="宋体" w:eastAsia="宋体" w:hint="default"/>
                <w:spacing w:val="-73"/>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且</w:t>
            </w:r>
            <w:r>
              <w:rPr>
                <w:rFonts w:ascii="宋体" w:hAnsi="宋体" w:cs="宋体" w:eastAsia="宋体" w:hint="default"/>
                <w:spacing w:val="-71"/>
                <w:sz w:val="21"/>
                <w:szCs w:val="21"/>
              </w:rPr>
              <w:t> </w:t>
            </w:r>
            <w:r>
              <w:rPr>
                <w:rFonts w:ascii="宋体" w:hAnsi="宋体" w:cs="宋体" w:eastAsia="宋体" w:hint="default"/>
                <w:sz w:val="21"/>
                <w:szCs w:val="21"/>
              </w:rPr>
              <w:t>未</w:t>
            </w:r>
            <w:r>
              <w:rPr>
                <w:rFonts w:ascii="宋体" w:hAnsi="宋体" w:cs="宋体" w:eastAsia="宋体" w:hint="default"/>
                <w:spacing w:val="-71"/>
                <w:sz w:val="21"/>
                <w:szCs w:val="21"/>
              </w:rPr>
              <w:t> </w:t>
            </w:r>
            <w:r>
              <w:rPr>
                <w:rFonts w:ascii="宋体" w:hAnsi="宋体" w:cs="宋体" w:eastAsia="宋体" w:hint="default"/>
                <w:sz w:val="21"/>
                <w:szCs w:val="21"/>
              </w:rPr>
              <w:t>验</w:t>
            </w:r>
            <w:r>
              <w:rPr>
                <w:rFonts w:ascii="宋体" w:hAnsi="宋体" w:cs="宋体" w:eastAsia="宋体" w:hint="default"/>
                <w:spacing w:val="-73"/>
                <w:sz w:val="21"/>
                <w:szCs w:val="21"/>
              </w:rPr>
              <w:t> </w:t>
            </w:r>
            <w:r>
              <w:rPr>
                <w:rFonts w:ascii="宋体" w:hAnsi="宋体" w:cs="宋体" w:eastAsia="宋体" w:hint="default"/>
                <w:sz w:val="21"/>
                <w:szCs w:val="21"/>
              </w:rPr>
              <w:t>收</w:t>
            </w:r>
            <w:r>
              <w:rPr>
                <w:rFonts w:ascii="宋体" w:hAnsi="宋体" w:cs="宋体" w:eastAsia="宋体" w:hint="default"/>
                <w:spacing w:val="-70"/>
                <w:sz w:val="21"/>
                <w:szCs w:val="21"/>
              </w:rPr>
              <w:t> </w:t>
            </w:r>
            <w:r>
              <w:rPr>
                <w:rFonts w:ascii="宋体" w:hAnsi="宋体" w:cs="宋体" w:eastAsia="宋体" w:hint="default"/>
                <w:spacing w:val="16"/>
                <w:sz w:val="21"/>
                <w:szCs w:val="21"/>
              </w:rPr>
              <w:t>结转</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09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26,186,257.26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2.13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13,865,334.70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88.86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pacing w:val="21"/>
                <w:sz w:val="21"/>
                <w:szCs w:val="21"/>
              </w:rPr>
              <w:t>主要系</w:t>
            </w:r>
            <w:r>
              <w:rPr>
                <w:rFonts w:ascii="宋体" w:hAnsi="宋体" w:cs="宋体" w:eastAsia="宋体" w:hint="default"/>
                <w:spacing w:val="-69"/>
                <w:sz w:val="21"/>
                <w:szCs w:val="21"/>
              </w:rPr>
              <w:t> </w:t>
            </w:r>
            <w:r>
              <w:rPr>
                <w:rFonts w:ascii="宋体" w:hAnsi="宋体" w:cs="宋体" w:eastAsia="宋体" w:hint="default"/>
                <w:spacing w:val="21"/>
                <w:sz w:val="21"/>
                <w:szCs w:val="21"/>
              </w:rPr>
              <w:t>报告期</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w:t>
            </w:r>
            <w:r>
              <w:rPr>
                <w:rFonts w:ascii="宋体" w:hAnsi="宋体" w:cs="宋体" w:eastAsia="宋体" w:hint="default"/>
                <w:spacing w:val="-71"/>
                <w:sz w:val="21"/>
                <w:szCs w:val="21"/>
              </w:rPr>
              <w:t> </w:t>
            </w:r>
            <w:r>
              <w:rPr>
                <w:rFonts w:ascii="宋体" w:hAnsi="宋体" w:cs="宋体" w:eastAsia="宋体" w:hint="default"/>
                <w:sz w:val="21"/>
                <w:szCs w:val="21"/>
              </w:rPr>
              <w:t>大</w:t>
            </w:r>
            <w:r>
              <w:rPr>
                <w:rFonts w:ascii="宋体" w:hAnsi="宋体" w:cs="宋体" w:eastAsia="宋体" w:hint="default"/>
                <w:spacing w:val="-71"/>
                <w:sz w:val="21"/>
                <w:szCs w:val="21"/>
              </w:rPr>
              <w:t> </w:t>
            </w:r>
            <w:r>
              <w:rPr>
                <w:rFonts w:ascii="宋体" w:hAnsi="宋体" w:cs="宋体" w:eastAsia="宋体" w:hint="default"/>
                <w:sz w:val="21"/>
                <w:szCs w:val="21"/>
              </w:rPr>
              <w:t>研</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入</w:t>
            </w:r>
            <w:r>
              <w:rPr>
                <w:rFonts w:ascii="宋体" w:hAnsi="宋体" w:cs="宋体" w:eastAsia="宋体" w:hint="default"/>
                <w:spacing w:val="-72"/>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09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长期待摊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费用</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564,730.84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0.05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737,401.45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-23.42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长</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待</w:t>
            </w:r>
            <w:r>
              <w:rPr>
                <w:rFonts w:ascii="宋体" w:hAnsi="宋体" w:cs="宋体" w:eastAsia="宋体" w:hint="default"/>
                <w:spacing w:val="-73"/>
                <w:sz w:val="21"/>
                <w:szCs w:val="21"/>
              </w:rPr>
              <w:t> </w:t>
            </w:r>
            <w:r>
              <w:rPr>
                <w:rFonts w:ascii="宋体" w:hAnsi="宋体" w:cs="宋体" w:eastAsia="宋体" w:hint="default"/>
                <w:sz w:val="21"/>
                <w:szCs w:val="21"/>
              </w:rPr>
              <w:t>摊</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spacing w:val="-71"/>
                <w:sz w:val="21"/>
                <w:szCs w:val="21"/>
              </w:rPr>
              <w:t> </w:t>
            </w:r>
            <w:r>
              <w:rPr>
                <w:rFonts w:ascii="宋体" w:hAnsi="宋体" w:cs="宋体" w:eastAsia="宋体" w:hint="default"/>
                <w:sz w:val="21"/>
                <w:szCs w:val="21"/>
              </w:rPr>
              <w:t>用</w:t>
            </w:r>
            <w:r>
              <w:rPr>
                <w:rFonts w:ascii="宋体" w:hAnsi="宋体" w:cs="宋体" w:eastAsia="宋体" w:hint="default"/>
                <w:spacing w:val="-71"/>
                <w:sz w:val="21"/>
                <w:szCs w:val="21"/>
              </w:rPr>
              <w:t> </w:t>
            </w:r>
            <w:r>
              <w:rPr>
                <w:rFonts w:ascii="宋体" w:hAnsi="宋体" w:cs="宋体" w:eastAsia="宋体" w:hint="default"/>
                <w:sz w:val="21"/>
                <w:szCs w:val="21"/>
              </w:rPr>
              <w:t>正</w:t>
            </w:r>
            <w:r>
              <w:rPr>
                <w:rFonts w:ascii="宋体" w:hAnsi="宋体" w:cs="宋体" w:eastAsia="宋体" w:hint="default"/>
                <w:spacing w:val="-73"/>
                <w:sz w:val="21"/>
                <w:szCs w:val="21"/>
              </w:rPr>
              <w:t> </w:t>
            </w:r>
            <w:r>
              <w:rPr>
                <w:rFonts w:ascii="宋体" w:hAnsi="宋体" w:cs="宋体" w:eastAsia="宋体" w:hint="default"/>
                <w:sz w:val="21"/>
                <w:szCs w:val="21"/>
              </w:rPr>
              <w:t>常</w:t>
            </w:r>
            <w:r>
              <w:rPr>
                <w:rFonts w:ascii="宋体" w:hAnsi="宋体" w:cs="宋体" w:eastAsia="宋体" w:hint="default"/>
                <w:spacing w:val="-71"/>
                <w:sz w:val="21"/>
                <w:szCs w:val="21"/>
              </w:rPr>
              <w:t> </w:t>
            </w:r>
            <w:r>
              <w:rPr>
                <w:rFonts w:ascii="宋体" w:hAnsi="宋体" w:cs="宋体" w:eastAsia="宋体" w:hint="default"/>
                <w:sz w:val="21"/>
                <w:szCs w:val="21"/>
              </w:rPr>
              <w:t>摊</w:t>
            </w:r>
            <w:r>
              <w:rPr>
                <w:rFonts w:ascii="宋体" w:hAnsi="宋体" w:cs="宋体" w:eastAsia="宋体" w:hint="default"/>
                <w:spacing w:val="-71"/>
                <w:sz w:val="21"/>
                <w:szCs w:val="21"/>
              </w:rPr>
              <w:t> </w:t>
            </w:r>
            <w:r>
              <w:rPr>
                <w:rFonts w:ascii="宋体" w:hAnsi="宋体" w:cs="宋体" w:eastAsia="宋体" w:hint="default"/>
                <w:sz w:val="21"/>
                <w:szCs w:val="21"/>
              </w:rPr>
              <w:t>销</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09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47,802,071.25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3.88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65,772,804.94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-27.32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报</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2"/>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1"/>
                <w:sz w:val="21"/>
                <w:szCs w:val="21"/>
              </w:rPr>
              <w:t> </w:t>
            </w:r>
            <w:r>
              <w:rPr>
                <w:rFonts w:ascii="宋体" w:hAnsi="宋体" w:cs="宋体" w:eastAsia="宋体" w:hint="default"/>
                <w:sz w:val="21"/>
                <w:szCs w:val="21"/>
              </w:rPr>
              <w:t>到</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r>
              <w:rPr>
                <w:rFonts w:ascii="宋体" w:hAnsi="宋体" w:cs="宋体" w:eastAsia="宋体" w:hint="default"/>
                <w:spacing w:val="-73"/>
                <w:sz w:val="21"/>
                <w:szCs w:val="21"/>
              </w:rPr>
              <w:t> </w:t>
            </w:r>
            <w:r>
              <w:rPr>
                <w:rFonts w:ascii="宋体" w:hAnsi="宋体" w:cs="宋体" w:eastAsia="宋体" w:hint="default"/>
                <w:sz w:val="21"/>
                <w:szCs w:val="21"/>
              </w:rPr>
              <w:t>汇</w:t>
            </w:r>
            <w:r>
              <w:rPr>
                <w:rFonts w:ascii="宋体" w:hAnsi="宋体" w:cs="宋体" w:eastAsia="宋体" w:hint="default"/>
                <w:w w:val="100"/>
                <w:sz w:val="21"/>
                <w:szCs w:val="21"/>
              </w:rPr>
              <w:t> </w:t>
            </w:r>
            <w:r>
              <w:rPr>
                <w:rFonts w:ascii="宋体" w:hAnsi="宋体" w:cs="宋体" w:eastAsia="宋体" w:hint="default"/>
                <w:sz w:val="21"/>
                <w:szCs w:val="21"/>
              </w:rPr>
              <w:t>票所致。</w:t>
            </w:r>
          </w:p>
        </w:tc>
      </w:tr>
      <w:tr>
        <w:trPr>
          <w:trHeight w:val="73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4"/>
                <w:sz w:val="21"/>
                <w:szCs w:val="21"/>
              </w:rPr>
              <w:t>应付职工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薪酬</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16,331,108.70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1.33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12,805,005.25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27.54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6"/>
                <w:sz w:val="21"/>
                <w:szCs w:val="21"/>
              </w:rPr>
              <w:t>主要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人</w:t>
            </w:r>
            <w:r>
              <w:rPr>
                <w:rFonts w:ascii="宋体" w:hAnsi="宋体" w:cs="宋体" w:eastAsia="宋体" w:hint="default"/>
                <w:spacing w:val="-71"/>
                <w:sz w:val="21"/>
                <w:szCs w:val="21"/>
              </w:rPr>
              <w:t> </w:t>
            </w:r>
            <w:r>
              <w:rPr>
                <w:rFonts w:ascii="宋体" w:hAnsi="宋体" w:cs="宋体" w:eastAsia="宋体" w:hint="default"/>
                <w:sz w:val="21"/>
                <w:szCs w:val="21"/>
              </w:rPr>
              <w:t>力</w:t>
            </w:r>
            <w:r>
              <w:rPr>
                <w:rFonts w:ascii="宋体" w:hAnsi="宋体" w:cs="宋体" w:eastAsia="宋体" w:hint="default"/>
                <w:spacing w:val="-71"/>
                <w:sz w:val="21"/>
                <w:szCs w:val="21"/>
              </w:rPr>
              <w:t> </w:t>
            </w:r>
            <w:r>
              <w:rPr>
                <w:rFonts w:ascii="宋体" w:hAnsi="宋体" w:cs="宋体" w:eastAsia="宋体" w:hint="default"/>
                <w:sz w:val="21"/>
                <w:szCs w:val="21"/>
              </w:rPr>
              <w:t>成</w:t>
            </w:r>
            <w:r>
              <w:rPr>
                <w:rFonts w:ascii="宋体" w:hAnsi="宋体" w:cs="宋体" w:eastAsia="宋体" w:hint="default"/>
                <w:spacing w:val="-73"/>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增加所致。</w:t>
            </w:r>
          </w:p>
        </w:tc>
      </w:tr>
      <w:tr>
        <w:trPr>
          <w:trHeight w:val="73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pacing w:val="14"/>
                <w:sz w:val="21"/>
                <w:szCs w:val="21"/>
              </w:rPr>
              <w:t>其他应付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款</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25,526,565.49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2.07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13,062,732.84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95.42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pacing w:val="21"/>
                <w:sz w:val="21"/>
                <w:szCs w:val="21"/>
              </w:rPr>
              <w:t>主要系</w:t>
            </w:r>
            <w:r>
              <w:rPr>
                <w:rFonts w:ascii="宋体" w:hAnsi="宋体" w:cs="宋体" w:eastAsia="宋体" w:hint="default"/>
                <w:spacing w:val="-72"/>
                <w:sz w:val="21"/>
                <w:szCs w:val="21"/>
              </w:rPr>
              <w:t> </w:t>
            </w:r>
            <w:r>
              <w:rPr>
                <w:rFonts w:ascii="宋体" w:hAnsi="宋体" w:cs="宋体" w:eastAsia="宋体" w:hint="default"/>
                <w:sz w:val="21"/>
                <w:szCs w:val="21"/>
              </w:rPr>
              <w:t>收</w:t>
            </w:r>
            <w:r>
              <w:rPr>
                <w:rFonts w:ascii="宋体" w:hAnsi="宋体" w:cs="宋体" w:eastAsia="宋体" w:hint="default"/>
                <w:spacing w:val="-70"/>
                <w:sz w:val="21"/>
                <w:szCs w:val="21"/>
              </w:rPr>
              <w:t> </w:t>
            </w:r>
            <w:r>
              <w:rPr>
                <w:rFonts w:ascii="宋体" w:hAnsi="宋体" w:cs="宋体" w:eastAsia="宋体" w:hint="default"/>
                <w:sz w:val="21"/>
                <w:szCs w:val="21"/>
              </w:rPr>
              <w:t>到</w:t>
            </w:r>
            <w:r>
              <w:rPr>
                <w:rFonts w:ascii="宋体" w:hAnsi="宋体" w:cs="宋体" w:eastAsia="宋体" w:hint="default"/>
                <w:spacing w:val="-70"/>
                <w:sz w:val="21"/>
                <w:szCs w:val="21"/>
              </w:rPr>
              <w:t> </w:t>
            </w:r>
            <w:r>
              <w:rPr>
                <w:rFonts w:ascii="宋体" w:hAnsi="宋体" w:cs="宋体" w:eastAsia="宋体" w:hint="default"/>
                <w:sz w:val="21"/>
                <w:szCs w:val="21"/>
              </w:rPr>
              <w:t>保</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金所致。</w:t>
            </w:r>
          </w:p>
        </w:tc>
      </w:tr>
      <w:tr>
        <w:trPr>
          <w:trHeight w:val="109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99"/>
              <w:jc w:val="left"/>
              <w:rPr>
                <w:rFonts w:ascii="宋体" w:hAnsi="宋体" w:cs="宋体" w:eastAsia="宋体" w:hint="default"/>
                <w:sz w:val="21"/>
                <w:szCs w:val="21"/>
              </w:rPr>
            </w:pPr>
            <w:r>
              <w:rPr>
                <w:rFonts w:ascii="宋体" w:hAnsi="宋体" w:cs="宋体" w:eastAsia="宋体" w:hint="default"/>
                <w:spacing w:val="14"/>
                <w:sz w:val="21"/>
                <w:szCs w:val="21"/>
              </w:rPr>
              <w:t>未分配利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303,425,252.74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24.62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265,548,006.81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24.24</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14.26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报</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盈</w:t>
            </w:r>
            <w:r>
              <w:rPr>
                <w:rFonts w:ascii="宋体" w:hAnsi="宋体" w:cs="宋体" w:eastAsia="宋体" w:hint="default"/>
                <w:spacing w:val="-71"/>
                <w:sz w:val="21"/>
                <w:szCs w:val="21"/>
              </w:rPr>
              <w:t> </w:t>
            </w:r>
            <w:r>
              <w:rPr>
                <w:rFonts w:ascii="宋体" w:hAnsi="宋体" w:cs="宋体" w:eastAsia="宋体" w:hint="default"/>
                <w:sz w:val="21"/>
                <w:szCs w:val="21"/>
              </w:rPr>
              <w:t>利</w:t>
            </w:r>
            <w:r>
              <w:rPr>
                <w:rFonts w:ascii="宋体" w:hAnsi="宋体" w:cs="宋体" w:eastAsia="宋体" w:hint="default"/>
                <w:spacing w:val="-71"/>
                <w:sz w:val="21"/>
                <w:szCs w:val="21"/>
              </w:rPr>
              <w:t> </w:t>
            </w:r>
            <w:r>
              <w:rPr>
                <w:rFonts w:ascii="宋体" w:hAnsi="宋体" w:cs="宋体" w:eastAsia="宋体" w:hint="default"/>
                <w:sz w:val="21"/>
                <w:szCs w:val="21"/>
              </w:rPr>
              <w:t>结</w:t>
            </w:r>
            <w:r>
              <w:rPr>
                <w:rFonts w:ascii="宋体" w:hAnsi="宋体" w:cs="宋体" w:eastAsia="宋体" w:hint="default"/>
                <w:spacing w:val="-73"/>
                <w:sz w:val="21"/>
                <w:szCs w:val="21"/>
              </w:rPr>
              <w:t> </w:t>
            </w:r>
            <w:r>
              <w:rPr>
                <w:rFonts w:ascii="宋体" w:hAnsi="宋体" w:cs="宋体" w:eastAsia="宋体" w:hint="default"/>
                <w:sz w:val="21"/>
                <w:szCs w:val="21"/>
              </w:rPr>
              <w:t>转</w:t>
            </w:r>
            <w:r>
              <w:rPr>
                <w:rFonts w:ascii="宋体" w:hAnsi="宋体" w:cs="宋体" w:eastAsia="宋体" w:hint="default"/>
                <w:spacing w:val="-71"/>
                <w:sz w:val="21"/>
                <w:szCs w:val="21"/>
              </w:rPr>
              <w:t> </w:t>
            </w:r>
            <w:r>
              <w:rPr>
                <w:rFonts w:ascii="宋体" w:hAnsi="宋体" w:cs="宋体" w:eastAsia="宋体" w:hint="default"/>
                <w:sz w:val="21"/>
                <w:szCs w:val="21"/>
              </w:rPr>
              <w:t>当</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润所致。</w:t>
            </w:r>
          </w:p>
        </w:tc>
      </w:tr>
      <w:tr>
        <w:trPr>
          <w:trHeight w:val="145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1"/>
              <w:ind w:left="103" w:right="99"/>
              <w:jc w:val="left"/>
              <w:rPr>
                <w:rFonts w:ascii="宋体" w:hAnsi="宋体" w:cs="宋体" w:eastAsia="宋体" w:hint="default"/>
                <w:sz w:val="21"/>
                <w:szCs w:val="21"/>
              </w:rPr>
            </w:pPr>
            <w:r>
              <w:rPr>
                <w:rFonts w:ascii="宋体" w:hAnsi="宋体" w:cs="宋体" w:eastAsia="宋体" w:hint="default"/>
                <w:spacing w:val="14"/>
                <w:sz w:val="21"/>
                <w:szCs w:val="21"/>
              </w:rPr>
              <w:t>少数股东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权益</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23,214,086.79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1.88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10,376,799.98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0.95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123.71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全</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少</w:t>
            </w:r>
            <w:r>
              <w:rPr>
                <w:rFonts w:ascii="宋体" w:hAnsi="宋体" w:cs="宋体" w:eastAsia="宋体" w:hint="default"/>
                <w:spacing w:val="-73"/>
                <w:sz w:val="21"/>
                <w:szCs w:val="21"/>
              </w:rPr>
              <w:t> </w:t>
            </w: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东</w:t>
            </w:r>
            <w:r>
              <w:rPr>
                <w:rFonts w:ascii="宋体" w:hAnsi="宋体" w:cs="宋体" w:eastAsia="宋体" w:hint="default"/>
                <w:spacing w:val="-72"/>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pacing w:val="-71"/>
                <w:sz w:val="21"/>
                <w:szCs w:val="21"/>
              </w:rPr>
              <w:t> </w:t>
            </w:r>
            <w:r>
              <w:rPr>
                <w:rFonts w:ascii="宋体" w:hAnsi="宋体" w:cs="宋体" w:eastAsia="宋体" w:hint="default"/>
                <w:sz w:val="21"/>
                <w:szCs w:val="21"/>
              </w:rPr>
              <w:t>注</w:t>
            </w:r>
            <w:r>
              <w:rPr>
                <w:rFonts w:ascii="宋体" w:hAnsi="宋体" w:cs="宋体" w:eastAsia="宋体" w:hint="default"/>
                <w:spacing w:val="-71"/>
                <w:sz w:val="21"/>
                <w:szCs w:val="21"/>
              </w:rPr>
              <w:t> </w:t>
            </w:r>
            <w:r>
              <w:rPr>
                <w:rFonts w:ascii="宋体" w:hAnsi="宋体" w:cs="宋体" w:eastAsia="宋体" w:hint="default"/>
                <w:sz w:val="21"/>
                <w:szCs w:val="21"/>
              </w:rPr>
              <w:t>册</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0"/>
                <w:sz w:val="21"/>
                <w:szCs w:val="21"/>
              </w:rPr>
              <w:t> </w:t>
            </w: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45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2,650,000.00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01" w:right="0"/>
              <w:jc w:val="center"/>
              <w:rPr>
                <w:rFonts w:ascii="Times New Roman" w:hAnsi="Times New Roman" w:cs="Times New Roman" w:eastAsia="Times New Roman" w:hint="default"/>
                <w:sz w:val="21"/>
                <w:szCs w:val="21"/>
              </w:rPr>
            </w:pPr>
            <w:r>
              <w:rPr>
                <w:rFonts w:ascii="Times New Roman"/>
                <w:sz w:val="21"/>
              </w:rPr>
              <w:t>0.22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3,341,666.67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3"/>
                <w:sz w:val="21"/>
                <w:szCs w:val="21"/>
              </w:rPr>
              <w:t> </w:t>
            </w:r>
            <w:r>
              <w:rPr>
                <w:rFonts w:ascii="宋体" w:hAnsi="宋体" w:cs="宋体" w:eastAsia="宋体" w:hint="default"/>
                <w:sz w:val="21"/>
                <w:szCs w:val="21"/>
              </w:rPr>
              <w:t>报</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spacing w:val="-71"/>
                <w:sz w:val="21"/>
                <w:szCs w:val="21"/>
              </w:rPr>
              <w:t> </w:t>
            </w:r>
            <w:r>
              <w:rPr>
                <w:rFonts w:ascii="宋体" w:hAnsi="宋体" w:cs="宋体" w:eastAsia="宋体" w:hint="default"/>
                <w:sz w:val="21"/>
                <w:szCs w:val="21"/>
              </w:rPr>
              <w:t>认</w:t>
            </w:r>
            <w:r>
              <w:rPr>
                <w:rFonts w:ascii="宋体" w:hAnsi="宋体" w:cs="宋体" w:eastAsia="宋体" w:hint="default"/>
                <w:spacing w:val="-71"/>
                <w:sz w:val="21"/>
                <w:szCs w:val="21"/>
              </w:rPr>
              <w:t> </w:t>
            </w: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未</w:t>
            </w:r>
            <w:r>
              <w:rPr>
                <w:rFonts w:ascii="宋体" w:hAnsi="宋体" w:cs="宋体" w:eastAsia="宋体" w:hint="default"/>
                <w:spacing w:val="-71"/>
                <w:sz w:val="21"/>
                <w:szCs w:val="21"/>
              </w:rPr>
              <w:t> </w:t>
            </w:r>
            <w:r>
              <w:rPr>
                <w:rFonts w:ascii="宋体" w:hAnsi="宋体" w:cs="宋体" w:eastAsia="宋体" w:hint="default"/>
                <w:sz w:val="21"/>
                <w:szCs w:val="21"/>
              </w:rPr>
              <w:t>确</w:t>
            </w:r>
            <w:r>
              <w:rPr>
                <w:rFonts w:ascii="宋体" w:hAnsi="宋体" w:cs="宋体" w:eastAsia="宋体" w:hint="default"/>
                <w:spacing w:val="-73"/>
                <w:sz w:val="21"/>
                <w:szCs w:val="21"/>
              </w:rPr>
              <w:t> </w:t>
            </w:r>
            <w:r>
              <w:rPr>
                <w:rFonts w:ascii="宋体" w:hAnsi="宋体" w:cs="宋体" w:eastAsia="宋体" w:hint="default"/>
                <w:sz w:val="21"/>
                <w:szCs w:val="21"/>
              </w:rPr>
              <w:t>认</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入</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递</w:t>
            </w:r>
            <w:r>
              <w:rPr>
                <w:rFonts w:ascii="宋体" w:hAnsi="宋体" w:cs="宋体" w:eastAsia="宋体" w:hint="default"/>
                <w:spacing w:val="-71"/>
                <w:sz w:val="21"/>
                <w:szCs w:val="21"/>
              </w:rPr>
              <w:t> </w:t>
            </w:r>
            <w:r>
              <w:rPr>
                <w:rFonts w:ascii="宋体" w:hAnsi="宋体" w:cs="宋体" w:eastAsia="宋体" w:hint="default"/>
                <w:sz w:val="21"/>
                <w:szCs w:val="21"/>
              </w:rPr>
              <w:t>延</w:t>
            </w:r>
            <w:r>
              <w:rPr>
                <w:rFonts w:ascii="宋体" w:hAnsi="宋体" w:cs="宋体" w:eastAsia="宋体" w:hint="default"/>
                <w:spacing w:val="-71"/>
                <w:sz w:val="21"/>
                <w:szCs w:val="21"/>
              </w:rPr>
              <w:t> </w:t>
            </w:r>
            <w:r>
              <w:rPr>
                <w:rFonts w:ascii="宋体" w:hAnsi="宋体" w:cs="宋体" w:eastAsia="宋体" w:hint="default"/>
                <w:sz w:val="21"/>
                <w:szCs w:val="21"/>
              </w:rPr>
              <w:t>收</w:t>
            </w:r>
            <w:r>
              <w:rPr>
                <w:rFonts w:ascii="宋体" w:hAnsi="宋体" w:cs="宋体" w:eastAsia="宋体" w:hint="default"/>
                <w:spacing w:val="-73"/>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所致。</w:t>
            </w:r>
          </w:p>
        </w:tc>
      </w:tr>
    </w:tbl>
    <w:p>
      <w:pPr>
        <w:spacing w:line="240" w:lineRule="auto" w:before="4"/>
        <w:rPr>
          <w:rFonts w:ascii="宋体" w:hAnsi="宋体" w:cs="宋体" w:eastAsia="宋体" w:hint="default"/>
          <w:sz w:val="24"/>
          <w:szCs w:val="24"/>
        </w:rPr>
      </w:pPr>
    </w:p>
    <w:p>
      <w:pPr>
        <w:pStyle w:val="BodyText"/>
        <w:spacing w:line="266" w:lineRule="auto" w:before="36"/>
        <w:ind w:left="218" w:right="8308"/>
        <w:jc w:val="left"/>
      </w:pPr>
      <w:r>
        <w:rPr/>
        <w:t>其他说明</w:t>
      </w:r>
      <w:r>
        <w:rPr>
          <w:w w:val="100"/>
        </w:rPr>
        <w:t> </w:t>
      </w:r>
      <w:r>
        <w:rPr/>
        <w:t>无。</w:t>
      </w:r>
    </w:p>
    <w:p>
      <w:pPr>
        <w:spacing w:line="240" w:lineRule="auto" w:before="7"/>
        <w:rPr>
          <w:rFonts w:ascii="宋体" w:hAnsi="宋体" w:cs="宋体" w:eastAsia="宋体" w:hint="default"/>
          <w:sz w:val="29"/>
          <w:szCs w:val="29"/>
        </w:rPr>
      </w:pPr>
    </w:p>
    <w:p>
      <w:pPr>
        <w:spacing w:line="340" w:lineRule="auto" w:before="0"/>
        <w:ind w:left="638" w:right="125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行业经营性信息分析</w:t>
      </w:r>
      <w:r>
        <w:rPr>
          <w:rFonts w:ascii="宋体" w:hAnsi="宋体" w:cs="宋体" w:eastAsia="宋体" w:hint="default"/>
          <w:b/>
          <w:bCs/>
          <w:spacing w:val="-101"/>
          <w:sz w:val="21"/>
          <w:szCs w:val="21"/>
        </w:rPr>
        <w:t> </w:t>
      </w:r>
      <w:r>
        <w:rPr>
          <w:rFonts w:ascii="宋体" w:hAnsi="宋体" w:cs="宋体" w:eastAsia="宋体" w:hint="default"/>
          <w:spacing w:val="-2"/>
          <w:sz w:val="21"/>
          <w:szCs w:val="21"/>
        </w:rPr>
        <w:t>公司对电子政务领域的行业经营性信息进行分析，内容如下：</w:t>
      </w:r>
    </w:p>
    <w:p>
      <w:pPr>
        <w:spacing w:after="0" w:line="340" w:lineRule="auto"/>
        <w:jc w:val="left"/>
        <w:rPr>
          <w:rFonts w:ascii="宋体" w:hAnsi="宋体" w:cs="宋体" w:eastAsia="宋体" w:hint="default"/>
          <w:sz w:val="21"/>
          <w:szCs w:val="21"/>
        </w:rPr>
        <w:sectPr>
          <w:pgSz w:w="11910" w:h="16840"/>
          <w:pgMar w:header="880" w:footer="974" w:top="1120" w:bottom="1160" w:left="15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04" w:lineRule="auto"/>
        <w:ind w:right="208" w:firstLine="419"/>
        <w:jc w:val="both"/>
      </w:pPr>
      <w:r>
        <w:rPr>
          <w:rFonts w:ascii="Times New Roman" w:hAnsi="Times New Roman" w:cs="Times New Roman" w:eastAsia="Times New Roman" w:hint="default"/>
          <w:spacing w:val="-4"/>
        </w:rPr>
        <w:t>1</w:t>
      </w:r>
      <w:r>
        <w:rPr>
          <w:spacing w:val="-4"/>
        </w:rPr>
        <w:t>、行业区域性：我国政府信息化存在较大的区域差异。电子政务的推进受到所在地区经济和</w:t>
      </w:r>
      <w:r>
        <w:rPr>
          <w:w w:val="100"/>
        </w:rPr>
        <w:t> </w:t>
      </w:r>
      <w:r>
        <w:rPr>
          <w:spacing w:val="-2"/>
        </w:rPr>
        <w:t>信息化发展水平的影响，相关业务存在一定的区域性差异。从整体来看，东部地区的电子政务建</w:t>
      </w:r>
      <w:r>
        <w:rPr>
          <w:spacing w:val="-25"/>
        </w:rPr>
        <w:t> </w:t>
      </w:r>
      <w:r>
        <w:rPr>
          <w:spacing w:val="-25"/>
        </w:rPr>
      </w:r>
      <w:r>
        <w:rPr/>
        <w:t>设和应用较为成熟，市场竞争激烈，中西部地区电子政务建设发展较晚，市场潜力较大。</w:t>
      </w:r>
    </w:p>
    <w:p>
      <w:pPr>
        <w:pStyle w:val="BodyText"/>
        <w:spacing w:line="304" w:lineRule="auto" w:before="28"/>
        <w:ind w:right="208" w:firstLine="419"/>
        <w:jc w:val="both"/>
      </w:pPr>
      <w:r>
        <w:rPr>
          <w:rFonts w:ascii="Times New Roman" w:hAnsi="Times New Roman" w:cs="Times New Roman" w:eastAsia="Times New Roman" w:hint="default"/>
          <w:spacing w:val="-4"/>
        </w:rPr>
        <w:t>2</w:t>
      </w:r>
      <w:r>
        <w:rPr>
          <w:spacing w:val="-4"/>
        </w:rPr>
        <w:t>、由于政府部门在实施信息化建设时有严格的预算管理制度，其审批、招标的安排通常在上</w:t>
      </w:r>
      <w:r>
        <w:rPr>
          <w:w w:val="100"/>
        </w:rPr>
        <w:t> </w:t>
      </w:r>
      <w:r>
        <w:rPr>
          <w:spacing w:val="-2"/>
        </w:rPr>
        <w:t>半年，而系统调试、验收则更多集中在下半年，因此政务服务企业收入的实现具有明显的季节性</w:t>
      </w:r>
      <w:r>
        <w:rPr>
          <w:spacing w:val="-25"/>
        </w:rPr>
        <w:t> </w:t>
      </w:r>
      <w:r>
        <w:rPr>
          <w:spacing w:val="-25"/>
        </w:rPr>
      </w:r>
      <w:r>
        <w:rPr/>
        <w:t>特征。</w:t>
      </w:r>
    </w:p>
    <w:p>
      <w:pPr>
        <w:spacing w:line="240" w:lineRule="auto" w:before="5"/>
        <w:rPr>
          <w:rFonts w:ascii="宋体" w:hAnsi="宋体" w:cs="宋体" w:eastAsia="宋体" w:hint="default"/>
          <w:sz w:val="26"/>
          <w:szCs w:val="26"/>
        </w:rPr>
      </w:pPr>
    </w:p>
    <w:p>
      <w:pPr>
        <w:pStyle w:val="Heading2"/>
        <w:spacing w:line="240" w:lineRule="auto"/>
        <w:ind w:left="138" w:right="292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2"/>
        <w:spacing w:line="240" w:lineRule="auto" w:before="70"/>
        <w:ind w:left="138" w:right="2926"/>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314" w:lineRule="auto" w:before="153"/>
        <w:ind w:right="220" w:firstLine="419"/>
        <w:jc w:val="both"/>
      </w:pPr>
      <w:r>
        <w:rPr/>
        <w:t>报告期内，公司新增设立</w:t>
      </w:r>
      <w:r>
        <w:rPr>
          <w:spacing w:val="-57"/>
        </w:rPr>
        <w:t> </w:t>
      </w:r>
      <w:r>
        <w:rPr>
          <w:rFonts w:ascii="宋体" w:hAnsi="宋体" w:cs="宋体" w:eastAsia="宋体" w:hint="default"/>
        </w:rPr>
        <w:t>6</w:t>
      </w:r>
      <w:r>
        <w:rPr>
          <w:rFonts w:ascii="宋体" w:hAnsi="宋体" w:cs="宋体" w:eastAsia="宋体" w:hint="default"/>
          <w:spacing w:val="-55"/>
        </w:rPr>
        <w:t> </w:t>
      </w:r>
      <w:r>
        <w:rPr/>
        <w:t>家子公司、以部分自有资金购买证券公司和银行发行的低风险理</w:t>
      </w:r>
      <w:r>
        <w:rPr>
          <w:w w:val="100"/>
        </w:rPr>
        <w:t> </w:t>
      </w:r>
      <w:r>
        <w:rPr/>
        <w:t>财产品和上市公司流通股股票。</w:t>
      </w:r>
    </w:p>
    <w:p>
      <w:pPr>
        <w:spacing w:line="240" w:lineRule="auto" w:before="10"/>
        <w:rPr>
          <w:rFonts w:ascii="宋体" w:hAnsi="宋体" w:cs="宋体" w:eastAsia="宋体" w:hint="default"/>
          <w:sz w:val="25"/>
          <w:szCs w:val="25"/>
        </w:rPr>
      </w:pPr>
    </w:p>
    <w:p>
      <w:pPr>
        <w:pStyle w:val="Heading2"/>
        <w:spacing w:line="240" w:lineRule="auto"/>
        <w:ind w:left="138" w:right="2926"/>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152"/>
        <w:ind w:left="558" w:right="98"/>
        <w:jc w:val="left"/>
      </w:pPr>
      <w:r>
        <w:rPr>
          <w:rFonts w:ascii="Times New Roman" w:hAnsi="Times New Roman" w:cs="Times New Roman" w:eastAsia="Times New Roman" w:hint="default"/>
        </w:rPr>
        <w:t>2015 </w:t>
      </w:r>
      <w:r>
        <w:rPr>
          <w:rFonts w:ascii="Times New Roman" w:hAnsi="Times New Roman" w:cs="Times New Roman" w:eastAsia="Times New Roman" w:hint="default"/>
          <w:spacing w:val="12"/>
        </w:rPr>
        <w:t> </w:t>
      </w:r>
      <w:r>
        <w:rPr>
          <w:spacing w:val="-3"/>
        </w:rPr>
        <w:t>年，在电子政务业务方面，公司对全资子公司福建南威软件有限公司增资，其注册资本</w:t>
      </w:r>
    </w:p>
    <w:p>
      <w:pPr>
        <w:pStyle w:val="BodyText"/>
        <w:spacing w:line="240" w:lineRule="auto" w:before="69"/>
        <w:ind w:right="98"/>
        <w:jc w:val="left"/>
      </w:pPr>
      <w:r>
        <w:rPr/>
        <w:t>由</w:t>
      </w:r>
      <w:r>
        <w:rPr>
          <w:spacing w:val="-4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8"/>
        </w:rPr>
        <w:t> </w:t>
      </w:r>
      <w:r>
        <w:rPr/>
        <w:t>万元变更为</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亿元；同时，公司新增设立投资</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家企业，其中：重庆南威信息技术有限</w:t>
      </w:r>
    </w:p>
    <w:p>
      <w:pPr>
        <w:pStyle w:val="BodyText"/>
        <w:spacing w:line="297" w:lineRule="auto" w:before="69"/>
        <w:ind w:right="98"/>
        <w:jc w:val="left"/>
      </w:pPr>
      <w:r>
        <w:rPr/>
        <w:t>公司注册资本</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万元，公司持股</w:t>
      </w:r>
      <w:r>
        <w:rPr>
          <w:spacing w:val="-53"/>
        </w:rPr>
        <w:t> </w:t>
      </w:r>
      <w:r>
        <w:rPr>
          <w:rFonts w:ascii="Times New Roman" w:hAnsi="Times New Roman" w:cs="Times New Roman" w:eastAsia="Times New Roman" w:hint="default"/>
        </w:rPr>
        <w:t>100%</w:t>
      </w:r>
      <w:r>
        <w:rPr/>
        <w:t>；平潭力信软件有限公司注册资本</w:t>
      </w:r>
      <w:r>
        <w:rPr>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万元，公司持</w:t>
      </w:r>
      <w:r>
        <w:rPr>
          <w:w w:val="100"/>
        </w:rPr>
        <w:t> </w:t>
      </w:r>
      <w:r>
        <w:rPr/>
        <w:t>股</w:t>
      </w:r>
      <w:r>
        <w:rPr>
          <w:spacing w:val="-43"/>
        </w:rPr>
        <w:t> </w:t>
      </w:r>
      <w:r>
        <w:rPr>
          <w:rFonts w:ascii="Times New Roman" w:hAnsi="Times New Roman" w:cs="Times New Roman" w:eastAsia="Times New Roman" w:hint="default"/>
          <w:spacing w:val="-3"/>
        </w:rPr>
        <w:t>60%</w:t>
      </w:r>
      <w:r>
        <w:rPr>
          <w:spacing w:val="-3"/>
        </w:rPr>
        <w:t>；浙江易政信息技术有限公司注册资本</w:t>
      </w:r>
      <w:r>
        <w:rPr>
          <w:spacing w:val="-4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1"/>
        </w:rPr>
        <w:t> </w:t>
      </w:r>
      <w:r>
        <w:rPr>
          <w:spacing w:val="-5"/>
        </w:rPr>
        <w:t>万元，公司持股</w:t>
      </w:r>
      <w:r>
        <w:rPr>
          <w:spacing w:val="-45"/>
        </w:rPr>
        <w:t> </w:t>
      </w:r>
      <w:r>
        <w:rPr>
          <w:rFonts w:ascii="Times New Roman" w:hAnsi="Times New Roman" w:cs="Times New Roman" w:eastAsia="Times New Roman" w:hint="default"/>
          <w:spacing w:val="-4"/>
        </w:rPr>
        <w:t>100%</w:t>
      </w:r>
      <w:r>
        <w:rPr>
          <w:spacing w:val="-4"/>
        </w:rPr>
        <w:t>；安徽国正信息科技有</w:t>
      </w:r>
      <w:r>
        <w:rPr>
          <w:spacing w:val="-79"/>
        </w:rPr>
        <w:t> </w:t>
      </w:r>
      <w:r>
        <w:rPr>
          <w:spacing w:val="-79"/>
        </w:rPr>
      </w:r>
      <w:r>
        <w:rPr/>
        <w:t>限公司注册资本</w:t>
      </w:r>
      <w:r>
        <w:rPr>
          <w:spacing w:val="-3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8"/>
        </w:rPr>
        <w:t> </w:t>
      </w:r>
      <w:r>
        <w:rPr/>
        <w:t>万元，公司持股</w:t>
      </w:r>
      <w:r>
        <w:rPr>
          <w:spacing w:val="-34"/>
        </w:rPr>
        <w:t> </w:t>
      </w:r>
      <w:r>
        <w:rPr>
          <w:rFonts w:ascii="Times New Roman" w:hAnsi="Times New Roman" w:cs="Times New Roman" w:eastAsia="Times New Roman" w:hint="default"/>
        </w:rPr>
        <w:t>100%</w:t>
      </w:r>
      <w:r>
        <w:rPr/>
        <w:t>；南京迅奇信信息技术有限公司注册资本</w:t>
      </w:r>
      <w:r>
        <w:rPr>
          <w:spacing w:val="-34"/>
        </w:rPr>
        <w:t> </w:t>
      </w:r>
      <w:r>
        <w:rPr>
          <w:rFonts w:ascii="Times New Roman" w:hAnsi="Times New Roman" w:cs="Times New Roman" w:eastAsia="Times New Roman" w:hint="default"/>
        </w:rPr>
        <w:t>100</w:t>
      </w:r>
      <w:r>
        <w:rPr>
          <w:rFonts w:ascii="Times New Roman" w:hAnsi="Times New Roman" w:cs="Times New Roman" w:eastAsia="Times New Roman" w:hint="default"/>
          <w:spacing w:val="18"/>
        </w:rPr>
        <w:t> </w:t>
      </w:r>
      <w:r>
        <w:rPr/>
        <w:t>万元，</w:t>
      </w:r>
      <w:r>
        <w:rPr>
          <w:w w:val="100"/>
        </w:rPr>
        <w:t> </w:t>
      </w:r>
      <w:r>
        <w:rPr/>
        <w:t>公司持股</w:t>
      </w:r>
      <w:r>
        <w:rPr>
          <w:spacing w:val="-40"/>
        </w:rPr>
        <w:t> </w:t>
      </w:r>
      <w:r>
        <w:rPr>
          <w:rFonts w:ascii="Times New Roman" w:hAnsi="Times New Roman" w:cs="Times New Roman" w:eastAsia="Times New Roman" w:hint="default"/>
        </w:rPr>
        <w:t>100%</w:t>
      </w:r>
      <w:r>
        <w:rPr/>
        <w:t>；在司法信息化领域，公司设立上海南信信息科技有限公司注册资本</w:t>
      </w:r>
      <w:r>
        <w:rPr>
          <w:spacing w:val="-3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2"/>
        </w:rPr>
        <w:t> </w:t>
      </w:r>
      <w:r>
        <w:rPr/>
        <w:t>万元，</w:t>
      </w:r>
      <w:r>
        <w:rPr>
          <w:w w:val="100"/>
        </w:rPr>
        <w:t> </w:t>
      </w:r>
      <w:r>
        <w:rPr/>
        <w:t>公司持股</w:t>
      </w:r>
      <w:r>
        <w:rPr>
          <w:spacing w:val="-52"/>
        </w:rPr>
        <w:t> </w:t>
      </w:r>
      <w:r>
        <w:rPr>
          <w:rFonts w:ascii="Times New Roman" w:hAnsi="Times New Roman" w:cs="Times New Roman" w:eastAsia="Times New Roman" w:hint="default"/>
        </w:rPr>
        <w:t>70%</w:t>
      </w:r>
      <w:r>
        <w:rPr/>
        <w:t>。</w:t>
      </w:r>
    </w:p>
    <w:p>
      <w:pPr>
        <w:pStyle w:val="BodyText"/>
        <w:spacing w:line="297" w:lineRule="auto" w:before="13"/>
        <w:ind w:right="207" w:firstLine="419"/>
        <w:jc w:val="both"/>
      </w:pPr>
      <w:r>
        <w:rPr/>
        <w:t>在创新业务方面设立了</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家控股公司，其中：北京万创聚力科技有限公司平台主要服务于万</w:t>
      </w:r>
      <w:r>
        <w:rPr>
          <w:w w:val="100"/>
        </w:rPr>
        <w:t> </w:t>
      </w:r>
      <w:r>
        <w:rPr/>
        <w:t>创中国平台运营，注册资本 </w:t>
      </w:r>
      <w:r>
        <w:rPr>
          <w:rFonts w:ascii="Times New Roman" w:hAnsi="Times New Roman" w:cs="Times New Roman" w:eastAsia="Times New Roman" w:hint="default"/>
        </w:rPr>
        <w:t>5,000 </w:t>
      </w:r>
      <w:r>
        <w:rPr/>
        <w:t>万元，公司持股</w:t>
      </w:r>
      <w:r>
        <w:rPr>
          <w:spacing w:val="-66"/>
        </w:rPr>
        <w:t> </w:t>
      </w:r>
      <w:r>
        <w:rPr>
          <w:rFonts w:ascii="Times New Roman" w:hAnsi="Times New Roman" w:cs="Times New Roman" w:eastAsia="Times New Roman" w:hint="default"/>
        </w:rPr>
        <w:t>60%</w:t>
      </w:r>
      <w:r>
        <w:rPr/>
        <w:t>；福建网链科技有限公司主要服务于新能</w:t>
      </w:r>
      <w:r>
        <w:rPr>
          <w:w w:val="100"/>
        </w:rPr>
        <w:t> </w:t>
      </w:r>
      <w:r>
        <w:rPr/>
        <w:t>源交通生态圈运营平台运营，注册资本 </w:t>
      </w:r>
      <w:r>
        <w:rPr>
          <w:rFonts w:ascii="Times New Roman" w:hAnsi="Times New Roman" w:cs="Times New Roman" w:eastAsia="Times New Roman" w:hint="default"/>
        </w:rPr>
        <w:t>5,000 </w:t>
      </w:r>
      <w:r>
        <w:rPr/>
        <w:t>万元，公司持股</w:t>
      </w:r>
      <w:r>
        <w:rPr>
          <w:spacing w:val="-65"/>
        </w:rPr>
        <w:t> </w:t>
      </w:r>
      <w:r>
        <w:rPr>
          <w:rFonts w:ascii="Times New Roman" w:hAnsi="Times New Roman" w:cs="Times New Roman" w:eastAsia="Times New Roman" w:hint="default"/>
        </w:rPr>
        <w:t>70%</w:t>
      </w:r>
      <w:r>
        <w:rPr/>
        <w:t>；北京南威水科技有限公司将</w:t>
      </w:r>
      <w:r>
        <w:rPr>
          <w:w w:val="100"/>
        </w:rPr>
        <w:t> </w:t>
      </w:r>
      <w:r>
        <w:rPr/>
        <w:t>主要服务于中国水资源平台的建设与运营，注册资本</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万元，公司持股</w:t>
      </w:r>
      <w:r>
        <w:rPr>
          <w:spacing w:val="-57"/>
        </w:rPr>
        <w:t> </w:t>
      </w:r>
      <w:r>
        <w:rPr>
          <w:rFonts w:ascii="Times New Roman" w:hAnsi="Times New Roman" w:cs="Times New Roman" w:eastAsia="Times New Roman" w:hint="default"/>
        </w:rPr>
        <w:t>51%</w:t>
      </w:r>
      <w:r>
        <w:rPr/>
        <w:t>。</w:t>
      </w:r>
    </w:p>
    <w:p>
      <w:pPr>
        <w:spacing w:line="240" w:lineRule="auto" w:before="3"/>
        <w:rPr>
          <w:rFonts w:ascii="宋体" w:hAnsi="宋体" w:cs="宋体" w:eastAsia="宋体" w:hint="default"/>
          <w:sz w:val="25"/>
          <w:szCs w:val="25"/>
        </w:rPr>
      </w:pPr>
    </w:p>
    <w:p>
      <w:pPr>
        <w:spacing w:line="372" w:lineRule="auto" w:before="0"/>
        <w:ind w:left="558" w:right="6919"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重大的非股权投资</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1"/>
          <w:szCs w:val="21"/>
        </w:rPr>
      </w:pPr>
    </w:p>
    <w:p>
      <w:pPr>
        <w:pStyle w:val="Heading2"/>
        <w:spacing w:line="240" w:lineRule="auto"/>
        <w:ind w:left="138" w:right="2926"/>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28" w:type="dxa"/>
        <w:tblLayout w:type="fixed"/>
        <w:tblCellMar>
          <w:top w:w="0" w:type="dxa"/>
          <w:left w:w="0" w:type="dxa"/>
          <w:bottom w:w="0" w:type="dxa"/>
          <w:right w:w="0" w:type="dxa"/>
        </w:tblCellMar>
        <w:tblLook w:val="01E0"/>
      </w:tblPr>
      <w:tblGrid>
        <w:gridCol w:w="1272"/>
        <w:gridCol w:w="554"/>
        <w:gridCol w:w="1265"/>
        <w:gridCol w:w="797"/>
        <w:gridCol w:w="1820"/>
        <w:gridCol w:w="1582"/>
        <w:gridCol w:w="1579"/>
      </w:tblGrid>
      <w:tr>
        <w:trPr>
          <w:trHeight w:val="219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0"/>
              <w:ind w:left="41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73" w:lineRule="auto"/>
              <w:ind w:left="163" w:right="168"/>
              <w:jc w:val="both"/>
              <w:rPr>
                <w:rFonts w:ascii="宋体" w:hAnsi="宋体" w:cs="宋体" w:eastAsia="宋体" w:hint="default"/>
                <w:sz w:val="21"/>
                <w:szCs w:val="21"/>
              </w:rPr>
            </w:pPr>
            <w:r>
              <w:rPr>
                <w:rFonts w:ascii="宋体" w:hAnsi="宋体" w:cs="宋体" w:eastAsia="宋体" w:hint="default"/>
                <w:b/>
                <w:bCs/>
                <w:sz w:val="21"/>
                <w:szCs w:val="21"/>
              </w:rPr>
              <w:t>期</w:t>
            </w:r>
            <w:r>
              <w:rPr>
                <w:rFonts w:ascii="宋体" w:hAnsi="宋体" w:cs="宋体" w:eastAsia="宋体" w:hint="default"/>
                <w:b/>
                <w:bCs/>
                <w:w w:val="100"/>
                <w:sz w:val="21"/>
                <w:szCs w:val="21"/>
              </w:rPr>
              <w:t> </w:t>
            </w:r>
            <w:r>
              <w:rPr>
                <w:rFonts w:ascii="宋体" w:hAnsi="宋体" w:cs="宋体" w:eastAsia="宋体" w:hint="default"/>
                <w:b/>
                <w:bCs/>
                <w:sz w:val="21"/>
                <w:szCs w:val="21"/>
              </w:rPr>
              <w:t>初</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73" w:lineRule="auto"/>
              <w:ind w:left="206" w:right="203"/>
              <w:jc w:val="center"/>
              <w:rPr>
                <w:rFonts w:ascii="宋体" w:hAnsi="宋体" w:cs="宋体" w:eastAsia="宋体" w:hint="default"/>
                <w:sz w:val="21"/>
                <w:szCs w:val="21"/>
              </w:rPr>
            </w:pPr>
            <w:r>
              <w:rPr>
                <w:rFonts w:ascii="宋体" w:hAnsi="宋体" w:cs="宋体" w:eastAsia="宋体" w:hint="default"/>
                <w:b/>
                <w:bCs/>
                <w:sz w:val="21"/>
                <w:szCs w:val="21"/>
              </w:rPr>
              <w:t>本期公允</w:t>
            </w:r>
            <w:r>
              <w:rPr>
                <w:rFonts w:ascii="宋体" w:hAnsi="宋体" w:cs="宋体" w:eastAsia="宋体" w:hint="default"/>
                <w:b/>
                <w:bCs/>
                <w:w w:val="100"/>
                <w:sz w:val="21"/>
                <w:szCs w:val="21"/>
              </w:rPr>
              <w:t> </w:t>
            </w:r>
            <w:r>
              <w:rPr>
                <w:rFonts w:ascii="宋体" w:hAnsi="宋体" w:cs="宋体" w:eastAsia="宋体" w:hint="default"/>
                <w:b/>
                <w:bCs/>
                <w:sz w:val="21"/>
                <w:szCs w:val="21"/>
              </w:rPr>
              <w:t>价值变动</w:t>
            </w:r>
            <w:r>
              <w:rPr>
                <w:rFonts w:ascii="宋体" w:hAnsi="宋体" w:cs="宋体" w:eastAsia="宋体" w:hint="default"/>
                <w:b/>
                <w:bCs/>
                <w:w w:val="100"/>
                <w:sz w:val="21"/>
                <w:szCs w:val="21"/>
              </w:rPr>
              <w:t> </w:t>
            </w:r>
            <w:r>
              <w:rPr>
                <w:rFonts w:ascii="宋体" w:hAnsi="宋体" w:cs="宋体" w:eastAsia="宋体" w:hint="default"/>
                <w:b/>
                <w:bCs/>
                <w:sz w:val="21"/>
                <w:szCs w:val="21"/>
              </w:rPr>
              <w:t>损益</w:t>
            </w:r>
            <w:r>
              <w:rPr>
                <w:rFonts w:ascii="宋体" w:hAnsi="宋体" w:cs="宋体" w:eastAsia="宋体"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80"/>
              <w:jc w:val="both"/>
              <w:rPr>
                <w:rFonts w:ascii="宋体" w:hAnsi="宋体" w:cs="宋体" w:eastAsia="宋体" w:hint="default"/>
                <w:sz w:val="21"/>
                <w:szCs w:val="21"/>
              </w:rPr>
            </w:pPr>
            <w:r>
              <w:rPr>
                <w:rFonts w:ascii="宋体" w:hAnsi="宋体" w:cs="宋体" w:eastAsia="宋体" w:hint="default"/>
                <w:b/>
                <w:bCs/>
                <w:sz w:val="21"/>
                <w:szCs w:val="21"/>
              </w:rPr>
              <w:t>计入</w:t>
            </w:r>
            <w:r>
              <w:rPr>
                <w:rFonts w:ascii="宋体" w:hAnsi="宋体" w:cs="宋体" w:eastAsia="宋体" w:hint="default"/>
                <w:b/>
                <w:bCs/>
                <w:w w:val="100"/>
                <w:sz w:val="21"/>
                <w:szCs w:val="21"/>
              </w:rPr>
              <w:t> </w:t>
            </w:r>
            <w:r>
              <w:rPr>
                <w:rFonts w:ascii="宋体" w:hAnsi="宋体" w:cs="宋体" w:eastAsia="宋体" w:hint="default"/>
                <w:b/>
                <w:bCs/>
                <w:sz w:val="21"/>
                <w:szCs w:val="21"/>
              </w:rPr>
              <w:t>权益</w:t>
            </w:r>
            <w:r>
              <w:rPr>
                <w:rFonts w:ascii="宋体" w:hAnsi="宋体" w:cs="宋体" w:eastAsia="宋体" w:hint="default"/>
                <w:b/>
                <w:bCs/>
                <w:w w:val="100"/>
                <w:sz w:val="21"/>
                <w:szCs w:val="21"/>
              </w:rPr>
              <w:t> </w:t>
            </w:r>
            <w:r>
              <w:rPr>
                <w:rFonts w:ascii="宋体" w:hAnsi="宋体" w:cs="宋体" w:eastAsia="宋体" w:hint="default"/>
                <w:b/>
                <w:bCs/>
                <w:sz w:val="21"/>
                <w:szCs w:val="21"/>
              </w:rPr>
              <w:t>的累</w:t>
            </w:r>
            <w:r>
              <w:rPr>
                <w:rFonts w:ascii="宋体" w:hAnsi="宋体" w:cs="宋体" w:eastAsia="宋体" w:hint="default"/>
                <w:b/>
                <w:bCs/>
                <w:w w:val="100"/>
                <w:sz w:val="21"/>
                <w:szCs w:val="21"/>
              </w:rPr>
              <w:t> </w:t>
            </w:r>
            <w:r>
              <w:rPr>
                <w:rFonts w:ascii="宋体" w:hAnsi="宋体" w:cs="宋体" w:eastAsia="宋体" w:hint="default"/>
                <w:b/>
                <w:bCs/>
                <w:sz w:val="21"/>
                <w:szCs w:val="21"/>
              </w:rPr>
              <w:t>计公</w:t>
            </w:r>
            <w:r>
              <w:rPr>
                <w:rFonts w:ascii="宋体" w:hAnsi="宋体" w:cs="宋体" w:eastAsia="宋体" w:hint="default"/>
                <w:b/>
                <w:bCs/>
                <w:w w:val="100"/>
                <w:sz w:val="21"/>
                <w:szCs w:val="21"/>
              </w:rPr>
              <w:t> </w:t>
            </w:r>
            <w:r>
              <w:rPr>
                <w:rFonts w:ascii="宋体" w:hAnsi="宋体" w:cs="宋体" w:eastAsia="宋体" w:hint="default"/>
                <w:b/>
                <w:bCs/>
                <w:sz w:val="21"/>
                <w:szCs w:val="21"/>
              </w:rPr>
              <w:t>允价</w:t>
            </w:r>
            <w:r>
              <w:rPr>
                <w:rFonts w:ascii="宋体" w:hAnsi="宋体" w:cs="宋体" w:eastAsia="宋体" w:hint="default"/>
                <w:b/>
                <w:bCs/>
                <w:w w:val="100"/>
                <w:sz w:val="21"/>
                <w:szCs w:val="21"/>
              </w:rPr>
              <w:t> </w:t>
            </w:r>
            <w:r>
              <w:rPr>
                <w:rFonts w:ascii="宋体" w:hAnsi="宋体" w:cs="宋体" w:eastAsia="宋体" w:hint="default"/>
                <w:b/>
                <w:bCs/>
                <w:sz w:val="21"/>
                <w:szCs w:val="21"/>
              </w:rPr>
              <w:t>值变</w:t>
            </w:r>
            <w:r>
              <w:rPr>
                <w:rFonts w:ascii="宋体" w:hAnsi="宋体" w:cs="宋体" w:eastAsia="宋体" w:hint="default"/>
                <w:b/>
                <w:bCs/>
                <w:w w:val="100"/>
                <w:sz w:val="21"/>
                <w:szCs w:val="21"/>
              </w:rPr>
              <w:t> </w:t>
            </w:r>
            <w:r>
              <w:rPr>
                <w:rFonts w:ascii="宋体" w:hAnsi="宋体" w:cs="宋体" w:eastAsia="宋体" w:hint="default"/>
                <w:b/>
                <w:bCs/>
                <w:sz w:val="21"/>
                <w:szCs w:val="21"/>
              </w:rPr>
              <w:t>动</w:t>
            </w:r>
            <w:r>
              <w:rPr>
                <w:rFonts w:ascii="宋体" w:hAnsi="宋体" w:cs="宋体" w:eastAsia="宋体"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73" w:lineRule="auto"/>
              <w:ind w:left="693" w:right="480" w:hanging="212"/>
              <w:jc w:val="left"/>
              <w:rPr>
                <w:rFonts w:ascii="宋体" w:hAnsi="宋体" w:cs="宋体" w:eastAsia="宋体" w:hint="default"/>
                <w:sz w:val="21"/>
                <w:szCs w:val="21"/>
              </w:rPr>
            </w:pPr>
            <w:r>
              <w:rPr>
                <w:rFonts w:ascii="宋体" w:hAnsi="宋体" w:cs="宋体" w:eastAsia="宋体" w:hint="default"/>
                <w:b/>
                <w:bCs/>
                <w:sz w:val="21"/>
                <w:szCs w:val="21"/>
              </w:rPr>
              <w:t>本期购买</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0"/>
              <w:ind w:left="153" w:right="0"/>
              <w:jc w:val="left"/>
              <w:rPr>
                <w:rFonts w:ascii="宋体" w:hAnsi="宋体" w:cs="宋体" w:eastAsia="宋体" w:hint="default"/>
                <w:sz w:val="21"/>
                <w:szCs w:val="21"/>
              </w:rPr>
            </w:pPr>
            <w:r>
              <w:rPr>
                <w:rFonts w:ascii="宋体" w:hAnsi="宋体" w:cs="宋体" w:eastAsia="宋体" w:hint="default"/>
                <w:b/>
                <w:bCs/>
                <w:sz w:val="21"/>
                <w:szCs w:val="21"/>
              </w:rPr>
              <w:t>本期出售金额</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0"/>
              <w:ind w:left="465"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50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1"/>
                <w:szCs w:val="21"/>
              </w:rPr>
            </w:pPr>
            <w:r>
              <w:rPr>
                <w:rFonts w:ascii="宋体" w:hAnsi="宋体" w:cs="宋体" w:eastAsia="宋体" w:hint="default"/>
                <w:b/>
                <w:bCs/>
                <w:sz w:val="21"/>
                <w:szCs w:val="21"/>
              </w:rPr>
              <w:t>金融资产</w:t>
            </w:r>
            <w:r>
              <w:rPr>
                <w:rFonts w:ascii="宋体" w:hAnsi="宋体" w:cs="宋体" w:eastAsia="宋体" w:hint="default"/>
                <w:sz w:val="21"/>
                <w:szCs w:val="21"/>
              </w:rPr>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20" w:bottom="1160" w:left="1660" w:right="10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28" w:type="dxa"/>
        <w:tblLayout w:type="fixed"/>
        <w:tblCellMar>
          <w:top w:w="0" w:type="dxa"/>
          <w:left w:w="0" w:type="dxa"/>
          <w:bottom w:w="0" w:type="dxa"/>
          <w:right w:w="0" w:type="dxa"/>
        </w:tblCellMar>
        <w:tblLook w:val="01E0"/>
      </w:tblPr>
      <w:tblGrid>
        <w:gridCol w:w="1272"/>
        <w:gridCol w:w="554"/>
        <w:gridCol w:w="1265"/>
        <w:gridCol w:w="797"/>
        <w:gridCol w:w="1820"/>
        <w:gridCol w:w="1582"/>
        <w:gridCol w:w="1579"/>
      </w:tblGrid>
      <w:tr>
        <w:trPr>
          <w:trHeight w:val="219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4"/>
              <w:jc w:val="both"/>
              <w:rPr>
                <w:rFonts w:ascii="宋体" w:hAnsi="宋体" w:cs="宋体" w:eastAsia="宋体" w:hint="default"/>
                <w:sz w:val="21"/>
                <w:szCs w:val="21"/>
              </w:rPr>
            </w:pPr>
            <w:r>
              <w:rPr>
                <w:rFonts w:ascii="宋体" w:hAnsi="宋体" w:cs="宋体" w:eastAsia="宋体" w:hint="default"/>
                <w:spacing w:val="-18"/>
                <w:w w:val="100"/>
                <w:sz w:val="21"/>
                <w:szCs w:val="21"/>
              </w:rPr>
              <w:t>1</w:t>
            </w:r>
            <w:r>
              <w:rPr>
                <w:rFonts w:ascii="宋体" w:hAnsi="宋体" w:cs="宋体" w:eastAsia="宋体" w:hint="default"/>
                <w:spacing w:val="-18"/>
                <w:w w:val="100"/>
                <w:sz w:val="21"/>
                <w:szCs w:val="21"/>
              </w:rPr>
              <w:t>、以公允价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值计量且其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变动计入当</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期损益的金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融</w:t>
            </w:r>
            <w:r>
              <w:rPr>
                <w:rFonts w:ascii="宋体" w:hAnsi="宋体" w:cs="宋体" w:eastAsia="宋体" w:hint="default"/>
                <w:spacing w:val="-33"/>
                <w:sz w:val="21"/>
                <w:szCs w:val="21"/>
              </w:rPr>
              <w:t> </w:t>
            </w:r>
            <w:r>
              <w:rPr>
                <w:rFonts w:ascii="宋体" w:hAnsi="宋体" w:cs="宋体" w:eastAsia="宋体" w:hint="default"/>
                <w:sz w:val="21"/>
                <w:szCs w:val="21"/>
              </w:rPr>
              <w:t>资</w:t>
            </w:r>
            <w:r>
              <w:rPr>
                <w:rFonts w:ascii="宋体" w:hAnsi="宋体" w:cs="宋体" w:eastAsia="宋体" w:hint="default"/>
                <w:spacing w:val="-35"/>
                <w:sz w:val="21"/>
                <w:szCs w:val="21"/>
              </w:rPr>
              <w:t> </w:t>
            </w:r>
            <w:r>
              <w:rPr>
                <w:rFonts w:ascii="宋体" w:hAnsi="宋体" w:cs="宋体" w:eastAsia="宋体" w:hint="default"/>
                <w:sz w:val="21"/>
                <w:szCs w:val="21"/>
              </w:rPr>
              <w:t>金</w:t>
            </w:r>
            <w:r>
              <w:rPr>
                <w:rFonts w:ascii="宋体" w:hAnsi="宋体" w:cs="宋体" w:eastAsia="宋体" w:hint="default"/>
                <w:spacing w:val="-33"/>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pacing w:val="18"/>
                <w:sz w:val="21"/>
                <w:szCs w:val="21"/>
              </w:rPr>
              <w:t>不含衍生</w:t>
            </w:r>
            <w:r>
              <w:rPr>
                <w:rFonts w:ascii="宋体" w:hAnsi="宋体" w:cs="宋体" w:eastAsia="宋体" w:hint="default"/>
                <w:spacing w:val="-99"/>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w:t>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925,642.47</w:t>
            </w: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149,932,156.40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left="103" w:right="0"/>
              <w:jc w:val="left"/>
              <w:rPr>
                <w:rFonts w:ascii="宋体" w:hAnsi="宋体" w:cs="宋体" w:eastAsia="宋体" w:hint="default"/>
                <w:sz w:val="21"/>
                <w:szCs w:val="21"/>
              </w:rPr>
            </w:pPr>
            <w:r>
              <w:rPr>
                <w:rFonts w:ascii="宋体"/>
                <w:sz w:val="21"/>
              </w:rPr>
              <w:t>65,115,501.40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sz w:val="21"/>
              </w:rPr>
              <w:t>85,742,297.47</w:t>
            </w: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8"/>
                <w:w w:val="100"/>
                <w:sz w:val="21"/>
                <w:szCs w:val="21"/>
              </w:rPr>
              <w:t>2</w:t>
            </w:r>
            <w:r>
              <w:rPr>
                <w:rFonts w:ascii="宋体" w:hAnsi="宋体" w:cs="宋体" w:eastAsia="宋体" w:hint="default"/>
                <w:spacing w:val="-18"/>
                <w:w w:val="100"/>
                <w:sz w:val="21"/>
                <w:szCs w:val="21"/>
              </w:rPr>
              <w:t>、衍生金融</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资产</w:t>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8"/>
                <w:w w:val="100"/>
                <w:sz w:val="21"/>
                <w:szCs w:val="21"/>
              </w:rPr>
              <w:t>3</w:t>
            </w:r>
            <w:r>
              <w:rPr>
                <w:rFonts w:ascii="宋体" w:hAnsi="宋体" w:cs="宋体" w:eastAsia="宋体" w:hint="default"/>
                <w:spacing w:val="-18"/>
                <w:w w:val="100"/>
                <w:sz w:val="21"/>
                <w:szCs w:val="21"/>
              </w:rPr>
              <w:t>、可供出售</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金融资产</w:t>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金融资产小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计</w:t>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925,642.47</w:t>
            </w: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149,932,156.40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65,115,501.40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85,742,297.47</w:t>
            </w: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投资性房地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产</w:t>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生产性生物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资产</w:t>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6"/>
              <w:jc w:val="right"/>
              <w:rPr>
                <w:rFonts w:ascii="宋体" w:hAnsi="宋体" w:cs="宋体" w:eastAsia="宋体" w:hint="default"/>
                <w:sz w:val="21"/>
                <w:szCs w:val="21"/>
              </w:rPr>
            </w:pPr>
            <w:r>
              <w:rPr>
                <w:rFonts w:ascii="宋体"/>
                <w:spacing w:val="-1"/>
                <w:sz w:val="21"/>
              </w:rPr>
              <w:t>925,642.47</w:t>
            </w: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pacing w:val="-1"/>
                <w:sz w:val="21"/>
              </w:rPr>
              <w:t>149,932,156.40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sz w:val="21"/>
              </w:rPr>
              <w:t>65,115,501.40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85,742,297.47</w:t>
            </w:r>
          </w:p>
        </w:tc>
      </w:tr>
      <w:tr>
        <w:trPr>
          <w:trHeight w:val="507"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b/>
                <w:bCs/>
                <w:sz w:val="21"/>
                <w:szCs w:val="21"/>
              </w:rPr>
              <w:t>金融负债</w:t>
            </w:r>
            <w:r>
              <w:rPr>
                <w:rFonts w:ascii="宋体" w:hAnsi="宋体" w:cs="宋体" w:eastAsia="宋体" w:hint="default"/>
                <w:sz w:val="21"/>
                <w:szCs w:val="21"/>
              </w:rPr>
            </w:r>
          </w:p>
        </w:tc>
        <w:tc>
          <w:tcPr>
            <w:tcW w:w="55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b/>
          <w:bCs/>
          <w:sz w:val="24"/>
          <w:szCs w:val="24"/>
        </w:rPr>
      </w:pPr>
    </w:p>
    <w:p>
      <w:pPr>
        <w:spacing w:line="340" w:lineRule="auto" w:before="36"/>
        <w:ind w:left="558" w:right="6649"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六</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重大资产和股权出售</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23"/>
          <w:szCs w:val="23"/>
        </w:rPr>
      </w:pPr>
    </w:p>
    <w:p>
      <w:pPr>
        <w:pStyle w:val="Heading2"/>
        <w:spacing w:line="240" w:lineRule="auto"/>
        <w:ind w:left="138" w:right="0"/>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pStyle w:val="BodyText"/>
        <w:spacing w:line="240" w:lineRule="auto" w:before="125"/>
        <w:ind w:left="558" w:right="0"/>
        <w:jc w:val="left"/>
      </w:pPr>
      <w:r>
        <w:rPr>
          <w:spacing w:val="-3"/>
        </w:rPr>
        <w:t>北京南威科技有限公司是本公司的全资子公司，成立于</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spacing w:val="-9"/>
        </w:rPr>
        <w:t>日，主营业务：技术</w:t>
      </w:r>
    </w:p>
    <w:p>
      <w:pPr>
        <w:pStyle w:val="BodyText"/>
        <w:spacing w:line="240" w:lineRule="auto" w:before="69"/>
        <w:ind w:right="0"/>
        <w:jc w:val="left"/>
        <w:rPr>
          <w:rFonts w:ascii="Times New Roman" w:hAnsi="Times New Roman" w:cs="Times New Roman" w:eastAsia="Times New Roman" w:hint="default"/>
        </w:rPr>
      </w:pPr>
      <w:r>
        <w:rPr>
          <w:w w:val="100"/>
        </w:rPr>
        <w:t>咨询</w:t>
      </w:r>
      <w:r>
        <w:rPr>
          <w:spacing w:val="-108"/>
          <w:w w:val="100"/>
        </w:rPr>
        <w:t>、</w:t>
      </w:r>
      <w:r>
        <w:rPr>
          <w:w w:val="100"/>
        </w:rPr>
        <w:t>软</w:t>
      </w:r>
      <w:r>
        <w:rPr>
          <w:spacing w:val="-3"/>
          <w:w w:val="100"/>
        </w:rPr>
        <w:t>件</w:t>
      </w:r>
      <w:r>
        <w:rPr>
          <w:w w:val="100"/>
        </w:rPr>
        <w:t>开</w:t>
      </w:r>
      <w:r>
        <w:rPr>
          <w:spacing w:val="-3"/>
          <w:w w:val="100"/>
        </w:rPr>
        <w:t>发</w:t>
      </w:r>
      <w:r>
        <w:rPr>
          <w:w w:val="100"/>
        </w:rPr>
        <w:t>与</w:t>
      </w:r>
      <w:r>
        <w:rPr>
          <w:spacing w:val="-3"/>
          <w:w w:val="100"/>
        </w:rPr>
        <w:t>技</w:t>
      </w:r>
      <w:r>
        <w:rPr>
          <w:w w:val="100"/>
        </w:rPr>
        <w:t>术</w:t>
      </w:r>
      <w:r>
        <w:rPr>
          <w:spacing w:val="-3"/>
          <w:w w:val="100"/>
        </w:rPr>
        <w:t>服务</w:t>
      </w:r>
      <w:r>
        <w:rPr>
          <w:w w:val="100"/>
        </w:rPr>
        <w:t>等</w:t>
      </w:r>
      <w:r>
        <w:rPr>
          <w:spacing w:val="-106"/>
          <w:w w:val="100"/>
        </w:rPr>
        <w:t>，</w:t>
      </w:r>
      <w:r>
        <w:rPr>
          <w:spacing w:val="-3"/>
          <w:w w:val="100"/>
        </w:rPr>
        <w:t>注</w:t>
      </w:r>
      <w:r>
        <w:rPr>
          <w:w w:val="100"/>
        </w:rPr>
        <w:t>册</w:t>
      </w:r>
      <w:r>
        <w:rPr>
          <w:spacing w:val="-3"/>
          <w:w w:val="100"/>
        </w:rPr>
        <w:t>资</w:t>
      </w:r>
      <w:r>
        <w:rPr>
          <w:w w:val="100"/>
        </w:rPr>
        <w:t>本</w:t>
      </w:r>
      <w:r>
        <w:rPr>
          <w:spacing w:val="-58"/>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5"/>
        </w:rPr>
        <w:t> </w:t>
      </w:r>
      <w:r>
        <w:rPr>
          <w:spacing w:val="-3"/>
          <w:w w:val="100"/>
        </w:rPr>
        <w:t>万</w:t>
      </w:r>
      <w:r>
        <w:rPr>
          <w:w w:val="100"/>
        </w:rPr>
        <w:t>元</w:t>
      </w:r>
      <w:r>
        <w:rPr>
          <w:spacing w:val="-108"/>
          <w:w w:val="100"/>
        </w:rPr>
        <w:t>。</w:t>
      </w:r>
      <w:r>
        <w:rPr>
          <w:w w:val="100"/>
        </w:rPr>
        <w:t>截至</w:t>
      </w:r>
      <w:r>
        <w:rPr>
          <w:spacing w:val="-5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spacing w:val="-5"/>
        </w:rPr>
        <w:t> </w:t>
      </w:r>
      <w:r>
        <w:rPr>
          <w:w w:val="100"/>
        </w:rPr>
        <w:t>年</w:t>
      </w:r>
      <w:r>
        <w:rPr>
          <w:spacing w:val="-6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rPr>
        <w:t> </w:t>
      </w:r>
      <w:r>
        <w:rPr>
          <w:w w:val="100"/>
        </w:rPr>
        <w:t>月</w:t>
      </w:r>
      <w:r>
        <w:rPr>
          <w:spacing w:val="-57"/>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5"/>
        </w:rPr>
        <w:t> </w:t>
      </w:r>
      <w:r>
        <w:rPr>
          <w:w w:val="100"/>
        </w:rPr>
        <w:t>日</w:t>
      </w:r>
      <w:r>
        <w:rPr>
          <w:spacing w:val="-108"/>
          <w:w w:val="100"/>
        </w:rPr>
        <w:t>，</w:t>
      </w:r>
      <w:r>
        <w:rPr>
          <w:w w:val="100"/>
        </w:rPr>
        <w:t>该公</w:t>
      </w:r>
      <w:r>
        <w:rPr>
          <w:spacing w:val="-3"/>
          <w:w w:val="100"/>
        </w:rPr>
        <w:t>司</w:t>
      </w:r>
      <w:r>
        <w:rPr>
          <w:w w:val="100"/>
        </w:rPr>
        <w:t>总</w:t>
      </w:r>
      <w:r>
        <w:rPr>
          <w:spacing w:val="-3"/>
          <w:w w:val="100"/>
        </w:rPr>
        <w:t>资</w:t>
      </w:r>
      <w:r>
        <w:rPr>
          <w:w w:val="100"/>
        </w:rPr>
        <w:t>产</w:t>
      </w:r>
      <w:r>
        <w:rPr>
          <w:spacing w:val="-57"/>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0.97</w:t>
      </w:r>
    </w:p>
    <w:p>
      <w:pPr>
        <w:pStyle w:val="BodyText"/>
        <w:spacing w:line="348" w:lineRule="auto" w:before="69"/>
        <w:ind w:left="558" w:right="0" w:hanging="420"/>
        <w:jc w:val="left"/>
      </w:pPr>
      <w:r>
        <w:rPr/>
        <w:t>万元，净资产</w:t>
      </w:r>
      <w:r>
        <w:rPr>
          <w:spacing w:val="-54"/>
        </w:rPr>
        <w:t> </w:t>
      </w:r>
      <w:r>
        <w:rPr>
          <w:rFonts w:ascii="Times New Roman" w:hAnsi="Times New Roman" w:cs="Times New Roman" w:eastAsia="Times New Roman" w:hint="default"/>
        </w:rPr>
        <w:t>526.16</w:t>
      </w:r>
      <w:r>
        <w:rPr>
          <w:rFonts w:ascii="Times New Roman" w:hAnsi="Times New Roman" w:cs="Times New Roman" w:eastAsia="Times New Roman" w:hint="default"/>
          <w:spacing w:val="-1"/>
        </w:rPr>
        <w:t> </w:t>
      </w:r>
      <w:r>
        <w:rPr/>
        <w:t>万元，净利润</w:t>
      </w:r>
      <w:r>
        <w:rPr>
          <w:rFonts w:ascii="Times New Roman" w:hAnsi="Times New Roman" w:cs="Times New Roman" w:eastAsia="Times New Roman" w:hint="default"/>
        </w:rPr>
        <w:t>-121.7</w:t>
      </w:r>
      <w:r>
        <w:rPr>
          <w:rFonts w:ascii="Times New Roman" w:hAnsi="Times New Roman" w:cs="Times New Roman" w:eastAsia="Times New Roman" w:hint="default"/>
          <w:spacing w:val="-4"/>
        </w:rPr>
        <w:t> </w:t>
      </w:r>
      <w:r>
        <w:rPr/>
        <w:t>万元。</w:t>
      </w:r>
      <w:r>
        <w:rPr>
          <w:w w:val="100"/>
        </w:rPr>
        <w:t> </w:t>
      </w:r>
      <w:r>
        <w:rPr>
          <w:spacing w:val="-3"/>
        </w:rPr>
        <w:t>宁德南威软件有限公司是本公司的全资子公司，成立于</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spacing w:val="-9"/>
        </w:rPr>
        <w:t>日，主营业务：软件</w:t>
      </w:r>
    </w:p>
    <w:p>
      <w:pPr>
        <w:pStyle w:val="BodyText"/>
        <w:spacing w:line="255" w:lineRule="exact"/>
        <w:ind w:right="0"/>
        <w:jc w:val="left"/>
        <w:rPr>
          <w:rFonts w:ascii="Times New Roman" w:hAnsi="Times New Roman" w:cs="Times New Roman" w:eastAsia="Times New Roman" w:hint="default"/>
        </w:rPr>
      </w:pPr>
      <w:r>
        <w:rPr>
          <w:spacing w:val="-10"/>
        </w:rPr>
        <w:t>开发、系统集成与技术服务等，注册资本</w:t>
      </w:r>
      <w:r>
        <w:rPr>
          <w:spacing w:val="-4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spacing w:val="-17"/>
        </w:rPr>
        <w:t>万元。截至</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11"/>
        </w:rPr>
        <w:t>日，该公司总资产</w:t>
      </w:r>
      <w:r>
        <w:rPr>
          <w:spacing w:val="-47"/>
        </w:rPr>
        <w:t> </w:t>
      </w:r>
      <w:r>
        <w:rPr>
          <w:rFonts w:ascii="Times New Roman" w:hAnsi="Times New Roman" w:cs="Times New Roman" w:eastAsia="Times New Roman" w:hint="default"/>
        </w:rPr>
        <w:t>409.64</w:t>
      </w:r>
    </w:p>
    <w:p>
      <w:pPr>
        <w:pStyle w:val="BodyText"/>
        <w:spacing w:line="345" w:lineRule="auto" w:before="69"/>
        <w:ind w:left="558" w:right="146" w:hanging="420"/>
        <w:jc w:val="left"/>
      </w:pPr>
      <w:r>
        <w:rPr/>
        <w:t>万元，净资产</w:t>
      </w:r>
      <w:r>
        <w:rPr>
          <w:spacing w:val="-54"/>
        </w:rPr>
        <w:t> </w:t>
      </w:r>
      <w:r>
        <w:rPr>
          <w:rFonts w:ascii="Times New Roman" w:hAnsi="Times New Roman" w:cs="Times New Roman" w:eastAsia="Times New Roman" w:hint="default"/>
        </w:rPr>
        <w:t>179.59</w:t>
      </w:r>
      <w:r>
        <w:rPr>
          <w:rFonts w:ascii="Times New Roman" w:hAnsi="Times New Roman" w:cs="Times New Roman" w:eastAsia="Times New Roman" w:hint="default"/>
          <w:spacing w:val="-1"/>
        </w:rPr>
        <w:t> </w:t>
      </w:r>
      <w:r>
        <w:rPr/>
        <w:t>万元，净利润</w:t>
      </w:r>
      <w:r>
        <w:rPr>
          <w:rFonts w:ascii="Times New Roman" w:hAnsi="Times New Roman" w:cs="Times New Roman" w:eastAsia="Times New Roman" w:hint="default"/>
        </w:rPr>
        <w:t>-31.76</w:t>
      </w:r>
      <w:r>
        <w:rPr>
          <w:rFonts w:ascii="Times New Roman" w:hAnsi="Times New Roman" w:cs="Times New Roman" w:eastAsia="Times New Roman" w:hint="default"/>
          <w:spacing w:val="-4"/>
        </w:rPr>
        <w:t> </w:t>
      </w:r>
      <w:r>
        <w:rPr/>
        <w:t>万元。</w:t>
      </w:r>
      <w:r>
        <w:rPr>
          <w:w w:val="100"/>
        </w:rPr>
        <w:t> </w:t>
      </w:r>
      <w:r>
        <w:rPr>
          <w:spacing w:val="-5"/>
          <w:w w:val="100"/>
        </w:rPr>
        <w:t>厦门市南威软件科技有限公司是本公司的全资子公司，成立于</w:t>
      </w:r>
      <w:r>
        <w:rPr>
          <w:spacing w:val="-53"/>
          <w:w w:val="100"/>
        </w:rPr>
        <w:t> </w:t>
      </w:r>
      <w:r>
        <w:rPr>
          <w:rFonts w:ascii="Times New Roman" w:hAnsi="Times New Roman" w:cs="Times New Roman" w:eastAsia="Times New Roman" w:hint="default"/>
          <w:spacing w:val="-1"/>
          <w:w w:val="100"/>
        </w:rPr>
        <w:t>2011</w:t>
      </w:r>
      <w:r>
        <w:rPr>
          <w:rFonts w:ascii="Times New Roman" w:hAnsi="Times New Roman" w:cs="Times New Roman" w:eastAsia="Times New Roman" w:hint="default"/>
          <w:w w:val="100"/>
        </w:rPr>
        <w:t> </w:t>
      </w:r>
      <w:r>
        <w:rPr>
          <w:w w:val="100"/>
        </w:rPr>
        <w:t>年</w:t>
      </w:r>
      <w:r>
        <w:rPr>
          <w:spacing w:val="-55"/>
          <w:w w:val="100"/>
        </w:rPr>
        <w:t> </w:t>
      </w:r>
      <w:r>
        <w:rPr>
          <w:rFonts w:ascii="Times New Roman" w:hAnsi="Times New Roman" w:cs="Times New Roman" w:eastAsia="Times New Roman" w:hint="default"/>
          <w:w w:val="100"/>
        </w:rPr>
        <w:t>3 </w:t>
      </w:r>
      <w:r>
        <w:rPr>
          <w:w w:val="100"/>
        </w:rPr>
        <w:t>月</w:t>
      </w:r>
      <w:r>
        <w:rPr>
          <w:spacing w:val="-54"/>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w w:val="100"/>
        </w:rPr>
        <w:t> </w:t>
      </w:r>
      <w:r>
        <w:rPr>
          <w:spacing w:val="-16"/>
          <w:w w:val="100"/>
        </w:rPr>
        <w:t>日，主营业务：</w:t>
      </w:r>
    </w:p>
    <w:p>
      <w:pPr>
        <w:pStyle w:val="BodyText"/>
        <w:spacing w:line="258" w:lineRule="exact"/>
        <w:ind w:right="0"/>
        <w:jc w:val="left"/>
      </w:pPr>
      <w:r>
        <w:rPr>
          <w:spacing w:val="-4"/>
        </w:rPr>
        <w:t>技术咨询、软件开发与技术服务等，注册资本</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spacing w:val="-6"/>
        </w:rPr>
        <w:t>万元。截至</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5"/>
        </w:rPr>
        <w:t>日，该公司总资产</w:t>
      </w:r>
    </w:p>
    <w:p>
      <w:pPr>
        <w:pStyle w:val="BodyText"/>
        <w:spacing w:line="240" w:lineRule="auto" w:before="69"/>
        <w:ind w:right="0"/>
        <w:jc w:val="left"/>
      </w:pPr>
      <w:r>
        <w:rPr>
          <w:rFonts w:ascii="Times New Roman" w:hAnsi="Times New Roman" w:cs="Times New Roman" w:eastAsia="Times New Roman" w:hint="default"/>
        </w:rPr>
        <w:t>518.38</w:t>
      </w:r>
      <w:r>
        <w:rPr>
          <w:rFonts w:ascii="Times New Roman" w:hAnsi="Times New Roman" w:cs="Times New Roman" w:eastAsia="Times New Roman" w:hint="default"/>
          <w:spacing w:val="-3"/>
        </w:rPr>
        <w:t> </w:t>
      </w:r>
      <w:r>
        <w:rPr/>
        <w:t>万元，净资产</w:t>
      </w:r>
      <w:r>
        <w:rPr>
          <w:spacing w:val="-53"/>
        </w:rPr>
        <w:t> </w:t>
      </w:r>
      <w:r>
        <w:rPr>
          <w:rFonts w:ascii="Times New Roman" w:hAnsi="Times New Roman" w:cs="Times New Roman" w:eastAsia="Times New Roman" w:hint="default"/>
        </w:rPr>
        <w:t>283.82 </w:t>
      </w:r>
      <w:r>
        <w:rPr/>
        <w:t>万元，净利润</w:t>
      </w:r>
      <w:r>
        <w:rPr>
          <w:spacing w:val="-55"/>
        </w:rPr>
        <w:t> </w:t>
      </w:r>
      <w:r>
        <w:rPr>
          <w:rFonts w:ascii="Times New Roman" w:hAnsi="Times New Roman" w:cs="Times New Roman" w:eastAsia="Times New Roman" w:hint="default"/>
        </w:rPr>
        <w:t>36.63 </w:t>
      </w:r>
      <w:r>
        <w:rPr>
          <w:spacing w:val="-3"/>
        </w:rPr>
        <w:t>万元。</w:t>
      </w:r>
      <w:r>
        <w:rPr/>
      </w:r>
    </w:p>
    <w:p>
      <w:pPr>
        <w:pStyle w:val="BodyText"/>
        <w:spacing w:line="240" w:lineRule="auto" w:before="129"/>
        <w:ind w:left="558" w:right="0"/>
        <w:jc w:val="left"/>
      </w:pPr>
      <w:r>
        <w:rPr/>
        <w:t>福建南威软件有限公司是本公司的全资子公司，成立于</w:t>
      </w:r>
      <w:r>
        <w:rPr>
          <w:spacing w:val="-50"/>
        </w:rPr>
        <w:t> </w:t>
      </w:r>
      <w:r>
        <w:rPr>
          <w:rFonts w:ascii="Times New Roman" w:hAnsi="Times New Roman" w:cs="Times New Roman" w:eastAsia="Times New Roman" w:hint="default"/>
        </w:rPr>
        <w:t>2011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 </w:t>
      </w:r>
      <w:r>
        <w:rPr/>
        <w:t>日，主营业务：技术</w:t>
      </w:r>
    </w:p>
    <w:p>
      <w:pPr>
        <w:pStyle w:val="BodyText"/>
        <w:spacing w:line="240" w:lineRule="auto" w:before="69"/>
        <w:ind w:right="0"/>
        <w:jc w:val="left"/>
      </w:pPr>
      <w:r>
        <w:rPr/>
        <w:t>咨询、软件开发与技术服务等，注册资本</w:t>
      </w:r>
      <w:r>
        <w:rPr>
          <w:spacing w:val="-4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5"/>
        </w:rPr>
        <w:t> </w:t>
      </w:r>
      <w:r>
        <w:rPr/>
        <w:t>万元。截至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日，该公司总资产</w:t>
      </w:r>
    </w:p>
    <w:p>
      <w:pPr>
        <w:pStyle w:val="BodyText"/>
        <w:spacing w:line="240" w:lineRule="auto" w:before="69"/>
        <w:ind w:right="0"/>
        <w:jc w:val="left"/>
      </w:pPr>
      <w:r>
        <w:rPr>
          <w:rFonts w:ascii="Times New Roman" w:hAnsi="Times New Roman" w:cs="Times New Roman" w:eastAsia="Times New Roman" w:hint="default"/>
        </w:rPr>
        <w:t>10,264.52</w:t>
      </w:r>
      <w:r>
        <w:rPr>
          <w:rFonts w:ascii="Times New Roman" w:hAnsi="Times New Roman" w:cs="Times New Roman" w:eastAsia="Times New Roman" w:hint="default"/>
          <w:spacing w:val="-4"/>
        </w:rPr>
        <w:t> </w:t>
      </w:r>
      <w:r>
        <w:rPr/>
        <w:t>万元，净资产</w:t>
      </w:r>
      <w:r>
        <w:rPr>
          <w:spacing w:val="-53"/>
        </w:rPr>
        <w:t> </w:t>
      </w:r>
      <w:r>
        <w:rPr>
          <w:rFonts w:ascii="Times New Roman" w:hAnsi="Times New Roman" w:cs="Times New Roman" w:eastAsia="Times New Roman" w:hint="default"/>
        </w:rPr>
        <w:t>9,900.81</w:t>
      </w:r>
      <w:r>
        <w:rPr>
          <w:rFonts w:ascii="Times New Roman" w:hAnsi="Times New Roman" w:cs="Times New Roman" w:eastAsia="Times New Roman" w:hint="default"/>
          <w:spacing w:val="-4"/>
        </w:rPr>
        <w:t> </w:t>
      </w:r>
      <w:r>
        <w:rPr/>
        <w:t>万元，净利润</w:t>
      </w:r>
      <w:r>
        <w:rPr>
          <w:spacing w:val="-54"/>
        </w:rPr>
        <w:t> </w:t>
      </w:r>
      <w:r>
        <w:rPr>
          <w:rFonts w:ascii="Times New Roman" w:hAnsi="Times New Roman" w:cs="Times New Roman" w:eastAsia="Times New Roman" w:hint="default"/>
        </w:rPr>
        <w:t>97.44</w:t>
      </w:r>
      <w:r>
        <w:rPr>
          <w:rFonts w:ascii="Times New Roman" w:hAnsi="Times New Roman" w:cs="Times New Roman" w:eastAsia="Times New Roman" w:hint="default"/>
          <w:spacing w:val="-1"/>
        </w:rPr>
        <w:t> </w:t>
      </w:r>
      <w:r>
        <w:rPr/>
        <w:t>万元。</w:t>
      </w:r>
    </w:p>
    <w:p>
      <w:pPr>
        <w:spacing w:after="0" w:line="240" w:lineRule="auto"/>
        <w:jc w:val="left"/>
        <w:sectPr>
          <w:footerReference w:type="default" r:id="rId15"/>
          <w:pgSz w:w="11910" w:h="16840"/>
          <w:pgMar w:footer="974" w:header="880" w:top="1120" w:bottom="1160" w:left="1660" w:right="1120"/>
        </w:sectPr>
      </w:pPr>
    </w:p>
    <w:p>
      <w:pPr>
        <w:spacing w:line="240" w:lineRule="auto" w:before="0"/>
        <w:rPr>
          <w:rFonts w:ascii="宋体" w:hAnsi="宋体" w:cs="宋体" w:eastAsia="宋体" w:hint="default"/>
          <w:sz w:val="20"/>
          <w:szCs w:val="20"/>
        </w:rPr>
      </w:pPr>
    </w:p>
    <w:p>
      <w:pPr>
        <w:pStyle w:val="BodyText"/>
        <w:spacing w:line="240" w:lineRule="auto" w:before="182"/>
        <w:ind w:left="558" w:right="98"/>
        <w:jc w:val="left"/>
      </w:pPr>
      <w:r>
        <w:rPr>
          <w:spacing w:val="-3"/>
        </w:rPr>
        <w:t>西安南威信息科技有限责任公司为本公司控股子公司，成立于</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spacing w:val="-10"/>
        </w:rPr>
        <w:t>日，注册资本</w:t>
      </w:r>
    </w:p>
    <w:p>
      <w:pPr>
        <w:pStyle w:val="BodyText"/>
        <w:spacing w:line="240" w:lineRule="auto" w:before="69"/>
        <w:ind w:right="98"/>
        <w:jc w:val="left"/>
        <w:rPr>
          <w:rFonts w:ascii="Times New Roman" w:hAnsi="Times New Roman" w:cs="Times New Roman" w:eastAsia="Times New Roman" w:hint="default"/>
        </w:rPr>
      </w:pP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t>万元，主营业务：计算机软硬件系统的开发与技术服务等，公司持股比例为</w:t>
      </w:r>
      <w:r>
        <w:rPr>
          <w:spacing w:val="-57"/>
        </w:rPr>
        <w:t> </w:t>
      </w:r>
      <w:r>
        <w:rPr>
          <w:rFonts w:ascii="Times New Roman" w:hAnsi="Times New Roman" w:cs="Times New Roman" w:eastAsia="Times New Roman" w:hint="default"/>
        </w:rPr>
        <w:t>70%</w:t>
      </w:r>
      <w:r>
        <w:rPr/>
        <w:t>。截至</w:t>
      </w:r>
      <w:r>
        <w:rPr>
          <w:spacing w:val="-58"/>
        </w:rPr>
        <w:t> </w:t>
      </w:r>
      <w:r>
        <w:rPr>
          <w:rFonts w:ascii="Times New Roman" w:hAnsi="Times New Roman" w:cs="Times New Roman" w:eastAsia="Times New Roman" w:hint="default"/>
        </w:rPr>
        <w:t>2015</w:t>
      </w:r>
    </w:p>
    <w:p>
      <w:pPr>
        <w:pStyle w:val="BodyText"/>
        <w:spacing w:line="240" w:lineRule="auto" w:before="69"/>
        <w:ind w:right="98"/>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日，该公司总资产</w:t>
      </w:r>
      <w:r>
        <w:rPr>
          <w:spacing w:val="-52"/>
        </w:rPr>
        <w:t> </w:t>
      </w:r>
      <w:r>
        <w:rPr>
          <w:rFonts w:ascii="Times New Roman" w:hAnsi="Times New Roman" w:cs="Times New Roman" w:eastAsia="Times New Roman" w:hint="default"/>
        </w:rPr>
        <w:t>370.79 </w:t>
      </w:r>
      <w:r>
        <w:rPr/>
        <w:t>万元，净资产</w:t>
      </w:r>
      <w:r>
        <w:rPr>
          <w:spacing w:val="-55"/>
        </w:rPr>
        <w:t> </w:t>
      </w:r>
      <w:r>
        <w:rPr>
          <w:rFonts w:ascii="Times New Roman" w:hAnsi="Times New Roman" w:cs="Times New Roman" w:eastAsia="Times New Roman" w:hint="default"/>
        </w:rPr>
        <w:t>284.95</w:t>
      </w:r>
      <w:r>
        <w:rPr>
          <w:rFonts w:ascii="Times New Roman" w:hAnsi="Times New Roman" w:cs="Times New Roman" w:eastAsia="Times New Roman" w:hint="default"/>
          <w:spacing w:val="-3"/>
        </w:rPr>
        <w:t> </w:t>
      </w:r>
      <w:r>
        <w:rPr/>
        <w:t>万元，净利润</w:t>
      </w:r>
      <w:r>
        <w:rPr>
          <w:rFonts w:ascii="Times New Roman" w:hAnsi="Times New Roman" w:cs="Times New Roman" w:eastAsia="Times New Roman" w:hint="default"/>
        </w:rPr>
        <w:t>-179.12 </w:t>
      </w:r>
      <w:r>
        <w:rPr/>
        <w:t>万元。</w:t>
      </w:r>
    </w:p>
    <w:p>
      <w:pPr>
        <w:pStyle w:val="BodyText"/>
        <w:spacing w:line="240" w:lineRule="auto" w:before="129"/>
        <w:ind w:left="558" w:right="98"/>
        <w:jc w:val="left"/>
      </w:pPr>
      <w:r>
        <w:rPr/>
        <w:t>昌吉州南威软件有限公司是本公司的全资子公司，成立于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日，主营业务：技</w:t>
      </w:r>
    </w:p>
    <w:p>
      <w:pPr>
        <w:pStyle w:val="BodyText"/>
        <w:spacing w:line="240" w:lineRule="auto" w:before="69"/>
        <w:ind w:right="0"/>
        <w:jc w:val="left"/>
      </w:pPr>
      <w:r>
        <w:rPr/>
        <w:t>术咨询、软件开发、信息系统集成与技术服务等，注册资本</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万元。截至</w:t>
      </w:r>
      <w:r>
        <w:rPr>
          <w:spacing w:val="-53"/>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t>日，</w:t>
      </w:r>
    </w:p>
    <w:p>
      <w:pPr>
        <w:pStyle w:val="BodyText"/>
        <w:spacing w:line="240" w:lineRule="auto" w:before="69"/>
        <w:ind w:right="98"/>
        <w:jc w:val="left"/>
      </w:pPr>
      <w:r>
        <w:rPr/>
        <w:t>该公司总资产</w:t>
      </w:r>
      <w:r>
        <w:rPr>
          <w:spacing w:val="-55"/>
        </w:rPr>
        <w:t> </w:t>
      </w:r>
      <w:r>
        <w:rPr>
          <w:rFonts w:ascii="Times New Roman" w:hAnsi="Times New Roman" w:cs="Times New Roman" w:eastAsia="Times New Roman" w:hint="default"/>
        </w:rPr>
        <w:t>507.77</w:t>
      </w:r>
      <w:r>
        <w:rPr>
          <w:rFonts w:ascii="Times New Roman" w:hAnsi="Times New Roman" w:cs="Times New Roman" w:eastAsia="Times New Roman" w:hint="default"/>
          <w:spacing w:val="-2"/>
        </w:rPr>
        <w:t> </w:t>
      </w:r>
      <w:r>
        <w:rPr/>
        <w:t>万元，净资产</w:t>
      </w:r>
      <w:r>
        <w:rPr>
          <w:spacing w:val="-54"/>
        </w:rPr>
        <w:t> </w:t>
      </w:r>
      <w:r>
        <w:rPr>
          <w:rFonts w:ascii="Times New Roman" w:hAnsi="Times New Roman" w:cs="Times New Roman" w:eastAsia="Times New Roman" w:hint="default"/>
        </w:rPr>
        <w:t>470.21</w:t>
      </w:r>
      <w:r>
        <w:rPr>
          <w:rFonts w:ascii="Times New Roman" w:hAnsi="Times New Roman" w:cs="Times New Roman" w:eastAsia="Times New Roman" w:hint="default"/>
          <w:spacing w:val="-2"/>
        </w:rPr>
        <w:t> </w:t>
      </w:r>
      <w:r>
        <w:rPr/>
        <w:t>万元，净利润</w:t>
      </w:r>
      <w:r>
        <w:rPr>
          <w:rFonts w:ascii="Times New Roman" w:hAnsi="Times New Roman" w:cs="Times New Roman" w:eastAsia="Times New Roman" w:hint="default"/>
        </w:rPr>
        <w:t>-65.17</w:t>
      </w:r>
      <w:r>
        <w:rPr>
          <w:rFonts w:ascii="Times New Roman" w:hAnsi="Times New Roman" w:cs="Times New Roman" w:eastAsia="Times New Roman" w:hint="default"/>
          <w:spacing w:val="-5"/>
        </w:rPr>
        <w:t> </w:t>
      </w:r>
      <w:r>
        <w:rPr/>
        <w:t>万元。</w:t>
      </w:r>
    </w:p>
    <w:p>
      <w:pPr>
        <w:pStyle w:val="BodyText"/>
        <w:spacing w:line="240" w:lineRule="auto" w:before="129"/>
        <w:ind w:left="558" w:right="98"/>
        <w:jc w:val="left"/>
      </w:pPr>
      <w:r>
        <w:rPr/>
        <w:t>成都南威软件有限公司是本公司的全资子公司，成立于</w:t>
      </w:r>
      <w:r>
        <w:rPr>
          <w:spacing w:val="-50"/>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15 </w:t>
      </w:r>
      <w:r>
        <w:rPr/>
        <w:t>日，主营业务：技术</w:t>
      </w:r>
    </w:p>
    <w:p>
      <w:pPr>
        <w:pStyle w:val="BodyText"/>
        <w:spacing w:line="240" w:lineRule="auto" w:before="69"/>
        <w:ind w:right="98"/>
        <w:jc w:val="left"/>
        <w:rPr>
          <w:rFonts w:ascii="Times New Roman" w:hAnsi="Times New Roman" w:cs="Times New Roman" w:eastAsia="Times New Roman" w:hint="default"/>
        </w:rPr>
      </w:pPr>
      <w:r>
        <w:rPr>
          <w:spacing w:val="-7"/>
        </w:rPr>
        <w:t>咨询、软件开发与技术服务等，注册资本</w:t>
      </w:r>
      <w:r>
        <w:rPr>
          <w:spacing w:val="-48"/>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spacing w:val="-12"/>
        </w:rPr>
        <w:t>万元。截至</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8"/>
        </w:rPr>
        <w:t>日，该公司总资产</w:t>
      </w:r>
      <w:r>
        <w:rPr>
          <w:spacing w:val="-47"/>
        </w:rPr>
        <w:t> </w:t>
      </w:r>
      <w:r>
        <w:rPr>
          <w:rFonts w:ascii="Times New Roman" w:hAnsi="Times New Roman" w:cs="Times New Roman" w:eastAsia="Times New Roman" w:hint="default"/>
        </w:rPr>
        <w:t>66.50</w:t>
      </w:r>
    </w:p>
    <w:p>
      <w:pPr>
        <w:pStyle w:val="BodyText"/>
        <w:spacing w:line="348" w:lineRule="auto" w:before="69"/>
        <w:ind w:left="558" w:right="204" w:hanging="420"/>
        <w:jc w:val="left"/>
      </w:pPr>
      <w:r>
        <w:rPr/>
        <w:t>万元，净资产</w:t>
      </w:r>
      <w:r>
        <w:rPr>
          <w:rFonts w:ascii="Times New Roman" w:hAnsi="Times New Roman" w:cs="Times New Roman" w:eastAsia="Times New Roman" w:hint="default"/>
        </w:rPr>
        <w:t>-63.85 </w:t>
      </w:r>
      <w:r>
        <w:rPr/>
        <w:t>万元，净利润</w:t>
      </w:r>
      <w:r>
        <w:rPr>
          <w:rFonts w:ascii="Times New Roman" w:hAnsi="Times New Roman" w:cs="Times New Roman" w:eastAsia="Times New Roman" w:hint="default"/>
        </w:rPr>
        <w:t>-107.11</w:t>
      </w:r>
      <w:r>
        <w:rPr>
          <w:rFonts w:ascii="Times New Roman" w:hAnsi="Times New Roman" w:cs="Times New Roman" w:eastAsia="Times New Roman" w:hint="default"/>
          <w:spacing w:val="-6"/>
        </w:rPr>
        <w:t> </w:t>
      </w:r>
      <w:r>
        <w:rPr/>
        <w:t>万元。</w:t>
      </w:r>
      <w:r>
        <w:rPr>
          <w:w w:val="100"/>
        </w:rPr>
        <w:t> </w:t>
      </w:r>
      <w:r>
        <w:rPr/>
        <w:t>福建神威系统集成有限责任公司为本公司控股子公司，成立于</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日，注册资本</w:t>
      </w:r>
    </w:p>
    <w:p>
      <w:pPr>
        <w:pStyle w:val="BodyText"/>
        <w:spacing w:line="255" w:lineRule="exact"/>
        <w:ind w:right="98"/>
        <w:jc w:val="left"/>
      </w:pPr>
      <w:r>
        <w:rPr/>
        <w:t>为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万元，主营业务：轨道交通类产品的研发、设计、销售、集成与运维服务等，公司持股</w:t>
      </w:r>
    </w:p>
    <w:p>
      <w:pPr>
        <w:pStyle w:val="BodyText"/>
        <w:spacing w:line="297" w:lineRule="auto" w:before="69"/>
        <w:ind w:right="207"/>
        <w:jc w:val="left"/>
      </w:pPr>
      <w:r>
        <w:rPr/>
        <w:t>比例为</w:t>
      </w:r>
      <w:r>
        <w:rPr>
          <w:spacing w:val="-44"/>
        </w:rPr>
        <w:t> </w:t>
      </w:r>
      <w:r>
        <w:rPr>
          <w:rFonts w:ascii="Times New Roman" w:hAnsi="Times New Roman" w:cs="Times New Roman" w:eastAsia="Times New Roman" w:hint="default"/>
        </w:rPr>
        <w:t>55%</w:t>
      </w:r>
      <w:r>
        <w:rPr/>
        <w:t>。截至</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日，该公司总资产</w:t>
      </w:r>
      <w:r>
        <w:rPr>
          <w:spacing w:val="-46"/>
        </w:rPr>
        <w:t> </w:t>
      </w:r>
      <w:r>
        <w:rPr>
          <w:rFonts w:ascii="Times New Roman" w:hAnsi="Times New Roman" w:cs="Times New Roman" w:eastAsia="Times New Roman" w:hint="default"/>
        </w:rPr>
        <w:t>6,618.89</w:t>
      </w:r>
      <w:r>
        <w:rPr>
          <w:rFonts w:ascii="Times New Roman" w:hAnsi="Times New Roman" w:cs="Times New Roman" w:eastAsia="Times New Roman" w:hint="default"/>
          <w:spacing w:val="6"/>
        </w:rPr>
        <w:t> </w:t>
      </w:r>
      <w:r>
        <w:rPr/>
        <w:t>万元，净资产</w:t>
      </w:r>
      <w:r>
        <w:rPr>
          <w:spacing w:val="-44"/>
        </w:rPr>
        <w:t> </w:t>
      </w:r>
      <w:r>
        <w:rPr>
          <w:rFonts w:ascii="Times New Roman" w:hAnsi="Times New Roman" w:cs="Times New Roman" w:eastAsia="Times New Roman" w:hint="default"/>
        </w:rPr>
        <w:t>4,242.32</w:t>
      </w:r>
      <w:r>
        <w:rPr>
          <w:rFonts w:ascii="Times New Roman" w:hAnsi="Times New Roman" w:cs="Times New Roman" w:eastAsia="Times New Roman" w:hint="default"/>
          <w:spacing w:val="8"/>
        </w:rPr>
        <w:t> </w:t>
      </w:r>
      <w:r>
        <w:rPr/>
        <w:t>万元，净</w:t>
      </w:r>
      <w:r>
        <w:rPr>
          <w:w w:val="100"/>
        </w:rPr>
        <w:t> </w:t>
      </w:r>
      <w:r>
        <w:rPr/>
        <w:t>利润</w:t>
      </w:r>
      <w:r>
        <w:rPr>
          <w:rFonts w:ascii="Times New Roman" w:hAnsi="Times New Roman" w:cs="Times New Roman" w:eastAsia="Times New Roman" w:hint="default"/>
        </w:rPr>
        <w:t>-236.21</w:t>
      </w:r>
      <w:r>
        <w:rPr>
          <w:rFonts w:ascii="Times New Roman" w:hAnsi="Times New Roman" w:cs="Times New Roman" w:eastAsia="Times New Roman" w:hint="default"/>
          <w:spacing w:val="-2"/>
        </w:rPr>
        <w:t> </w:t>
      </w:r>
      <w:r>
        <w:rPr/>
        <w:t>万元。</w:t>
      </w:r>
    </w:p>
    <w:p>
      <w:pPr>
        <w:pStyle w:val="BodyText"/>
        <w:spacing w:line="240" w:lineRule="auto" w:before="73"/>
        <w:ind w:left="558" w:right="98"/>
        <w:jc w:val="left"/>
      </w:pPr>
      <w:r>
        <w:rPr>
          <w:spacing w:val="-3"/>
        </w:rPr>
        <w:t>江西南威软件有限公司是本公司的全资子公司，成立于</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spacing w:val="-9"/>
        </w:rPr>
        <w:t>日，主营业务：技术</w:t>
      </w:r>
    </w:p>
    <w:p>
      <w:pPr>
        <w:pStyle w:val="BodyText"/>
        <w:spacing w:line="240" w:lineRule="auto" w:before="69"/>
        <w:ind w:right="98"/>
        <w:jc w:val="left"/>
        <w:rPr>
          <w:rFonts w:ascii="Times New Roman" w:hAnsi="Times New Roman" w:cs="Times New Roman" w:eastAsia="Times New Roman" w:hint="default"/>
        </w:rPr>
      </w:pPr>
      <w:r>
        <w:rPr>
          <w:spacing w:val="-10"/>
        </w:rPr>
        <w:t>咨询、软件开发与技术服务等，注册资本</w:t>
      </w:r>
      <w:r>
        <w:rPr>
          <w:spacing w:val="-48"/>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17"/>
        </w:rPr>
        <w:t>万元。截至</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11"/>
        </w:rPr>
        <w:t>日，该公司总资产</w:t>
      </w:r>
      <w:r>
        <w:rPr>
          <w:spacing w:val="-47"/>
        </w:rPr>
        <w:t> </w:t>
      </w:r>
      <w:r>
        <w:rPr>
          <w:rFonts w:ascii="Times New Roman" w:hAnsi="Times New Roman" w:cs="Times New Roman" w:eastAsia="Times New Roman" w:hint="default"/>
        </w:rPr>
        <w:t>364.77</w:t>
      </w:r>
    </w:p>
    <w:p>
      <w:pPr>
        <w:pStyle w:val="BodyText"/>
        <w:spacing w:line="345" w:lineRule="auto" w:before="69"/>
        <w:ind w:left="558" w:right="205" w:hanging="420"/>
        <w:jc w:val="left"/>
      </w:pPr>
      <w:r>
        <w:rPr/>
        <w:t>万元，净资产</w:t>
      </w:r>
      <w:r>
        <w:rPr>
          <w:spacing w:val="-54"/>
        </w:rPr>
        <w:t> </w:t>
      </w:r>
      <w:r>
        <w:rPr>
          <w:rFonts w:ascii="Times New Roman" w:hAnsi="Times New Roman" w:cs="Times New Roman" w:eastAsia="Times New Roman" w:hint="default"/>
        </w:rPr>
        <w:t>357.67</w:t>
      </w:r>
      <w:r>
        <w:rPr>
          <w:rFonts w:ascii="Times New Roman" w:hAnsi="Times New Roman" w:cs="Times New Roman" w:eastAsia="Times New Roman" w:hint="default"/>
          <w:spacing w:val="-1"/>
        </w:rPr>
        <w:t> </w:t>
      </w:r>
      <w:r>
        <w:rPr/>
        <w:t>万元，净利润</w:t>
      </w:r>
      <w:r>
        <w:rPr>
          <w:rFonts w:ascii="Times New Roman" w:hAnsi="Times New Roman" w:cs="Times New Roman" w:eastAsia="Times New Roman" w:hint="default"/>
        </w:rPr>
        <w:t>-53.67</w:t>
      </w:r>
      <w:r>
        <w:rPr>
          <w:rFonts w:ascii="Times New Roman" w:hAnsi="Times New Roman" w:cs="Times New Roman" w:eastAsia="Times New Roman" w:hint="default"/>
          <w:spacing w:val="-4"/>
        </w:rPr>
        <w:t> </w:t>
      </w:r>
      <w:r>
        <w:rPr/>
        <w:t>万元。</w:t>
      </w:r>
      <w:r>
        <w:rPr>
          <w:w w:val="100"/>
        </w:rPr>
        <w:t> </w:t>
      </w:r>
      <w:r>
        <w:rPr>
          <w:spacing w:val="-3"/>
        </w:rPr>
        <w:t>南京伍安信息科技有限公司是本公司的参股公司，成立于</w:t>
      </w:r>
      <w:r>
        <w:rPr>
          <w:spacing w:val="-4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spacing w:val="-10"/>
        </w:rPr>
        <w:t>日，主营业务：安</w:t>
      </w:r>
    </w:p>
    <w:p>
      <w:pPr>
        <w:pStyle w:val="BodyText"/>
        <w:spacing w:line="258" w:lineRule="exact"/>
        <w:ind w:right="98"/>
        <w:jc w:val="left"/>
        <w:rPr>
          <w:rFonts w:ascii="Times New Roman" w:hAnsi="Times New Roman" w:cs="Times New Roman" w:eastAsia="Times New Roman" w:hint="default"/>
        </w:rPr>
      </w:pPr>
      <w:r>
        <w:rPr/>
        <w:t>全产品的设计、研发与销售，注册资本</w:t>
      </w:r>
      <w:r>
        <w:rPr>
          <w:spacing w:val="-34"/>
        </w:rPr>
        <w:t> </w:t>
      </w:r>
      <w:r>
        <w:rPr>
          <w:rFonts w:ascii="Times New Roman" w:hAnsi="Times New Roman" w:cs="Times New Roman" w:eastAsia="Times New Roman" w:hint="default"/>
        </w:rPr>
        <w:t>150</w:t>
      </w:r>
      <w:r>
        <w:rPr>
          <w:rFonts w:ascii="Times New Roman" w:hAnsi="Times New Roman" w:cs="Times New Roman" w:eastAsia="Times New Roman" w:hint="default"/>
          <w:spacing w:val="18"/>
        </w:rPr>
        <w:t> </w:t>
      </w:r>
      <w:r>
        <w:rPr/>
        <w:t>万元，公司持股比例为</w:t>
      </w:r>
      <w:r>
        <w:rPr>
          <w:spacing w:val="-35"/>
        </w:rPr>
        <w:t> </w:t>
      </w:r>
      <w:r>
        <w:rPr>
          <w:rFonts w:ascii="Times New Roman" w:hAnsi="Times New Roman" w:cs="Times New Roman" w:eastAsia="Times New Roman" w:hint="default"/>
        </w:rPr>
        <w:t>20%</w:t>
      </w:r>
      <w:r>
        <w:rPr/>
        <w:t>。截至</w:t>
      </w:r>
      <w:r>
        <w:rPr>
          <w:spacing w:val="-3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34"/>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240" w:lineRule="auto" w:before="69"/>
        <w:ind w:right="98"/>
        <w:jc w:val="left"/>
      </w:pPr>
      <w:r>
        <w:rPr/>
        <w:t>日，该公司总资产</w:t>
      </w:r>
      <w:r>
        <w:rPr>
          <w:spacing w:val="-54"/>
        </w:rPr>
        <w:t> </w:t>
      </w:r>
      <w:r>
        <w:rPr>
          <w:rFonts w:ascii="Times New Roman" w:hAnsi="Times New Roman" w:cs="Times New Roman" w:eastAsia="Times New Roman" w:hint="default"/>
        </w:rPr>
        <w:t>134.6</w:t>
      </w:r>
      <w:r>
        <w:rPr>
          <w:rFonts w:ascii="Times New Roman" w:hAnsi="Times New Roman" w:cs="Times New Roman" w:eastAsia="Times New Roman" w:hint="default"/>
          <w:spacing w:val="-3"/>
        </w:rPr>
        <w:t> </w:t>
      </w:r>
      <w:r>
        <w:rPr/>
        <w:t>万元，净资产</w:t>
      </w:r>
      <w:r>
        <w:rPr>
          <w:spacing w:val="-54"/>
        </w:rPr>
        <w:t> </w:t>
      </w:r>
      <w:r>
        <w:rPr>
          <w:rFonts w:ascii="Times New Roman" w:hAnsi="Times New Roman" w:cs="Times New Roman" w:eastAsia="Times New Roman" w:hint="default"/>
        </w:rPr>
        <w:t>110.69</w:t>
      </w:r>
      <w:r>
        <w:rPr>
          <w:rFonts w:ascii="Times New Roman" w:hAnsi="Times New Roman" w:cs="Times New Roman" w:eastAsia="Times New Roman" w:hint="default"/>
          <w:spacing w:val="-1"/>
        </w:rPr>
        <w:t> </w:t>
      </w:r>
      <w:r>
        <w:rPr/>
        <w:t>万元，净利润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万元。</w:t>
      </w:r>
    </w:p>
    <w:p>
      <w:pPr>
        <w:pStyle w:val="BodyText"/>
        <w:spacing w:line="240" w:lineRule="auto" w:before="129"/>
        <w:ind w:left="558" w:right="98"/>
        <w:jc w:val="left"/>
      </w:pPr>
      <w:r>
        <w:rPr>
          <w:spacing w:val="-3"/>
        </w:rPr>
        <w:t>南平南威软件有限公司是本公司的全资子公司，成立于</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8"/>
        </w:rPr>
        <w:t>日，主营业务：技术咨</w:t>
      </w:r>
    </w:p>
    <w:p>
      <w:pPr>
        <w:pStyle w:val="BodyText"/>
        <w:spacing w:line="240" w:lineRule="auto" w:before="69"/>
        <w:ind w:right="98"/>
        <w:jc w:val="left"/>
        <w:rPr>
          <w:rFonts w:ascii="Times New Roman" w:hAnsi="Times New Roman" w:cs="Times New Roman" w:eastAsia="Times New Roman" w:hint="default"/>
        </w:rPr>
      </w:pPr>
      <w:r>
        <w:rPr/>
        <w:t>询，软件开发与技术服务等，注册资本</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万元。截至</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日，该公司总资产</w:t>
      </w:r>
      <w:r>
        <w:rPr>
          <w:spacing w:val="-54"/>
        </w:rPr>
        <w:t> </w:t>
      </w:r>
      <w:r>
        <w:rPr>
          <w:rFonts w:ascii="Times New Roman" w:hAnsi="Times New Roman" w:cs="Times New Roman" w:eastAsia="Times New Roman" w:hint="default"/>
        </w:rPr>
        <w:t>87.59</w:t>
      </w:r>
    </w:p>
    <w:p>
      <w:pPr>
        <w:pStyle w:val="BodyText"/>
        <w:spacing w:line="345" w:lineRule="auto" w:before="69"/>
        <w:ind w:left="558" w:right="203" w:hanging="420"/>
        <w:jc w:val="left"/>
      </w:pPr>
      <w:r>
        <w:rPr/>
        <w:t>万元，净资产</w:t>
      </w:r>
      <w:r>
        <w:rPr>
          <w:spacing w:val="-53"/>
        </w:rPr>
        <w:t> </w:t>
      </w:r>
      <w:r>
        <w:rPr>
          <w:rFonts w:ascii="Times New Roman" w:hAnsi="Times New Roman" w:cs="Times New Roman" w:eastAsia="Times New Roman" w:hint="default"/>
        </w:rPr>
        <w:t>86.26</w:t>
      </w:r>
      <w:r>
        <w:rPr>
          <w:rFonts w:ascii="Times New Roman" w:hAnsi="Times New Roman" w:cs="Times New Roman" w:eastAsia="Times New Roman" w:hint="default"/>
          <w:spacing w:val="-3"/>
        </w:rPr>
        <w:t> </w:t>
      </w:r>
      <w:r>
        <w:rPr/>
        <w:t>万元，净利润</w:t>
      </w:r>
      <w:r>
        <w:rPr>
          <w:rFonts w:ascii="Times New Roman" w:hAnsi="Times New Roman" w:cs="Times New Roman" w:eastAsia="Times New Roman" w:hint="default"/>
        </w:rPr>
        <w:t>-11.27</w:t>
      </w:r>
      <w:r>
        <w:rPr>
          <w:rFonts w:ascii="Times New Roman" w:hAnsi="Times New Roman" w:cs="Times New Roman" w:eastAsia="Times New Roman" w:hint="default"/>
          <w:spacing w:val="-3"/>
        </w:rPr>
        <w:t> </w:t>
      </w:r>
      <w:r>
        <w:rPr/>
        <w:t>万元。</w:t>
      </w:r>
      <w:r>
        <w:rPr>
          <w:w w:val="100"/>
        </w:rPr>
        <w:t> </w:t>
      </w:r>
      <w:r>
        <w:rPr/>
        <w:t>海南科特尔科技有限公司是本公司的全资子公司，成立于</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日，主营业务：技</w:t>
      </w:r>
    </w:p>
    <w:p>
      <w:pPr>
        <w:pStyle w:val="BodyText"/>
        <w:spacing w:line="258" w:lineRule="exact"/>
        <w:ind w:right="98"/>
        <w:jc w:val="left"/>
      </w:pPr>
      <w:r>
        <w:rPr/>
        <w:t>术咨询、软件开发与技术服务等，注册资本</w:t>
      </w:r>
      <w:r>
        <w:rPr>
          <w:spacing w:val="-3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t>万元。截至</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日，该公司总资产</w:t>
      </w:r>
    </w:p>
    <w:p>
      <w:pPr>
        <w:pStyle w:val="BodyText"/>
        <w:spacing w:line="240" w:lineRule="auto" w:before="69"/>
        <w:ind w:right="2926"/>
        <w:jc w:val="left"/>
      </w:pPr>
      <w:r>
        <w:rPr>
          <w:rFonts w:ascii="Times New Roman" w:hAnsi="Times New Roman" w:cs="Times New Roman" w:eastAsia="Times New Roman" w:hint="default"/>
        </w:rPr>
        <w:t>85.58</w:t>
      </w:r>
      <w:r>
        <w:rPr>
          <w:rFonts w:ascii="Times New Roman" w:hAnsi="Times New Roman" w:cs="Times New Roman" w:eastAsia="Times New Roman" w:hint="default"/>
          <w:spacing w:val="-3"/>
        </w:rPr>
        <w:t> </w:t>
      </w:r>
      <w:r>
        <w:rPr/>
        <w:t>万元，净资产</w:t>
      </w:r>
      <w:r>
        <w:rPr>
          <w:spacing w:val="-55"/>
        </w:rPr>
        <w:t> </w:t>
      </w:r>
      <w:r>
        <w:rPr>
          <w:rFonts w:ascii="Times New Roman" w:hAnsi="Times New Roman" w:cs="Times New Roman" w:eastAsia="Times New Roman" w:hint="default"/>
        </w:rPr>
        <w:t>83.54</w:t>
      </w:r>
      <w:r>
        <w:rPr>
          <w:rFonts w:ascii="Times New Roman" w:hAnsi="Times New Roman" w:cs="Times New Roman" w:eastAsia="Times New Roman" w:hint="default"/>
          <w:spacing w:val="-2"/>
        </w:rPr>
        <w:t> </w:t>
      </w:r>
      <w:r>
        <w:rPr/>
        <w:t>万元，净利润</w:t>
      </w:r>
      <w:r>
        <w:rPr>
          <w:rFonts w:ascii="Times New Roman" w:hAnsi="Times New Roman" w:cs="Times New Roman" w:eastAsia="Times New Roman" w:hint="default"/>
        </w:rPr>
        <w:t>-14.37</w:t>
      </w:r>
      <w:r>
        <w:rPr>
          <w:rFonts w:ascii="Times New Roman" w:hAnsi="Times New Roman" w:cs="Times New Roman" w:eastAsia="Times New Roman" w:hint="default"/>
          <w:spacing w:val="-3"/>
        </w:rPr>
        <w:t> </w:t>
      </w:r>
      <w:r>
        <w:rPr/>
        <w:t>万元。</w:t>
      </w:r>
    </w:p>
    <w:p>
      <w:pPr>
        <w:pStyle w:val="BodyText"/>
        <w:spacing w:line="240" w:lineRule="auto" w:before="129"/>
        <w:ind w:left="558" w:right="98"/>
        <w:jc w:val="left"/>
      </w:pPr>
      <w:r>
        <w:rPr/>
        <w:t>重庆南威信息技术有限公司是本公司的全资子公司，成立于</w:t>
      </w:r>
      <w:r>
        <w:rPr>
          <w:spacing w:val="-50"/>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24 </w:t>
      </w:r>
      <w:r>
        <w:rPr/>
        <w:t>日，主营业务：</w:t>
      </w:r>
    </w:p>
    <w:p>
      <w:pPr>
        <w:pStyle w:val="BodyText"/>
        <w:spacing w:line="240" w:lineRule="auto" w:before="70"/>
        <w:ind w:right="98"/>
        <w:jc w:val="left"/>
      </w:pPr>
      <w:r>
        <w:rPr/>
        <w:t>计算机软件的技术研发，计算机系统服务，安防工程的设计与施工等，注册资本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万元。截</w:t>
      </w:r>
    </w:p>
    <w:p>
      <w:pPr>
        <w:pStyle w:val="BodyText"/>
        <w:spacing w:line="240" w:lineRule="auto" w:before="69"/>
        <w:ind w:right="98"/>
        <w:jc w:val="left"/>
      </w:pPr>
      <w:r>
        <w:rPr/>
        <w:t>至</w:t>
      </w:r>
      <w:r>
        <w:rPr>
          <w:spacing w:val="-53"/>
        </w:rPr>
        <w:t> </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日，该公司总资产</w:t>
      </w:r>
      <w:r>
        <w:rPr>
          <w:spacing w:val="-53"/>
        </w:rPr>
        <w:t> </w:t>
      </w:r>
      <w:r>
        <w:rPr>
          <w:rFonts w:ascii="Times New Roman" w:hAnsi="Times New Roman" w:cs="Times New Roman" w:eastAsia="Times New Roman" w:hint="default"/>
        </w:rPr>
        <w:t>973.98</w:t>
      </w:r>
      <w:r>
        <w:rPr>
          <w:rFonts w:ascii="Times New Roman" w:hAnsi="Times New Roman" w:cs="Times New Roman" w:eastAsia="Times New Roman" w:hint="default"/>
          <w:spacing w:val="-3"/>
        </w:rPr>
        <w:t> </w:t>
      </w:r>
      <w:r>
        <w:rPr/>
        <w:t>万元，净资产</w:t>
      </w:r>
      <w:r>
        <w:rPr>
          <w:spacing w:val="-53"/>
        </w:rPr>
        <w:t> </w:t>
      </w:r>
      <w:r>
        <w:rPr>
          <w:rFonts w:ascii="Times New Roman" w:hAnsi="Times New Roman" w:cs="Times New Roman" w:eastAsia="Times New Roman" w:hint="default"/>
        </w:rPr>
        <w:t>945.98</w:t>
      </w:r>
      <w:r>
        <w:rPr>
          <w:rFonts w:ascii="Times New Roman" w:hAnsi="Times New Roman" w:cs="Times New Roman" w:eastAsia="Times New Roman" w:hint="default"/>
          <w:spacing w:val="-3"/>
        </w:rPr>
        <w:t> </w:t>
      </w:r>
      <w:r>
        <w:rPr/>
        <w:t>万元，净利润</w:t>
      </w:r>
      <w:r>
        <w:rPr>
          <w:rFonts w:ascii="Times New Roman" w:hAnsi="Times New Roman" w:cs="Times New Roman" w:eastAsia="Times New Roman" w:hint="default"/>
        </w:rPr>
        <w:t>-54.02 </w:t>
      </w:r>
      <w:r>
        <w:rPr/>
        <w:t>万元。</w:t>
      </w:r>
    </w:p>
    <w:p>
      <w:pPr>
        <w:pStyle w:val="BodyText"/>
        <w:spacing w:line="302" w:lineRule="auto" w:before="129"/>
        <w:ind w:right="207" w:firstLine="419"/>
        <w:jc w:val="both"/>
      </w:pPr>
      <w:r>
        <w:rPr/>
        <w:t>上海南信信息科技有限公司是本公司的控股子公司，成立于</w:t>
      </w:r>
      <w:r>
        <w:rPr>
          <w:spacing w:val="-50"/>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12 </w:t>
      </w:r>
      <w:r>
        <w:rPr/>
        <w:t>日，主营业务：</w:t>
      </w:r>
      <w:r>
        <w:rPr>
          <w:w w:val="100"/>
        </w:rPr>
        <w:t> </w:t>
      </w:r>
      <w:r>
        <w:rPr>
          <w:spacing w:val="-2"/>
        </w:rPr>
        <w:t>信息科技、网络科技、计算机科技、智能化设备科技领域的技术咨询、开发、服务、转让等，注</w:t>
      </w:r>
      <w:r>
        <w:rPr>
          <w:spacing w:val="-15"/>
        </w:rPr>
        <w:t> </w:t>
      </w:r>
      <w:r>
        <w:rPr>
          <w:spacing w:val="-15"/>
        </w:rPr>
      </w:r>
      <w:r>
        <w:rPr/>
        <w:t>册资本</w:t>
      </w:r>
      <w:r>
        <w:rPr>
          <w:spacing w:val="-5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spacing w:val="-6"/>
        </w:rPr>
        <w:t>万元，公司持股比例为</w:t>
      </w:r>
      <w:r>
        <w:rPr>
          <w:spacing w:val="-50"/>
        </w:rPr>
        <w:t> </w:t>
      </w:r>
      <w:r>
        <w:rPr>
          <w:rFonts w:ascii="Times New Roman" w:hAnsi="Times New Roman" w:cs="Times New Roman" w:eastAsia="Times New Roman" w:hint="default"/>
          <w:spacing w:val="-8"/>
        </w:rPr>
        <w:t>70%</w:t>
      </w:r>
      <w:r>
        <w:rPr>
          <w:spacing w:val="-8"/>
        </w:rPr>
        <w:t>。截至</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spacing w:val="-6"/>
        </w:rPr>
        <w:t>日，该公司总资产</w:t>
      </w:r>
      <w:r>
        <w:rPr>
          <w:spacing w:val="-49"/>
        </w:rPr>
        <w:t> </w:t>
      </w:r>
      <w:r>
        <w:rPr>
          <w:rFonts w:ascii="Times New Roman" w:hAnsi="Times New Roman" w:cs="Times New Roman" w:eastAsia="Times New Roman" w:hint="default"/>
        </w:rPr>
        <w:t>270.93</w:t>
      </w:r>
      <w:r>
        <w:rPr>
          <w:rFonts w:ascii="Times New Roman" w:hAnsi="Times New Roman" w:cs="Times New Roman" w:eastAsia="Times New Roman" w:hint="default"/>
          <w:spacing w:val="3"/>
        </w:rPr>
        <w:t> </w:t>
      </w:r>
      <w:r>
        <w:rPr/>
        <w:t>万元，</w:t>
      </w:r>
      <w:r>
        <w:rPr>
          <w:w w:val="100"/>
        </w:rPr>
        <w:t> </w:t>
      </w:r>
      <w:r>
        <w:rPr/>
        <w:t>净资产</w:t>
      </w:r>
      <w:r>
        <w:rPr>
          <w:spacing w:val="-54"/>
        </w:rPr>
        <w:t> </w:t>
      </w:r>
      <w:r>
        <w:rPr>
          <w:rFonts w:ascii="Times New Roman" w:hAnsi="Times New Roman" w:cs="Times New Roman" w:eastAsia="Times New Roman" w:hint="default"/>
        </w:rPr>
        <w:t>222.78</w:t>
      </w:r>
      <w:r>
        <w:rPr>
          <w:rFonts w:ascii="Times New Roman" w:hAnsi="Times New Roman" w:cs="Times New Roman" w:eastAsia="Times New Roman" w:hint="default"/>
          <w:spacing w:val="-4"/>
        </w:rPr>
        <w:t> </w:t>
      </w:r>
      <w:r>
        <w:rPr/>
        <w:t>万元，净利润</w:t>
      </w:r>
      <w:r>
        <w:rPr>
          <w:rFonts w:ascii="Times New Roman" w:hAnsi="Times New Roman" w:cs="Times New Roman" w:eastAsia="Times New Roman" w:hint="default"/>
        </w:rPr>
        <w:t>-77.22</w:t>
      </w:r>
      <w:r>
        <w:rPr>
          <w:rFonts w:ascii="Times New Roman" w:hAnsi="Times New Roman" w:cs="Times New Roman" w:eastAsia="Times New Roman" w:hint="default"/>
          <w:spacing w:val="-1"/>
        </w:rPr>
        <w:t> </w:t>
      </w:r>
      <w:r>
        <w:rPr/>
        <w:t>万元。</w:t>
      </w:r>
    </w:p>
    <w:p>
      <w:pPr>
        <w:pStyle w:val="BodyText"/>
        <w:spacing w:line="240" w:lineRule="auto" w:before="69"/>
        <w:ind w:left="558" w:right="98"/>
        <w:jc w:val="left"/>
      </w:pPr>
      <w:r>
        <w:rPr>
          <w:spacing w:val="-3"/>
        </w:rPr>
        <w:t>平潭力信软件有限公司是本公司的全资子公司，成立于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spacing w:val="-9"/>
        </w:rPr>
        <w:t>日，主营业务：软件</w:t>
      </w:r>
      <w:r>
        <w:rPr/>
      </w:r>
    </w:p>
    <w:p>
      <w:pPr>
        <w:pStyle w:val="BodyText"/>
        <w:spacing w:line="297" w:lineRule="auto" w:before="69"/>
        <w:ind w:right="98"/>
        <w:jc w:val="left"/>
      </w:pPr>
      <w:r>
        <w:rPr>
          <w:spacing w:val="-9"/>
        </w:rPr>
        <w:t>开发，信息系统集成服务，信息技术咨询服务等，注册资本</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6"/>
        </w:rPr>
        <w:t> </w:t>
      </w:r>
      <w:r>
        <w:rPr>
          <w:spacing w:val="-14"/>
        </w:rPr>
        <w:t>万元。截至</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103"/>
        </w:rPr>
        <w:t> </w:t>
      </w:r>
      <w:r>
        <w:rPr/>
        <w:t>该公司总资产</w:t>
      </w:r>
      <w:r>
        <w:rPr>
          <w:spacing w:val="-53"/>
        </w:rPr>
        <w:t> </w:t>
      </w:r>
      <w:r>
        <w:rPr>
          <w:rFonts w:ascii="Times New Roman" w:hAnsi="Times New Roman" w:cs="Times New Roman" w:eastAsia="Times New Roman" w:hint="default"/>
        </w:rPr>
        <w:t>0.05</w:t>
      </w:r>
      <w:r>
        <w:rPr>
          <w:rFonts w:ascii="Times New Roman" w:hAnsi="Times New Roman" w:cs="Times New Roman" w:eastAsia="Times New Roman" w:hint="default"/>
          <w:spacing w:val="-3"/>
        </w:rPr>
        <w:t> </w:t>
      </w:r>
      <w:r>
        <w:rPr/>
        <w:t>万元，净资产</w:t>
      </w:r>
      <w:r>
        <w:rPr>
          <w:rFonts w:ascii="Times New Roman" w:hAnsi="Times New Roman" w:cs="Times New Roman" w:eastAsia="Times New Roman" w:hint="default"/>
        </w:rPr>
        <w:t>-0.16</w:t>
      </w:r>
      <w:r>
        <w:rPr>
          <w:rFonts w:ascii="Times New Roman" w:hAnsi="Times New Roman" w:cs="Times New Roman" w:eastAsia="Times New Roman" w:hint="default"/>
          <w:spacing w:val="-3"/>
        </w:rPr>
        <w:t> </w:t>
      </w:r>
      <w:r>
        <w:rPr/>
        <w:t>万元，净利润</w:t>
      </w:r>
      <w:r>
        <w:rPr>
          <w:rFonts w:ascii="Times New Roman" w:hAnsi="Times New Roman" w:cs="Times New Roman" w:eastAsia="Times New Roman" w:hint="default"/>
        </w:rPr>
        <w:t>-0.16 </w:t>
      </w:r>
      <w:r>
        <w:rPr/>
        <w:t>万元。</w:t>
      </w:r>
    </w:p>
    <w:p>
      <w:pPr>
        <w:spacing w:after="0" w:line="297" w:lineRule="auto"/>
        <w:jc w:val="left"/>
        <w:sectPr>
          <w:footerReference w:type="default" r:id="rId16"/>
          <w:pgSz w:w="11910" w:h="16840"/>
          <w:pgMar w:footer="974" w:header="880" w:top="1120" w:bottom="1160" w:left="1660" w:right="1060"/>
          <w:pgNumType w:start="21"/>
        </w:sectPr>
      </w:pPr>
    </w:p>
    <w:p>
      <w:pPr>
        <w:spacing w:line="240" w:lineRule="auto" w:before="0"/>
        <w:rPr>
          <w:rFonts w:ascii="宋体" w:hAnsi="宋体" w:cs="宋体" w:eastAsia="宋体" w:hint="default"/>
          <w:sz w:val="20"/>
          <w:szCs w:val="20"/>
        </w:rPr>
      </w:pPr>
    </w:p>
    <w:p>
      <w:pPr>
        <w:pStyle w:val="BodyText"/>
        <w:spacing w:line="240" w:lineRule="auto" w:before="182"/>
        <w:ind w:left="558" w:right="98"/>
        <w:jc w:val="left"/>
      </w:pPr>
      <w:r>
        <w:rPr>
          <w:spacing w:val="-3"/>
        </w:rPr>
        <w:t>安徽国正信息科技有限公司是本公司全资子公司，成立于</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spacing w:val="-10"/>
        </w:rPr>
        <w:t>日，主营业务：软</w:t>
      </w:r>
    </w:p>
    <w:p>
      <w:pPr>
        <w:pStyle w:val="BodyText"/>
        <w:spacing w:line="240" w:lineRule="auto" w:before="69"/>
        <w:ind w:right="98"/>
        <w:jc w:val="left"/>
        <w:rPr>
          <w:rFonts w:ascii="Times New Roman" w:hAnsi="Times New Roman" w:cs="Times New Roman" w:eastAsia="Times New Roman" w:hint="default"/>
        </w:rPr>
      </w:pPr>
      <w:r>
        <w:rPr/>
        <w:t>件开发，信息系统集成服务，信息技术咨询服务等，注册资本 </w:t>
      </w:r>
      <w:r>
        <w:rPr>
          <w:rFonts w:ascii="Times New Roman" w:hAnsi="Times New Roman" w:cs="Times New Roman" w:eastAsia="Times New Roman" w:hint="default"/>
        </w:rPr>
        <w:t>500 </w:t>
      </w:r>
      <w:r>
        <w:rPr/>
        <w:t>万元。截至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345" w:lineRule="auto" w:before="69"/>
        <w:ind w:left="558" w:right="101" w:hanging="420"/>
        <w:jc w:val="left"/>
      </w:pPr>
      <w:r>
        <w:rPr/>
        <w:t>日，该公司总资产</w:t>
      </w:r>
      <w:r>
        <w:rPr>
          <w:spacing w:val="-53"/>
        </w:rPr>
        <w:t> </w:t>
      </w:r>
      <w:r>
        <w:rPr>
          <w:rFonts w:ascii="Times New Roman" w:hAnsi="Times New Roman" w:cs="Times New Roman" w:eastAsia="Times New Roman" w:hint="default"/>
        </w:rPr>
        <w:t>4.08</w:t>
      </w:r>
      <w:r>
        <w:rPr>
          <w:rFonts w:ascii="Times New Roman" w:hAnsi="Times New Roman" w:cs="Times New Roman" w:eastAsia="Times New Roman" w:hint="default"/>
          <w:spacing w:val="-2"/>
        </w:rPr>
        <w:t> </w:t>
      </w:r>
      <w:r>
        <w:rPr/>
        <w:t>万元，净资产</w:t>
      </w:r>
      <w:r>
        <w:rPr>
          <w:rFonts w:ascii="Times New Roman" w:hAnsi="Times New Roman" w:cs="Times New Roman" w:eastAsia="Times New Roman" w:hint="default"/>
        </w:rPr>
        <w:t>-2.05</w:t>
      </w:r>
      <w:r>
        <w:rPr>
          <w:rFonts w:ascii="Times New Roman" w:hAnsi="Times New Roman" w:cs="Times New Roman" w:eastAsia="Times New Roman" w:hint="default"/>
          <w:spacing w:val="-3"/>
        </w:rPr>
        <w:t> </w:t>
      </w:r>
      <w:r>
        <w:rPr/>
        <w:t>万元，净利润</w:t>
      </w:r>
      <w:r>
        <w:rPr>
          <w:rFonts w:ascii="Times New Roman" w:hAnsi="Times New Roman" w:cs="Times New Roman" w:eastAsia="Times New Roman" w:hint="default"/>
        </w:rPr>
        <w:t>-2.05</w:t>
      </w:r>
      <w:r>
        <w:rPr>
          <w:rFonts w:ascii="Times New Roman" w:hAnsi="Times New Roman" w:cs="Times New Roman" w:eastAsia="Times New Roman" w:hint="default"/>
          <w:spacing w:val="-1"/>
        </w:rPr>
        <w:t> </w:t>
      </w:r>
      <w:r>
        <w:rPr/>
        <w:t>万元。</w:t>
      </w:r>
      <w:r>
        <w:rPr>
          <w:w w:val="100"/>
        </w:rPr>
        <w:t> </w:t>
      </w:r>
      <w:r>
        <w:rPr/>
        <w:t>浙江易政信息技术有限公司是本公司的全资子公司，成立于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日，主营业务：</w:t>
      </w:r>
    </w:p>
    <w:p>
      <w:pPr>
        <w:pStyle w:val="BodyText"/>
        <w:spacing w:line="258" w:lineRule="exact"/>
        <w:ind w:right="98"/>
        <w:jc w:val="left"/>
        <w:rPr>
          <w:rFonts w:ascii="Times New Roman" w:hAnsi="Times New Roman" w:cs="Times New Roman" w:eastAsia="Times New Roman" w:hint="default"/>
        </w:rPr>
      </w:pPr>
      <w:r>
        <w:rPr/>
        <w:t>信息技术，计算机软硬件的技术开发、技术咨询等，注册资本</w:t>
      </w:r>
      <w:r>
        <w:rPr>
          <w:spacing w:val="-50"/>
        </w:rPr>
        <w:t> </w:t>
      </w:r>
      <w:r>
        <w:rPr>
          <w:rFonts w:ascii="Times New Roman" w:hAnsi="Times New Roman" w:cs="Times New Roman" w:eastAsia="Times New Roman" w:hint="default"/>
        </w:rPr>
        <w:t>1,000 </w:t>
      </w:r>
      <w:r>
        <w:rPr/>
        <w:t>万元。截至</w:t>
      </w:r>
      <w:r>
        <w:rPr>
          <w:spacing w:val="-52"/>
        </w:rPr>
        <w:t> </w:t>
      </w:r>
      <w:r>
        <w:rPr>
          <w:rFonts w:ascii="Times New Roman" w:hAnsi="Times New Roman" w:cs="Times New Roman" w:eastAsia="Times New Roman" w:hint="default"/>
        </w:rPr>
        <w:t>2015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pStyle w:val="BodyText"/>
        <w:spacing w:line="345" w:lineRule="auto" w:before="69"/>
        <w:ind w:left="558" w:right="98" w:hanging="420"/>
        <w:jc w:val="left"/>
      </w:pPr>
      <w:r>
        <w:rPr/>
        <w:t>日，该公司总资产</w:t>
      </w:r>
      <w:r>
        <w:rPr>
          <w:spacing w:val="-53"/>
        </w:rPr>
        <w:t> </w:t>
      </w:r>
      <w:r>
        <w:rPr>
          <w:rFonts w:ascii="Times New Roman" w:hAnsi="Times New Roman" w:cs="Times New Roman" w:eastAsia="Times New Roman" w:hint="default"/>
        </w:rPr>
        <w:t>95.14</w:t>
      </w:r>
      <w:r>
        <w:rPr>
          <w:rFonts w:ascii="Times New Roman" w:hAnsi="Times New Roman" w:cs="Times New Roman" w:eastAsia="Times New Roman" w:hint="default"/>
          <w:spacing w:val="-2"/>
        </w:rPr>
        <w:t> </w:t>
      </w:r>
      <w:r>
        <w:rPr/>
        <w:t>万元，净资产</w:t>
      </w:r>
      <w:r>
        <w:rPr>
          <w:rFonts w:ascii="Times New Roman" w:hAnsi="Times New Roman" w:cs="Times New Roman" w:eastAsia="Times New Roman" w:hint="default"/>
        </w:rPr>
        <w:t>-21.64</w:t>
      </w:r>
      <w:r>
        <w:rPr>
          <w:rFonts w:ascii="Times New Roman" w:hAnsi="Times New Roman" w:cs="Times New Roman" w:eastAsia="Times New Roman" w:hint="default"/>
          <w:spacing w:val="-3"/>
        </w:rPr>
        <w:t> </w:t>
      </w:r>
      <w:r>
        <w:rPr/>
        <w:t>万元，净利润</w:t>
      </w:r>
      <w:r>
        <w:rPr>
          <w:rFonts w:ascii="Times New Roman" w:hAnsi="Times New Roman" w:cs="Times New Roman" w:eastAsia="Times New Roman" w:hint="default"/>
        </w:rPr>
        <w:t>-21.64</w:t>
      </w:r>
      <w:r>
        <w:rPr>
          <w:rFonts w:ascii="Times New Roman" w:hAnsi="Times New Roman" w:cs="Times New Roman" w:eastAsia="Times New Roman" w:hint="default"/>
          <w:spacing w:val="-3"/>
        </w:rPr>
        <w:t> </w:t>
      </w:r>
      <w:r>
        <w:rPr/>
        <w:t>万元。</w:t>
      </w:r>
      <w:r>
        <w:rPr>
          <w:w w:val="100"/>
        </w:rPr>
        <w:t> </w:t>
      </w:r>
      <w:r>
        <w:rPr>
          <w:spacing w:val="-3"/>
        </w:rPr>
        <w:t>福建网链科技有限公司是本公司的控股子公司，成立于</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9"/>
        </w:rPr>
        <w:t>日，主营业务：网络</w:t>
      </w:r>
    </w:p>
    <w:p>
      <w:pPr>
        <w:pStyle w:val="BodyText"/>
        <w:spacing w:line="258" w:lineRule="exact"/>
        <w:ind w:right="98"/>
        <w:jc w:val="left"/>
      </w:pPr>
      <w:r>
        <w:rPr/>
        <w:t>科技产品领域内的技术开发、转让、咨询等，注册资本 </w:t>
      </w:r>
      <w:r>
        <w:rPr>
          <w:rFonts w:ascii="Times New Roman" w:hAnsi="Times New Roman" w:cs="Times New Roman" w:eastAsia="Times New Roman" w:hint="default"/>
        </w:rPr>
        <w:t>5,000 </w:t>
      </w:r>
      <w:r>
        <w:rPr/>
        <w:t>万元，公司持股比例为</w:t>
      </w:r>
      <w:r>
        <w:rPr>
          <w:spacing w:val="-65"/>
        </w:rPr>
        <w:t> </w:t>
      </w:r>
      <w:r>
        <w:rPr>
          <w:rFonts w:ascii="Times New Roman" w:hAnsi="Times New Roman" w:cs="Times New Roman" w:eastAsia="Times New Roman" w:hint="default"/>
        </w:rPr>
        <w:t>70%</w:t>
      </w:r>
      <w:r>
        <w:rPr/>
        <w:t>。截至</w:t>
      </w:r>
    </w:p>
    <w:p>
      <w:pPr>
        <w:pStyle w:val="BodyText"/>
        <w:spacing w:line="240" w:lineRule="auto" w:before="69"/>
        <w:ind w:right="98"/>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日，该公司总资产</w:t>
      </w:r>
      <w:r>
        <w:rPr>
          <w:spacing w:val="-53"/>
        </w:rPr>
        <w:t> </w:t>
      </w:r>
      <w:r>
        <w:rPr>
          <w:rFonts w:ascii="Times New Roman" w:hAnsi="Times New Roman" w:cs="Times New Roman" w:eastAsia="Times New Roman" w:hint="default"/>
        </w:rPr>
        <w:t>722.36</w:t>
      </w:r>
      <w:r>
        <w:rPr>
          <w:rFonts w:ascii="Times New Roman" w:hAnsi="Times New Roman" w:cs="Times New Roman" w:eastAsia="Times New Roman" w:hint="default"/>
          <w:spacing w:val="-1"/>
        </w:rPr>
        <w:t> </w:t>
      </w:r>
      <w:r>
        <w:rPr/>
        <w:t>万元，净资产</w:t>
      </w:r>
      <w:r>
        <w:rPr>
          <w:spacing w:val="-54"/>
        </w:rPr>
        <w:t> </w:t>
      </w:r>
      <w:r>
        <w:rPr>
          <w:rFonts w:ascii="Times New Roman" w:hAnsi="Times New Roman" w:cs="Times New Roman" w:eastAsia="Times New Roman" w:hint="default"/>
        </w:rPr>
        <w:t>631.24</w:t>
      </w:r>
      <w:r>
        <w:rPr>
          <w:rFonts w:ascii="Times New Roman" w:hAnsi="Times New Roman" w:cs="Times New Roman" w:eastAsia="Times New Roman" w:hint="default"/>
          <w:spacing w:val="-1"/>
        </w:rPr>
        <w:t> </w:t>
      </w:r>
      <w:r>
        <w:rPr/>
        <w:t>万元，净利润</w:t>
      </w:r>
      <w:r>
        <w:rPr>
          <w:rFonts w:ascii="Times New Roman" w:hAnsi="Times New Roman" w:cs="Times New Roman" w:eastAsia="Times New Roman" w:hint="default"/>
        </w:rPr>
        <w:t>-35.43</w:t>
      </w:r>
      <w:r>
        <w:rPr>
          <w:rFonts w:ascii="Times New Roman" w:hAnsi="Times New Roman" w:cs="Times New Roman" w:eastAsia="Times New Roman" w:hint="default"/>
          <w:spacing w:val="-4"/>
        </w:rPr>
        <w:t> </w:t>
      </w:r>
      <w:r>
        <w:rPr/>
        <w:t>万元。</w:t>
      </w:r>
    </w:p>
    <w:p>
      <w:pPr>
        <w:pStyle w:val="BodyText"/>
        <w:spacing w:line="240" w:lineRule="auto" w:before="130"/>
        <w:ind w:left="558" w:right="0"/>
        <w:jc w:val="left"/>
      </w:pPr>
      <w:r>
        <w:rPr/>
        <w:t>北京万创聚力科技有限公司是本公司的控股子公司，成立于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日，主营业务：</w:t>
      </w:r>
    </w:p>
    <w:p>
      <w:pPr>
        <w:pStyle w:val="BodyText"/>
        <w:spacing w:line="240" w:lineRule="auto" w:before="69"/>
        <w:ind w:right="98"/>
        <w:jc w:val="left"/>
        <w:rPr>
          <w:rFonts w:ascii="Times New Roman" w:hAnsi="Times New Roman" w:cs="Times New Roman" w:eastAsia="Times New Roman" w:hint="default"/>
        </w:rPr>
      </w:pPr>
      <w:r>
        <w:rPr>
          <w:spacing w:val="-8"/>
        </w:rPr>
        <w:t>技术开发、推广转让、咨询，软件开发等，注册资本 </w:t>
      </w:r>
      <w:r>
        <w:rPr>
          <w:rFonts w:ascii="Times New Roman" w:hAnsi="Times New Roman" w:cs="Times New Roman" w:eastAsia="Times New Roman" w:hint="default"/>
        </w:rPr>
        <w:t>5,000 </w:t>
      </w:r>
      <w:r>
        <w:rPr>
          <w:spacing w:val="-6"/>
        </w:rPr>
        <w:t>万元，公司持股比例为 </w:t>
      </w:r>
      <w:r>
        <w:rPr>
          <w:rFonts w:ascii="Times New Roman" w:hAnsi="Times New Roman" w:cs="Times New Roman" w:eastAsia="Times New Roman" w:hint="default"/>
          <w:spacing w:val="-8"/>
        </w:rPr>
        <w:t>60%</w:t>
      </w:r>
      <w:r>
        <w:rPr>
          <w:spacing w:val="-8"/>
        </w:rPr>
        <w:t>。截至</w:t>
      </w:r>
      <w:r>
        <w:rPr>
          <w:spacing w:val="-78"/>
        </w:rPr>
        <w:t> </w:t>
      </w:r>
      <w:r>
        <w:rPr>
          <w:rFonts w:ascii="Times New Roman" w:hAnsi="Times New Roman" w:cs="Times New Roman" w:eastAsia="Times New Roman" w:hint="default"/>
        </w:rPr>
        <w:t>2015</w:t>
      </w:r>
    </w:p>
    <w:p>
      <w:pPr>
        <w:pStyle w:val="BodyText"/>
        <w:spacing w:line="240" w:lineRule="auto" w:before="69"/>
        <w:ind w:right="98"/>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日，该公司总资产</w:t>
      </w:r>
      <w:r>
        <w:rPr>
          <w:spacing w:val="-52"/>
        </w:rPr>
        <w:t> </w:t>
      </w:r>
      <w:r>
        <w:rPr>
          <w:rFonts w:ascii="Times New Roman" w:hAnsi="Times New Roman" w:cs="Times New Roman" w:eastAsia="Times New Roman" w:hint="default"/>
        </w:rPr>
        <w:t>532.73 </w:t>
      </w:r>
      <w:r>
        <w:rPr/>
        <w:t>万元，净资产</w:t>
      </w:r>
      <w:r>
        <w:rPr>
          <w:spacing w:val="-55"/>
        </w:rPr>
        <w:t> </w:t>
      </w:r>
      <w:r>
        <w:rPr>
          <w:rFonts w:ascii="Times New Roman" w:hAnsi="Times New Roman" w:cs="Times New Roman" w:eastAsia="Times New Roman" w:hint="default"/>
        </w:rPr>
        <w:t>468.88</w:t>
      </w:r>
      <w:r>
        <w:rPr>
          <w:rFonts w:ascii="Times New Roman" w:hAnsi="Times New Roman" w:cs="Times New Roman" w:eastAsia="Times New Roman" w:hint="default"/>
          <w:spacing w:val="-3"/>
        </w:rPr>
        <w:t> </w:t>
      </w:r>
      <w:r>
        <w:rPr/>
        <w:t>万元，净利润</w:t>
      </w:r>
      <w:r>
        <w:rPr>
          <w:rFonts w:ascii="Times New Roman" w:hAnsi="Times New Roman" w:cs="Times New Roman" w:eastAsia="Times New Roman" w:hint="default"/>
        </w:rPr>
        <w:t>-31.12 </w:t>
      </w:r>
      <w:r>
        <w:rPr/>
        <w:t>万元。</w:t>
      </w:r>
    </w:p>
    <w:p>
      <w:pPr>
        <w:pStyle w:val="BodyText"/>
        <w:spacing w:line="240" w:lineRule="auto" w:before="129"/>
        <w:ind w:left="558" w:right="98"/>
        <w:jc w:val="left"/>
      </w:pPr>
      <w:r>
        <w:rPr>
          <w:w w:val="100"/>
        </w:rPr>
        <w:t>南京</w:t>
      </w:r>
      <w:r>
        <w:rPr>
          <w:spacing w:val="-3"/>
          <w:w w:val="100"/>
        </w:rPr>
        <w:t>迅</w:t>
      </w:r>
      <w:r>
        <w:rPr>
          <w:w w:val="100"/>
        </w:rPr>
        <w:t>奇</w:t>
      </w:r>
      <w:r>
        <w:rPr>
          <w:spacing w:val="-3"/>
          <w:w w:val="100"/>
        </w:rPr>
        <w:t>信</w:t>
      </w:r>
      <w:r>
        <w:rPr>
          <w:w w:val="100"/>
        </w:rPr>
        <w:t>信</w:t>
      </w:r>
      <w:r>
        <w:rPr>
          <w:spacing w:val="-3"/>
          <w:w w:val="100"/>
        </w:rPr>
        <w:t>息</w:t>
      </w:r>
      <w:r>
        <w:rPr>
          <w:w w:val="100"/>
        </w:rPr>
        <w:t>技</w:t>
      </w:r>
      <w:r>
        <w:rPr>
          <w:spacing w:val="-3"/>
          <w:w w:val="100"/>
        </w:rPr>
        <w:t>术</w:t>
      </w:r>
      <w:r>
        <w:rPr>
          <w:w w:val="100"/>
        </w:rPr>
        <w:t>有</w:t>
      </w:r>
      <w:r>
        <w:rPr>
          <w:spacing w:val="-3"/>
          <w:w w:val="100"/>
        </w:rPr>
        <w:t>限</w:t>
      </w:r>
      <w:r>
        <w:rPr>
          <w:w w:val="100"/>
        </w:rPr>
        <w:t>公司</w:t>
      </w:r>
      <w:r>
        <w:rPr>
          <w:spacing w:val="-3"/>
          <w:w w:val="100"/>
        </w:rPr>
        <w:t>是</w:t>
      </w:r>
      <w:r>
        <w:rPr>
          <w:w w:val="100"/>
        </w:rPr>
        <w:t>本</w:t>
      </w:r>
      <w:r>
        <w:rPr>
          <w:spacing w:val="-3"/>
          <w:w w:val="100"/>
        </w:rPr>
        <w:t>公</w:t>
      </w:r>
      <w:r>
        <w:rPr>
          <w:w w:val="100"/>
        </w:rPr>
        <w:t>司</w:t>
      </w:r>
      <w:r>
        <w:rPr>
          <w:spacing w:val="-3"/>
          <w:w w:val="100"/>
        </w:rPr>
        <w:t>的</w:t>
      </w:r>
      <w:r>
        <w:rPr>
          <w:w w:val="100"/>
        </w:rPr>
        <w:t>全</w:t>
      </w:r>
      <w:r>
        <w:rPr>
          <w:spacing w:val="-3"/>
          <w:w w:val="100"/>
        </w:rPr>
        <w:t>资</w:t>
      </w:r>
      <w:r>
        <w:rPr>
          <w:w w:val="100"/>
        </w:rPr>
        <w:t>子</w:t>
      </w:r>
      <w:r>
        <w:rPr>
          <w:spacing w:val="-3"/>
          <w:w w:val="100"/>
        </w:rPr>
        <w:t>公</w:t>
      </w:r>
      <w:r>
        <w:rPr>
          <w:w w:val="100"/>
        </w:rPr>
        <w:t>司</w:t>
      </w:r>
      <w:r>
        <w:rPr>
          <w:spacing w:val="-101"/>
          <w:w w:val="100"/>
        </w:rPr>
        <w:t>，</w:t>
      </w:r>
      <w:r>
        <w:rPr>
          <w:w w:val="100"/>
        </w:rPr>
        <w:t>成</w:t>
      </w:r>
      <w:r>
        <w:rPr>
          <w:spacing w:val="-3"/>
          <w:w w:val="100"/>
        </w:rPr>
        <w:t>立</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2"/>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日</w:t>
      </w:r>
      <w:r>
        <w:rPr>
          <w:spacing w:val="-101"/>
          <w:w w:val="100"/>
        </w:rPr>
        <w:t>，</w:t>
      </w:r>
      <w:r>
        <w:rPr>
          <w:w w:val="100"/>
        </w:rPr>
        <w:t>主</w:t>
      </w:r>
      <w:r>
        <w:rPr>
          <w:spacing w:val="-3"/>
          <w:w w:val="100"/>
        </w:rPr>
        <w:t>营</w:t>
      </w:r>
      <w:r>
        <w:rPr>
          <w:w w:val="100"/>
        </w:rPr>
        <w:t>业</w:t>
      </w:r>
      <w:r>
        <w:rPr>
          <w:spacing w:val="-3"/>
          <w:w w:val="100"/>
        </w:rPr>
        <w:t>务</w:t>
      </w:r>
      <w:r>
        <w:rPr>
          <w:w w:val="100"/>
        </w:rPr>
        <w:t>：</w:t>
      </w:r>
    </w:p>
    <w:p>
      <w:pPr>
        <w:pStyle w:val="BodyText"/>
        <w:spacing w:line="297" w:lineRule="auto" w:before="69"/>
        <w:ind w:right="98"/>
        <w:jc w:val="left"/>
      </w:pPr>
      <w:r>
        <w:rPr>
          <w:spacing w:val="-4"/>
        </w:rPr>
        <w:t>计算机软件开发，计算机系统集成等，注册资本</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spacing w:val="-6"/>
        </w:rPr>
        <w:t>万元。截至</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日，该公司未实</w:t>
      </w:r>
      <w:r>
        <w:rPr>
          <w:spacing w:val="-102"/>
        </w:rPr>
        <w:t> </w:t>
      </w:r>
      <w:r>
        <w:rPr>
          <w:spacing w:val="-102"/>
        </w:rPr>
      </w:r>
      <w:r>
        <w:rPr/>
        <w:t>际开展业务。</w:t>
      </w:r>
    </w:p>
    <w:p>
      <w:pPr>
        <w:pStyle w:val="BodyText"/>
        <w:spacing w:line="240" w:lineRule="auto" w:before="94"/>
        <w:ind w:left="558" w:right="0"/>
        <w:jc w:val="left"/>
      </w:pPr>
      <w:r>
        <w:rPr/>
        <w:t>北京南威水科技术有限公司是本公司的控股子公司，成立于</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日，主营业务：</w:t>
      </w:r>
    </w:p>
    <w:p>
      <w:pPr>
        <w:pStyle w:val="BodyText"/>
        <w:spacing w:line="240" w:lineRule="auto" w:before="69"/>
        <w:ind w:right="98"/>
        <w:jc w:val="left"/>
      </w:pPr>
      <w:r>
        <w:rPr/>
        <w:t>技术推广、技术开发、技术转让、技术咨询、技术服务等，注册资本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万元，公司持股比例</w:t>
      </w:r>
    </w:p>
    <w:p>
      <w:pPr>
        <w:pStyle w:val="BodyText"/>
        <w:spacing w:line="240" w:lineRule="auto" w:before="69"/>
        <w:ind w:right="2926"/>
        <w:jc w:val="left"/>
      </w:pPr>
      <w:r>
        <w:rPr/>
        <w:t>为</w:t>
      </w:r>
      <w:r>
        <w:rPr>
          <w:spacing w:val="-53"/>
        </w:rPr>
        <w:t> </w:t>
      </w:r>
      <w:r>
        <w:rPr>
          <w:rFonts w:ascii="Times New Roman" w:hAnsi="Times New Roman" w:cs="Times New Roman" w:eastAsia="Times New Roman" w:hint="default"/>
        </w:rPr>
        <w:t>51%</w:t>
      </w:r>
      <w:r>
        <w:rPr/>
        <w:t>。截至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日，该公司未实际开展业务。</w:t>
      </w:r>
    </w:p>
    <w:p>
      <w:pPr>
        <w:spacing w:line="240" w:lineRule="auto" w:before="7"/>
        <w:rPr>
          <w:rFonts w:ascii="宋体" w:hAnsi="宋体" w:cs="宋体" w:eastAsia="宋体" w:hint="default"/>
          <w:sz w:val="29"/>
          <w:szCs w:val="29"/>
        </w:rPr>
      </w:pPr>
    </w:p>
    <w:p>
      <w:pPr>
        <w:pStyle w:val="Heading2"/>
        <w:spacing w:line="340" w:lineRule="auto"/>
        <w:ind w:left="558" w:right="6081" w:hanging="420"/>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不适用。</w:t>
      </w:r>
    </w:p>
    <w:p>
      <w:pPr>
        <w:spacing w:line="240" w:lineRule="auto" w:before="13"/>
        <w:rPr>
          <w:rFonts w:ascii="宋体" w:hAnsi="宋体" w:cs="宋体" w:eastAsia="宋体" w:hint="default"/>
          <w:sz w:val="23"/>
          <w:szCs w:val="23"/>
        </w:rPr>
      </w:pPr>
    </w:p>
    <w:p>
      <w:pPr>
        <w:pStyle w:val="Heading2"/>
        <w:spacing w:line="240" w:lineRule="auto"/>
        <w:ind w:left="138" w:right="2926"/>
        <w:jc w:val="left"/>
        <w:rPr>
          <w:b w:val="0"/>
          <w:bCs w:val="0"/>
        </w:rPr>
      </w:pPr>
      <w:r>
        <w:rPr/>
        <w:t>三、公司关于公司未来发展的讨论与分析</w:t>
      </w:r>
      <w:r>
        <w:rPr>
          <w:b w:val="0"/>
          <w:bCs w:val="0"/>
        </w:rPr>
      </w:r>
    </w:p>
    <w:p>
      <w:pPr>
        <w:pStyle w:val="Heading2"/>
        <w:spacing w:line="240" w:lineRule="auto" w:before="97"/>
        <w:ind w:left="138" w:right="292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b w:val="0"/>
          <w:bCs w:val="0"/>
        </w:rPr>
      </w:r>
    </w:p>
    <w:p>
      <w:pPr>
        <w:pStyle w:val="BodyText"/>
        <w:spacing w:line="312" w:lineRule="auto" w:before="125"/>
        <w:ind w:right="207" w:firstLine="419"/>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4"/>
        </w:rPr>
        <w:t> </w:t>
      </w:r>
      <w:r>
        <w:rPr>
          <w:spacing w:val="-3"/>
        </w:rPr>
        <w:t>年，世界经济环境复杂严峻，我国的经济运行面临来自国内外的冲击和影响，经济下行</w:t>
      </w:r>
      <w:r>
        <w:rPr>
          <w:w w:val="100"/>
        </w:rPr>
        <w:t> </w:t>
      </w:r>
      <w:r>
        <w:rPr/>
        <w:t>压力持续加大，为企业业务拓展带来挑战。针对经济运行面临的困难局势，</w:t>
      </w:r>
      <w:r>
        <w:rPr>
          <w:rFonts w:ascii="宋体" w:hAnsi="宋体" w:cs="宋体" w:eastAsia="宋体" w:hint="default"/>
        </w:rPr>
        <w:t>2015</w:t>
      </w:r>
      <w:r>
        <w:rPr>
          <w:rFonts w:ascii="宋体" w:hAnsi="宋体" w:cs="宋体" w:eastAsia="宋体" w:hint="default"/>
          <w:spacing w:val="-33"/>
        </w:rPr>
        <w:t> </w:t>
      </w:r>
      <w:r>
        <w:rPr/>
        <w:t>年</w:t>
      </w:r>
      <w:r>
        <w:rPr>
          <w:spacing w:val="-35"/>
        </w:rPr>
        <w:t> </w:t>
      </w:r>
      <w:r>
        <w:rPr>
          <w:rFonts w:ascii="宋体" w:hAnsi="宋体" w:cs="宋体" w:eastAsia="宋体" w:hint="default"/>
        </w:rPr>
        <w:t>12</w:t>
      </w:r>
      <w:r>
        <w:rPr>
          <w:rFonts w:ascii="宋体" w:hAnsi="宋体" w:cs="宋体" w:eastAsia="宋体" w:hint="default"/>
          <w:spacing w:val="-33"/>
        </w:rPr>
        <w:t> </w:t>
      </w:r>
      <w:r>
        <w:rPr/>
        <w:t>月中央经</w:t>
      </w:r>
      <w:r>
        <w:rPr>
          <w:w w:val="100"/>
        </w:rPr>
        <w:t> </w:t>
      </w:r>
      <w:r>
        <w:rPr/>
        <w:t>济工作会议确立了 </w:t>
      </w:r>
      <w:r>
        <w:rPr>
          <w:rFonts w:ascii="宋体" w:hAnsi="宋体" w:cs="宋体" w:eastAsia="宋体" w:hint="default"/>
        </w:rPr>
        <w:t>2016</w:t>
      </w:r>
      <w:r>
        <w:rPr>
          <w:rFonts w:ascii="宋体" w:hAnsi="宋体" w:cs="宋体" w:eastAsia="宋体" w:hint="default"/>
          <w:spacing w:val="6"/>
        </w:rPr>
        <w:t> </w:t>
      </w:r>
      <w:r>
        <w:rPr/>
        <w:t>年中国经济工作的重点任务和政策路径，提出要“推进供给侧结构性改</w:t>
      </w:r>
      <w:r>
        <w:rPr>
          <w:w w:val="100"/>
        </w:rPr>
        <w:t> </w:t>
      </w:r>
      <w:r>
        <w:rPr>
          <w:spacing w:val="-1"/>
        </w:rPr>
        <w:t>革”，这是中央制定的推进结构性改革的战略举措。此外，“分享经济”首次通过中央会议进入</w:t>
      </w:r>
      <w:r>
        <w:rPr>
          <w:spacing w:val="-55"/>
        </w:rPr>
        <w:t> </w:t>
      </w:r>
      <w:r>
        <w:rPr>
          <w:spacing w:val="-55"/>
        </w:rPr>
      </w:r>
      <w:r>
        <w:rPr>
          <w:spacing w:val="-4"/>
        </w:rPr>
        <w:t>公众视野，与之前大力推动的“互联网+”、“双创”联动，成为业界创新发展、资本和人力聚焦</w:t>
      </w:r>
      <w:r>
        <w:rPr>
          <w:spacing w:val="-34"/>
        </w:rPr>
        <w:t> </w:t>
      </w:r>
      <w:r>
        <w:rPr>
          <w:spacing w:val="-34"/>
        </w:rPr>
      </w:r>
      <w:r>
        <w:rPr/>
        <w:t>的新方向。</w:t>
      </w:r>
    </w:p>
    <w:p>
      <w:pPr>
        <w:pStyle w:val="BodyText"/>
        <w:spacing w:line="307" w:lineRule="auto" w:before="22"/>
        <w:ind w:right="207" w:firstLine="419"/>
        <w:jc w:val="both"/>
      </w:pPr>
      <w:r>
        <w:rPr>
          <w:rFonts w:ascii="Times New Roman" w:hAnsi="Times New Roman" w:cs="Times New Roman" w:eastAsia="Times New Roman" w:hint="default"/>
        </w:rPr>
        <w:t>2015 </w:t>
      </w:r>
      <w:r>
        <w:rPr>
          <w:spacing w:val="-4"/>
        </w:rPr>
        <w:t>年，中国智慧城市建设在国家政策的强力推动下有了长足发展，涵盖中国制造</w:t>
      </w:r>
      <w:r>
        <w:rPr>
          <w:spacing w:val="-6"/>
        </w:rPr>
        <w:t> </w:t>
      </w:r>
      <w:r>
        <w:rPr>
          <w:rFonts w:ascii="Times New Roman" w:hAnsi="Times New Roman" w:cs="Times New Roman" w:eastAsia="Times New Roman" w:hint="default"/>
          <w:spacing w:val="-12"/>
        </w:rPr>
        <w:t>2025</w:t>
      </w:r>
      <w:r>
        <w:rPr>
          <w:spacing w:val="-12"/>
        </w:rPr>
        <w:t>、智</w:t>
      </w:r>
      <w:r>
        <w:rPr>
          <w:spacing w:val="-34"/>
          <w:w w:val="100"/>
        </w:rPr>
        <w:t> </w:t>
      </w:r>
      <w:r>
        <w:rPr>
          <w:spacing w:val="-3"/>
        </w:rPr>
        <w:t>慧医疗、智慧交通、大数据、云计算，等等。</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4"/>
        </w:rPr>
        <w:t> </w:t>
      </w:r>
      <w:r>
        <w:rPr/>
        <w:t>年伴随各地方“十三五”规划的深入实施，信</w:t>
      </w:r>
      <w:r>
        <w:rPr>
          <w:spacing w:val="-98"/>
        </w:rPr>
        <w:t> </w:t>
      </w:r>
      <w:r>
        <w:rPr>
          <w:spacing w:val="-98"/>
        </w:rPr>
      </w:r>
      <w:r>
        <w:rPr>
          <w:spacing w:val="-1"/>
        </w:rPr>
        <w:t>息领域新产品、新服务、新业态大量涌现，进一步加快软件行业创新转化，使社会各领域信息化</w:t>
      </w:r>
      <w:r>
        <w:rPr>
          <w:spacing w:val="-55"/>
        </w:rPr>
        <w:t> </w:t>
      </w:r>
      <w:r>
        <w:rPr>
          <w:spacing w:val="-55"/>
        </w:rPr>
      </w:r>
      <w:r>
        <w:rPr>
          <w:spacing w:val="-1"/>
        </w:rPr>
        <w:t>水平持续提升。智慧城市建设、信息惠民工程建设，民生服务应用、政务信息化、信息基础设施</w:t>
      </w:r>
      <w:r>
        <w:rPr>
          <w:spacing w:val="-55"/>
        </w:rPr>
        <w:t> </w:t>
      </w:r>
      <w:r>
        <w:rPr>
          <w:spacing w:val="-55"/>
        </w:rPr>
      </w:r>
      <w:r>
        <w:rPr>
          <w:spacing w:val="-1"/>
        </w:rPr>
        <w:t>建设等新的市场需求将不断被激发，市场前景和需求巨大，将会为公司智慧城市和电子政务相关</w:t>
      </w:r>
      <w:r>
        <w:rPr>
          <w:spacing w:val="-55"/>
        </w:rPr>
        <w:t> </w:t>
      </w:r>
      <w:r>
        <w:rPr>
          <w:spacing w:val="-55"/>
        </w:rPr>
      </w:r>
      <w:r>
        <w:rPr/>
        <w:t>业务带来市场拓展机会。</w:t>
      </w:r>
    </w:p>
    <w:p>
      <w:pPr>
        <w:spacing w:after="0" w:line="307" w:lineRule="auto"/>
        <w:jc w:val="both"/>
        <w:sectPr>
          <w:pgSz w:w="11910" w:h="16840"/>
          <w:pgMar w:header="880" w:footer="974" w:top="1120" w:bottom="116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04" w:lineRule="auto"/>
        <w:ind w:right="207" w:firstLine="419"/>
        <w:jc w:val="both"/>
      </w:pPr>
      <w:r>
        <w:rPr>
          <w:spacing w:val="-3"/>
        </w:rPr>
        <w:t>根据国家信息中心信息化研究部发布的《中国分享经济发展报告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8"/>
        </w:rPr>
        <w:t>年》，分享经济正面临</w:t>
      </w:r>
      <w:r>
        <w:rPr>
          <w:w w:val="100"/>
        </w:rPr>
        <w:t> </w:t>
      </w:r>
      <w:r>
        <w:rPr>
          <w:spacing w:val="-1"/>
        </w:rPr>
        <w:t>从起步到起飞的重要转折点。分享经济适应了“创新、协调、绿色、开放、共享”发展理念的新</w:t>
      </w:r>
      <w:r>
        <w:rPr>
          <w:spacing w:val="-55"/>
        </w:rPr>
        <w:t> </w:t>
      </w:r>
      <w:r>
        <w:rPr>
          <w:spacing w:val="-55"/>
        </w:rPr>
      </w:r>
      <w:r>
        <w:rPr>
          <w:spacing w:val="-6"/>
        </w:rPr>
        <w:t>要求，是走出发展困境、消除诸多痛点的突破口，也是实现创新驱动、推进供给侧改革的试验场，</w:t>
      </w:r>
      <w:r>
        <w:rPr>
          <w:spacing w:val="-51"/>
        </w:rPr>
        <w:t> </w:t>
      </w:r>
      <w:r>
        <w:rPr>
          <w:spacing w:val="-51"/>
        </w:rPr>
      </w:r>
      <w:r>
        <w:rPr>
          <w:spacing w:val="-3"/>
        </w:rPr>
        <w:t>对建设网络强国、构建信息时代国家竞争新优势将产生深远影响。根据统计，</w:t>
      </w:r>
      <w:r>
        <w:rPr>
          <w:rFonts w:ascii="Times New Roman" w:hAnsi="Times New Roman" w:cs="Times New Roman" w:eastAsia="Times New Roman" w:hint="default"/>
          <w:spacing w:val="-3"/>
        </w:rPr>
        <w:t>2015 </w:t>
      </w:r>
      <w:r>
        <w:rPr/>
        <w:t>年中国分享经</w:t>
      </w:r>
      <w:r>
        <w:rPr>
          <w:spacing w:val="-87"/>
        </w:rPr>
        <w:t> </w:t>
      </w:r>
      <w:r>
        <w:rPr>
          <w:spacing w:val="-87"/>
        </w:rPr>
      </w:r>
      <w:r>
        <w:rPr/>
        <w:t>济市场规模约为</w:t>
      </w:r>
      <w:r>
        <w:rPr>
          <w:spacing w:val="-53"/>
        </w:rPr>
        <w:t> </w:t>
      </w:r>
      <w:r>
        <w:rPr>
          <w:rFonts w:ascii="Times New Roman" w:hAnsi="Times New Roman" w:cs="Times New Roman" w:eastAsia="Times New Roman" w:hint="default"/>
        </w:rPr>
        <w:t>19,560</w:t>
      </w:r>
      <w:r>
        <w:rPr>
          <w:rFonts w:ascii="Times New Roman" w:hAnsi="Times New Roman" w:cs="Times New Roman" w:eastAsia="Times New Roman" w:hint="default"/>
          <w:spacing w:val="-2"/>
        </w:rPr>
        <w:t> </w:t>
      </w:r>
      <w:r>
        <w:rPr/>
        <w:t>亿元（其中交易额</w:t>
      </w:r>
      <w:r>
        <w:rPr>
          <w:spacing w:val="-53"/>
        </w:rPr>
        <w:t> </w:t>
      </w:r>
      <w:r>
        <w:rPr>
          <w:rFonts w:ascii="Times New Roman" w:hAnsi="Times New Roman" w:cs="Times New Roman" w:eastAsia="Times New Roman" w:hint="default"/>
        </w:rPr>
        <w:t>18,100</w:t>
      </w:r>
      <w:r>
        <w:rPr>
          <w:rFonts w:ascii="Times New Roman" w:hAnsi="Times New Roman" w:cs="Times New Roman" w:eastAsia="Times New Roman" w:hint="default"/>
          <w:spacing w:val="-2"/>
        </w:rPr>
        <w:t> </w:t>
      </w:r>
      <w:r>
        <w:rPr/>
        <w:t>亿元，融资额</w:t>
      </w:r>
      <w:r>
        <w:rPr>
          <w:spacing w:val="-52"/>
        </w:rPr>
        <w:t> </w:t>
      </w:r>
      <w:r>
        <w:rPr>
          <w:rFonts w:ascii="Times New Roman" w:hAnsi="Times New Roman" w:cs="Times New Roman" w:eastAsia="Times New Roman" w:hint="default"/>
        </w:rPr>
        <w:t>1460 </w:t>
      </w:r>
      <w:r>
        <w:rPr/>
        <w:t>亿元），主要集中在金融、</w:t>
      </w:r>
      <w:r>
        <w:rPr>
          <w:w w:val="100"/>
        </w:rPr>
        <w:t> </w:t>
      </w:r>
      <w:r>
        <w:rPr>
          <w:spacing w:val="-1"/>
        </w:rPr>
        <w:t>生活服务、交通出行、生产能力、知识技能、房屋短租等六大领域。预计未来五年分享经济年均</w:t>
      </w:r>
      <w:r>
        <w:rPr>
          <w:spacing w:val="-55"/>
        </w:rPr>
        <w:t> </w:t>
      </w:r>
      <w:r>
        <w:rPr>
          <w:spacing w:val="-55"/>
        </w:rPr>
      </w:r>
      <w:r>
        <w:rPr/>
        <w:t>增长速度在</w:t>
      </w:r>
      <w:r>
        <w:rPr>
          <w:spacing w:val="-48"/>
        </w:rPr>
        <w:t> </w:t>
      </w:r>
      <w:r>
        <w:rPr>
          <w:rFonts w:ascii="Times New Roman" w:hAnsi="Times New Roman" w:cs="Times New Roman" w:eastAsia="Times New Roman" w:hint="default"/>
          <w:spacing w:val="-3"/>
        </w:rPr>
        <w:t>40%</w:t>
      </w:r>
      <w:r>
        <w:rPr>
          <w:spacing w:val="-3"/>
        </w:rPr>
        <w:t>左右，到</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年分享经济规模占</w:t>
      </w:r>
      <w:r>
        <w:rPr>
          <w:spacing w:val="-50"/>
        </w:rPr>
        <w:t> </w:t>
      </w:r>
      <w:r>
        <w:rPr>
          <w:rFonts w:ascii="Times New Roman" w:hAnsi="Times New Roman" w:cs="Times New Roman" w:eastAsia="Times New Roman" w:hint="default"/>
        </w:rPr>
        <w:t>GDP</w:t>
      </w:r>
      <w:r>
        <w:rPr>
          <w:rFonts w:ascii="Times New Roman" w:hAnsi="Times New Roman" w:cs="Times New Roman" w:eastAsia="Times New Roman" w:hint="default"/>
          <w:spacing w:val="5"/>
        </w:rPr>
        <w:t> </w:t>
      </w:r>
      <w:r>
        <w:rPr/>
        <w:t>比重将达到</w:t>
      </w:r>
      <w:r>
        <w:rPr>
          <w:spacing w:val="-48"/>
        </w:rPr>
        <w:t> </w:t>
      </w:r>
      <w:r>
        <w:rPr>
          <w:rFonts w:ascii="Times New Roman" w:hAnsi="Times New Roman" w:cs="Times New Roman" w:eastAsia="Times New Roman" w:hint="default"/>
          <w:spacing w:val="-3"/>
        </w:rPr>
        <w:t>10%</w:t>
      </w:r>
      <w:r>
        <w:rPr>
          <w:spacing w:val="-3"/>
        </w:rPr>
        <w:t>以上。巨大的市场容量也</w:t>
      </w:r>
      <w:r>
        <w:rPr>
          <w:spacing w:val="-103"/>
        </w:rPr>
        <w:t> </w:t>
      </w:r>
      <w:r>
        <w:rPr>
          <w:spacing w:val="-103"/>
        </w:rPr>
      </w:r>
      <w:r>
        <w:rPr/>
        <w:t>为公司在分享经济领域的尝试与努力带来了重大的机遇。</w:t>
      </w:r>
    </w:p>
    <w:p>
      <w:pPr>
        <w:spacing w:line="240" w:lineRule="auto" w:before="6"/>
        <w:rPr>
          <w:rFonts w:ascii="宋体" w:hAnsi="宋体" w:cs="宋体" w:eastAsia="宋体" w:hint="default"/>
          <w:sz w:val="26"/>
          <w:szCs w:val="26"/>
        </w:rPr>
      </w:pPr>
    </w:p>
    <w:p>
      <w:pPr>
        <w:spacing w:line="340" w:lineRule="auto" w:before="0"/>
        <w:ind w:left="558" w:right="9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4"/>
          <w:w w:val="100"/>
          <w:sz w:val="21"/>
          <w:szCs w:val="21"/>
        </w:rPr>
        <w:t>公司将以电子政务整体解决方案提供商、智慧城市综合开发商和分享经济平台运营商为定位，</w:t>
      </w:r>
    </w:p>
    <w:p>
      <w:pPr>
        <w:pStyle w:val="BodyText"/>
        <w:spacing w:line="314" w:lineRule="auto"/>
        <w:ind w:right="208"/>
        <w:jc w:val="both"/>
      </w:pPr>
      <w:r>
        <w:rPr>
          <w:spacing w:val="-1"/>
        </w:rPr>
        <w:t>围绕“强基业，拓两域”产业布局，坚持内涵式增长和外延式扩张并重，统筹推进组织机构改革</w:t>
      </w:r>
      <w:r>
        <w:rPr>
          <w:spacing w:val="-55"/>
        </w:rPr>
        <w:t> </w:t>
      </w:r>
      <w:r>
        <w:rPr>
          <w:spacing w:val="-55"/>
        </w:rPr>
      </w:r>
      <w:r>
        <w:rPr>
          <w:spacing w:val="-1"/>
        </w:rPr>
        <w:t>和战略、产业、技术、资本、人力资源、职业生态创新，全面健全上市企业经营管理体系，为加</w:t>
      </w:r>
      <w:r>
        <w:rPr>
          <w:spacing w:val="-55"/>
        </w:rPr>
        <w:t> </w:t>
      </w:r>
      <w:r>
        <w:rPr>
          <w:spacing w:val="-55"/>
        </w:rPr>
      </w:r>
      <w:r>
        <w:rPr/>
        <w:t>快形成生态型发展平台，实现行业引领型发展目标奠定更加坚实的基础。</w:t>
      </w:r>
    </w:p>
    <w:p>
      <w:pPr>
        <w:spacing w:line="240" w:lineRule="auto" w:before="10"/>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40" w:lineRule="auto" w:before="125"/>
        <w:ind w:left="558" w:right="98"/>
        <w:jc w:val="left"/>
      </w:pPr>
      <w:r>
        <w:rPr>
          <w:rFonts w:ascii="Times New Roman" w:hAnsi="Times New Roman" w:cs="Times New Roman" w:eastAsia="Times New Roman" w:hint="default"/>
        </w:rPr>
        <w:t>2016 </w:t>
      </w:r>
      <w:r>
        <w:rPr>
          <w:rFonts w:ascii="Times New Roman" w:hAnsi="Times New Roman" w:cs="Times New Roman" w:eastAsia="Times New Roman" w:hint="default"/>
          <w:spacing w:val="10"/>
        </w:rPr>
        <w:t> </w:t>
      </w:r>
      <w:r>
        <w:rPr>
          <w:spacing w:val="-6"/>
        </w:rPr>
        <w:t>年公司主要经营计划为：实施“</w:t>
      </w:r>
      <w:r>
        <w:rPr>
          <w:rFonts w:ascii="Times New Roman" w:hAnsi="Times New Roman" w:cs="Times New Roman" w:eastAsia="Times New Roman" w:hint="default"/>
          <w:spacing w:val="-6"/>
        </w:rPr>
        <w:t>5+5+5</w:t>
      </w:r>
      <w:r>
        <w:rPr>
          <w:spacing w:val="-6"/>
        </w:rPr>
        <w:t>”战略重点，通过推进管理、创新、产业、技术、</w:t>
      </w:r>
    </w:p>
    <w:p>
      <w:pPr>
        <w:pStyle w:val="BodyText"/>
        <w:spacing w:line="297" w:lineRule="auto" w:before="69"/>
        <w:ind w:right="208"/>
        <w:jc w:val="both"/>
      </w:pPr>
      <w:r>
        <w:rPr/>
        <w:t>资本、人力资源、职业生态等</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大子平台建设，强化各子平台间的协同耦合，将公司打造成要素</w:t>
      </w:r>
      <w:r>
        <w:rPr>
          <w:w w:val="100"/>
        </w:rPr>
        <w:t> </w:t>
      </w:r>
      <w:r>
        <w:rPr/>
        <w:t>融合、创新持续、开放共享的生态型发展平台。</w:t>
      </w:r>
    </w:p>
    <w:p>
      <w:pPr>
        <w:pStyle w:val="BodyText"/>
        <w:spacing w:line="240" w:lineRule="auto" w:before="34"/>
        <w:ind w:left="558" w:right="98"/>
        <w:jc w:val="left"/>
      </w:pPr>
      <w:r>
        <w:rPr>
          <w:rFonts w:ascii="Times New Roman" w:hAnsi="Times New Roman" w:cs="Times New Roman" w:eastAsia="Times New Roman" w:hint="default"/>
        </w:rPr>
        <w:t>2016 </w:t>
      </w:r>
      <w:r>
        <w:rPr/>
        <w:t>年公司的重点工作为实施“</w:t>
      </w:r>
      <w:r>
        <w:rPr>
          <w:rFonts w:ascii="Times New Roman" w:hAnsi="Times New Roman" w:cs="Times New Roman" w:eastAsia="Times New Roman" w:hint="default"/>
        </w:rPr>
        <w:t>5+5+5</w:t>
      </w:r>
      <w:r>
        <w:rPr/>
        <w:t>”战略，具体为：一是主营业务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大转型，推进电子</w:t>
      </w:r>
    </w:p>
    <w:p>
      <w:pPr>
        <w:pStyle w:val="BodyText"/>
        <w:spacing w:line="309" w:lineRule="auto" w:before="69"/>
        <w:ind w:right="208"/>
        <w:jc w:val="both"/>
      </w:pPr>
      <w:r>
        <w:rPr/>
        <w:t>政务应用互联网化、技术大数据化、产品服务化、平台区域化、业务资本化；二是布局</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3"/>
        </w:rPr>
        <w:t>大新兴</w:t>
      </w:r>
      <w:r>
        <w:rPr>
          <w:spacing w:val="-3"/>
          <w:w w:val="100"/>
        </w:rPr>
        <w:t> </w:t>
      </w:r>
      <w:r>
        <w:rPr>
          <w:spacing w:val="-7"/>
        </w:rPr>
        <w:t>业态，推动公司跨越发展。加快建立以创客、车辆、家居为三大入口，以“水”为重点垂直业务，</w:t>
      </w:r>
      <w:r>
        <w:rPr>
          <w:spacing w:val="-13"/>
        </w:rPr>
        <w:t> </w:t>
      </w:r>
      <w:r>
        <w:rPr>
          <w:spacing w:val="-13"/>
        </w:rPr>
      </w:r>
      <w:r>
        <w:rPr>
          <w:spacing w:val="-1"/>
        </w:rPr>
        <w:t>以大数据为支撑的互联网产业链，发展分享经济平台运营新业态。大力拓展智慧城市综合开发业</w:t>
      </w:r>
      <w:r>
        <w:rPr>
          <w:spacing w:val="-55"/>
        </w:rPr>
        <w:t> </w:t>
      </w:r>
      <w:r>
        <w:rPr>
          <w:spacing w:val="-55"/>
        </w:rPr>
      </w:r>
      <w:r>
        <w:rPr/>
        <w:t>务，完善智慧城市产业链条；三是用好</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大资本工具，加强资本运作和资本品牌建设，用好并购</w:t>
      </w:r>
    </w:p>
    <w:p>
      <w:pPr>
        <w:pStyle w:val="BodyText"/>
        <w:spacing w:line="297" w:lineRule="auto" w:before="2"/>
        <w:ind w:right="207"/>
        <w:jc w:val="both"/>
      </w:pPr>
      <w:r>
        <w:rPr>
          <w:spacing w:val="-7"/>
        </w:rPr>
        <w:t>基金、产业投资基金、综合投资基金、股票和债券融资、专项授信与应收款融资等</w:t>
      </w:r>
      <w:r>
        <w:rPr>
          <w:spacing w:val="-32"/>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大资本工具，</w:t>
      </w:r>
      <w:r>
        <w:rPr>
          <w:spacing w:val="-97"/>
        </w:rPr>
        <w:t> </w:t>
      </w:r>
      <w:r>
        <w:rPr>
          <w:spacing w:val="-97"/>
        </w:rPr>
      </w:r>
      <w:r>
        <w:rPr/>
        <w:t>建立健全多层次、宽渠道的资本并购和股权投资工作体系。</w:t>
      </w:r>
    </w:p>
    <w:p>
      <w:pPr>
        <w:spacing w:line="240" w:lineRule="auto" w:before="12"/>
        <w:rPr>
          <w:rFonts w:ascii="宋体" w:hAnsi="宋体" w:cs="宋体" w:eastAsia="宋体" w:hint="default"/>
          <w:sz w:val="26"/>
          <w:szCs w:val="26"/>
        </w:rPr>
      </w:pPr>
    </w:p>
    <w:p>
      <w:pPr>
        <w:pStyle w:val="Heading2"/>
        <w:spacing w:line="240" w:lineRule="auto"/>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可能面对的风险</w:t>
      </w:r>
      <w:r>
        <w:rPr>
          <w:b w:val="0"/>
          <w:bCs w:val="0"/>
        </w:rPr>
      </w:r>
    </w:p>
    <w:p>
      <w:pPr>
        <w:pStyle w:val="BodyText"/>
        <w:spacing w:line="297" w:lineRule="auto" w:before="125"/>
        <w:ind w:left="558" w:right="98"/>
        <w:jc w:val="left"/>
      </w:pPr>
      <w:r>
        <w:rPr>
          <w:rFonts w:ascii="Times New Roman" w:hAnsi="Times New Roman" w:cs="Times New Roman" w:eastAsia="Times New Roman" w:hint="default"/>
          <w:b/>
          <w:bCs/>
        </w:rPr>
        <w:t>1</w:t>
      </w:r>
      <w:r>
        <w:rPr>
          <w:rFonts w:ascii="宋体" w:hAnsi="宋体" w:cs="宋体" w:eastAsia="宋体" w:hint="default"/>
          <w:b/>
          <w:bCs/>
        </w:rPr>
        <w:t>、市场竞争风险</w:t>
      </w:r>
      <w:r>
        <w:rPr>
          <w:rFonts w:ascii="宋体" w:hAnsi="宋体" w:cs="宋体" w:eastAsia="宋体" w:hint="default"/>
          <w:b/>
          <w:bCs/>
          <w:spacing w:val="-103"/>
        </w:rPr>
        <w:t> </w:t>
      </w:r>
      <w:r>
        <w:rPr>
          <w:spacing w:val="-2"/>
        </w:rPr>
        <w:t>电子政务市场高度开放，厂商竞争较为激烈，客户需求也在快速变化和不断提升中。如果公</w:t>
      </w:r>
    </w:p>
    <w:p>
      <w:pPr>
        <w:pStyle w:val="BodyText"/>
        <w:spacing w:line="314" w:lineRule="auto" w:before="34"/>
        <w:ind w:right="208"/>
        <w:jc w:val="both"/>
      </w:pPr>
      <w:r>
        <w:rPr>
          <w:spacing w:val="-1"/>
        </w:rPr>
        <w:t>司不能继续保持在政府、党委、军队、公安等电子政务领域的既有优势，并不断开发新产品、拓</w:t>
      </w:r>
      <w:r>
        <w:rPr>
          <w:spacing w:val="-55"/>
        </w:rPr>
        <w:t> </w:t>
      </w:r>
      <w:r>
        <w:rPr>
          <w:spacing w:val="-55"/>
        </w:rPr>
      </w:r>
      <w:r>
        <w:rPr/>
        <w:t>展新市场，将可能对公司未来增长产生不利影响。</w:t>
      </w:r>
    </w:p>
    <w:p>
      <w:pPr>
        <w:pStyle w:val="BodyText"/>
        <w:spacing w:line="314" w:lineRule="auto" w:before="20"/>
        <w:ind w:right="208" w:firstLine="419"/>
        <w:jc w:val="both"/>
      </w:pPr>
      <w:r>
        <w:rPr>
          <w:spacing w:val="-2"/>
        </w:rPr>
        <w:t>公司在立足现有客户的基础上，也将加大对其他潜在客户的开发拓展，逐步扩大下游客户群</w:t>
      </w:r>
      <w:r>
        <w:rPr>
          <w:w w:val="100"/>
        </w:rPr>
        <w:t> </w:t>
      </w:r>
      <w:r>
        <w:rPr>
          <w:spacing w:val="-1"/>
        </w:rPr>
        <w:t>体。同时，公司将时刻关注电子政务行业的变化，顺应客户需求，凭借优良的产品性能和专业化</w:t>
      </w:r>
      <w:r>
        <w:rPr>
          <w:spacing w:val="-55"/>
        </w:rPr>
        <w:t> </w:t>
      </w:r>
      <w:r>
        <w:rPr>
          <w:spacing w:val="-55"/>
        </w:rPr>
      </w:r>
      <w:r>
        <w:rPr/>
        <w:t>服务，继续保持在现有领域较强的竞争力。</w:t>
      </w:r>
    </w:p>
    <w:p>
      <w:pPr>
        <w:pStyle w:val="Heading2"/>
        <w:spacing w:line="240" w:lineRule="auto" w:before="20"/>
        <w:ind w:left="560" w:right="2926"/>
        <w:jc w:val="left"/>
        <w:rPr>
          <w:b w:val="0"/>
          <w:bCs w:val="0"/>
        </w:rPr>
      </w:pPr>
      <w:r>
        <w:rPr>
          <w:rFonts w:ascii="Times New Roman" w:hAnsi="Times New Roman" w:cs="Times New Roman" w:eastAsia="Times New Roman" w:hint="default"/>
        </w:rPr>
        <w:t>2</w:t>
      </w:r>
      <w:r>
        <w:rPr/>
        <w:t>、公司规模扩张引起的经营管理风险</w:t>
      </w:r>
      <w:r>
        <w:rPr>
          <w:b w:val="0"/>
          <w:bCs w:val="0"/>
        </w:rPr>
      </w:r>
    </w:p>
    <w:p>
      <w:pPr>
        <w:spacing w:after="0" w:line="240" w:lineRule="auto"/>
        <w:jc w:val="left"/>
        <w:sectPr>
          <w:pgSz w:w="11910" w:h="16840"/>
          <w:pgMar w:header="880" w:footer="974" w:top="1120" w:bottom="1160" w:left="1660" w:right="106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314" w:lineRule="auto"/>
        <w:ind w:right="308" w:firstLine="419"/>
        <w:jc w:val="both"/>
      </w:pPr>
      <w:r>
        <w:rPr>
          <w:spacing w:val="-2"/>
        </w:rPr>
        <w:t>公司目前已形成了有效的激励约束机制及内部管理制度，但随着业务规模的不断扩张，公司</w:t>
      </w:r>
      <w:r>
        <w:rPr>
          <w:w w:val="100"/>
        </w:rPr>
        <w:t> </w:t>
      </w:r>
      <w:r>
        <w:rPr>
          <w:spacing w:val="-1"/>
        </w:rPr>
        <w:t>如果不能有效的进行组织结构调整，进一步完善管理流程和内部控制制度，将影响公司的应变能</w:t>
      </w:r>
      <w:r>
        <w:rPr>
          <w:spacing w:val="-55"/>
        </w:rPr>
        <w:t> </w:t>
      </w:r>
      <w:r>
        <w:rPr>
          <w:spacing w:val="-55"/>
        </w:rPr>
      </w:r>
      <w:r>
        <w:rPr/>
        <w:t>力和市场竞争力，公司存在规模迅速扩张引致的经营管理风险。</w:t>
      </w:r>
    </w:p>
    <w:p>
      <w:pPr>
        <w:pStyle w:val="BodyText"/>
        <w:spacing w:line="314" w:lineRule="auto" w:before="20"/>
        <w:ind w:right="0" w:firstLine="419"/>
        <w:jc w:val="left"/>
      </w:pPr>
      <w:r>
        <w:rPr>
          <w:spacing w:val="-4"/>
          <w:w w:val="100"/>
        </w:rPr>
        <w:t>公司将持续针对企业的发展状况进行组织结构的优化调整，进一步完善内部流程和管控制度，</w:t>
      </w:r>
      <w:r>
        <w:rPr>
          <w:w w:val="100"/>
        </w:rPr>
        <w:t> </w:t>
      </w:r>
      <w:r>
        <w:rPr/>
        <w:t>要求各职能部门严格遵守，按章经营。同时，择机聘请专业团队对管理体系进行梳理完善，以适</w:t>
      </w:r>
      <w:r>
        <w:rPr>
          <w:spacing w:val="-97"/>
        </w:rPr>
        <w:t> </w:t>
      </w:r>
      <w:r>
        <w:rPr>
          <w:spacing w:val="-97"/>
        </w:rPr>
      </w:r>
      <w:r>
        <w:rPr/>
        <w:t>应规模扩张的需要。</w:t>
      </w:r>
    </w:p>
    <w:p>
      <w:pPr>
        <w:spacing w:line="297" w:lineRule="auto" w:before="20"/>
        <w:ind w:left="558" w:right="22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、收入季节性波动风险</w:t>
      </w:r>
      <w:r>
        <w:rPr>
          <w:rFonts w:ascii="宋体" w:hAnsi="宋体" w:cs="宋体" w:eastAsia="宋体" w:hint="default"/>
          <w:b/>
          <w:bCs/>
          <w:w w:val="100"/>
          <w:sz w:val="21"/>
          <w:szCs w:val="21"/>
        </w:rPr>
        <w:t> </w:t>
      </w:r>
      <w:r>
        <w:rPr>
          <w:rFonts w:ascii="宋体" w:hAnsi="宋体" w:cs="宋体" w:eastAsia="宋体" w:hint="default"/>
          <w:spacing w:val="-1"/>
          <w:sz w:val="21"/>
          <w:szCs w:val="21"/>
        </w:rPr>
        <w:t>受客户结构、业务特点等因素的影响，本公司营业收入存在季节性分布不均衡的特点，下半</w:t>
      </w:r>
    </w:p>
    <w:p>
      <w:pPr>
        <w:pStyle w:val="BodyText"/>
        <w:spacing w:line="297" w:lineRule="auto" w:before="34"/>
        <w:ind w:right="304"/>
        <w:jc w:val="left"/>
      </w:pPr>
      <w:r>
        <w:rPr/>
        <w:t>年的营业收入和利润水平占全年的比例高于上半年。</w:t>
      </w:r>
      <w:r>
        <w:rPr>
          <w:rFonts w:ascii="Times New Roman" w:hAnsi="Times New Roman" w:cs="Times New Roman" w:eastAsia="Times New Roman" w:hint="default"/>
        </w:rPr>
        <w:t>2014 </w:t>
      </w:r>
      <w:r>
        <w:rPr/>
        <w:t>年和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年，本公司下半年实现的营</w:t>
      </w:r>
      <w:r>
        <w:rPr>
          <w:w w:val="100"/>
        </w:rPr>
        <w:t> </w:t>
      </w:r>
      <w:r>
        <w:rPr/>
        <w:t>业收入占全年的比重分别为</w:t>
      </w:r>
      <w:r>
        <w:rPr>
          <w:spacing w:val="-53"/>
        </w:rPr>
        <w:t> </w:t>
      </w:r>
      <w:r>
        <w:rPr>
          <w:rFonts w:ascii="Times New Roman" w:hAnsi="Times New Roman" w:cs="Times New Roman" w:eastAsia="Times New Roman" w:hint="default"/>
        </w:rPr>
        <w:t>55.98%</w:t>
      </w:r>
      <w:r>
        <w:rPr/>
        <w:t>和</w:t>
      </w:r>
      <w:r>
        <w:rPr>
          <w:spacing w:val="-55"/>
        </w:rPr>
        <w:t> </w:t>
      </w:r>
      <w:r>
        <w:rPr>
          <w:rFonts w:ascii="Times New Roman" w:hAnsi="Times New Roman" w:cs="Times New Roman" w:eastAsia="Times New Roman" w:hint="default"/>
        </w:rPr>
        <w:t>57.94%</w:t>
      </w:r>
      <w:r>
        <w:rPr/>
        <w:t>。</w:t>
      </w:r>
    </w:p>
    <w:p>
      <w:pPr>
        <w:pStyle w:val="BodyText"/>
        <w:spacing w:line="314" w:lineRule="auto" w:before="13"/>
        <w:ind w:right="308" w:firstLine="419"/>
        <w:jc w:val="both"/>
      </w:pPr>
      <w:r>
        <w:rPr>
          <w:spacing w:val="-7"/>
        </w:rPr>
        <w:t>主要原因为公司的客户以政府、党委、军队等政务部门为主，项目资金大多来源于财政资金，</w:t>
      </w:r>
      <w:r>
        <w:rPr>
          <w:w w:val="100"/>
        </w:rPr>
        <w:t> </w:t>
      </w:r>
      <w:r>
        <w:rPr>
          <w:spacing w:val="-1"/>
        </w:rPr>
        <w:t>按照国家相关规定，政府采购项目需进行公开招投标。此类项目通常在年初进行招标方案设计，</w:t>
      </w:r>
      <w:r>
        <w:rPr>
          <w:spacing w:val="-55"/>
        </w:rPr>
        <w:t> </w:t>
      </w:r>
      <w:r>
        <w:rPr>
          <w:spacing w:val="-55"/>
        </w:rPr>
      </w:r>
      <w:r>
        <w:rPr>
          <w:spacing w:val="-1"/>
        </w:rPr>
        <w:t>项目建设集中在年中和下半年，而项目的终验大多在年底进行。行业客户的采购特点使公司及公</w:t>
      </w:r>
      <w:r>
        <w:rPr>
          <w:spacing w:val="-55"/>
        </w:rPr>
        <w:t> </w:t>
      </w:r>
      <w:r>
        <w:rPr>
          <w:spacing w:val="-55"/>
        </w:rPr>
      </w:r>
      <w:r>
        <w:rPr>
          <w:spacing w:val="-1"/>
        </w:rPr>
        <w:t>司同行业公司均存在明显的收入和利润季节性波动的特征，营业收入和利润主要集中在下半年尤</w:t>
      </w:r>
      <w:r>
        <w:rPr>
          <w:spacing w:val="-55"/>
        </w:rPr>
        <w:t> </w:t>
      </w:r>
      <w:r>
        <w:rPr>
          <w:spacing w:val="-55"/>
        </w:rPr>
      </w:r>
      <w:r>
        <w:rPr/>
        <w:t>其是第四季度实现。</w:t>
      </w:r>
    </w:p>
    <w:p>
      <w:pPr>
        <w:pStyle w:val="BodyText"/>
        <w:spacing w:line="314" w:lineRule="auto" w:before="20"/>
        <w:ind w:right="308" w:firstLine="419"/>
        <w:jc w:val="both"/>
      </w:pPr>
      <w:r>
        <w:rPr>
          <w:spacing w:val="-7"/>
          <w:w w:val="100"/>
        </w:rPr>
        <w:t>在收入呈现季节性波动、而费用在各季度内较为均衡发生的情况下，可能会造成公司一季度、</w:t>
      </w:r>
      <w:r>
        <w:rPr>
          <w:w w:val="100"/>
        </w:rPr>
        <w:t> </w:t>
      </w:r>
      <w:r>
        <w:rPr/>
        <w:t>半年度和前三季度出现季节性亏损或盈利较低的情形，公司经营业绩存在季节性波动风险。</w:t>
      </w:r>
    </w:p>
    <w:p>
      <w:pPr>
        <w:pStyle w:val="Heading2"/>
        <w:spacing w:line="240" w:lineRule="auto" w:before="20"/>
        <w:ind w:left="560" w:right="227"/>
        <w:jc w:val="left"/>
        <w:rPr>
          <w:b w:val="0"/>
          <w:bCs w:val="0"/>
        </w:rPr>
      </w:pPr>
      <w:r>
        <w:rPr>
          <w:rFonts w:ascii="Times New Roman" w:hAnsi="Times New Roman" w:cs="Times New Roman" w:eastAsia="Times New Roman" w:hint="default"/>
        </w:rPr>
        <w:t>4</w:t>
      </w:r>
      <w:r>
        <w:rPr/>
        <w:t>、应收账款偏高的风险</w:t>
      </w:r>
      <w:r>
        <w:rPr>
          <w:b w:val="0"/>
          <w:bCs w:val="0"/>
        </w:rPr>
      </w:r>
    </w:p>
    <w:p>
      <w:pPr>
        <w:pStyle w:val="BodyText"/>
        <w:spacing w:line="240" w:lineRule="auto" w:before="69"/>
        <w:ind w:left="558" w:right="227"/>
        <w:jc w:val="left"/>
        <w:rPr>
          <w:rFonts w:ascii="Times New Roman" w:hAnsi="Times New Roman" w:cs="Times New Roman" w:eastAsia="Times New Roman" w:hint="default"/>
        </w:rPr>
      </w:pPr>
      <w:r>
        <w:rPr>
          <w:rFonts w:ascii="Times New Roman" w:hAnsi="Times New Roman" w:cs="Times New Roman" w:eastAsia="Times New Roman" w:hint="default"/>
          <w:w w:val="100"/>
        </w:rPr>
        <w:t>2013</w:t>
      </w:r>
      <w:r>
        <w:rPr>
          <w:rFonts w:ascii="Times New Roman" w:hAnsi="Times New Roman" w:cs="Times New Roman" w:eastAsia="Times New Roman" w:hint="default"/>
          <w:spacing w:val="-22"/>
        </w:rPr>
        <w:t> </w:t>
      </w:r>
      <w:r>
        <w:rPr>
          <w:w w:val="100"/>
        </w:rPr>
        <w:t>年至</w:t>
      </w:r>
      <w:r>
        <w:rPr>
          <w:spacing w:val="-77"/>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24"/>
        </w:rPr>
        <w:t> </w:t>
      </w:r>
      <w:r>
        <w:rPr>
          <w:w w:val="100"/>
        </w:rPr>
        <w:t>年末</w:t>
      </w:r>
      <w:r>
        <w:rPr>
          <w:spacing w:val="-108"/>
          <w:w w:val="100"/>
        </w:rPr>
        <w:t>，</w:t>
      </w:r>
      <w:r>
        <w:rPr>
          <w:w w:val="100"/>
        </w:rPr>
        <w:t>公</w:t>
      </w:r>
      <w:r>
        <w:rPr>
          <w:spacing w:val="-3"/>
          <w:w w:val="100"/>
        </w:rPr>
        <w:t>司</w:t>
      </w:r>
      <w:r>
        <w:rPr>
          <w:w w:val="100"/>
        </w:rPr>
        <w:t>应收</w:t>
      </w:r>
      <w:r>
        <w:rPr>
          <w:spacing w:val="-3"/>
          <w:w w:val="100"/>
        </w:rPr>
        <w:t>账</w:t>
      </w:r>
      <w:r>
        <w:rPr>
          <w:w w:val="100"/>
        </w:rPr>
        <w:t>款</w:t>
      </w:r>
      <w:r>
        <w:rPr>
          <w:spacing w:val="-3"/>
          <w:w w:val="100"/>
        </w:rPr>
        <w:t>票</w:t>
      </w:r>
      <w:r>
        <w:rPr>
          <w:w w:val="100"/>
        </w:rPr>
        <w:t>面</w:t>
      </w:r>
      <w:r>
        <w:rPr>
          <w:spacing w:val="-3"/>
          <w:w w:val="100"/>
        </w:rPr>
        <w:t>余</w:t>
      </w:r>
      <w:r>
        <w:rPr>
          <w:w w:val="100"/>
        </w:rPr>
        <w:t>额</w:t>
      </w:r>
      <w:r>
        <w:rPr>
          <w:spacing w:val="-3"/>
          <w:w w:val="100"/>
        </w:rPr>
        <w:t>分</w:t>
      </w:r>
      <w:r>
        <w:rPr>
          <w:w w:val="100"/>
        </w:rPr>
        <w:t>别为</w:t>
      </w:r>
      <w:r>
        <w:rPr>
          <w:spacing w:val="-74"/>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2,207.60</w:t>
      </w:r>
      <w:r>
        <w:rPr>
          <w:rFonts w:ascii="Times New Roman" w:hAnsi="Times New Roman" w:cs="Times New Roman" w:eastAsia="Times New Roman" w:hint="default"/>
          <w:spacing w:val="-24"/>
        </w:rPr>
        <w:t> </w:t>
      </w:r>
      <w:r>
        <w:rPr>
          <w:w w:val="100"/>
        </w:rPr>
        <w:t>万</w:t>
      </w:r>
      <w:r>
        <w:rPr>
          <w:spacing w:val="-3"/>
          <w:w w:val="100"/>
        </w:rPr>
        <w:t>元</w:t>
      </w:r>
      <w:r>
        <w:rPr>
          <w:spacing w:val="-106"/>
          <w:w w:val="100"/>
        </w:rPr>
        <w:t>、</w:t>
      </w:r>
      <w:r>
        <w:rPr>
          <w:rFonts w:ascii="Times New Roman" w:hAnsi="Times New Roman" w:cs="Times New Roman" w:eastAsia="Times New Roman" w:hint="default"/>
          <w:w w:val="100"/>
        </w:rPr>
        <w:t>11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345.74</w:t>
      </w:r>
      <w:r>
        <w:rPr>
          <w:rFonts w:ascii="Times New Roman" w:hAnsi="Times New Roman" w:cs="Times New Roman" w:eastAsia="Times New Roman" w:hint="default"/>
          <w:spacing w:val="-24"/>
        </w:rPr>
        <w:t> </w:t>
      </w:r>
      <w:r>
        <w:rPr>
          <w:spacing w:val="-3"/>
          <w:w w:val="100"/>
        </w:rPr>
        <w:t>万</w:t>
      </w:r>
      <w:r>
        <w:rPr>
          <w:w w:val="100"/>
        </w:rPr>
        <w:t>元和</w:t>
      </w:r>
      <w:r>
        <w:rPr>
          <w:spacing w:val="-74"/>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461.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1</w:t>
      </w:r>
    </w:p>
    <w:p>
      <w:pPr>
        <w:pStyle w:val="BodyText"/>
        <w:spacing w:line="297" w:lineRule="auto" w:before="69"/>
        <w:ind w:left="558" w:right="0" w:hanging="420"/>
        <w:jc w:val="left"/>
      </w:pPr>
      <w:r>
        <w:rPr/>
        <w:t>万元，</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年下降</w:t>
      </w:r>
      <w:r>
        <w:rPr>
          <w:spacing w:val="-54"/>
        </w:rPr>
        <w:t> </w:t>
      </w:r>
      <w:r>
        <w:rPr>
          <w:rFonts w:ascii="Times New Roman" w:hAnsi="Times New Roman" w:cs="Times New Roman" w:eastAsia="Times New Roman" w:hint="default"/>
        </w:rPr>
        <w:t>7.06%</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年增长</w:t>
      </w:r>
      <w:r>
        <w:rPr>
          <w:spacing w:val="-54"/>
        </w:rPr>
        <w:t> </w:t>
      </w:r>
      <w:r>
        <w:rPr>
          <w:rFonts w:ascii="Times New Roman" w:hAnsi="Times New Roman" w:cs="Times New Roman" w:eastAsia="Times New Roman" w:hint="default"/>
        </w:rPr>
        <w:t>45.09%</w:t>
      </w:r>
      <w:r>
        <w:rPr/>
        <w:t>，应收账款规模进一步扩大。</w:t>
      </w:r>
      <w:r>
        <w:rPr>
          <w:w w:val="100"/>
        </w:rPr>
        <w:t> </w:t>
      </w:r>
      <w:r>
        <w:rPr>
          <w:spacing w:val="-1"/>
        </w:rPr>
        <w:t>应收账款规模较大的原因一方面是由于公司的业务模式和合同规定的收款模式等因素所造成，</w:t>
      </w:r>
    </w:p>
    <w:p>
      <w:pPr>
        <w:pStyle w:val="BodyText"/>
        <w:spacing w:line="314" w:lineRule="auto" w:before="34"/>
        <w:ind w:right="308"/>
        <w:jc w:val="both"/>
      </w:pPr>
      <w:r>
        <w:rPr>
          <w:spacing w:val="-1"/>
        </w:rPr>
        <w:t>另一方面是受收入季节性、客户付款流程较长等因素影响，导致应收账款规模增长较快。随着公</w:t>
      </w:r>
      <w:r>
        <w:rPr>
          <w:spacing w:val="-55"/>
        </w:rPr>
        <w:t> </w:t>
      </w:r>
      <w:r>
        <w:rPr>
          <w:spacing w:val="-55"/>
        </w:rPr>
      </w:r>
      <w:r>
        <w:rPr>
          <w:spacing w:val="-1"/>
        </w:rPr>
        <w:t>司业务的快速发展，若应收账款不能及时收回，将增加公司坏账损失，影响公司的净利润和现金</w:t>
      </w:r>
      <w:r>
        <w:rPr>
          <w:spacing w:val="-55"/>
        </w:rPr>
        <w:t> </w:t>
      </w:r>
      <w:r>
        <w:rPr>
          <w:spacing w:val="-55"/>
        </w:rPr>
      </w:r>
      <w:r>
        <w:rPr/>
        <w:t>流量。</w:t>
      </w:r>
    </w:p>
    <w:p>
      <w:pPr>
        <w:pStyle w:val="BodyText"/>
        <w:spacing w:line="314" w:lineRule="auto" w:before="20"/>
        <w:ind w:right="308" w:firstLine="419"/>
        <w:jc w:val="both"/>
      </w:pPr>
      <w:r>
        <w:rPr>
          <w:spacing w:val="-2"/>
        </w:rPr>
        <w:t>整体来说，报告期末公司应收账款账龄结构良好，客户主要集中在党委、政府、军队等政务</w:t>
      </w:r>
      <w:r>
        <w:rPr>
          <w:w w:val="100"/>
        </w:rPr>
        <w:t> </w:t>
      </w:r>
      <w:r>
        <w:rPr>
          <w:spacing w:val="-1"/>
        </w:rPr>
        <w:t>部门，主要客户具有较强的实力以及长期良好的合作关系和信用，信用良好，发生坏账的可能性</w:t>
      </w:r>
      <w:r>
        <w:rPr>
          <w:spacing w:val="-55"/>
        </w:rPr>
        <w:t> </w:t>
      </w:r>
      <w:r>
        <w:rPr>
          <w:spacing w:val="-55"/>
        </w:rPr>
      </w:r>
      <w:r>
        <w:rPr>
          <w:spacing w:val="-1"/>
        </w:rPr>
        <w:t>较小。同时，公司已经制订较为合理的坏账计提政策且得到有效执行。未来，公司将继续加强应</w:t>
      </w:r>
      <w:r>
        <w:rPr>
          <w:spacing w:val="-55"/>
        </w:rPr>
        <w:t> </w:t>
      </w:r>
      <w:r>
        <w:rPr>
          <w:spacing w:val="-55"/>
        </w:rPr>
      </w:r>
      <w:r>
        <w:rPr>
          <w:spacing w:val="-1"/>
        </w:rPr>
        <w:t>收账款管理，加大货款催收力度，将客户回款作为其后续发货及销售人员考核的重要指标，减少</w:t>
      </w:r>
      <w:r>
        <w:rPr>
          <w:spacing w:val="-56"/>
        </w:rPr>
        <w:t> </w:t>
      </w:r>
      <w:r>
        <w:rPr>
          <w:spacing w:val="-56"/>
        </w:rPr>
      </w:r>
      <w:r>
        <w:rPr/>
        <w:t>应收账款坏账风险。</w:t>
      </w:r>
    </w:p>
    <w:p>
      <w:pPr>
        <w:pStyle w:val="BodyText"/>
        <w:spacing w:line="297" w:lineRule="auto" w:before="20"/>
        <w:ind w:left="558" w:right="307" w:firstLine="2"/>
        <w:jc w:val="left"/>
      </w:pPr>
      <w:r>
        <w:rPr>
          <w:rFonts w:ascii="Times New Roman" w:hAnsi="Times New Roman" w:cs="Times New Roman" w:eastAsia="Times New Roman" w:hint="default"/>
          <w:b/>
          <w:bCs/>
        </w:rPr>
        <w:t>5</w:t>
      </w:r>
      <w:r>
        <w:rPr>
          <w:rFonts w:ascii="宋体" w:hAnsi="宋体" w:cs="宋体" w:eastAsia="宋体" w:hint="default"/>
          <w:b/>
          <w:bCs/>
        </w:rPr>
        <w:t>、大股东控制风险</w:t>
      </w:r>
      <w:r>
        <w:rPr>
          <w:rFonts w:ascii="宋体" w:hAnsi="宋体" w:cs="宋体" w:eastAsia="宋体" w:hint="default"/>
          <w:b/>
          <w:bCs/>
          <w:w w:val="100"/>
        </w:rPr>
        <w:t> </w:t>
      </w:r>
      <w:r>
        <w:rPr>
          <w:spacing w:val="-3"/>
        </w:rPr>
        <w:t>公司的控股股东和实际控制人为吴志雄。截止报告期末，吴志雄持有公司</w:t>
      </w:r>
      <w:r>
        <w:rPr>
          <w:spacing w:val="13"/>
        </w:rPr>
        <w:t> </w:t>
      </w:r>
      <w:r>
        <w:rPr>
          <w:rFonts w:ascii="Times New Roman" w:hAnsi="Times New Roman" w:cs="Times New Roman" w:eastAsia="Times New Roman" w:hint="default"/>
          <w:spacing w:val="-3"/>
        </w:rPr>
        <w:t>57.40%</w:t>
      </w:r>
      <w:r>
        <w:rPr>
          <w:spacing w:val="-3"/>
        </w:rPr>
        <w:t>的股份，具</w:t>
      </w:r>
    </w:p>
    <w:p>
      <w:pPr>
        <w:pStyle w:val="BodyText"/>
        <w:spacing w:line="314" w:lineRule="auto" w:before="13"/>
        <w:ind w:left="558" w:right="227" w:hanging="420"/>
        <w:jc w:val="left"/>
      </w:pPr>
      <w:r>
        <w:rPr/>
        <w:t>有直接影响公司重大经营决策的能力。</w:t>
      </w:r>
      <w:r>
        <w:rPr>
          <w:w w:val="100"/>
        </w:rPr>
        <w:t> </w:t>
      </w:r>
      <w:r>
        <w:rPr>
          <w:spacing w:val="-2"/>
        </w:rPr>
        <w:t>虽然公司已经制定并施行一系列制度加强防范控股股东及实际控制人操控公司行为的发生，</w:t>
      </w:r>
    </w:p>
    <w:p>
      <w:pPr>
        <w:pStyle w:val="BodyText"/>
        <w:spacing w:line="314" w:lineRule="auto" w:before="20"/>
        <w:ind w:right="0"/>
        <w:jc w:val="left"/>
      </w:pPr>
      <w:r>
        <w:rPr>
          <w:spacing w:val="-2"/>
        </w:rPr>
        <w:t>而且公司自设立以来也未发生过控股股东或实际控制人利用其控股地位侵害其他股东利益的行为，</w:t>
      </w:r>
      <w:r>
        <w:rPr>
          <w:spacing w:val="-13"/>
        </w:rPr>
        <w:t> </w:t>
      </w:r>
      <w:r>
        <w:rPr>
          <w:spacing w:val="-13"/>
        </w:rPr>
      </w:r>
      <w:r>
        <w:rPr/>
        <w:t>但不能排除在本次发行后，控股股东、实际控制人利用其控股地位，通过行使表决权对公司发展</w:t>
      </w:r>
      <w:r>
        <w:rPr>
          <w:spacing w:val="-97"/>
        </w:rPr>
        <w:t> </w:t>
      </w:r>
      <w:r>
        <w:rPr>
          <w:spacing w:val="-97"/>
        </w:rPr>
      </w:r>
      <w:r>
        <w:rPr/>
        <w:t>战略、经营决策、人事安排和利润分配等重大事宜实施影响，从而损害公司及中小股东利益的可</w:t>
      </w:r>
      <w:r>
        <w:rPr>
          <w:spacing w:val="-97"/>
        </w:rPr>
        <w:t> </w:t>
      </w:r>
      <w:r>
        <w:rPr>
          <w:spacing w:val="-97"/>
        </w:rPr>
      </w:r>
      <w:r>
        <w:rPr/>
        <w:t>能性。</w:t>
      </w:r>
    </w:p>
    <w:p>
      <w:pPr>
        <w:spacing w:after="0" w:line="314" w:lineRule="auto"/>
        <w:jc w:val="left"/>
        <w:sectPr>
          <w:pgSz w:w="11910" w:h="16840"/>
          <w:pgMar w:header="880" w:footer="974" w:top="1120" w:bottom="1160" w:left="166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128" w:firstLine="419"/>
        <w:jc w:val="both"/>
      </w:pPr>
      <w:r>
        <w:rPr>
          <w:spacing w:val="-2"/>
        </w:rPr>
        <w:t>针对以上风险，公司将严格按照有关法律法规的要求，规范公司行为，及时、准确、全面、</w:t>
      </w:r>
      <w:r>
        <w:rPr>
          <w:w w:val="100"/>
        </w:rPr>
        <w:t> </w:t>
      </w:r>
      <w:r>
        <w:rPr>
          <w:spacing w:val="-6"/>
        </w:rPr>
        <w:t>公正地披露重要信息，加强与投资者的沟通。同时公司将采取积极措施，尽可能地降低投资风险，</w:t>
      </w:r>
      <w:r>
        <w:rPr>
          <w:spacing w:val="-54"/>
        </w:rPr>
        <w:t> </w:t>
      </w:r>
      <w:r>
        <w:rPr>
          <w:spacing w:val="-54"/>
        </w:rPr>
      </w:r>
      <w:r>
        <w:rPr/>
        <w:t>确保利润稳定增长，为股东创造丰厚的回报。</w:t>
      </w:r>
    </w:p>
    <w:p>
      <w:pPr>
        <w:spacing w:line="240" w:lineRule="auto" w:before="10"/>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70"/>
        <w:ind w:left="558" w:right="0"/>
        <w:jc w:val="left"/>
      </w:pPr>
      <w:r>
        <w:rPr/>
        <w:t>无。</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t>四、公司因不适用准则规定或特殊原因，未按准则披露的情况和原因说明</w:t>
      </w:r>
      <w:r>
        <w:rPr>
          <w:b w:val="0"/>
          <w:bCs w:val="0"/>
        </w:rPr>
      </w:r>
    </w:p>
    <w:p>
      <w:pPr>
        <w:pStyle w:val="BodyText"/>
        <w:spacing w:line="240" w:lineRule="auto" w:before="97"/>
        <w:ind w:left="558" w:right="0"/>
        <w:jc w:val="left"/>
      </w:pPr>
      <w:r>
        <w:rPr/>
        <w:t>□适用 √不适用</w:t>
      </w:r>
    </w:p>
    <w:p>
      <w:pPr>
        <w:spacing w:after="0" w:line="240" w:lineRule="auto"/>
        <w:jc w:val="left"/>
        <w:sectPr>
          <w:pgSz w:w="11910" w:h="16840"/>
          <w:pgMar w:header="880"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95"/>
        <w:jc w:val="center"/>
        <w:rPr>
          <w:b w:val="0"/>
          <w:bCs w:val="0"/>
        </w:rPr>
      </w:pPr>
      <w:bookmarkStart w:name="_TOC_250007" w:id="5"/>
      <w:r>
        <w:rPr>
          <w:w w:val="95"/>
        </w:rPr>
        <w:t>第五节</w:t>
        <w:tab/>
      </w:r>
      <w:r>
        <w:rPr/>
        <w:t>重要事项</w:t>
      </w:r>
      <w:bookmarkEnd w:id="5"/>
      <w:r>
        <w:rPr>
          <w:b w:val="0"/>
          <w:bCs w:val="0"/>
        </w:rPr>
      </w:r>
    </w:p>
    <w:p>
      <w:pPr>
        <w:spacing w:line="240" w:lineRule="auto" w:before="13"/>
        <w:rPr>
          <w:rFonts w:ascii="黑体" w:hAnsi="黑体" w:cs="黑体" w:eastAsia="黑体" w:hint="default"/>
          <w:b/>
          <w:bCs/>
          <w:sz w:val="20"/>
          <w:szCs w:val="20"/>
        </w:rPr>
      </w:pPr>
    </w:p>
    <w:p>
      <w:pPr>
        <w:pStyle w:val="Heading2"/>
        <w:spacing w:line="240" w:lineRule="auto"/>
        <w:ind w:right="302"/>
        <w:jc w:val="left"/>
        <w:rPr>
          <w:b w:val="0"/>
          <w:bCs w:val="0"/>
        </w:rPr>
      </w:pPr>
      <w:r>
        <w:rPr/>
        <w:t>一、普通股利润分配或资本公积金转增预案</w:t>
      </w:r>
      <w:r>
        <w:rPr>
          <w:b w:val="0"/>
          <w:bCs w:val="0"/>
        </w:rPr>
      </w:r>
    </w:p>
    <w:p>
      <w:pPr>
        <w:spacing w:line="333" w:lineRule="auto" w:before="145"/>
        <w:ind w:left="638" w:right="302"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报告期内，公司严格按照中国证券监督管理委员会《关于进一步落实上市公司现金分红有关</w:t>
      </w:r>
    </w:p>
    <w:p>
      <w:pPr>
        <w:pStyle w:val="BodyText"/>
        <w:spacing w:line="297" w:lineRule="auto" w:before="3"/>
        <w:ind w:left="218" w:right="302"/>
        <w:jc w:val="left"/>
      </w:pPr>
      <w:r>
        <w:rPr/>
        <w:t>事项的通知》、《上市公司监管指引第</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上市公司现金分红》、《上海证券交易所上市公司</w:t>
      </w:r>
      <w:r>
        <w:rPr>
          <w:w w:val="100"/>
        </w:rPr>
        <w:t> </w:t>
      </w:r>
      <w:r>
        <w:rPr/>
        <w:t>现金分红指引》及《公司章程》的规定，制定、实施现金分红及利润分配。</w:t>
      </w:r>
    </w:p>
    <w:p>
      <w:pPr>
        <w:pStyle w:val="BodyText"/>
        <w:spacing w:line="240" w:lineRule="auto" w:before="34"/>
        <w:ind w:left="0" w:right="310"/>
        <w:jc w:val="right"/>
      </w:pPr>
      <w:r>
        <w:rPr/>
        <w:t>公司于</w:t>
      </w:r>
      <w:r>
        <w:rPr>
          <w:spacing w:val="-53"/>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6 </w:t>
      </w:r>
      <w:r>
        <w:rPr/>
        <w:t>月</w:t>
      </w:r>
      <w:r>
        <w:rPr>
          <w:spacing w:val="-52"/>
        </w:rPr>
        <w:t> </w:t>
      </w:r>
      <w:r>
        <w:rPr>
          <w:rFonts w:ascii="Times New Roman" w:hAnsi="Times New Roman" w:cs="Times New Roman" w:eastAsia="Times New Roman" w:hint="default"/>
        </w:rPr>
        <w:t>29 </w:t>
      </w:r>
      <w:r>
        <w:rPr/>
        <w:t>日召开</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年年度股东大会，审议通过《关于公司</w:t>
      </w:r>
      <w:r>
        <w:rPr>
          <w:spacing w:val="-52"/>
        </w:rPr>
        <w:t> </w:t>
      </w:r>
      <w:r>
        <w:rPr>
          <w:rFonts w:ascii="Times New Roman" w:hAnsi="Times New Roman" w:cs="Times New Roman" w:eastAsia="Times New Roman" w:hint="default"/>
        </w:rPr>
        <w:t>2014 </w:t>
      </w:r>
      <w:r>
        <w:rPr/>
        <w:t>年度利润分</w:t>
      </w:r>
    </w:p>
    <w:p>
      <w:pPr>
        <w:pStyle w:val="BodyText"/>
        <w:spacing w:line="240" w:lineRule="auto" w:before="69"/>
        <w:ind w:left="218" w:right="85"/>
        <w:jc w:val="left"/>
        <w:rPr>
          <w:rFonts w:ascii="Times New Roman" w:hAnsi="Times New Roman" w:cs="Times New Roman" w:eastAsia="Times New Roman" w:hint="default"/>
        </w:rPr>
      </w:pPr>
      <w:r>
        <w:rPr>
          <w:spacing w:val="-4"/>
        </w:rPr>
        <w:t>配预案的议案》，以截止</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t>日公司总股本</w:t>
      </w:r>
      <w:r>
        <w:rPr>
          <w:spacing w:val="-48"/>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4"/>
        </w:rPr>
        <w:t> </w:t>
      </w:r>
      <w:r>
        <w:rPr>
          <w:spacing w:val="-3"/>
        </w:rPr>
        <w:t>股为基数，向全体股东每</w:t>
      </w:r>
      <w:r>
        <w:rPr>
          <w:spacing w:val="-5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rPr>
      </w:r>
    </w:p>
    <w:p>
      <w:pPr>
        <w:pStyle w:val="BodyText"/>
        <w:spacing w:line="240" w:lineRule="auto" w:before="70"/>
        <w:ind w:left="218" w:right="302"/>
        <w:jc w:val="left"/>
      </w:pPr>
      <w:r>
        <w:rPr/>
        <w:t>股派发现金股利</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，共计分配现金股利</w:t>
      </w:r>
      <w:r>
        <w:rPr>
          <w:spacing w:val="-53"/>
        </w:rPr>
        <w:t> </w:t>
      </w:r>
      <w:r>
        <w:rPr>
          <w:rFonts w:ascii="Times New Roman" w:hAnsi="Times New Roman" w:cs="Times New Roman" w:eastAsia="Times New Roman" w:hint="default"/>
        </w:rPr>
        <w:t>18,000,000.00</w:t>
      </w:r>
      <w:r>
        <w:rPr>
          <w:rFonts w:ascii="Times New Roman" w:hAnsi="Times New Roman" w:cs="Times New Roman" w:eastAsia="Times New Roman" w:hint="default"/>
          <w:spacing w:val="-3"/>
        </w:rPr>
        <w:t> </w:t>
      </w:r>
      <w:r>
        <w:rPr/>
        <w:t>元。</w:t>
      </w:r>
    </w:p>
    <w:p>
      <w:pPr>
        <w:pStyle w:val="BodyText"/>
        <w:spacing w:line="297" w:lineRule="auto" w:before="69"/>
        <w:ind w:left="218" w:right="302" w:firstLine="199"/>
        <w:jc w:val="left"/>
      </w:pPr>
      <w:r>
        <w:rPr/>
        <w:t>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年度利润分配方案于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6"/>
        </w:rPr>
        <w:t>日实施完毕。公司严格执行了《公司章程》制定</w:t>
      </w:r>
      <w:r>
        <w:rPr>
          <w:w w:val="100"/>
        </w:rPr>
        <w:t> </w:t>
      </w:r>
      <w:r>
        <w:rPr/>
        <w:t>的利润分配政策。</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ind w:right="30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spacing w:line="240" w:lineRule="auto" w:before="118"/>
        <w:ind w:left="0" w:right="310"/>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62"/>
        <w:gridCol w:w="1167"/>
        <w:gridCol w:w="1135"/>
        <w:gridCol w:w="1166"/>
        <w:gridCol w:w="1582"/>
        <w:gridCol w:w="1582"/>
        <w:gridCol w:w="1454"/>
      </w:tblGrid>
      <w:tr>
        <w:trPr>
          <w:trHeight w:val="1812"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4" w:lineRule="auto"/>
              <w:ind w:left="266" w:right="26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97" w:lineRule="auto" w:before="143"/>
              <w:ind w:left="103" w:right="104"/>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0"/>
                <w:szCs w:val="30"/>
              </w:rPr>
            </w:pPr>
          </w:p>
          <w:p>
            <w:pPr>
              <w:pStyle w:val="TableParagraph"/>
              <w:spacing w:line="297" w:lineRule="auto"/>
              <w:ind w:left="100"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pacing w:val="18"/>
                <w:sz w:val="21"/>
                <w:szCs w:val="21"/>
              </w:rPr>
              <w:t>息数</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p>
          <w:p>
            <w:pPr>
              <w:pStyle w:val="TableParagraph"/>
              <w:spacing w:line="240" w:lineRule="auto" w:before="13"/>
              <w:ind w:left="10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97" w:lineRule="auto"/>
              <w:ind w:left="103" w:right="-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4"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现金分红的数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额（含税）</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103" w:right="100"/>
              <w:jc w:val="both"/>
              <w:rPr>
                <w:rFonts w:ascii="宋体" w:hAnsi="宋体" w:cs="宋体" w:eastAsia="宋体" w:hint="default"/>
                <w:sz w:val="21"/>
                <w:szCs w:val="21"/>
              </w:rPr>
            </w:pPr>
            <w:r>
              <w:rPr>
                <w:rFonts w:ascii="宋体" w:hAnsi="宋体" w:cs="宋体" w:eastAsia="宋体" w:hint="default"/>
                <w:spacing w:val="15"/>
                <w:sz w:val="21"/>
                <w:szCs w:val="21"/>
              </w:rPr>
              <w:t>分红年度合并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报表中归属于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上市公司股东</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的净利润</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7"/>
              <w:jc w:val="both"/>
              <w:rPr>
                <w:rFonts w:ascii="Times New Roman" w:hAnsi="Times New Roman" w:cs="Times New Roman" w:eastAsia="Times New Roman" w:hint="default"/>
                <w:sz w:val="21"/>
                <w:szCs w:val="21"/>
              </w:rPr>
            </w:pPr>
            <w:r>
              <w:rPr>
                <w:rFonts w:ascii="宋体" w:hAnsi="宋体" w:cs="宋体" w:eastAsia="宋体" w:hint="default"/>
                <w:sz w:val="21"/>
                <w:szCs w:val="21"/>
              </w:rPr>
              <w:t>占</w:t>
            </w:r>
            <w:r>
              <w:rPr>
                <w:rFonts w:ascii="宋体" w:hAnsi="宋体" w:cs="宋体" w:eastAsia="宋体" w:hint="default"/>
                <w:spacing w:val="-57"/>
                <w:sz w:val="21"/>
                <w:szCs w:val="21"/>
              </w:rPr>
              <w:t> </w:t>
            </w:r>
            <w:r>
              <w:rPr>
                <w:rFonts w:ascii="宋体" w:hAnsi="宋体" w:cs="宋体" w:eastAsia="宋体" w:hint="default"/>
                <w:sz w:val="21"/>
                <w:szCs w:val="21"/>
              </w:rPr>
              <w:t>合</w:t>
            </w:r>
            <w:r>
              <w:rPr>
                <w:rFonts w:ascii="宋体" w:hAnsi="宋体" w:cs="宋体" w:eastAsia="宋体" w:hint="default"/>
                <w:spacing w:val="-59"/>
                <w:sz w:val="21"/>
                <w:szCs w:val="21"/>
              </w:rPr>
              <w:t> </w:t>
            </w:r>
            <w:r>
              <w:rPr>
                <w:rFonts w:ascii="宋体" w:hAnsi="宋体" w:cs="宋体" w:eastAsia="宋体" w:hint="default"/>
                <w:sz w:val="21"/>
                <w:szCs w:val="21"/>
              </w:rPr>
              <w:t>并</w:t>
            </w:r>
            <w:r>
              <w:rPr>
                <w:rFonts w:ascii="宋体" w:hAnsi="宋体" w:cs="宋体" w:eastAsia="宋体" w:hint="default"/>
                <w:spacing w:val="-59"/>
                <w:sz w:val="21"/>
                <w:szCs w:val="21"/>
              </w:rPr>
              <w:t> </w:t>
            </w:r>
            <w:r>
              <w:rPr>
                <w:rFonts w:ascii="宋体" w:hAnsi="宋体" w:cs="宋体" w:eastAsia="宋体" w:hint="default"/>
                <w:sz w:val="21"/>
                <w:szCs w:val="21"/>
              </w:rPr>
              <w:t>报</w:t>
            </w:r>
            <w:r>
              <w:rPr>
                <w:rFonts w:ascii="宋体" w:hAnsi="宋体" w:cs="宋体" w:eastAsia="宋体" w:hint="default"/>
                <w:spacing w:val="-57"/>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pacing w:val="-57"/>
                <w:sz w:val="21"/>
                <w:szCs w:val="21"/>
              </w:rPr>
              <w:t> </w:t>
            </w:r>
            <w:r>
              <w:rPr>
                <w:rFonts w:ascii="宋体" w:hAnsi="宋体" w:cs="宋体" w:eastAsia="宋体" w:hint="default"/>
                <w:sz w:val="21"/>
                <w:szCs w:val="21"/>
              </w:rPr>
              <w:t>归</w:t>
            </w:r>
            <w:r>
              <w:rPr>
                <w:rFonts w:ascii="宋体" w:hAnsi="宋体" w:cs="宋体" w:eastAsia="宋体" w:hint="default"/>
                <w:spacing w:val="-59"/>
                <w:sz w:val="21"/>
                <w:szCs w:val="21"/>
              </w:rPr>
              <w:t> </w:t>
            </w:r>
            <w:r>
              <w:rPr>
                <w:rFonts w:ascii="宋体" w:hAnsi="宋体" w:cs="宋体" w:eastAsia="宋体" w:hint="default"/>
                <w:sz w:val="21"/>
                <w:szCs w:val="21"/>
              </w:rPr>
              <w:t>属</w:t>
            </w:r>
            <w:r>
              <w:rPr>
                <w:rFonts w:ascii="宋体" w:hAnsi="宋体" w:cs="宋体" w:eastAsia="宋体" w:hint="default"/>
                <w:spacing w:val="-59"/>
                <w:sz w:val="21"/>
                <w:szCs w:val="21"/>
              </w:rPr>
              <w:t> </w:t>
            </w: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spacing w:val="-57"/>
                <w:sz w:val="21"/>
                <w:szCs w:val="21"/>
              </w:rPr>
              <w:t> </w:t>
            </w:r>
            <w:r>
              <w:rPr>
                <w:rFonts w:ascii="宋体" w:hAnsi="宋体" w:cs="宋体" w:eastAsia="宋体" w:hint="default"/>
                <w:sz w:val="21"/>
                <w:szCs w:val="21"/>
              </w:rPr>
              <w:t>公</w:t>
            </w:r>
            <w:r>
              <w:rPr>
                <w:rFonts w:ascii="宋体" w:hAnsi="宋体" w:cs="宋体" w:eastAsia="宋体" w:hint="default"/>
                <w:spacing w:val="-59"/>
                <w:sz w:val="21"/>
                <w:szCs w:val="21"/>
              </w:rPr>
              <w:t> </w:t>
            </w:r>
            <w:r>
              <w:rPr>
                <w:rFonts w:ascii="宋体" w:hAnsi="宋体" w:cs="宋体" w:eastAsia="宋体" w:hint="default"/>
                <w:sz w:val="21"/>
                <w:szCs w:val="21"/>
              </w:rPr>
              <w:t>司</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7"/>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净</w:t>
            </w:r>
            <w:r>
              <w:rPr>
                <w:rFonts w:ascii="宋体" w:hAnsi="宋体" w:cs="宋体" w:eastAsia="宋体" w:hint="default"/>
                <w:spacing w:val="-59"/>
                <w:sz w:val="21"/>
                <w:szCs w:val="21"/>
              </w:rPr>
              <w:t> </w:t>
            </w:r>
            <w:r>
              <w:rPr>
                <w:rFonts w:ascii="宋体" w:hAnsi="宋体" w:cs="宋体" w:eastAsia="宋体" w:hint="default"/>
                <w:sz w:val="21"/>
                <w:szCs w:val="21"/>
              </w:rPr>
              <w:t>利</w:t>
            </w:r>
            <w:r>
              <w:rPr>
                <w:rFonts w:ascii="宋体" w:hAnsi="宋体" w:cs="宋体" w:eastAsia="宋体" w:hint="default"/>
                <w:spacing w:val="-59"/>
                <w:sz w:val="21"/>
                <w:szCs w:val="21"/>
              </w:rPr>
              <w:t> </w:t>
            </w:r>
            <w:r>
              <w:rPr>
                <w:rFonts w:ascii="宋体" w:hAnsi="宋体" w:cs="宋体" w:eastAsia="宋体" w:hint="default"/>
                <w:sz w:val="21"/>
                <w:szCs w:val="21"/>
              </w:rPr>
              <w:t>润</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70"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19,000,000.00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63,140,346.92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30.09</w:t>
            </w:r>
          </w:p>
        </w:tc>
      </w:tr>
      <w:tr>
        <w:trPr>
          <w:trHeight w:val="370"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1.8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86,886,642.29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20.72</w:t>
            </w:r>
          </w:p>
        </w:tc>
      </w:tr>
      <w:tr>
        <w:trPr>
          <w:trHeight w:val="370"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79,494,630.51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9"/>
        <w:rPr>
          <w:rFonts w:ascii="宋体" w:hAnsi="宋体" w:cs="宋体" w:eastAsia="宋体" w:hint="default"/>
          <w:sz w:val="24"/>
          <w:szCs w:val="24"/>
        </w:rPr>
      </w:pPr>
    </w:p>
    <w:p>
      <w:pPr>
        <w:pStyle w:val="Heading2"/>
        <w:spacing w:line="247" w:lineRule="auto" w:before="36"/>
        <w:ind w:left="638" w:right="8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pStyle w:val="BodyText"/>
        <w:spacing w:line="240" w:lineRule="auto" w:before="91"/>
        <w:ind w:left="638" w:right="302"/>
        <w:jc w:val="left"/>
      </w:pPr>
      <w:r>
        <w:rPr/>
        <w:t>□适用 √不适用</w:t>
      </w:r>
    </w:p>
    <w:p>
      <w:pPr>
        <w:spacing w:after="0" w:line="240" w:lineRule="auto"/>
        <w:jc w:val="left"/>
        <w:sectPr>
          <w:pgSz w:w="11910" w:h="16840"/>
          <w:pgMar w:header="880" w:footer="974" w:top="1120" w:bottom="1160" w:left="15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2"/>
        <w:spacing w:line="240" w:lineRule="auto"/>
        <w:ind w:left="600" w:right="0"/>
        <w:jc w:val="left"/>
        <w:rPr>
          <w:b w:val="0"/>
          <w:bCs w:val="0"/>
        </w:rPr>
      </w:pPr>
      <w:r>
        <w:rPr/>
        <w:t>二、承诺事项履行情况</w:t>
      </w:r>
      <w:r>
        <w:rPr>
          <w:b w:val="0"/>
          <w:bCs w:val="0"/>
        </w:rPr>
      </w:r>
    </w:p>
    <w:p>
      <w:pPr>
        <w:pStyle w:val="BodyText"/>
        <w:spacing w:line="240" w:lineRule="auto" w:before="97"/>
        <w:ind w:left="600" w:right="0"/>
        <w:jc w:val="left"/>
      </w:pPr>
      <w:r>
        <w:rPr/>
        <w:t>√适用 □不适用</w:t>
      </w:r>
    </w:p>
    <w:p>
      <w:pPr>
        <w:pStyle w:val="Heading2"/>
        <w:tabs>
          <w:tab w:pos="1166" w:val="left" w:leader="none"/>
        </w:tabs>
        <w:spacing w:line="240" w:lineRule="auto" w:before="97"/>
        <w:ind w:left="60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公司、股东、实际控制人、收购人、董事、监事、高级管理人员或其他关联方在报告期内或持续到报告期内的承诺事项</w:t>
      </w:r>
      <w:r>
        <w:rPr>
          <w:b w:val="0"/>
          <w:bCs w:val="0"/>
        </w:rPr>
      </w:r>
    </w:p>
    <w:p>
      <w:pPr>
        <w:spacing w:line="240" w:lineRule="auto" w:before="4"/>
        <w:rPr>
          <w:rFonts w:ascii="宋体" w:hAnsi="宋体" w:cs="宋体" w:eastAsia="宋体" w:hint="default"/>
          <w:b/>
          <w:bCs/>
          <w:sz w:val="6"/>
          <w:szCs w:val="6"/>
        </w:rPr>
      </w:pPr>
    </w:p>
    <w:tbl>
      <w:tblPr>
        <w:tblW w:w="0" w:type="auto"/>
        <w:jc w:val="left"/>
        <w:tblInd w:w="115" w:type="dxa"/>
        <w:tblLayout w:type="fixed"/>
        <w:tblCellMar>
          <w:top w:w="0" w:type="dxa"/>
          <w:left w:w="0" w:type="dxa"/>
          <w:bottom w:w="0" w:type="dxa"/>
          <w:right w:w="0" w:type="dxa"/>
        </w:tblCellMar>
        <w:tblLook w:val="01E0"/>
      </w:tblPr>
      <w:tblGrid>
        <w:gridCol w:w="1023"/>
        <w:gridCol w:w="1006"/>
        <w:gridCol w:w="1728"/>
        <w:gridCol w:w="7482"/>
        <w:gridCol w:w="1584"/>
        <w:gridCol w:w="1006"/>
        <w:gridCol w:w="1006"/>
      </w:tblGrid>
      <w:tr>
        <w:trPr>
          <w:trHeight w:val="94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400" w:right="188"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87" w:right="28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26" w:right="3521"/>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681" w:right="153" w:hanging="526"/>
              <w:jc w:val="left"/>
              <w:rPr>
                <w:rFonts w:ascii="宋体" w:hAnsi="宋体" w:cs="宋体" w:eastAsia="宋体" w:hint="default"/>
                <w:sz w:val="21"/>
                <w:szCs w:val="21"/>
              </w:rPr>
            </w:pPr>
            <w:r>
              <w:rPr>
                <w:rFonts w:ascii="宋体" w:hAnsi="宋体" w:cs="宋体" w:eastAsia="宋体" w:hint="default"/>
                <w:sz w:val="21"/>
                <w:szCs w:val="21"/>
              </w:rPr>
              <w:t>承诺时间及期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78"/>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79"/>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r>
      <w:tr>
        <w:trPr>
          <w:trHeight w:val="1570"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391" w:right="179" w:hanging="209"/>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5"/>
              <w:jc w:val="left"/>
              <w:rPr>
                <w:rFonts w:ascii="宋体" w:hAnsi="宋体" w:cs="宋体" w:eastAsia="宋体" w:hint="default"/>
                <w:sz w:val="21"/>
                <w:szCs w:val="21"/>
              </w:rPr>
            </w:pPr>
            <w:r>
              <w:rPr>
                <w:rFonts w:ascii="宋体" w:hAnsi="宋体" w:cs="宋体" w:eastAsia="宋体" w:hint="default"/>
                <w:sz w:val="21"/>
                <w:szCs w:val="21"/>
              </w:rPr>
              <w:t>在锁定期满后的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个月内，在不影响控股地位的前提下，本人减持股份数量不</w:t>
            </w:r>
            <w:r>
              <w:rPr>
                <w:rFonts w:ascii="宋体" w:hAnsi="宋体" w:cs="宋体" w:eastAsia="宋体" w:hint="default"/>
                <w:w w:val="100"/>
                <w:sz w:val="21"/>
                <w:szCs w:val="21"/>
              </w:rPr>
              <w:t> </w:t>
            </w:r>
            <w:r>
              <w:rPr>
                <w:rFonts w:ascii="宋体" w:hAnsi="宋体" w:cs="宋体" w:eastAsia="宋体" w:hint="default"/>
                <w:sz w:val="21"/>
                <w:szCs w:val="21"/>
              </w:rPr>
              <w:t>超过本人持有公司股份总数的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；在锁定期满后的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个月内，本人减持股份</w:t>
            </w:r>
            <w:r>
              <w:rPr>
                <w:rFonts w:ascii="宋体" w:hAnsi="宋体" w:cs="宋体" w:eastAsia="宋体" w:hint="default"/>
                <w:w w:val="100"/>
                <w:sz w:val="21"/>
                <w:szCs w:val="21"/>
              </w:rPr>
              <w:t> </w:t>
            </w:r>
            <w:r>
              <w:rPr>
                <w:rFonts w:ascii="宋体" w:hAnsi="宋体" w:cs="宋体" w:eastAsia="宋体" w:hint="default"/>
                <w:sz w:val="21"/>
                <w:szCs w:val="21"/>
              </w:rPr>
              <w:t>数量累计不超过本人持有公司股份总数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。本人在减持所持有的公司股份前，</w:t>
            </w:r>
            <w:r>
              <w:rPr>
                <w:rFonts w:ascii="宋体" w:hAnsi="宋体" w:cs="宋体" w:eastAsia="宋体" w:hint="default"/>
                <w:w w:val="100"/>
                <w:sz w:val="21"/>
                <w:szCs w:val="21"/>
              </w:rPr>
              <w:t> </w:t>
            </w:r>
            <w:r>
              <w:rPr>
                <w:rFonts w:ascii="宋体" w:hAnsi="宋体" w:cs="宋体" w:eastAsia="宋体" w:hint="default"/>
                <w:spacing w:val="-5"/>
                <w:sz w:val="21"/>
                <w:szCs w:val="21"/>
              </w:rPr>
              <w:t>应提前三个交易日予以公告，并于 </w:t>
            </w:r>
            <w:r>
              <w:rPr>
                <w:rFonts w:ascii="Times New Roman" w:hAnsi="Times New Roman" w:cs="Times New Roman" w:eastAsia="Times New Roman" w:hint="default"/>
                <w:sz w:val="21"/>
                <w:szCs w:val="21"/>
              </w:rPr>
              <w:t>6 </w:t>
            </w:r>
            <w:r>
              <w:rPr>
                <w:rFonts w:ascii="宋体" w:hAnsi="宋体" w:cs="宋体" w:eastAsia="宋体" w:hint="default"/>
                <w:spacing w:val="-4"/>
                <w:sz w:val="21"/>
                <w:szCs w:val="21"/>
              </w:rPr>
              <w:t>个月内完成，并按照上海证券交易所的规则</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及时、准确、完整地履行信息披露义务。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6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锁定期满后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个月内</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88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182" w:right="179"/>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4"/>
                <w:w w:val="100"/>
                <w:sz w:val="21"/>
                <w:szCs w:val="21"/>
              </w:rPr>
              <w:t>在直接或间接控制南威软件期间，本人或本人控制的其他企业将不从事与南威软</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4"/>
                <w:w w:val="100"/>
                <w:sz w:val="21"/>
                <w:szCs w:val="21"/>
              </w:rPr>
              <w:t>件构成竞争或可能构成竞争的业务；如南威软件将来拓展的业务范围与本人或本</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4"/>
                <w:w w:val="100"/>
                <w:sz w:val="21"/>
                <w:szCs w:val="21"/>
              </w:rPr>
              <w:t>人控制的其他企业构成竞争或可能构成竞争，则本人或本人控制的其他企业将停</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4"/>
                <w:sz w:val="21"/>
                <w:szCs w:val="21"/>
              </w:rPr>
              <w:t>止从事该等业务，或将该等业务纳入南威软件，或将该等业务转让给无关联的第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w w:val="100"/>
                <w:sz w:val="21"/>
                <w:szCs w:val="21"/>
              </w:rPr>
              <w:t>三方；如本人或本人控制的其他企业获得与南威软件构成竞争或可能构成竞争的</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商业机会，则将该商业机会让予南威软件。</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103" w:right="206"/>
              <w:jc w:val="both"/>
              <w:rPr>
                <w:rFonts w:ascii="宋体" w:hAnsi="宋体" w:cs="宋体" w:eastAsia="宋体" w:hint="default"/>
                <w:sz w:val="21"/>
                <w:szCs w:val="21"/>
              </w:rPr>
            </w:pPr>
            <w:r>
              <w:rPr>
                <w:rFonts w:ascii="宋体" w:hAnsi="宋体" w:cs="宋体" w:eastAsia="宋体" w:hint="default"/>
                <w:sz w:val="21"/>
                <w:szCs w:val="21"/>
              </w:rPr>
              <w:t>作为南威软件</w:t>
            </w:r>
            <w:r>
              <w:rPr>
                <w:rFonts w:ascii="宋体" w:hAnsi="宋体" w:cs="宋体" w:eastAsia="宋体" w:hint="default"/>
                <w:w w:val="100"/>
                <w:sz w:val="21"/>
                <w:szCs w:val="21"/>
              </w:rPr>
              <w:t> </w:t>
            </w:r>
            <w:r>
              <w:rPr>
                <w:rFonts w:ascii="宋体" w:hAnsi="宋体" w:cs="宋体" w:eastAsia="宋体" w:hint="default"/>
                <w:sz w:val="21"/>
                <w:szCs w:val="21"/>
              </w:rPr>
              <w:t>的控股股东或</w:t>
            </w:r>
            <w:r>
              <w:rPr>
                <w:rFonts w:ascii="宋体" w:hAnsi="宋体" w:cs="宋体" w:eastAsia="宋体" w:hint="default"/>
                <w:w w:val="100"/>
                <w:sz w:val="21"/>
                <w:szCs w:val="21"/>
              </w:rPr>
              <w:t> </w:t>
            </w:r>
            <w:r>
              <w:rPr>
                <w:rFonts w:ascii="宋体" w:hAnsi="宋体" w:cs="宋体" w:eastAsia="宋体" w:hint="default"/>
                <w:sz w:val="21"/>
                <w:szCs w:val="21"/>
              </w:rPr>
              <w:t>实际控制人期</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3" w:lineRule="auto"/>
              <w:ind w:left="182" w:right="179"/>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吴志雄凯信金鹏</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4"/>
              <w:jc w:val="both"/>
              <w:rPr>
                <w:rFonts w:ascii="宋体" w:hAnsi="宋体" w:cs="宋体" w:eastAsia="宋体" w:hint="default"/>
                <w:sz w:val="21"/>
                <w:szCs w:val="21"/>
              </w:rPr>
            </w:pPr>
            <w:r>
              <w:rPr>
                <w:rFonts w:ascii="宋体" w:hAnsi="宋体" w:cs="宋体" w:eastAsia="宋体" w:hint="default"/>
                <w:spacing w:val="-2"/>
                <w:sz w:val="21"/>
                <w:szCs w:val="21"/>
              </w:rPr>
              <w:t>将尽可能的避免和减少本人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本合伙企业或本人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本合伙企业控制的其他公司、企</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业或其他组织、机构与公司之间的关联交易；对于无法避免或者有合理原因而发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生的关联交易，将根据有关法律、法规，遵循平等、自愿、等价和有偿的一般商</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4"/>
                <w:sz w:val="21"/>
                <w:szCs w:val="21"/>
              </w:rPr>
              <w:t>业原则，与公司签订关联交易协议，确保关联交易的价格原则上不偏离市场独立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第三方的价格或收费的标准，以维护公司及其他股东的利益；不利用在公司中的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地位和影响，通过关联交易损害股份公司及其他股东的合法权益；本人</w:t>
            </w:r>
            <w:r>
              <w:rPr>
                <w:rFonts w:ascii="Times New Roman" w:hAnsi="Times New Roman" w:cs="Times New Roman" w:eastAsia="Times New Roman" w:hint="default"/>
                <w:sz w:val="21"/>
                <w:szCs w:val="21"/>
              </w:rPr>
              <w:t>/</w:t>
            </w:r>
            <w:r>
              <w:rPr>
                <w:rFonts w:ascii="宋体" w:hAnsi="宋体" w:cs="宋体" w:eastAsia="宋体" w:hint="default"/>
                <w:sz w:val="21"/>
                <w:szCs w:val="21"/>
              </w:rPr>
              <w:t>本合伙</w:t>
            </w:r>
            <w:r>
              <w:rPr>
                <w:rFonts w:ascii="宋体" w:hAnsi="宋体" w:cs="宋体" w:eastAsia="宋体" w:hint="default"/>
                <w:w w:val="100"/>
                <w:sz w:val="21"/>
                <w:szCs w:val="21"/>
              </w:rPr>
              <w:t> </w:t>
            </w:r>
            <w:r>
              <w:rPr>
                <w:rFonts w:ascii="宋体" w:hAnsi="宋体" w:cs="宋体" w:eastAsia="宋体" w:hint="default"/>
                <w:spacing w:val="-2"/>
                <w:sz w:val="21"/>
                <w:szCs w:val="21"/>
              </w:rPr>
              <w:t>企业或本人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本合伙企业控制的其他企业保证不利用本人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本合伙企业在公司中的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地位和影响，违规占用或转移公司的资金、资产及其他资源，或要求公司违规提</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供担保。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z w:val="21"/>
                <w:szCs w:val="21"/>
              </w:rPr>
              <w:t>作为南威软件</w:t>
            </w:r>
            <w:r>
              <w:rPr>
                <w:rFonts w:ascii="宋体" w:hAnsi="宋体" w:cs="宋体" w:eastAsia="宋体" w:hint="default"/>
                <w:w w:val="100"/>
                <w:sz w:val="21"/>
                <w:szCs w:val="21"/>
              </w:rPr>
              <w:t> </w:t>
            </w:r>
            <w:r>
              <w:rPr>
                <w:rFonts w:ascii="宋体" w:hAnsi="宋体" w:cs="宋体" w:eastAsia="宋体" w:hint="default"/>
                <w:sz w:val="21"/>
                <w:szCs w:val="21"/>
              </w:rPr>
              <w:t>关联人期间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hAnsi="宋体" w:cs="宋体" w:eastAsia="宋体" w:hint="default"/>
                <w:sz w:val="21"/>
                <w:szCs w:val="21"/>
              </w:rPr>
              <w:t>股份限</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个月内，不转让或者委托他人管理本人直接或间接持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65" w:lineRule="exact"/>
        <w:jc w:val="center"/>
        <w:rPr>
          <w:rFonts w:ascii="宋体" w:hAnsi="宋体" w:cs="宋体" w:eastAsia="宋体" w:hint="default"/>
          <w:sz w:val="21"/>
          <w:szCs w:val="21"/>
        </w:rPr>
        <w:sectPr>
          <w:headerReference w:type="default" r:id="rId17"/>
          <w:footerReference w:type="default" r:id="rId18"/>
          <w:pgSz w:w="16840" w:h="11910" w:orient="landscape"/>
          <w:pgMar w:header="880" w:footer="975" w:top="1120" w:bottom="1160" w:left="840" w:right="920"/>
          <w:pgNumType w:start="2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023"/>
        <w:gridCol w:w="1006"/>
        <w:gridCol w:w="1728"/>
        <w:gridCol w:w="7482"/>
        <w:gridCol w:w="1584"/>
        <w:gridCol w:w="1006"/>
        <w:gridCol w:w="1006"/>
      </w:tblGrid>
      <w:tr>
        <w:trPr>
          <w:trHeight w:val="1570"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售</w:t>
            </w:r>
          </w:p>
        </w:tc>
        <w:tc>
          <w:tcPr>
            <w:tcW w:w="1728" w:type="dxa"/>
            <w:tcBorders>
              <w:top w:val="single" w:sz="4" w:space="0" w:color="000000"/>
              <w:left w:val="single" w:sz="4" w:space="0" w:color="000000"/>
              <w:bottom w:val="single" w:sz="4" w:space="0" w:color="000000"/>
              <w:right w:val="single" w:sz="4" w:space="0" w:color="000000"/>
            </w:tcBorders>
          </w:tcPr>
          <w:p>
            <w:pP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4"/>
                <w:w w:val="100"/>
                <w:sz w:val="21"/>
                <w:szCs w:val="21"/>
              </w:rPr>
              <w:t>有的公司首次公开发行股票前已发行的股份，也不由公司回购直接或间接持有的</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公司首次公开发行股票前已发行的股份。所持股票在锁定期满后两年内减持的，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其减持价格不低于发行价；公司上市后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个交易日的</w:t>
            </w:r>
          </w:p>
          <w:p>
            <w:pPr>
              <w:pStyle w:val="TableParagraph"/>
              <w:spacing w:line="27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收盘价均低于发行价，或者上市后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4"/>
                <w:sz w:val="21"/>
                <w:szCs w:val="21"/>
              </w:rPr>
              <w:t> </w:t>
            </w:r>
            <w:r>
              <w:rPr>
                <w:rFonts w:ascii="宋体" w:hAnsi="宋体" w:cs="宋体" w:eastAsia="宋体" w:hint="default"/>
                <w:spacing w:val="-4"/>
                <w:sz w:val="21"/>
                <w:szCs w:val="21"/>
              </w:rPr>
              <w:t>个月期末收盘价低于发行价，持有公司股票</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的锁定期限自动延长至少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158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73" w:lineRule="auto"/>
              <w:ind w:left="391" w:right="179" w:hanging="209"/>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5"/>
              <w:jc w:val="both"/>
              <w:rPr>
                <w:rFonts w:ascii="宋体" w:hAnsi="宋体" w:cs="宋体" w:eastAsia="宋体" w:hint="default"/>
                <w:sz w:val="21"/>
                <w:szCs w:val="21"/>
              </w:rPr>
            </w:pPr>
            <w:r>
              <w:rPr>
                <w:rFonts w:ascii="宋体" w:hAnsi="宋体" w:cs="宋体" w:eastAsia="宋体" w:hint="default"/>
                <w:spacing w:val="-9"/>
                <w:sz w:val="21"/>
                <w:szCs w:val="21"/>
              </w:rPr>
              <w:t>侯济恭、廖长宝、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潘新瑾、吴丽卿、</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张鹏程、郑金聪</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0"/>
              <w:jc w:val="left"/>
              <w:rPr>
                <w:rFonts w:ascii="宋体" w:hAnsi="宋体" w:cs="宋体" w:eastAsia="宋体" w:hint="default"/>
                <w:sz w:val="21"/>
                <w:szCs w:val="21"/>
              </w:rPr>
            </w:pPr>
            <w:r>
              <w:rPr>
                <w:rFonts w:ascii="宋体" w:hAnsi="宋体" w:cs="宋体" w:eastAsia="宋体" w:hint="default"/>
                <w:sz w:val="21"/>
                <w:szCs w:val="21"/>
              </w:rPr>
              <w:t>自公司股票上市之日起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个月内，不转让持有的发行人首次公开发行股票前已</w:t>
            </w:r>
            <w:r>
              <w:rPr>
                <w:rFonts w:ascii="宋体" w:hAnsi="宋体" w:cs="宋体" w:eastAsia="宋体" w:hint="default"/>
                <w:w w:val="100"/>
                <w:sz w:val="21"/>
                <w:szCs w:val="21"/>
              </w:rPr>
              <w:t> </w:t>
            </w:r>
            <w:r>
              <w:rPr>
                <w:rFonts w:ascii="宋体" w:hAnsi="宋体" w:cs="宋体" w:eastAsia="宋体" w:hint="default"/>
                <w:spacing w:val="-2"/>
                <w:sz w:val="21"/>
                <w:szCs w:val="21"/>
              </w:rPr>
              <w:t>发行的股份；所持股票在锁定期满后两年内减持的，其减持价格不低于发行价；</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公司上市后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个交易日的收盘价均低于发行价，或者</w:t>
            </w:r>
          </w:p>
          <w:p>
            <w:pPr>
              <w:pStyle w:val="TableParagraph"/>
              <w:spacing w:line="28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上市后 </w:t>
            </w:r>
            <w:r>
              <w:rPr>
                <w:rFonts w:ascii="Times New Roman" w:hAnsi="Times New Roman" w:cs="Times New Roman" w:eastAsia="Times New Roman" w:hint="default"/>
                <w:sz w:val="21"/>
                <w:szCs w:val="21"/>
              </w:rPr>
              <w:t>6 </w:t>
            </w:r>
            <w:r>
              <w:rPr>
                <w:rFonts w:ascii="宋体" w:hAnsi="宋体" w:cs="宋体" w:eastAsia="宋体" w:hint="default"/>
                <w:spacing w:val="-3"/>
                <w:sz w:val="21"/>
                <w:szCs w:val="21"/>
              </w:rPr>
              <w:t>个月期末收盘价低于发行价，持有公司股票的锁定期限自动延长至少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个月。</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z w:val="21"/>
                <w:szCs w:val="21"/>
              </w:rPr>
              <w:t>股票上市之日</w:t>
            </w:r>
            <w:r>
              <w:rPr>
                <w:rFonts w:ascii="宋体" w:hAnsi="宋体" w:cs="宋体" w:eastAsia="宋体" w:hint="default"/>
                <w:w w:val="100"/>
                <w:sz w:val="21"/>
                <w:szCs w:val="21"/>
              </w:rPr>
              <w:t> </w:t>
            </w:r>
            <w:r>
              <w:rPr>
                <w:rFonts w:ascii="宋体" w:hAnsi="宋体" w:cs="宋体" w:eastAsia="宋体" w:hint="default"/>
                <w:sz w:val="21"/>
                <w:szCs w:val="21"/>
              </w:rPr>
              <w:t>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19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391" w:right="179" w:hanging="209"/>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5"/>
              <w:jc w:val="both"/>
              <w:rPr>
                <w:rFonts w:ascii="宋体" w:hAnsi="宋体" w:cs="宋体" w:eastAsia="宋体" w:hint="default"/>
                <w:sz w:val="21"/>
                <w:szCs w:val="21"/>
              </w:rPr>
            </w:pPr>
            <w:r>
              <w:rPr>
                <w:rFonts w:ascii="宋体" w:hAnsi="宋体" w:cs="宋体" w:eastAsia="宋体" w:hint="default"/>
                <w:spacing w:val="-9"/>
                <w:sz w:val="21"/>
                <w:szCs w:val="21"/>
              </w:rPr>
              <w:t>吴志雄、侯济恭、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潘新瑾、廖长宝、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吴丽卿、张鹏程、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郑金聪、黄文峰、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许辉奇、洪培琪</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
              <w:jc w:val="left"/>
              <w:rPr>
                <w:rFonts w:ascii="宋体" w:hAnsi="宋体" w:cs="宋体" w:eastAsia="宋体" w:hint="default"/>
                <w:sz w:val="21"/>
                <w:szCs w:val="21"/>
              </w:rPr>
            </w:pPr>
            <w:r>
              <w:rPr>
                <w:rFonts w:ascii="宋体" w:hAnsi="宋体" w:cs="宋体" w:eastAsia="宋体" w:hint="default"/>
                <w:spacing w:val="-4"/>
                <w:sz w:val="21"/>
                <w:szCs w:val="21"/>
              </w:rPr>
              <w:t>在担任公司董事、监事或高级管理人员职务期间，每年转让的股份不超过所持有</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的公司股份总数的百分之二十五；在离职后六个月内，不转让持有的公司股份，</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离职六个月后的十二个月内通过证券交易所挂牌交易出售发行人股份不超过所</w:t>
            </w:r>
            <w:r>
              <w:rPr>
                <w:rFonts w:ascii="宋体" w:hAnsi="宋体" w:cs="宋体" w:eastAsia="宋体" w:hint="default"/>
                <w:w w:val="100"/>
                <w:sz w:val="21"/>
                <w:szCs w:val="21"/>
              </w:rPr>
              <w:t> </w:t>
            </w:r>
            <w:r>
              <w:rPr>
                <w:rFonts w:ascii="宋体" w:hAnsi="宋体" w:cs="宋体" w:eastAsia="宋体" w:hint="default"/>
                <w:sz w:val="21"/>
                <w:szCs w:val="21"/>
              </w:rPr>
              <w:t>持有发行人股份总数的百分之五十；公司上市后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个月内如公司股票连续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交易日的收盘价均低于发行价，或者上市后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2"/>
                <w:sz w:val="21"/>
                <w:szCs w:val="21"/>
              </w:rPr>
              <w:t> </w:t>
            </w:r>
            <w:r>
              <w:rPr>
                <w:rFonts w:ascii="宋体" w:hAnsi="宋体" w:cs="宋体" w:eastAsia="宋体" w:hint="default"/>
                <w:spacing w:val="-5"/>
                <w:sz w:val="21"/>
                <w:szCs w:val="21"/>
              </w:rPr>
              <w:t>个月期末收盘价低于发行价，持有</w:t>
            </w:r>
          </w:p>
          <w:p>
            <w:pPr>
              <w:pStyle w:val="TableParagraph"/>
              <w:spacing w:line="256" w:lineRule="auto" w:before="21"/>
              <w:ind w:left="103" w:right="96"/>
              <w:jc w:val="left"/>
              <w:rPr>
                <w:rFonts w:ascii="宋体" w:hAnsi="宋体" w:cs="宋体" w:eastAsia="宋体" w:hint="default"/>
                <w:sz w:val="21"/>
                <w:szCs w:val="21"/>
              </w:rPr>
            </w:pPr>
            <w:r>
              <w:rPr>
                <w:rFonts w:ascii="宋体" w:hAnsi="宋体" w:cs="宋体" w:eastAsia="宋体" w:hint="default"/>
                <w:sz w:val="21"/>
                <w:szCs w:val="21"/>
              </w:rPr>
              <w:t>公司股票的锁定期限自动延长至少</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个月。上述承诺事项不因本人职务变更、离</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职等原因而放弃履行。</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3"/>
              <w:jc w:val="left"/>
              <w:rPr>
                <w:rFonts w:ascii="宋体" w:hAnsi="宋体" w:cs="宋体" w:eastAsia="宋体" w:hint="default"/>
                <w:sz w:val="21"/>
                <w:szCs w:val="21"/>
              </w:rPr>
            </w:pPr>
            <w:r>
              <w:rPr>
                <w:rFonts w:ascii="宋体" w:hAnsi="宋体" w:cs="宋体" w:eastAsia="宋体" w:hint="default"/>
                <w:sz w:val="21"/>
                <w:szCs w:val="21"/>
              </w:rPr>
              <w:t>作为公司董事、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6"/>
                <w:w w:val="100"/>
                <w:sz w:val="21"/>
                <w:szCs w:val="21"/>
              </w:rPr>
              <w:t>监事、高级管理</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人员期间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4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439" w:right="0"/>
              <w:jc w:val="left"/>
              <w:rPr>
                <w:rFonts w:ascii="宋体" w:hAnsi="宋体" w:cs="宋体" w:eastAsia="宋体" w:hint="default"/>
                <w:sz w:val="21"/>
                <w:szCs w:val="21"/>
              </w:rPr>
            </w:pPr>
            <w:r>
              <w:rPr>
                <w:rFonts w:ascii="宋体" w:hAnsi="宋体" w:cs="宋体" w:eastAsia="宋体" w:hint="default"/>
                <w:sz w:val="21"/>
                <w:szCs w:val="21"/>
              </w:rPr>
              <w:t>南威软件</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6"/>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、公司招股说明书有虚假记载、误导性陈述或者重大遗漏，对判断公司是否符</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合法律规定的发行条件构成重大、实质影响的，公司董事会将在证券监管部门做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出认定或处罚决定后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天内，制订股份回购方案并提交股东大会审议批准，公</w:t>
            </w:r>
            <w:r>
              <w:rPr>
                <w:rFonts w:ascii="宋体" w:hAnsi="宋体" w:cs="宋体" w:eastAsia="宋体" w:hint="default"/>
                <w:w w:val="100"/>
                <w:sz w:val="21"/>
                <w:szCs w:val="21"/>
              </w:rPr>
              <w:t> </w:t>
            </w:r>
            <w:r>
              <w:rPr>
                <w:rFonts w:ascii="宋体" w:hAnsi="宋体" w:cs="宋体" w:eastAsia="宋体" w:hint="default"/>
                <w:spacing w:val="-4"/>
                <w:w w:val="100"/>
                <w:sz w:val="21"/>
                <w:szCs w:val="21"/>
              </w:rPr>
              <w:t>司将依法回购首次公开发行的全部新股，回购价格根据发行价格加上同期银行存</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4"/>
                <w:w w:val="100"/>
                <w:sz w:val="21"/>
                <w:szCs w:val="21"/>
              </w:rPr>
              <w:t>款利息与回购义务触发时二级市场价格孰高来确定（公司上市后发生除权除息事</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项的，上述发行价格及回购股份数量做相应调整）。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、公司招股说明书有虚假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记载、误导性陈述或者重大遗漏，致使投资者在证券交易中遭受损失的，公司将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在该等违法事实被证券监管部门做出认定或处罚决定后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天内依法赔偿投资者</w:t>
            </w:r>
            <w:r>
              <w:rPr>
                <w:rFonts w:ascii="宋体" w:hAnsi="宋体" w:cs="宋体" w:eastAsia="宋体" w:hint="default"/>
                <w:w w:val="100"/>
                <w:sz w:val="21"/>
                <w:szCs w:val="21"/>
              </w:rPr>
              <w:t> </w:t>
            </w:r>
            <w:r>
              <w:rPr>
                <w:rFonts w:ascii="宋体" w:hAnsi="宋体" w:cs="宋体" w:eastAsia="宋体" w:hint="default"/>
                <w:spacing w:val="-2"/>
                <w:sz w:val="21"/>
                <w:szCs w:val="21"/>
              </w:rPr>
              <w:t>损失。</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、公司未能履行上述承诺时，应在证监会指定报刊上公告相关情况，及</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时、充分披露其承诺未能履行、无法履行或无法按期履行的具体原因并向投资者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道歉。</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6840" w:h="11910" w:orient="landscape"/>
          <w:pgMar w:header="880" w:footer="975" w:top="1120" w:bottom="1160" w:left="84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023"/>
        <w:gridCol w:w="1006"/>
        <w:gridCol w:w="1728"/>
        <w:gridCol w:w="7482"/>
        <w:gridCol w:w="1584"/>
        <w:gridCol w:w="1006"/>
        <w:gridCol w:w="1006"/>
      </w:tblGrid>
      <w:tr>
        <w:trPr>
          <w:trHeight w:val="3130"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、南威软件招股说明书有虚假记载、误导性陈述或者重大遗漏，对判断南威软</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sz w:val="21"/>
                <w:szCs w:val="21"/>
              </w:rPr>
              <w:t>件是否符合法律规定的发行条件构成重大、实质影响的，本人将利用南威软件的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控股股东地位促成南威软件在证券监管部门做出认定或处罚决定后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天内启动</w:t>
            </w:r>
            <w:r>
              <w:rPr>
                <w:rFonts w:ascii="宋体" w:hAnsi="宋体" w:cs="宋体" w:eastAsia="宋体" w:hint="default"/>
                <w:w w:val="100"/>
                <w:sz w:val="21"/>
                <w:szCs w:val="21"/>
              </w:rPr>
              <w:t> </w:t>
            </w:r>
            <w:r>
              <w:rPr>
                <w:rFonts w:ascii="宋体" w:hAnsi="宋体" w:cs="宋体" w:eastAsia="宋体" w:hint="default"/>
                <w:spacing w:val="-4"/>
                <w:w w:val="100"/>
                <w:sz w:val="21"/>
                <w:szCs w:val="21"/>
              </w:rPr>
              <w:t>依法回购南威软件首次公开发行的全部新股工作，并在前述期限内制定股份回购</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4"/>
                <w:sz w:val="21"/>
                <w:szCs w:val="21"/>
              </w:rPr>
              <w:t>方案，依法回购公司股东已转让的原限售股份，回购价格根据发行价格加上同期</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w w:val="100"/>
                <w:sz w:val="21"/>
                <w:szCs w:val="21"/>
              </w:rPr>
              <w:t>银行存款利息与回购义务触发时二级市场价格孰高来确定（南威软件上市后发生</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除权除息事项的，上述发行价格及回购股份数量做相应调整）。</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、南威软件招股说明书有虚假记载、误导性陈述或者重大遗漏，致使投资者在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w w:val="100"/>
                <w:sz w:val="21"/>
                <w:szCs w:val="21"/>
              </w:rPr>
              <w:t>证券交易中遭受损失的，本人将在该等违法事实被证券监管部门做出认定或处罚</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决定后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天内依法赔偿投资者损失。</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19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center"/>
              <w:rPr>
                <w:rFonts w:ascii="宋体" w:hAnsi="宋体" w:cs="宋体" w:eastAsia="宋体" w:hint="default"/>
                <w:sz w:val="21"/>
                <w:szCs w:val="21"/>
              </w:rPr>
            </w:pPr>
            <w:r>
              <w:rPr>
                <w:rFonts w:ascii="宋体" w:hAnsi="宋体" w:cs="宋体" w:eastAsia="宋体" w:hint="default"/>
                <w:spacing w:val="-9"/>
                <w:sz w:val="21"/>
                <w:szCs w:val="21"/>
              </w:rPr>
              <w:t>侯济恭、廖长宝、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周伟贤、叶东毅、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曾繁英、王建章、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洪培琪、黄文峰、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许辉奇、潘新瑾、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吴丽卿、张鹏程、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郑金聪</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68"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公司招股说明书不存在虚假记载、误导性陈述或重大遗漏，如公司招股说明书有</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虚假记载、误导性陈述或者重大遗漏，致使投资者在证券交易中遭受损失的，本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人将在该等违法事实被证券监管部门做出认定或处罚决定后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天内依法赔偿投</w:t>
            </w:r>
            <w:r>
              <w:rPr>
                <w:rFonts w:ascii="宋体" w:hAnsi="宋体" w:cs="宋体" w:eastAsia="宋体" w:hint="default"/>
                <w:w w:val="100"/>
                <w:sz w:val="21"/>
                <w:szCs w:val="21"/>
              </w:rPr>
              <w:t> </w:t>
            </w:r>
            <w:r>
              <w:rPr>
                <w:rFonts w:ascii="宋体" w:hAnsi="宋体" w:cs="宋体" w:eastAsia="宋体" w:hint="default"/>
                <w:sz w:val="21"/>
                <w:szCs w:val="21"/>
              </w:rPr>
              <w:t>资者损失。上述承诺事项不因本人职务变更、离职等原因而放弃履行。</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88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南威软件</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103" w:right="96"/>
              <w:jc w:val="left"/>
              <w:rPr>
                <w:rFonts w:ascii="宋体" w:hAnsi="宋体" w:cs="宋体" w:eastAsia="宋体" w:hint="default"/>
                <w:sz w:val="21"/>
                <w:szCs w:val="21"/>
              </w:rPr>
            </w:pPr>
            <w:r>
              <w:rPr>
                <w:rFonts w:ascii="宋体" w:hAnsi="宋体" w:cs="宋体" w:eastAsia="宋体" w:hint="default"/>
                <w:sz w:val="21"/>
                <w:szCs w:val="21"/>
              </w:rPr>
              <w:t>触发股价稳定机制的启动条件时，公司应在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个交易日内召开董事会，讨论回</w:t>
            </w:r>
            <w:r>
              <w:rPr>
                <w:rFonts w:ascii="宋体" w:hAnsi="宋体" w:cs="宋体" w:eastAsia="宋体" w:hint="default"/>
                <w:w w:val="100"/>
                <w:sz w:val="21"/>
                <w:szCs w:val="21"/>
              </w:rPr>
              <w:t> </w:t>
            </w:r>
            <w:r>
              <w:rPr>
                <w:rFonts w:ascii="宋体" w:hAnsi="宋体" w:cs="宋体" w:eastAsia="宋体" w:hint="default"/>
                <w:spacing w:val="-4"/>
                <w:sz w:val="21"/>
                <w:szCs w:val="21"/>
              </w:rPr>
              <w:t>购公司股份的方案，包括但不限于回购股份的数量范围、价格区间及完成期限等</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信息，并提交股东大会审议，公告具体股份回购计划。公司回购股票的价格、方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式等应当符合中国证监会和证券交易所关于回购社会公众股相关法律法规的要</w:t>
            </w:r>
            <w:r>
              <w:rPr>
                <w:rFonts w:ascii="宋体" w:hAnsi="宋体" w:cs="宋体" w:eastAsia="宋体" w:hint="default"/>
                <w:w w:val="100"/>
                <w:sz w:val="21"/>
                <w:szCs w:val="21"/>
              </w:rPr>
              <w:t> </w:t>
            </w:r>
            <w:r>
              <w:rPr>
                <w:rFonts w:ascii="宋体" w:hAnsi="宋体" w:cs="宋体" w:eastAsia="宋体" w:hint="default"/>
                <w:spacing w:val="-4"/>
                <w:w w:val="100"/>
                <w:sz w:val="21"/>
                <w:szCs w:val="21"/>
              </w:rPr>
              <w:t>求。用以稳定股价的回购资金合计不超过上一会计年度经审计的归属于母公司股</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东净利润的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6840" w:h="11910" w:orient="landscape"/>
          <w:pgMar w:header="880" w:footer="975" w:top="1120" w:bottom="1160" w:left="84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1023"/>
        <w:gridCol w:w="1006"/>
        <w:gridCol w:w="1728"/>
        <w:gridCol w:w="7482"/>
        <w:gridCol w:w="1584"/>
        <w:gridCol w:w="1006"/>
        <w:gridCol w:w="1006"/>
      </w:tblGrid>
      <w:tr>
        <w:trPr>
          <w:trHeight w:val="172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61" w:lineRule="auto"/>
              <w:ind w:left="103" w:right="97"/>
              <w:jc w:val="both"/>
              <w:rPr>
                <w:rFonts w:ascii="宋体" w:hAnsi="宋体" w:cs="宋体" w:eastAsia="宋体" w:hint="default"/>
                <w:sz w:val="21"/>
                <w:szCs w:val="21"/>
              </w:rPr>
            </w:pPr>
            <w:r>
              <w:rPr>
                <w:rFonts w:ascii="宋体" w:hAnsi="宋体" w:cs="宋体" w:eastAsia="宋体" w:hint="default"/>
                <w:sz w:val="21"/>
                <w:szCs w:val="21"/>
              </w:rPr>
              <w:t>触发控股股东增持的启动条件时，控股股东应在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个交易日内提出具体的增持</w:t>
            </w:r>
            <w:r>
              <w:rPr>
                <w:rFonts w:ascii="宋体" w:hAnsi="宋体" w:cs="宋体" w:eastAsia="宋体" w:hint="default"/>
                <w:w w:val="100"/>
                <w:sz w:val="21"/>
                <w:szCs w:val="21"/>
              </w:rPr>
              <w:t> </w:t>
            </w:r>
            <w:r>
              <w:rPr>
                <w:rFonts w:ascii="宋体" w:hAnsi="宋体" w:cs="宋体" w:eastAsia="宋体" w:hint="default"/>
                <w:spacing w:val="-4"/>
                <w:sz w:val="21"/>
                <w:szCs w:val="21"/>
              </w:rPr>
              <w:t>方案，包括但不限于拟增持股份的数量范围、价格区间及完成期限等信息。用以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稳定股价的增持资金不超过上年自发行人所获得现金分红金额的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，且不超</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万元。</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73" w:lineRule="auto"/>
              <w:ind w:left="103" w:right="206"/>
              <w:jc w:val="left"/>
              <w:rPr>
                <w:rFonts w:ascii="宋体" w:hAnsi="宋体" w:cs="宋体" w:eastAsia="宋体" w:hint="default"/>
                <w:sz w:val="21"/>
                <w:szCs w:val="21"/>
              </w:rPr>
            </w:pPr>
            <w:r>
              <w:rPr>
                <w:rFonts w:ascii="宋体" w:hAnsi="宋体" w:cs="宋体" w:eastAsia="宋体" w:hint="default"/>
                <w:sz w:val="21"/>
                <w:szCs w:val="21"/>
              </w:rPr>
              <w:t>担任公司控股</w:t>
            </w:r>
            <w:r>
              <w:rPr>
                <w:rFonts w:ascii="宋体" w:hAnsi="宋体" w:cs="宋体" w:eastAsia="宋体" w:hint="default"/>
                <w:w w:val="100"/>
                <w:sz w:val="21"/>
                <w:szCs w:val="21"/>
              </w:rPr>
              <w:t> </w:t>
            </w:r>
            <w:r>
              <w:rPr>
                <w:rFonts w:ascii="宋体" w:hAnsi="宋体" w:cs="宋体" w:eastAsia="宋体" w:hint="default"/>
                <w:sz w:val="21"/>
                <w:szCs w:val="21"/>
              </w:rPr>
              <w:t>股东期间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25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7"/>
              <w:jc w:val="both"/>
              <w:rPr>
                <w:rFonts w:ascii="宋体" w:hAnsi="宋体" w:cs="宋体" w:eastAsia="宋体" w:hint="default"/>
                <w:sz w:val="21"/>
                <w:szCs w:val="21"/>
              </w:rPr>
            </w:pPr>
            <w:r>
              <w:rPr>
                <w:rFonts w:ascii="宋体" w:hAnsi="宋体" w:cs="宋体" w:eastAsia="宋体" w:hint="default"/>
                <w:spacing w:val="-4"/>
                <w:sz w:val="21"/>
                <w:szCs w:val="21"/>
              </w:rPr>
              <w:t>如公司存续期内应有权部门要求或决定，公司需要为公司员工补缴社保、住房公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积金或因未缴纳社保、住房公积金而承担罚款或损失，本人不可撤销地承诺无条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件代公司承担上述所有补缴金额、承担任何相关罚款或损失赔偿的责任，保证公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司不因此受到损失。</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公司存续期内</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57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74"/>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2" w:right="0"/>
              <w:jc w:val="center"/>
              <w:rPr>
                <w:rFonts w:ascii="宋体" w:hAnsi="宋体" w:cs="宋体" w:eastAsia="宋体" w:hint="default"/>
                <w:sz w:val="21"/>
                <w:szCs w:val="21"/>
              </w:rPr>
            </w:pPr>
            <w:r>
              <w:rPr>
                <w:rFonts w:ascii="宋体" w:hAnsi="宋体" w:cs="宋体" w:eastAsia="宋体" w:hint="default"/>
                <w:sz w:val="21"/>
                <w:szCs w:val="21"/>
              </w:rPr>
              <w:t>凯信金鹏</w:t>
            </w:r>
          </w:p>
        </w:tc>
        <w:tc>
          <w:tcPr>
            <w:tcW w:w="748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jc w:val="both"/>
              <w:rPr>
                <w:rFonts w:ascii="宋体" w:hAnsi="宋体" w:cs="宋体" w:eastAsia="宋体" w:hint="default"/>
                <w:sz w:val="21"/>
                <w:szCs w:val="21"/>
              </w:rPr>
            </w:pPr>
            <w:r>
              <w:rPr>
                <w:rFonts w:ascii="宋体" w:hAnsi="宋体" w:cs="宋体" w:eastAsia="宋体" w:hint="default"/>
                <w:sz w:val="21"/>
                <w:szCs w:val="21"/>
              </w:rPr>
              <w:t>在锁定期满后的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个月内，本合伙企业减持股份数量不超过本合伙企业持有公</w:t>
            </w:r>
            <w:r>
              <w:rPr>
                <w:rFonts w:ascii="宋体" w:hAnsi="宋体" w:cs="宋体" w:eastAsia="宋体" w:hint="default"/>
                <w:w w:val="100"/>
                <w:sz w:val="21"/>
                <w:szCs w:val="21"/>
              </w:rPr>
              <w:t> </w:t>
            </w:r>
            <w:r>
              <w:rPr>
                <w:rFonts w:ascii="宋体" w:hAnsi="宋体" w:cs="宋体" w:eastAsia="宋体" w:hint="default"/>
                <w:sz w:val="21"/>
                <w:szCs w:val="21"/>
              </w:rPr>
              <w:t>司股份总数的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；在锁定期满后的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个月内，本合伙企业减持股份数量累计</w:t>
            </w:r>
            <w:r>
              <w:rPr>
                <w:rFonts w:ascii="宋体" w:hAnsi="宋体" w:cs="宋体" w:eastAsia="宋体" w:hint="default"/>
                <w:w w:val="100"/>
                <w:sz w:val="21"/>
                <w:szCs w:val="21"/>
              </w:rPr>
              <w:t> </w:t>
            </w:r>
            <w:r>
              <w:rPr>
                <w:rFonts w:ascii="宋体" w:hAnsi="宋体" w:cs="宋体" w:eastAsia="宋体" w:hint="default"/>
                <w:spacing w:val="-2"/>
                <w:w w:val="100"/>
                <w:sz w:val="21"/>
                <w:szCs w:val="21"/>
              </w:rPr>
              <w:t>不超过本合伙企业持有公司股份总数</w:t>
            </w:r>
            <w:r>
              <w:rPr>
                <w:rFonts w:ascii="宋体" w:hAnsi="宋体" w:cs="宋体" w:eastAsia="宋体" w:hint="default"/>
                <w:spacing w:val="-38"/>
                <w:w w:val="100"/>
                <w:sz w:val="21"/>
                <w:szCs w:val="21"/>
              </w:rPr>
              <w:t> </w:t>
            </w:r>
            <w:r>
              <w:rPr>
                <w:rFonts w:ascii="Times New Roman" w:hAnsi="Times New Roman" w:cs="Times New Roman" w:eastAsia="Times New Roman" w:hint="default"/>
                <w:spacing w:val="-7"/>
                <w:w w:val="100"/>
                <w:sz w:val="21"/>
                <w:szCs w:val="21"/>
              </w:rPr>
              <w:t>60%</w:t>
            </w:r>
            <w:r>
              <w:rPr>
                <w:rFonts w:ascii="宋体" w:hAnsi="宋体" w:cs="宋体" w:eastAsia="宋体" w:hint="default"/>
                <w:spacing w:val="-7"/>
                <w:w w:val="100"/>
                <w:sz w:val="21"/>
                <w:szCs w:val="21"/>
              </w:rPr>
              <w:t>。本合伙企业在减持所持有的公司股份</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5"/>
                <w:sz w:val="21"/>
                <w:szCs w:val="21"/>
              </w:rPr>
              <w:t>前，应提前三个交易日予以公告，并在</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个月内完成，并按照上海证券交易所的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规则及时、准确、完整地履行信息披露义务。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锁定期满后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个月内</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0"/>
        <w:rPr>
          <w:rFonts w:ascii="Times New Roman" w:hAnsi="Times New Roman" w:cs="Times New Roman" w:eastAsia="Times New Roman" w:hint="default"/>
          <w:sz w:val="22"/>
          <w:szCs w:val="22"/>
        </w:rPr>
      </w:pPr>
    </w:p>
    <w:p>
      <w:pPr>
        <w:pStyle w:val="BodyText"/>
        <w:spacing w:line="256" w:lineRule="auto" w:before="36"/>
        <w:ind w:left="600" w:right="0" w:firstLine="420"/>
        <w:jc w:val="left"/>
      </w:pPr>
      <w:r>
        <w:rPr>
          <w:spacing w:val="-3"/>
        </w:rPr>
        <w:t>注：关于公司及董事、监事和高级管理人员在首次公开发行的相关承诺，详见公司于</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spacing w:val="-4"/>
        </w:rPr>
        <w:t>日披露于上海证券交易所的《招股说明书》及</w:t>
      </w:r>
      <w:r>
        <w:rPr>
          <w:w w:val="100"/>
        </w:rPr>
        <w:t> </w:t>
      </w:r>
      <w:r>
        <w:rPr/>
        <w:t>公司在法定媒体上披露的公告。</w:t>
      </w:r>
    </w:p>
    <w:p>
      <w:pPr>
        <w:spacing w:after="0" w:line="256" w:lineRule="auto"/>
        <w:jc w:val="left"/>
        <w:sectPr>
          <w:footerReference w:type="default" r:id="rId19"/>
          <w:pgSz w:w="16840" w:h="11910" w:orient="landscape"/>
          <w:pgMar w:footer="975" w:header="880" w:top="1120" w:bottom="1160" w:left="840" w:right="9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tabs>
          <w:tab w:pos="784" w:val="left" w:leader="none"/>
          <w:tab w:pos="8840" w:val="left" w:leader="none"/>
        </w:tabs>
        <w:spacing w:line="247" w:lineRule="auto"/>
        <w:ind w:left="784" w:right="132" w:hanging="567"/>
        <w:jc w:val="left"/>
        <w:rPr>
          <w:b w:val="0"/>
          <w:bCs w:val="0"/>
        </w:rPr>
      </w:pPr>
      <w:r>
        <w:rPr>
          <w:rFonts w:ascii="Calibri" w:hAnsi="Calibri" w:cs="Calibri" w:eastAsia="Calibri" w:hint="default"/>
          <w:w w:val="100"/>
        </w:rPr>
        <w:t>(</w:t>
      </w:r>
      <w:r>
        <w:rPr>
          <w:w w:val="100"/>
        </w:rPr>
        <w:t>二</w:t>
      </w:r>
      <w:r>
        <w:rPr>
          <w:rFonts w:ascii="Calibri" w:hAnsi="Calibri" w:cs="Calibri" w:eastAsia="Calibri" w:hint="default"/>
          <w:w w:val="100"/>
        </w:rPr>
        <w:t>)</w:t>
        <w:tab/>
      </w:r>
      <w:r>
        <w:rPr>
          <w:spacing w:val="-6"/>
          <w:w w:val="100"/>
        </w:rPr>
        <w:t>公司资产或项目存在盈利预测，且报告期仍处在盈利预测期间，公司就资产或项目</w:t>
      </w:r>
      <w:r>
        <w:rPr>
          <w:rFonts w:ascii="Times New Roman" w:hAnsi="Times New Roman" w:cs="Times New Roman" w:eastAsia="Times New Roman" w:hint="default"/>
          <w:spacing w:val="-6"/>
          <w:w w:val="100"/>
        </w:rPr>
      </w:r>
      <w:r>
        <w:rPr>
          <w:rFonts w:ascii="Times New Roman" w:hAnsi="Times New Roman" w:cs="Times New Roman" w:eastAsia="Times New Roman" w:hint="default"/>
          <w:spacing w:val="-6"/>
          <w:w w:val="100"/>
          <w:u w:val="single" w:color="333399"/>
        </w:rPr>
        <w:t> </w:t>
        <w:tab/>
      </w:r>
      <w:r>
        <w:rPr>
          <w:rFonts w:ascii="Times New Roman" w:hAnsi="Times New Roman" w:cs="Times New Roman" w:eastAsia="Times New Roman" w:hint="default"/>
          <w:spacing w:val="-6"/>
          <w:w w:val="100"/>
        </w:rPr>
      </w:r>
      <w:r>
        <w:rPr>
          <w:w w:val="100"/>
        </w:rPr>
        <w:t>达 </w:t>
      </w:r>
      <w:r>
        <w:rPr/>
        <w:t>到原盈利预测及其原因作出说明</w:t>
      </w:r>
      <w:r>
        <w:rPr>
          <w:b w:val="0"/>
          <w:bCs w:val="0"/>
        </w:rPr>
      </w:r>
    </w:p>
    <w:p>
      <w:pPr>
        <w:pStyle w:val="BodyText"/>
        <w:spacing w:line="240" w:lineRule="auto" w:before="91"/>
        <w:ind w:left="638" w:right="2926"/>
        <w:jc w:val="left"/>
      </w:pPr>
      <w:r>
        <w:rPr/>
        <w:t>不适用。</w:t>
      </w:r>
    </w:p>
    <w:p>
      <w:pPr>
        <w:spacing w:line="240" w:lineRule="auto" w:before="0"/>
        <w:rPr>
          <w:rFonts w:ascii="宋体" w:hAnsi="宋体" w:cs="宋体" w:eastAsia="宋体" w:hint="default"/>
          <w:sz w:val="20"/>
          <w:szCs w:val="20"/>
        </w:rPr>
      </w:pPr>
    </w:p>
    <w:p>
      <w:pPr>
        <w:pStyle w:val="Heading2"/>
        <w:spacing w:line="240" w:lineRule="auto" w:before="147"/>
        <w:ind w:right="2926"/>
        <w:jc w:val="left"/>
        <w:rPr>
          <w:b w:val="0"/>
          <w:bCs w:val="0"/>
        </w:rPr>
      </w:pPr>
      <w:r>
        <w:rPr/>
        <w:t>三、报告期内资金被占用情况及清欠进展情况</w:t>
      </w:r>
      <w:r>
        <w:rPr>
          <w:b w:val="0"/>
          <w:bCs w:val="0"/>
        </w:rPr>
      </w:r>
    </w:p>
    <w:p>
      <w:pPr>
        <w:pStyle w:val="BodyText"/>
        <w:spacing w:line="240" w:lineRule="auto" w:before="97"/>
        <w:ind w:left="638" w:right="292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right="2926"/>
        <w:jc w:val="left"/>
        <w:rPr>
          <w:b w:val="0"/>
          <w:bCs w:val="0"/>
        </w:rPr>
      </w:pPr>
      <w:r>
        <w:rPr/>
        <w:t>四、董事会对会计师事务所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2"/>
        <w:spacing w:line="240" w:lineRule="auto" w:before="82"/>
        <w:ind w:left="160" w:right="2926"/>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71"/>
        <w:ind w:left="638" w:right="292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60" w:right="98"/>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70"/>
        <w:ind w:left="638" w:right="2926"/>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60" w:right="2926"/>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70"/>
        <w:ind w:left="638" w:right="2926"/>
        <w:jc w:val="left"/>
      </w:pPr>
      <w:r>
        <w:rPr/>
        <w:t>□适用 √不适用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ind w:right="2926"/>
        <w:jc w:val="left"/>
        <w:rPr>
          <w:b w:val="0"/>
          <w:bCs w:val="0"/>
        </w:rPr>
      </w:pPr>
      <w:r>
        <w:rPr/>
        <w:t>五、聘任、解聘会计师事务所情况</w:t>
      </w:r>
      <w:r>
        <w:rPr>
          <w:b w:val="0"/>
          <w:bCs w:val="0"/>
        </w:rPr>
      </w:r>
    </w:p>
    <w:p>
      <w:pPr>
        <w:pStyle w:val="BodyText"/>
        <w:spacing w:line="240" w:lineRule="auto" w:before="145"/>
        <w:ind w:left="0" w:right="130"/>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38"/>
        <w:gridCol w:w="1474"/>
        <w:gridCol w:w="2530"/>
        <w:gridCol w:w="1882"/>
      </w:tblGrid>
      <w:tr>
        <w:trPr>
          <w:trHeight w:val="372" w:hRule="exact"/>
        </w:trPr>
        <w:tc>
          <w:tcPr>
            <w:tcW w:w="4412" w:type="dxa"/>
            <w:gridSpan w:val="2"/>
            <w:tcBorders>
              <w:top w:val="single" w:sz="4" w:space="0" w:color="000000"/>
              <w:left w:val="single" w:sz="4" w:space="0" w:color="000000"/>
              <w:bottom w:val="single" w:sz="4" w:space="0" w:color="000000"/>
              <w:right w:val="single" w:sz="4" w:space="0" w:color="000000"/>
            </w:tcBorders>
          </w:tcPr>
          <w:p>
            <w:pPr/>
          </w:p>
        </w:tc>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70" w:hRule="exact"/>
        </w:trPr>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07" w:right="0"/>
              <w:jc w:val="left"/>
              <w:rPr>
                <w:rFonts w:ascii="宋体" w:hAnsi="宋体" w:cs="宋体" w:eastAsia="宋体" w:hint="default"/>
                <w:sz w:val="21"/>
                <w:szCs w:val="21"/>
              </w:rPr>
            </w:pPr>
            <w:r>
              <w:rPr>
                <w:rFonts w:ascii="宋体" w:hAnsi="宋体" w:cs="宋体" w:eastAsia="宋体" w:hint="default"/>
                <w:sz w:val="21"/>
                <w:szCs w:val="21"/>
              </w:rPr>
              <w:t>福建华兴会计师事务所（特殊普通合伙）</w:t>
            </w:r>
          </w:p>
        </w:tc>
      </w:tr>
      <w:tr>
        <w:trPr>
          <w:trHeight w:val="370" w:hRule="exact"/>
        </w:trPr>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650,000</w:t>
            </w:r>
          </w:p>
        </w:tc>
      </w:tr>
      <w:tr>
        <w:trPr>
          <w:trHeight w:val="370" w:hRule="exact"/>
        </w:trPr>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21"/>
                <w:szCs w:val="21"/>
              </w:rPr>
            </w:pPr>
            <w:r>
              <w:rPr>
                <w:rFonts w:ascii="Times New Roman"/>
                <w:w w:val="100"/>
                <w:sz w:val="21"/>
              </w:rPr>
              <w:t>5</w:t>
            </w:r>
          </w:p>
        </w:tc>
      </w:tr>
      <w:tr>
        <w:trPr>
          <w:trHeight w:val="370" w:hRule="exact"/>
        </w:trPr>
        <w:tc>
          <w:tcPr>
            <w:tcW w:w="2938" w:type="dxa"/>
            <w:tcBorders>
              <w:top w:val="single" w:sz="4" w:space="0" w:color="000000"/>
              <w:left w:val="single" w:sz="4" w:space="0" w:color="000000"/>
              <w:bottom w:val="single" w:sz="4" w:space="0" w:color="000000"/>
              <w:right w:val="single" w:sz="4" w:space="0" w:color="000000"/>
            </w:tcBorders>
          </w:tcPr>
          <w:p>
            <w:pP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422"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4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5" w:right="0"/>
              <w:jc w:val="left"/>
              <w:rPr>
                <w:rFonts w:ascii="宋体" w:hAnsi="宋体" w:cs="宋体" w:eastAsia="宋体" w:hint="default"/>
                <w:sz w:val="21"/>
                <w:szCs w:val="21"/>
              </w:rPr>
            </w:pPr>
            <w:r>
              <w:rPr>
                <w:rFonts w:ascii="宋体" w:hAnsi="宋体" w:cs="宋体" w:eastAsia="宋体" w:hint="default"/>
                <w:sz w:val="21"/>
                <w:szCs w:val="21"/>
              </w:rPr>
              <w:t>福建华兴会计师事务所（特殊普通合伙）</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 w:right="0"/>
              <w:jc w:val="center"/>
              <w:rPr>
                <w:rFonts w:ascii="Times New Roman" w:hAnsi="Times New Roman" w:cs="Times New Roman" w:eastAsia="Times New Roman" w:hint="default"/>
                <w:sz w:val="21"/>
                <w:szCs w:val="21"/>
              </w:rPr>
            </w:pPr>
            <w:r>
              <w:rPr>
                <w:rFonts w:ascii="Times New Roman"/>
                <w:sz w:val="21"/>
              </w:rPr>
              <w:t>350,000</w:t>
            </w:r>
          </w:p>
        </w:tc>
      </w:tr>
    </w:tbl>
    <w:p>
      <w:pPr>
        <w:pStyle w:val="BodyText"/>
        <w:spacing w:line="240" w:lineRule="auto" w:before="42"/>
        <w:ind w:left="218" w:right="2926"/>
        <w:jc w:val="left"/>
      </w:pPr>
      <w:r>
        <w:rPr/>
        <w:t>聘任、解聘会计师事务所的情况说明</w:t>
      </w:r>
    </w:p>
    <w:p>
      <w:pPr>
        <w:pStyle w:val="BodyText"/>
        <w:spacing w:line="240" w:lineRule="auto" w:before="85"/>
        <w:ind w:left="218" w:right="2926"/>
        <w:jc w:val="left"/>
      </w:pPr>
      <w:r>
        <w:rPr/>
        <w:t>√适用</w:t>
      </w:r>
      <w:r>
        <w:rPr>
          <w:spacing w:val="-1"/>
        </w:rPr>
        <w:t> </w:t>
      </w:r>
      <w:r>
        <w:rPr/>
        <w:t>□不适用</w:t>
      </w:r>
    </w:p>
    <w:p>
      <w:pPr>
        <w:pStyle w:val="BodyText"/>
        <w:spacing w:line="240" w:lineRule="auto" w:before="85"/>
        <w:ind w:left="638" w:right="98"/>
        <w:jc w:val="left"/>
      </w:pPr>
      <w:r>
        <w:rPr/>
        <w:t>经公司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spacing w:val="-5"/>
        </w:rPr>
        <w:t>年年度股东大会审议批准，聘请福建华兴会计师事务所（特殊普通合伙）为公司</w:t>
      </w:r>
    </w:p>
    <w:p>
      <w:pPr>
        <w:pStyle w:val="BodyText"/>
        <w:spacing w:line="240" w:lineRule="auto" w:before="69"/>
        <w:ind w:left="218" w:right="98"/>
        <w:jc w:val="left"/>
      </w:pPr>
      <w:r>
        <w:rPr>
          <w:rFonts w:ascii="Times New Roman" w:hAnsi="Times New Roman" w:cs="Times New Roman" w:eastAsia="Times New Roman" w:hint="default"/>
        </w:rPr>
        <w:t>2015 </w:t>
      </w:r>
      <w:r>
        <w:rPr>
          <w:rFonts w:ascii="Times New Roman" w:hAnsi="Times New Roman" w:cs="Times New Roman" w:eastAsia="Times New Roman" w:hint="default"/>
          <w:spacing w:val="14"/>
        </w:rPr>
        <w:t> </w:t>
      </w:r>
      <w:r>
        <w:rPr>
          <w:spacing w:val="-2"/>
        </w:rPr>
        <w:t>年度财务报表和内控审计服务机构，负责本公司年度财务报告及相关专项审计工作。</w:t>
      </w:r>
    </w:p>
    <w:p>
      <w:pPr>
        <w:spacing w:line="240" w:lineRule="auto" w:before="2"/>
        <w:rPr>
          <w:rFonts w:ascii="宋体" w:hAnsi="宋体" w:cs="宋体" w:eastAsia="宋体" w:hint="default"/>
          <w:sz w:val="29"/>
          <w:szCs w:val="29"/>
        </w:rPr>
      </w:pPr>
    </w:p>
    <w:p>
      <w:pPr>
        <w:pStyle w:val="BodyText"/>
        <w:spacing w:line="314" w:lineRule="auto"/>
        <w:ind w:left="218" w:right="98"/>
        <w:jc w:val="left"/>
      </w:pPr>
      <w:r>
        <w:rPr/>
        <w:t>审计期间改聘会计师事务所的情况说明</w:t>
      </w:r>
      <w:r>
        <w:rPr>
          <w:w w:val="100"/>
        </w:rPr>
        <w:t> </w:t>
      </w:r>
      <w:r>
        <w:rPr>
          <w:spacing w:val="-2"/>
        </w:rPr>
        <w:t>报告期内，公司不存在审计期间改聘、解聘会计师事务所的情况。</w:t>
      </w:r>
    </w:p>
    <w:p>
      <w:pPr>
        <w:spacing w:line="240" w:lineRule="auto" w:before="5"/>
        <w:rPr>
          <w:rFonts w:ascii="宋体" w:hAnsi="宋体" w:cs="宋体" w:eastAsia="宋体" w:hint="default"/>
          <w:sz w:val="29"/>
          <w:szCs w:val="29"/>
        </w:rPr>
      </w:pPr>
    </w:p>
    <w:p>
      <w:pPr>
        <w:pStyle w:val="Heading2"/>
        <w:spacing w:line="240" w:lineRule="auto"/>
        <w:ind w:right="2926"/>
        <w:jc w:val="left"/>
        <w:rPr>
          <w:b w:val="0"/>
          <w:bCs w:val="0"/>
        </w:rPr>
      </w:pPr>
      <w:r>
        <w:rPr/>
        <w:t>六、面临暂停上市风险的情况</w:t>
      </w:r>
      <w:r>
        <w:rPr>
          <w:b w:val="0"/>
          <w:bCs w:val="0"/>
        </w:rPr>
      </w:r>
    </w:p>
    <w:p>
      <w:pPr>
        <w:pStyle w:val="Heading2"/>
        <w:spacing w:line="295" w:lineRule="auto" w:before="97"/>
        <w:ind w:left="638" w:right="2840" w:hanging="42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无。</w:t>
      </w:r>
    </w:p>
    <w:p>
      <w:pPr>
        <w:spacing w:after="0" w:line="295" w:lineRule="auto"/>
        <w:jc w:val="left"/>
        <w:rPr>
          <w:rFonts w:ascii="宋体" w:hAnsi="宋体" w:cs="宋体" w:eastAsia="宋体" w:hint="default"/>
        </w:rPr>
        <w:sectPr>
          <w:headerReference w:type="default" r:id="rId20"/>
          <w:footerReference w:type="default" r:id="rId21"/>
          <w:pgSz w:w="11910" w:h="16840"/>
          <w:pgMar w:header="880" w:footer="974" w:top="1120" w:bottom="1160" w:left="1580" w:right="1140"/>
          <w:pgNumType w:start="31"/>
        </w:sectPr>
      </w:pPr>
    </w:p>
    <w:p>
      <w:pPr>
        <w:spacing w:line="240" w:lineRule="auto" w:before="12"/>
        <w:rPr>
          <w:rFonts w:ascii="宋体" w:hAnsi="宋体" w:cs="宋体" w:eastAsia="宋体" w:hint="default"/>
          <w:sz w:val="26"/>
          <w:szCs w:val="26"/>
        </w:rPr>
      </w:pPr>
    </w:p>
    <w:p>
      <w:pPr>
        <w:pStyle w:val="Heading2"/>
        <w:spacing w:line="240" w:lineRule="auto" w:before="36"/>
        <w:ind w:left="138" w:right="0"/>
        <w:jc w:val="left"/>
        <w:rPr>
          <w:b w:val="0"/>
          <w:bCs w:val="0"/>
        </w:rPr>
      </w:pPr>
      <w:r>
        <w:rPr/>
        <w:t>七、破产重整相关事项</w:t>
      </w:r>
      <w:r>
        <w:rPr>
          <w:b w:val="0"/>
          <w:bCs w:val="0"/>
        </w:rPr>
      </w:r>
    </w:p>
    <w:p>
      <w:pPr>
        <w:pStyle w:val="BodyText"/>
        <w:spacing w:line="240" w:lineRule="auto" w:before="97"/>
        <w:ind w:right="0" w:firstLine="419"/>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t>八、重大诉讼、仲裁事项</w:t>
      </w:r>
      <w:r>
        <w:rPr>
          <w:b w:val="0"/>
          <w:bCs w:val="0"/>
        </w:rPr>
      </w:r>
    </w:p>
    <w:p>
      <w:pPr>
        <w:pStyle w:val="BodyText"/>
        <w:spacing w:line="240" w:lineRule="auto" w:before="97"/>
        <w:ind w:left="5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97"/>
        <w:ind w:left="558" w:right="0"/>
        <w:jc w:val="left"/>
      </w:pPr>
      <w:r>
        <w:rPr/>
        <w:t>□适用 √不适用</w:t>
      </w:r>
    </w:p>
    <w:p>
      <w:pPr>
        <w:spacing w:line="240" w:lineRule="auto" w:before="0"/>
        <w:rPr>
          <w:rFonts w:ascii="宋体" w:hAnsi="宋体" w:cs="宋体" w:eastAsia="宋体" w:hint="default"/>
          <w:sz w:val="20"/>
          <w:szCs w:val="20"/>
        </w:rPr>
      </w:pPr>
    </w:p>
    <w:p>
      <w:pPr>
        <w:spacing w:line="372" w:lineRule="auto" w:before="148"/>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十、报告期内公司及其控股股东、实际控制人诚信状况的说明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报告期内，公司及控股股东、实际控制人不存在未履行法院生效判决、所负数额较大的债务</w:t>
      </w:r>
    </w:p>
    <w:p>
      <w:pPr>
        <w:pStyle w:val="BodyText"/>
        <w:spacing w:line="245" w:lineRule="exact"/>
        <w:ind w:right="0"/>
        <w:jc w:val="left"/>
      </w:pPr>
      <w:r>
        <w:rPr/>
        <w:t>到期未清偿等情况。</w:t>
      </w:r>
    </w:p>
    <w:p>
      <w:pPr>
        <w:spacing w:line="240" w:lineRule="auto" w:before="0"/>
        <w:rPr>
          <w:rFonts w:ascii="宋体" w:hAnsi="宋体" w:cs="宋体" w:eastAsia="宋体" w:hint="default"/>
          <w:sz w:val="20"/>
          <w:szCs w:val="20"/>
        </w:rPr>
      </w:pPr>
    </w:p>
    <w:p>
      <w:pPr>
        <w:pStyle w:val="Heading2"/>
        <w:spacing w:line="240" w:lineRule="auto" w:before="140"/>
        <w:ind w:left="138" w:right="0"/>
        <w:jc w:val="left"/>
        <w:rPr>
          <w:b w:val="0"/>
          <w:bCs w:val="0"/>
        </w:rPr>
      </w:pPr>
      <w:r>
        <w:rPr/>
        <w:t>十一、公司股权激励计划、员工持股计划或其他员工激励情况及其影响</w:t>
      </w:r>
      <w:r>
        <w:rPr>
          <w:b w:val="0"/>
          <w:bCs w:val="0"/>
        </w:rPr>
      </w:r>
    </w:p>
    <w:p>
      <w:pPr>
        <w:pStyle w:val="BodyText"/>
        <w:spacing w:line="240" w:lineRule="auto" w:before="97"/>
        <w:ind w:left="558" w:right="0"/>
        <w:jc w:val="left"/>
      </w:pPr>
      <w:r>
        <w:rPr/>
        <w:t>□适用 √不适用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t>十二、重大关联交易</w:t>
      </w:r>
      <w:r>
        <w:rPr>
          <w:b w:val="0"/>
          <w:bCs w:val="0"/>
        </w:rPr>
      </w:r>
    </w:p>
    <w:p>
      <w:pPr>
        <w:pStyle w:val="BodyText"/>
        <w:spacing w:line="240" w:lineRule="auto" w:before="97"/>
        <w:ind w:left="558" w:right="0"/>
        <w:jc w:val="left"/>
      </w:pPr>
      <w:r>
        <w:rPr/>
        <w:t>□适用 √不适用</w:t>
      </w:r>
    </w:p>
    <w:p>
      <w:pPr>
        <w:spacing w:line="240" w:lineRule="auto" w:before="0"/>
        <w:rPr>
          <w:rFonts w:ascii="宋体" w:hAnsi="宋体" w:cs="宋体" w:eastAsia="宋体" w:hint="default"/>
          <w:sz w:val="20"/>
          <w:szCs w:val="20"/>
        </w:rPr>
      </w:pPr>
    </w:p>
    <w:p>
      <w:pPr>
        <w:pStyle w:val="Heading2"/>
        <w:tabs>
          <w:tab w:pos="977" w:val="left" w:leader="none"/>
        </w:tabs>
        <w:spacing w:line="324" w:lineRule="auto" w:before="148"/>
        <w:ind w:left="138" w:right="601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spacing w:line="324" w:lineRule="auto" w:before="23"/>
        <w:ind w:left="138" w:right="6954" w:firstLine="419"/>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托管情况</w:t>
      </w:r>
      <w:r>
        <w:rPr>
          <w:rFonts w:ascii="宋体" w:hAnsi="宋体" w:cs="宋体" w:eastAsia="宋体" w:hint="default"/>
          <w:sz w:val="21"/>
          <w:szCs w:val="21"/>
        </w:rPr>
      </w:r>
    </w:p>
    <w:p>
      <w:pPr>
        <w:pStyle w:val="BodyText"/>
        <w:spacing w:line="240" w:lineRule="auto" w:before="23"/>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right="0"/>
        <w:jc w:val="left"/>
      </w:pPr>
      <w:r>
        <w:rPr/>
        <w:t>□适用</w:t>
      </w:r>
      <w:r>
        <w:rPr>
          <w:spacing w:val="-1"/>
        </w:rPr>
        <w:t> </w:t>
      </w:r>
      <w:r>
        <w:rPr/>
        <w:t>√不适用</w:t>
      </w:r>
    </w:p>
    <w:p>
      <w:pPr>
        <w:spacing w:after="0" w:line="240" w:lineRule="auto"/>
        <w:jc w:val="left"/>
        <w:sectPr>
          <w:pgSz w:w="11910" w:h="16840"/>
          <w:pgMar w:header="880"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2"/>
          <w:footerReference w:type="default" r:id="rId23"/>
          <w:pgSz w:w="16840" w:h="11910" w:orient="landscape"/>
          <w:pgMar w:header="880" w:footer="975" w:top="1120" w:bottom="1160" w:left="920" w:right="1360"/>
          <w:pgNumType w:start="33"/>
        </w:sectPr>
      </w:pPr>
    </w:p>
    <w:p>
      <w:pPr>
        <w:spacing w:line="240" w:lineRule="auto" w:before="3"/>
        <w:rPr>
          <w:rFonts w:ascii="宋体" w:hAnsi="宋体" w:cs="宋体" w:eastAsia="宋体" w:hint="default"/>
          <w:sz w:val="15"/>
          <w:szCs w:val="15"/>
        </w:rPr>
      </w:pPr>
    </w:p>
    <w:p>
      <w:pPr>
        <w:pStyle w:val="Heading2"/>
        <w:spacing w:line="240" w:lineRule="auto"/>
        <w:ind w:left="520" w:right="-18"/>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left="5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tabs>
          <w:tab w:pos="1465" w:val="left" w:leader="none"/>
        </w:tabs>
        <w:spacing w:line="240" w:lineRule="auto"/>
        <w:ind w:left="520"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160" w:left="920" w:right="1360"/>
          <w:cols w:num="2" w:equalWidth="0">
            <w:col w:w="2098" w:space="9676"/>
            <w:col w:w="2786"/>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702"/>
        <w:gridCol w:w="1416"/>
        <w:gridCol w:w="1136"/>
        <w:gridCol w:w="1560"/>
        <w:gridCol w:w="1416"/>
        <w:gridCol w:w="1277"/>
        <w:gridCol w:w="1274"/>
        <w:gridCol w:w="1844"/>
        <w:gridCol w:w="1133"/>
        <w:gridCol w:w="852"/>
        <w:gridCol w:w="708"/>
      </w:tblGrid>
      <w:tr>
        <w:trPr>
          <w:trHeight w:val="13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租赁方名称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350" w:right="140" w:hanging="209"/>
              <w:jc w:val="left"/>
              <w:rPr>
                <w:rFonts w:ascii="宋体" w:hAnsi="宋体" w:cs="宋体" w:eastAsia="宋体" w:hint="default"/>
                <w:sz w:val="21"/>
                <w:szCs w:val="21"/>
              </w:rPr>
            </w:pPr>
            <w:r>
              <w:rPr>
                <w:rFonts w:ascii="宋体" w:hAnsi="宋体" w:cs="宋体" w:eastAsia="宋体" w:hint="default"/>
                <w:sz w:val="21"/>
                <w:szCs w:val="21"/>
              </w:rPr>
              <w:t>租赁资产</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564" w:right="141" w:hanging="420"/>
              <w:jc w:val="left"/>
              <w:rPr>
                <w:rFonts w:ascii="宋体" w:hAnsi="宋体" w:cs="宋体" w:eastAsia="宋体" w:hint="default"/>
                <w:sz w:val="21"/>
                <w:szCs w:val="21"/>
              </w:rPr>
            </w:pPr>
            <w:r>
              <w:rPr>
                <w:rFonts w:ascii="宋体" w:hAnsi="宋体" w:cs="宋体" w:eastAsia="宋体" w:hint="default"/>
                <w:sz w:val="21"/>
                <w:szCs w:val="21"/>
              </w:rPr>
              <w:t>租赁资产涉及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租赁起始日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租赁收益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811" w:right="178" w:hanging="632"/>
              <w:jc w:val="left"/>
              <w:rPr>
                <w:rFonts w:ascii="宋体" w:hAnsi="宋体" w:cs="宋体" w:eastAsia="宋体" w:hint="default"/>
                <w:sz w:val="21"/>
                <w:szCs w:val="21"/>
              </w:rPr>
            </w:pPr>
            <w:r>
              <w:rPr>
                <w:rFonts w:ascii="宋体" w:hAnsi="宋体" w:cs="宋体" w:eastAsia="宋体" w:hint="default"/>
                <w:sz w:val="21"/>
                <w:szCs w:val="21"/>
              </w:rPr>
              <w:t>租赁收益确定依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2"/>
              <w:ind w:left="141" w:right="137"/>
              <w:jc w:val="center"/>
              <w:rPr>
                <w:rFonts w:ascii="宋体" w:hAnsi="宋体" w:cs="宋体" w:eastAsia="宋体" w:hint="default"/>
                <w:sz w:val="21"/>
                <w:szCs w:val="21"/>
              </w:rPr>
            </w:pPr>
            <w:r>
              <w:rPr>
                <w:rFonts w:ascii="宋体" w:hAnsi="宋体" w:cs="宋体" w:eastAsia="宋体" w:hint="default"/>
                <w:sz w:val="21"/>
                <w:szCs w:val="21"/>
              </w:rPr>
              <w:t>租赁收益</w:t>
            </w:r>
            <w:r>
              <w:rPr>
                <w:rFonts w:ascii="宋体" w:hAnsi="宋体" w:cs="宋体" w:eastAsia="宋体" w:hint="default"/>
                <w:w w:val="100"/>
                <w:sz w:val="21"/>
                <w:szCs w:val="21"/>
              </w:rPr>
              <w:t> </w:t>
            </w:r>
            <w:r>
              <w:rPr>
                <w:rFonts w:ascii="宋体" w:hAnsi="宋体" w:cs="宋体" w:eastAsia="宋体" w:hint="default"/>
                <w:sz w:val="21"/>
                <w:szCs w:val="21"/>
              </w:rPr>
              <w:t>对公司影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是否关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73" w:lineRule="auto"/>
              <w:ind w:left="139" w:right="134"/>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9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0"/>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69"/>
                <w:sz w:val="21"/>
                <w:szCs w:val="21"/>
              </w:rPr>
              <w:t> </w:t>
            </w:r>
            <w:r>
              <w:rPr>
                <w:rFonts w:ascii="宋体" w:hAnsi="宋体" w:cs="宋体" w:eastAsia="宋体" w:hint="default"/>
                <w:sz w:val="21"/>
                <w:szCs w:val="21"/>
              </w:rPr>
              <w:t>圳</w:t>
            </w:r>
            <w:r>
              <w:rPr>
                <w:rFonts w:ascii="宋体" w:hAnsi="宋体" w:cs="宋体" w:eastAsia="宋体" w:hint="default"/>
                <w:spacing w:val="-66"/>
                <w:sz w:val="21"/>
                <w:szCs w:val="21"/>
              </w:rPr>
              <w:t> </w:t>
            </w:r>
            <w:r>
              <w:rPr>
                <w:rFonts w:ascii="宋体" w:hAnsi="宋体" w:cs="宋体" w:eastAsia="宋体" w:hint="default"/>
                <w:sz w:val="21"/>
                <w:szCs w:val="21"/>
              </w:rPr>
              <w:t>百</w:t>
            </w:r>
            <w:r>
              <w:rPr>
                <w:rFonts w:ascii="宋体" w:hAnsi="宋体" w:cs="宋体" w:eastAsia="宋体" w:hint="default"/>
                <w:spacing w:val="-69"/>
                <w:sz w:val="21"/>
                <w:szCs w:val="21"/>
              </w:rPr>
              <w:t> </w:t>
            </w:r>
            <w:r>
              <w:rPr>
                <w:rFonts w:ascii="宋体" w:hAnsi="宋体" w:cs="宋体" w:eastAsia="宋体" w:hint="default"/>
                <w:sz w:val="21"/>
                <w:szCs w:val="21"/>
              </w:rPr>
              <w:t>丽</w:t>
            </w:r>
            <w:r>
              <w:rPr>
                <w:rFonts w:ascii="宋体" w:hAnsi="宋体" w:cs="宋体" w:eastAsia="宋体" w:hint="default"/>
                <w:spacing w:val="-69"/>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贸</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9"/>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泉州分公司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南威大厦</w:t>
            </w:r>
          </w:p>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1,482,265.69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2015.11.10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2020.11.09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37,962.00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pacing w:val="14"/>
                <w:sz w:val="21"/>
                <w:szCs w:val="21"/>
              </w:rPr>
              <w:t>据租赁</w:t>
            </w:r>
            <w:r>
              <w:rPr>
                <w:rFonts w:ascii="宋体" w:hAnsi="宋体" w:cs="宋体" w:eastAsia="宋体" w:hint="default"/>
                <w:spacing w:val="-76"/>
                <w:sz w:val="21"/>
                <w:szCs w:val="21"/>
              </w:rPr>
              <w:t> </w:t>
            </w:r>
            <w:r>
              <w:rPr>
                <w:rFonts w:ascii="宋体" w:hAnsi="宋体" w:cs="宋体" w:eastAsia="宋体" w:hint="default"/>
                <w:spacing w:val="11"/>
                <w:sz w:val="21"/>
                <w:szCs w:val="21"/>
              </w:rPr>
              <w:t>合同</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月确认租金收入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0" w:right="137" w:hanging="209"/>
              <w:jc w:val="left"/>
              <w:rPr>
                <w:rFonts w:ascii="宋体" w:hAnsi="宋体" w:cs="宋体" w:eastAsia="宋体" w:hint="default"/>
                <w:sz w:val="21"/>
                <w:szCs w:val="21"/>
              </w:rPr>
            </w:pPr>
            <w:r>
              <w:rPr>
                <w:rFonts w:ascii="宋体" w:hAnsi="宋体" w:cs="宋体" w:eastAsia="宋体" w:hint="default"/>
                <w:sz w:val="21"/>
                <w:szCs w:val="21"/>
              </w:rPr>
              <w:t>增加营业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0"/>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9"/>
                <w:sz w:val="21"/>
                <w:szCs w:val="21"/>
              </w:rPr>
              <w:t> </w:t>
            </w: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腾</w:t>
            </w:r>
            <w:r>
              <w:rPr>
                <w:rFonts w:ascii="宋体" w:hAnsi="宋体" w:cs="宋体" w:eastAsia="宋体" w:hint="default"/>
                <w:spacing w:val="-69"/>
                <w:sz w:val="21"/>
                <w:szCs w:val="21"/>
              </w:rPr>
              <w:t> </w:t>
            </w:r>
            <w:r>
              <w:rPr>
                <w:rFonts w:ascii="宋体" w:hAnsi="宋体" w:cs="宋体" w:eastAsia="宋体" w:hint="default"/>
                <w:sz w:val="21"/>
                <w:szCs w:val="21"/>
              </w:rPr>
              <w:t>启</w:t>
            </w:r>
            <w:r>
              <w:rPr>
                <w:rFonts w:ascii="宋体" w:hAnsi="宋体" w:cs="宋体" w:eastAsia="宋体" w:hint="default"/>
                <w:spacing w:val="-69"/>
                <w:sz w:val="21"/>
                <w:szCs w:val="21"/>
              </w:rPr>
              <w:t> </w:t>
            </w:r>
            <w:r>
              <w:rPr>
                <w:rFonts w:ascii="宋体" w:hAnsi="宋体" w:cs="宋体" w:eastAsia="宋体" w:hint="default"/>
                <w:sz w:val="21"/>
                <w:szCs w:val="21"/>
              </w:rPr>
              <w:t>律</w:t>
            </w:r>
            <w:r>
              <w:rPr>
                <w:rFonts w:ascii="宋体" w:hAnsi="宋体" w:cs="宋体" w:eastAsia="宋体" w:hint="default"/>
                <w:w w:val="100"/>
                <w:sz w:val="21"/>
                <w:szCs w:val="21"/>
              </w:rPr>
              <w:t> </w:t>
            </w:r>
            <w:r>
              <w:rPr>
                <w:rFonts w:ascii="宋体" w:hAnsi="宋体" w:cs="宋体" w:eastAsia="宋体" w:hint="default"/>
                <w:spacing w:val="-11"/>
                <w:sz w:val="21"/>
                <w:szCs w:val="21"/>
              </w:rPr>
              <w:t>师事务所（庄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跃平律所）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南威大厦</w:t>
            </w:r>
          </w:p>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1,115,311.03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2015.12.01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2021.05.31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5,597.00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pacing w:val="14"/>
                <w:sz w:val="21"/>
                <w:szCs w:val="21"/>
              </w:rPr>
              <w:t>据租赁</w:t>
            </w:r>
            <w:r>
              <w:rPr>
                <w:rFonts w:ascii="宋体" w:hAnsi="宋体" w:cs="宋体" w:eastAsia="宋体" w:hint="default"/>
                <w:spacing w:val="-76"/>
                <w:sz w:val="21"/>
                <w:szCs w:val="21"/>
              </w:rPr>
              <w:t> </w:t>
            </w:r>
            <w:r>
              <w:rPr>
                <w:rFonts w:ascii="宋体" w:hAnsi="宋体" w:cs="宋体" w:eastAsia="宋体" w:hint="default"/>
                <w:spacing w:val="11"/>
                <w:sz w:val="21"/>
                <w:szCs w:val="21"/>
              </w:rPr>
              <w:t>合同</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月确认租金收入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0" w:right="137" w:hanging="209"/>
              <w:jc w:val="left"/>
              <w:rPr>
                <w:rFonts w:ascii="宋体" w:hAnsi="宋体" w:cs="宋体" w:eastAsia="宋体" w:hint="default"/>
                <w:sz w:val="21"/>
                <w:szCs w:val="21"/>
              </w:rPr>
            </w:pPr>
            <w:r>
              <w:rPr>
                <w:rFonts w:ascii="宋体" w:hAnsi="宋体" w:cs="宋体" w:eastAsia="宋体" w:hint="default"/>
                <w:sz w:val="21"/>
                <w:szCs w:val="21"/>
              </w:rPr>
              <w:t>增加营业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00"/>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泉</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元</w:t>
            </w:r>
            <w:r>
              <w:rPr>
                <w:rFonts w:ascii="宋体" w:hAnsi="宋体" w:cs="宋体" w:eastAsia="宋体" w:hint="default"/>
                <w:spacing w:val="-69"/>
                <w:sz w:val="21"/>
                <w:szCs w:val="21"/>
              </w:rPr>
              <w:t> </w:t>
            </w:r>
            <w:r>
              <w:rPr>
                <w:rFonts w:ascii="宋体" w:hAnsi="宋体" w:cs="宋体" w:eastAsia="宋体" w:hint="default"/>
                <w:sz w:val="21"/>
                <w:szCs w:val="21"/>
              </w:rPr>
              <w:t>坤</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发</w:t>
            </w:r>
            <w:r>
              <w:rPr>
                <w:rFonts w:ascii="宋体" w:hAnsi="宋体" w:cs="宋体" w:eastAsia="宋体" w:hint="default"/>
                <w:spacing w:val="-69"/>
                <w:sz w:val="21"/>
                <w:szCs w:val="21"/>
              </w:rPr>
              <w:t> </w:t>
            </w:r>
            <w:r>
              <w:rPr>
                <w:rFonts w:ascii="宋体" w:hAnsi="宋体" w:cs="宋体" w:eastAsia="宋体" w:hint="default"/>
                <w:sz w:val="21"/>
                <w:szCs w:val="21"/>
              </w:rPr>
              <w:t>展</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南威大厦</w:t>
            </w:r>
          </w:p>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2,597,576.72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2015.06.01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2021.05.31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102,486.00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pacing w:val="14"/>
                <w:sz w:val="21"/>
                <w:szCs w:val="21"/>
              </w:rPr>
              <w:t>据租赁</w:t>
            </w:r>
            <w:r>
              <w:rPr>
                <w:rFonts w:ascii="宋体" w:hAnsi="宋体" w:cs="宋体" w:eastAsia="宋体" w:hint="default"/>
                <w:spacing w:val="-76"/>
                <w:sz w:val="21"/>
                <w:szCs w:val="21"/>
              </w:rPr>
              <w:t> </w:t>
            </w:r>
            <w:r>
              <w:rPr>
                <w:rFonts w:ascii="宋体" w:hAnsi="宋体" w:cs="宋体" w:eastAsia="宋体" w:hint="default"/>
                <w:spacing w:val="11"/>
                <w:sz w:val="21"/>
                <w:szCs w:val="21"/>
              </w:rPr>
              <w:t>合同</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月确认租金收入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350" w:right="137" w:hanging="209"/>
              <w:jc w:val="left"/>
              <w:rPr>
                <w:rFonts w:ascii="宋体" w:hAnsi="宋体" w:cs="宋体" w:eastAsia="宋体" w:hint="default"/>
                <w:sz w:val="21"/>
                <w:szCs w:val="21"/>
              </w:rPr>
            </w:pPr>
            <w:r>
              <w:rPr>
                <w:rFonts w:ascii="宋体" w:hAnsi="宋体" w:cs="宋体" w:eastAsia="宋体" w:hint="default"/>
                <w:sz w:val="21"/>
                <w:szCs w:val="21"/>
              </w:rPr>
              <w:t>增加营业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9"/>
                <w:sz w:val="21"/>
                <w:szCs w:val="21"/>
              </w:rPr>
              <w:t> </w:t>
            </w: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9"/>
                <w:sz w:val="21"/>
                <w:szCs w:val="21"/>
              </w:rPr>
              <w:t> </w:t>
            </w:r>
            <w:r>
              <w:rPr>
                <w:rFonts w:ascii="宋体" w:hAnsi="宋体" w:cs="宋体" w:eastAsia="宋体" w:hint="default"/>
                <w:sz w:val="21"/>
                <w:szCs w:val="21"/>
              </w:rPr>
              <w:t>微</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南威大厦</w:t>
            </w:r>
          </w:p>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394,456.65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2015.08.01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2016.07.30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53,878.00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pacing w:val="14"/>
                <w:sz w:val="21"/>
                <w:szCs w:val="21"/>
              </w:rPr>
              <w:t>据租赁</w:t>
            </w:r>
            <w:r>
              <w:rPr>
                <w:rFonts w:ascii="宋体" w:hAnsi="宋体" w:cs="宋体" w:eastAsia="宋体" w:hint="default"/>
                <w:spacing w:val="-76"/>
                <w:sz w:val="21"/>
                <w:szCs w:val="21"/>
              </w:rPr>
              <w:t> </w:t>
            </w:r>
            <w:r>
              <w:rPr>
                <w:rFonts w:ascii="宋体" w:hAnsi="宋体" w:cs="宋体" w:eastAsia="宋体" w:hint="default"/>
                <w:spacing w:val="11"/>
                <w:sz w:val="21"/>
                <w:szCs w:val="21"/>
              </w:rPr>
              <w:t>合同</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月确认租金收入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增加营业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泉</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丰</w:t>
            </w:r>
            <w:r>
              <w:rPr>
                <w:rFonts w:ascii="宋体" w:hAnsi="宋体" w:cs="宋体" w:eastAsia="宋体" w:hint="default"/>
                <w:spacing w:val="-69"/>
                <w:sz w:val="21"/>
                <w:szCs w:val="21"/>
              </w:rPr>
              <w:t> </w:t>
            </w:r>
            <w:r>
              <w:rPr>
                <w:rFonts w:ascii="宋体" w:hAnsi="宋体" w:cs="宋体" w:eastAsia="宋体" w:hint="default"/>
                <w:sz w:val="21"/>
                <w:szCs w:val="21"/>
              </w:rPr>
              <w:t>泽</w:t>
            </w:r>
            <w:r>
              <w:rPr>
                <w:rFonts w:ascii="宋体" w:hAnsi="宋体" w:cs="宋体" w:eastAsia="宋体" w:hint="default"/>
                <w:w w:val="100"/>
                <w:sz w:val="21"/>
                <w:szCs w:val="21"/>
              </w:rPr>
              <w:t> </w:t>
            </w:r>
            <w:r>
              <w:rPr>
                <w:rFonts w:ascii="宋体" w:hAnsi="宋体" w:cs="宋体" w:eastAsia="宋体" w:hint="default"/>
                <w:sz w:val="21"/>
                <w:szCs w:val="21"/>
              </w:rPr>
              <w:t>区财政局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南威大厦</w:t>
            </w:r>
          </w:p>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13,057,613.33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2014.06.18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2015.06.17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682,251.00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pacing w:val="14"/>
                <w:sz w:val="21"/>
                <w:szCs w:val="21"/>
              </w:rPr>
              <w:t>据租赁</w:t>
            </w:r>
            <w:r>
              <w:rPr>
                <w:rFonts w:ascii="宋体" w:hAnsi="宋体" w:cs="宋体" w:eastAsia="宋体" w:hint="default"/>
                <w:spacing w:val="-76"/>
                <w:sz w:val="21"/>
                <w:szCs w:val="21"/>
              </w:rPr>
              <w:t> </w:t>
            </w:r>
            <w:r>
              <w:rPr>
                <w:rFonts w:ascii="宋体" w:hAnsi="宋体" w:cs="宋体" w:eastAsia="宋体" w:hint="default"/>
                <w:spacing w:val="11"/>
                <w:sz w:val="21"/>
                <w:szCs w:val="21"/>
              </w:rPr>
              <w:t>合同</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月确认租金收入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增加营业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69"/>
                <w:sz w:val="21"/>
                <w:szCs w:val="21"/>
              </w:rPr>
              <w:t> </w:t>
            </w:r>
            <w:r>
              <w:rPr>
                <w:rFonts w:ascii="宋体" w:hAnsi="宋体" w:cs="宋体" w:eastAsia="宋体" w:hint="default"/>
                <w:sz w:val="21"/>
                <w:szCs w:val="21"/>
              </w:rPr>
              <w:t>门</w:t>
            </w:r>
            <w:r>
              <w:rPr>
                <w:rFonts w:ascii="宋体" w:hAnsi="宋体" w:cs="宋体" w:eastAsia="宋体" w:hint="default"/>
                <w:spacing w:val="-66"/>
                <w:sz w:val="21"/>
                <w:szCs w:val="21"/>
              </w:rPr>
              <w:t> </w:t>
            </w:r>
            <w:r>
              <w:rPr>
                <w:rFonts w:ascii="宋体" w:hAnsi="宋体" w:cs="宋体" w:eastAsia="宋体" w:hint="default"/>
                <w:sz w:val="21"/>
                <w:szCs w:val="21"/>
              </w:rPr>
              <w:t>福</w:t>
            </w:r>
            <w:r>
              <w:rPr>
                <w:rFonts w:ascii="宋体" w:hAnsi="宋体" w:cs="宋体" w:eastAsia="宋体" w:hint="default"/>
                <w:spacing w:val="-69"/>
                <w:sz w:val="21"/>
                <w:szCs w:val="21"/>
              </w:rPr>
              <w:t> </w:t>
            </w:r>
            <w:r>
              <w:rPr>
                <w:rFonts w:ascii="宋体" w:hAnsi="宋体" w:cs="宋体" w:eastAsia="宋体" w:hint="default"/>
                <w:sz w:val="21"/>
                <w:szCs w:val="21"/>
              </w:rPr>
              <w:t>房</w:t>
            </w:r>
            <w:r>
              <w:rPr>
                <w:rFonts w:ascii="宋体" w:hAnsi="宋体" w:cs="宋体" w:eastAsia="宋体" w:hint="default"/>
                <w:spacing w:val="-69"/>
                <w:sz w:val="21"/>
                <w:szCs w:val="21"/>
              </w:rPr>
              <w:t> </w:t>
            </w:r>
            <w:r>
              <w:rPr>
                <w:rFonts w:ascii="宋体" w:hAnsi="宋体" w:cs="宋体" w:eastAsia="宋体" w:hint="default"/>
                <w:sz w:val="21"/>
                <w:szCs w:val="21"/>
              </w:rPr>
              <w:t>传</w:t>
            </w:r>
            <w:r>
              <w:rPr>
                <w:rFonts w:ascii="宋体" w:hAnsi="宋体" w:cs="宋体" w:eastAsia="宋体" w:hint="default"/>
                <w:w w:val="100"/>
                <w:sz w:val="21"/>
                <w:szCs w:val="21"/>
              </w:rPr>
              <w:t> </w:t>
            </w:r>
            <w:r>
              <w:rPr>
                <w:rFonts w:ascii="宋体" w:hAnsi="宋体" w:cs="宋体" w:eastAsia="宋体" w:hint="default"/>
                <w:sz w:val="21"/>
                <w:szCs w:val="21"/>
              </w:rPr>
              <w:t>媒有限公司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南威大厦</w:t>
            </w:r>
          </w:p>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719,656.43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2015.03.16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2015.09.15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38,640.00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pacing w:val="14"/>
                <w:sz w:val="21"/>
                <w:szCs w:val="21"/>
              </w:rPr>
              <w:t>据租赁</w:t>
            </w:r>
            <w:r>
              <w:rPr>
                <w:rFonts w:ascii="宋体" w:hAnsi="宋体" w:cs="宋体" w:eastAsia="宋体" w:hint="default"/>
                <w:spacing w:val="-76"/>
                <w:sz w:val="21"/>
                <w:szCs w:val="21"/>
              </w:rPr>
              <w:t> </w:t>
            </w:r>
            <w:r>
              <w:rPr>
                <w:rFonts w:ascii="宋体" w:hAnsi="宋体" w:cs="宋体" w:eastAsia="宋体" w:hint="default"/>
                <w:spacing w:val="11"/>
                <w:sz w:val="21"/>
                <w:szCs w:val="21"/>
              </w:rPr>
              <w:t>合同</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月确认租金收入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增加营业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0"/>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69"/>
                <w:sz w:val="21"/>
                <w:szCs w:val="21"/>
              </w:rPr>
              <w:t> </w:t>
            </w:r>
            <w:r>
              <w:rPr>
                <w:rFonts w:ascii="宋体" w:hAnsi="宋体" w:cs="宋体" w:eastAsia="宋体" w:hint="default"/>
                <w:sz w:val="21"/>
                <w:szCs w:val="21"/>
              </w:rPr>
              <w:t>门</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立</w:t>
            </w:r>
            <w:r>
              <w:rPr>
                <w:rFonts w:ascii="宋体" w:hAnsi="宋体" w:cs="宋体" w:eastAsia="宋体" w:hint="default"/>
                <w:spacing w:val="-69"/>
                <w:sz w:val="21"/>
                <w:szCs w:val="21"/>
              </w:rPr>
              <w:t> </w:t>
            </w:r>
            <w:r>
              <w:rPr>
                <w:rFonts w:ascii="宋体" w:hAnsi="宋体" w:cs="宋体" w:eastAsia="宋体" w:hint="default"/>
                <w:sz w:val="21"/>
                <w:szCs w:val="21"/>
              </w:rPr>
              <w:t>丹</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69"/>
                <w:sz w:val="21"/>
                <w:szCs w:val="21"/>
              </w:rPr>
              <w:t> </w:t>
            </w:r>
            <w:r>
              <w:rPr>
                <w:rFonts w:ascii="宋体" w:hAnsi="宋体" w:cs="宋体" w:eastAsia="宋体" w:hint="default"/>
                <w:sz w:val="21"/>
                <w:szCs w:val="21"/>
              </w:rPr>
              <w:t>置</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南威大厦</w:t>
            </w:r>
          </w:p>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157,782.66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2015.01.16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2015.06.30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9,200.00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pacing w:val="14"/>
                <w:sz w:val="21"/>
                <w:szCs w:val="21"/>
              </w:rPr>
              <w:t>据租赁</w:t>
            </w:r>
            <w:r>
              <w:rPr>
                <w:rFonts w:ascii="宋体" w:hAnsi="宋体" w:cs="宋体" w:eastAsia="宋体" w:hint="default"/>
                <w:spacing w:val="-76"/>
                <w:sz w:val="21"/>
                <w:szCs w:val="21"/>
              </w:rPr>
              <w:t> </w:t>
            </w:r>
            <w:r>
              <w:rPr>
                <w:rFonts w:ascii="宋体" w:hAnsi="宋体" w:cs="宋体" w:eastAsia="宋体" w:hint="default"/>
                <w:spacing w:val="11"/>
                <w:sz w:val="21"/>
                <w:szCs w:val="21"/>
              </w:rPr>
              <w:t>合同</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月确认租金收入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0" w:right="137" w:hanging="209"/>
              <w:jc w:val="left"/>
              <w:rPr>
                <w:rFonts w:ascii="宋体" w:hAnsi="宋体" w:cs="宋体" w:eastAsia="宋体" w:hint="default"/>
                <w:sz w:val="21"/>
                <w:szCs w:val="21"/>
              </w:rPr>
            </w:pPr>
            <w:r>
              <w:rPr>
                <w:rFonts w:ascii="宋体" w:hAnsi="宋体" w:cs="宋体" w:eastAsia="宋体" w:hint="default"/>
                <w:sz w:val="21"/>
                <w:szCs w:val="21"/>
              </w:rPr>
              <w:t>增加营业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南威软件股份有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泉</w:t>
            </w:r>
            <w:r>
              <w:rPr>
                <w:rFonts w:ascii="宋体" w:hAnsi="宋体" w:cs="宋体" w:eastAsia="宋体" w:hint="default"/>
                <w:spacing w:val="-69"/>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微</w:t>
            </w:r>
            <w:r>
              <w:rPr>
                <w:rFonts w:ascii="宋体" w:hAnsi="宋体" w:cs="宋体" w:eastAsia="宋体" w:hint="default"/>
                <w:spacing w:val="-69"/>
                <w:sz w:val="21"/>
                <w:szCs w:val="21"/>
              </w:rPr>
              <w:t> </w:t>
            </w:r>
            <w:r>
              <w:rPr>
                <w:rFonts w:ascii="宋体" w:hAnsi="宋体" w:cs="宋体" w:eastAsia="宋体" w:hint="default"/>
                <w:sz w:val="21"/>
                <w:szCs w:val="21"/>
              </w:rPr>
              <w:t>软</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术中心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南威大厦</w:t>
            </w:r>
          </w:p>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13,777,269.76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2015.06.18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0" w:right="0"/>
              <w:jc w:val="left"/>
              <w:rPr>
                <w:rFonts w:ascii="Times New Roman" w:hAnsi="Times New Roman" w:cs="Times New Roman" w:eastAsia="Times New Roman" w:hint="default"/>
                <w:sz w:val="21"/>
                <w:szCs w:val="21"/>
              </w:rPr>
            </w:pPr>
            <w:r>
              <w:rPr>
                <w:rFonts w:ascii="Times New Roman"/>
                <w:sz w:val="21"/>
              </w:rPr>
              <w:t>2016.06.17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739,105.25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pacing w:val="-76"/>
                <w:sz w:val="21"/>
                <w:szCs w:val="21"/>
              </w:rPr>
              <w:t> </w:t>
            </w:r>
            <w:r>
              <w:rPr>
                <w:rFonts w:ascii="宋体" w:hAnsi="宋体" w:cs="宋体" w:eastAsia="宋体" w:hint="default"/>
                <w:spacing w:val="14"/>
                <w:sz w:val="21"/>
                <w:szCs w:val="21"/>
              </w:rPr>
              <w:t>据租赁</w:t>
            </w:r>
            <w:r>
              <w:rPr>
                <w:rFonts w:ascii="宋体" w:hAnsi="宋体" w:cs="宋体" w:eastAsia="宋体" w:hint="default"/>
                <w:spacing w:val="-76"/>
                <w:sz w:val="21"/>
                <w:szCs w:val="21"/>
              </w:rPr>
              <w:t> </w:t>
            </w:r>
            <w:r>
              <w:rPr>
                <w:rFonts w:ascii="宋体" w:hAnsi="宋体" w:cs="宋体" w:eastAsia="宋体" w:hint="default"/>
                <w:spacing w:val="11"/>
                <w:sz w:val="21"/>
                <w:szCs w:val="21"/>
              </w:rPr>
              <w:t>合同</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月确认租金收入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增加营业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160" w:left="920" w:right="13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tabs>
          <w:tab w:pos="1220" w:val="left" w:leader="none"/>
        </w:tabs>
        <w:spacing w:line="240" w:lineRule="auto" w:before="36"/>
        <w:ind w:left="380"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97"/>
        <w:ind w:left="800"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0" w:footer="975" w:top="1120" w:bottom="1160" w:left="1060" w:right="1140"/>
        </w:sectPr>
      </w:pPr>
    </w:p>
    <w:p>
      <w:pPr>
        <w:spacing w:line="240" w:lineRule="auto" w:before="6"/>
        <w:rPr>
          <w:rFonts w:ascii="宋体" w:hAnsi="宋体" w:cs="宋体" w:eastAsia="宋体" w:hint="default"/>
          <w:sz w:val="15"/>
          <w:szCs w:val="15"/>
        </w:rPr>
      </w:pPr>
    </w:p>
    <w:p>
      <w:pPr>
        <w:pStyle w:val="Heading2"/>
        <w:tabs>
          <w:tab w:pos="1220" w:val="left" w:leader="none"/>
        </w:tabs>
        <w:spacing w:line="367" w:lineRule="auto"/>
        <w:ind w:left="38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托他人进行现金资产管理的情况</w:t>
      </w:r>
      <w:r>
        <w:rPr>
          <w:spacing w:val="-93"/>
        </w:rPr>
        <w:t> </w:t>
      </w:r>
      <w:r>
        <w:rPr>
          <w:spacing w:val="-93"/>
        </w:rPr>
      </w:r>
      <w:r>
        <w:rPr>
          <w:rFonts w:ascii="宋体" w:hAnsi="宋体" w:cs="宋体" w:eastAsia="宋体" w:hint="default"/>
        </w:rPr>
        <w:t>1</w:t>
      </w:r>
      <w:r>
        <w:rPr/>
        <w:t>、</w:t>
      </w:r>
      <w:r>
        <w:rPr>
          <w:spacing w:val="-1"/>
        </w:rPr>
        <w:t> </w:t>
      </w:r>
      <w:r>
        <w:rPr/>
        <w:t>委托理财情况</w:t>
      </w:r>
      <w:r>
        <w:rPr>
          <w:b w:val="0"/>
          <w:bCs w:val="0"/>
        </w:rPr>
      </w:r>
    </w:p>
    <w:p>
      <w:pPr>
        <w:pStyle w:val="BodyText"/>
        <w:spacing w:line="254" w:lineRule="exact"/>
        <w:ind w:left="38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380"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160" w:left="1060" w:right="1140"/>
          <w:cols w:num="2" w:equalWidth="0">
            <w:col w:w="4173" w:space="7755"/>
            <w:col w:w="2712"/>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18"/>
        <w:gridCol w:w="1157"/>
        <w:gridCol w:w="1587"/>
        <w:gridCol w:w="1442"/>
        <w:gridCol w:w="1296"/>
        <w:gridCol w:w="1133"/>
        <w:gridCol w:w="1586"/>
        <w:gridCol w:w="1321"/>
        <w:gridCol w:w="761"/>
        <w:gridCol w:w="754"/>
        <w:gridCol w:w="862"/>
        <w:gridCol w:w="780"/>
        <w:gridCol w:w="720"/>
      </w:tblGrid>
      <w:tr>
        <w:trPr>
          <w:trHeight w:val="121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受托人</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153" w:right="149"/>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产品类型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委托理财金额</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398" w:right="187" w:hanging="209"/>
              <w:jc w:val="left"/>
              <w:rPr>
                <w:rFonts w:ascii="宋体" w:hAnsi="宋体" w:cs="宋体" w:eastAsia="宋体" w:hint="default"/>
                <w:sz w:val="21"/>
                <w:szCs w:val="21"/>
              </w:rPr>
            </w:pPr>
            <w:r>
              <w:rPr>
                <w:rFonts w:ascii="宋体" w:hAnsi="宋体" w:cs="宋体" w:eastAsia="宋体" w:hint="default"/>
                <w:sz w:val="21"/>
                <w:szCs w:val="21"/>
              </w:rPr>
              <w:t>委托理财起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始日期</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326" w:right="113" w:hanging="209"/>
              <w:jc w:val="left"/>
              <w:rPr>
                <w:rFonts w:ascii="宋体" w:hAnsi="宋体" w:cs="宋体" w:eastAsia="宋体" w:hint="default"/>
                <w:sz w:val="21"/>
                <w:szCs w:val="21"/>
              </w:rPr>
            </w:pPr>
            <w:r>
              <w:rPr>
                <w:rFonts w:ascii="宋体" w:hAnsi="宋体" w:cs="宋体" w:eastAsia="宋体" w:hint="default"/>
                <w:sz w:val="21"/>
                <w:szCs w:val="21"/>
              </w:rPr>
              <w:t>委托理财终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350" w:right="137" w:hanging="209"/>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576" w:right="156" w:hanging="420"/>
              <w:jc w:val="left"/>
              <w:rPr>
                <w:rFonts w:ascii="宋体" w:hAnsi="宋体" w:cs="宋体" w:eastAsia="宋体" w:hint="default"/>
                <w:sz w:val="21"/>
                <w:szCs w:val="21"/>
              </w:rPr>
            </w:pPr>
            <w:r>
              <w:rPr>
                <w:rFonts w:ascii="宋体" w:hAnsi="宋体" w:cs="宋体" w:eastAsia="宋体" w:hint="default"/>
                <w:sz w:val="21"/>
                <w:szCs w:val="21"/>
              </w:rPr>
              <w:t>实际收回本金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547" w:right="128" w:hanging="420"/>
              <w:jc w:val="left"/>
              <w:rPr>
                <w:rFonts w:ascii="宋体" w:hAnsi="宋体" w:cs="宋体" w:eastAsia="宋体" w:hint="default"/>
                <w:sz w:val="21"/>
                <w:szCs w:val="21"/>
              </w:rPr>
            </w:pPr>
            <w:r>
              <w:rPr>
                <w:rFonts w:ascii="宋体" w:hAnsi="宋体" w:cs="宋体" w:eastAsia="宋体" w:hint="default"/>
                <w:sz w:val="21"/>
                <w:szCs w:val="21"/>
              </w:rPr>
              <w:t>实际获得收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63" w:right="16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63" w:right="156"/>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110" w:right="107"/>
              <w:jc w:val="left"/>
              <w:rPr>
                <w:rFonts w:ascii="宋体" w:hAnsi="宋体" w:cs="宋体" w:eastAsia="宋体" w:hint="default"/>
                <w:sz w:val="21"/>
                <w:szCs w:val="21"/>
              </w:rPr>
            </w:pPr>
            <w:r>
              <w:rPr>
                <w:rFonts w:ascii="宋体" w:hAnsi="宋体" w:cs="宋体" w:eastAsia="宋体" w:hint="default"/>
                <w:sz w:val="21"/>
                <w:szCs w:val="21"/>
              </w:rPr>
              <w:t>是否关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172" w:right="173"/>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涉诉</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61" w:lineRule="auto"/>
              <w:ind w:left="143" w:right="14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92" w:right="185" w:hanging="106"/>
              <w:jc w:val="left"/>
              <w:rPr>
                <w:rFonts w:ascii="宋体" w:hAnsi="宋体" w:cs="宋体" w:eastAsia="宋体" w:hint="default"/>
                <w:sz w:val="21"/>
                <w:szCs w:val="21"/>
              </w:rPr>
            </w:pPr>
            <w:r>
              <w:rPr>
                <w:rFonts w:ascii="宋体" w:hAnsi="宋体" w:cs="宋体" w:eastAsia="宋体" w:hint="default"/>
                <w:sz w:val="21"/>
                <w:szCs w:val="21"/>
              </w:rPr>
              <w:t>太平洋</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100,000,000.00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2015-01-28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5,375,342.47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
              <w:jc w:val="center"/>
              <w:rPr>
                <w:rFonts w:ascii="宋体" w:hAnsi="宋体" w:cs="宋体" w:eastAsia="宋体" w:hint="default"/>
                <w:sz w:val="21"/>
                <w:szCs w:val="21"/>
              </w:rPr>
            </w:pPr>
            <w:r>
              <w:rPr>
                <w:rFonts w:ascii="宋体" w:hAnsi="宋体" w:cs="宋体" w:eastAsia="宋体" w:hint="default"/>
                <w:sz w:val="21"/>
                <w:szCs w:val="21"/>
              </w:rPr>
              <w:t>兴行证券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69" w:right="0"/>
              <w:jc w:val="center"/>
              <w:rPr>
                <w:rFonts w:ascii="Times New Roman" w:hAnsi="Times New Roman" w:cs="Times New Roman" w:eastAsia="Times New Roman" w:hint="default"/>
                <w:sz w:val="21"/>
                <w:szCs w:val="21"/>
              </w:rPr>
            </w:pPr>
            <w:r>
              <w:rPr>
                <w:rFonts w:ascii="Times New Roman"/>
                <w:sz w:val="21"/>
              </w:rPr>
              <w:t>50,000,000.00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2015-05-29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1,453,972.60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
              <w:jc w:val="center"/>
              <w:rPr>
                <w:rFonts w:ascii="宋体" w:hAnsi="宋体" w:cs="宋体" w:eastAsia="宋体" w:hint="default"/>
                <w:sz w:val="21"/>
                <w:szCs w:val="21"/>
              </w:rPr>
            </w:pPr>
            <w:r>
              <w:rPr>
                <w:rFonts w:ascii="宋体" w:hAnsi="宋体" w:cs="宋体" w:eastAsia="宋体" w:hint="default"/>
                <w:sz w:val="21"/>
                <w:szCs w:val="21"/>
              </w:rPr>
              <w:t>兴行银行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银行理财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9" w:right="0"/>
              <w:jc w:val="center"/>
              <w:rPr>
                <w:rFonts w:ascii="Times New Roman" w:hAnsi="Times New Roman" w:cs="Times New Roman" w:eastAsia="Times New Roman" w:hint="default"/>
                <w:sz w:val="21"/>
                <w:szCs w:val="21"/>
              </w:rPr>
            </w:pPr>
            <w:r>
              <w:rPr>
                <w:rFonts w:ascii="Times New Roman"/>
                <w:sz w:val="21"/>
              </w:rPr>
              <w:t>10,000,000.00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2015-08-10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107,671.23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
              <w:jc w:val="center"/>
              <w:rPr>
                <w:rFonts w:ascii="宋体" w:hAnsi="宋体" w:cs="宋体" w:eastAsia="宋体" w:hint="default"/>
                <w:sz w:val="21"/>
                <w:szCs w:val="21"/>
              </w:rPr>
            </w:pPr>
            <w:r>
              <w:rPr>
                <w:rFonts w:ascii="宋体" w:hAnsi="宋体" w:cs="宋体" w:eastAsia="宋体" w:hint="default"/>
                <w:sz w:val="21"/>
                <w:szCs w:val="21"/>
              </w:rPr>
              <w:t>工商银行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银行理财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9" w:right="0"/>
              <w:jc w:val="center"/>
              <w:rPr>
                <w:rFonts w:ascii="Times New Roman" w:hAnsi="Times New Roman" w:cs="Times New Roman" w:eastAsia="Times New Roman" w:hint="default"/>
                <w:sz w:val="21"/>
                <w:szCs w:val="21"/>
              </w:rPr>
            </w:pPr>
            <w:r>
              <w:rPr>
                <w:rFonts w:ascii="Times New Roman"/>
                <w:sz w:val="21"/>
              </w:rPr>
              <w:t>45,000,000.00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2015-08-11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2015-11-10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395,087.67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87" w:right="185"/>
              <w:jc w:val="left"/>
              <w:rPr>
                <w:rFonts w:ascii="宋体" w:hAnsi="宋体" w:cs="宋体" w:eastAsia="宋体" w:hint="default"/>
                <w:sz w:val="21"/>
                <w:szCs w:val="21"/>
              </w:rPr>
            </w:pPr>
            <w:r>
              <w:rPr>
                <w:rFonts w:ascii="宋体" w:hAnsi="宋体" w:cs="宋体" w:eastAsia="宋体" w:hint="default"/>
                <w:sz w:val="21"/>
                <w:szCs w:val="21"/>
              </w:rPr>
              <w:t>国泰君</w:t>
            </w:r>
            <w:r>
              <w:rPr>
                <w:rFonts w:ascii="宋体" w:hAnsi="宋体" w:cs="宋体" w:eastAsia="宋体" w:hint="default"/>
                <w:spacing w:val="-102"/>
                <w:sz w:val="21"/>
                <w:szCs w:val="21"/>
              </w:rPr>
              <w:t> </w:t>
            </w:r>
            <w:r>
              <w:rPr>
                <w:rFonts w:ascii="宋体" w:hAnsi="宋体" w:cs="宋体" w:eastAsia="宋体" w:hint="default"/>
                <w:sz w:val="21"/>
                <w:szCs w:val="21"/>
              </w:rPr>
              <w:t>安证券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69" w:right="0"/>
              <w:jc w:val="center"/>
              <w:rPr>
                <w:rFonts w:ascii="Times New Roman" w:hAnsi="Times New Roman" w:cs="Times New Roman" w:eastAsia="Times New Roman" w:hint="default"/>
                <w:sz w:val="21"/>
                <w:szCs w:val="21"/>
              </w:rPr>
            </w:pPr>
            <w:r>
              <w:rPr>
                <w:rFonts w:ascii="Times New Roman"/>
                <w:sz w:val="21"/>
              </w:rPr>
              <w:t>51,450,000.00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51,450,000.00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113,471.92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92" w:right="185" w:hanging="106"/>
              <w:jc w:val="left"/>
              <w:rPr>
                <w:rFonts w:ascii="宋体" w:hAnsi="宋体" w:cs="宋体" w:eastAsia="宋体" w:hint="default"/>
                <w:sz w:val="21"/>
                <w:szCs w:val="21"/>
              </w:rPr>
            </w:pPr>
            <w:r>
              <w:rPr>
                <w:rFonts w:ascii="宋体" w:hAnsi="宋体" w:cs="宋体" w:eastAsia="宋体" w:hint="default"/>
                <w:sz w:val="21"/>
                <w:szCs w:val="21"/>
              </w:rPr>
              <w:t>太平洋</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9" w:right="0"/>
              <w:jc w:val="center"/>
              <w:rPr>
                <w:rFonts w:ascii="Times New Roman" w:hAnsi="Times New Roman" w:cs="Times New Roman" w:eastAsia="Times New Roman" w:hint="default"/>
                <w:sz w:val="21"/>
                <w:szCs w:val="21"/>
              </w:rPr>
            </w:pPr>
            <w:r>
              <w:rPr>
                <w:rFonts w:ascii="Times New Roman"/>
                <w:sz w:val="21"/>
              </w:rPr>
              <w:t>40,000,000.00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2015-01-18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2015-01-23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40,000,000.00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27,700.22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7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太平洋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center"/>
              <w:rPr>
                <w:rFonts w:ascii="Times New Roman" w:hAnsi="Times New Roman" w:cs="Times New Roman" w:eastAsia="Times New Roman" w:hint="default"/>
                <w:sz w:val="21"/>
                <w:szCs w:val="21"/>
              </w:rPr>
            </w:pPr>
            <w:r>
              <w:rPr>
                <w:rFonts w:ascii="Times New Roman"/>
                <w:sz w:val="21"/>
              </w:rPr>
              <w:t>30,000,000.00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2015-02-13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2015-06-08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1" w:right="0"/>
              <w:jc w:val="left"/>
              <w:rPr>
                <w:rFonts w:ascii="宋体" w:hAnsi="宋体" w:cs="宋体" w:eastAsia="宋体" w:hint="default"/>
                <w:sz w:val="21"/>
                <w:szCs w:val="21"/>
              </w:rPr>
            </w:pPr>
            <w:r>
              <w:rPr>
                <w:rFonts w:ascii="宋体" w:hAnsi="宋体" w:cs="宋体" w:eastAsia="宋体" w:hint="default"/>
                <w:sz w:val="21"/>
                <w:szCs w:val="21"/>
              </w:rPr>
              <w:t>到期还本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685,208.33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160" w:left="10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018"/>
        <w:gridCol w:w="1157"/>
        <w:gridCol w:w="1587"/>
        <w:gridCol w:w="1442"/>
        <w:gridCol w:w="1296"/>
        <w:gridCol w:w="1133"/>
        <w:gridCol w:w="1586"/>
        <w:gridCol w:w="1321"/>
        <w:gridCol w:w="761"/>
        <w:gridCol w:w="754"/>
        <w:gridCol w:w="862"/>
        <w:gridCol w:w="780"/>
        <w:gridCol w:w="720"/>
      </w:tblGrid>
      <w:tr>
        <w:trPr>
          <w:trHeight w:val="37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证券</w:t>
            </w:r>
          </w:p>
        </w:tc>
        <w:tc>
          <w:tcPr>
            <w:tcW w:w="115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92" w:right="185" w:hanging="106"/>
              <w:jc w:val="left"/>
              <w:rPr>
                <w:rFonts w:ascii="宋体" w:hAnsi="宋体" w:cs="宋体" w:eastAsia="宋体" w:hint="default"/>
                <w:sz w:val="21"/>
                <w:szCs w:val="21"/>
              </w:rPr>
            </w:pPr>
            <w:r>
              <w:rPr>
                <w:rFonts w:ascii="宋体" w:hAnsi="宋体" w:cs="宋体" w:eastAsia="宋体" w:hint="default"/>
                <w:sz w:val="21"/>
                <w:szCs w:val="21"/>
              </w:rPr>
              <w:t>太平洋</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2015-03-13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2015-09-13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170,916.67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92" w:right="185" w:hanging="106"/>
              <w:jc w:val="left"/>
              <w:rPr>
                <w:rFonts w:ascii="宋体" w:hAnsi="宋体" w:cs="宋体" w:eastAsia="宋体" w:hint="default"/>
                <w:sz w:val="21"/>
                <w:szCs w:val="21"/>
              </w:rPr>
            </w:pPr>
            <w:r>
              <w:rPr>
                <w:rFonts w:ascii="宋体" w:hAnsi="宋体" w:cs="宋体" w:eastAsia="宋体" w:hint="default"/>
                <w:sz w:val="21"/>
                <w:szCs w:val="21"/>
              </w:rPr>
              <w:t>太平洋</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2015-03-18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2015-09-13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405,150.69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92" w:right="185" w:hanging="106"/>
              <w:jc w:val="left"/>
              <w:rPr>
                <w:rFonts w:ascii="宋体" w:hAnsi="宋体" w:cs="宋体" w:eastAsia="宋体" w:hint="default"/>
                <w:sz w:val="21"/>
                <w:szCs w:val="21"/>
              </w:rPr>
            </w:pPr>
            <w:r>
              <w:rPr>
                <w:rFonts w:ascii="宋体" w:hAnsi="宋体" w:cs="宋体" w:eastAsia="宋体" w:hint="default"/>
                <w:sz w:val="21"/>
                <w:szCs w:val="21"/>
              </w:rPr>
              <w:t>太平洋</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2015-04-07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2015-10-07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292" w:right="185" w:hanging="106"/>
              <w:jc w:val="left"/>
              <w:rPr>
                <w:rFonts w:ascii="宋体" w:hAnsi="宋体" w:cs="宋体" w:eastAsia="宋体" w:hint="default"/>
                <w:sz w:val="21"/>
                <w:szCs w:val="21"/>
              </w:rPr>
            </w:pPr>
            <w:r>
              <w:rPr>
                <w:rFonts w:ascii="宋体" w:hAnsi="宋体" w:cs="宋体" w:eastAsia="宋体" w:hint="default"/>
                <w:sz w:val="21"/>
                <w:szCs w:val="21"/>
              </w:rPr>
              <w:t>太平洋</w:t>
            </w:r>
            <w:r>
              <w:rPr>
                <w:rFonts w:ascii="宋体" w:hAnsi="宋体" w:cs="宋体" w:eastAsia="宋体" w:hint="default"/>
                <w:spacing w:val="-102"/>
                <w:sz w:val="21"/>
                <w:szCs w:val="21"/>
              </w:rPr>
              <w:t> </w:t>
            </w:r>
            <w:r>
              <w:rPr>
                <w:rFonts w:ascii="宋体" w:hAnsi="宋体" w:cs="宋体" w:eastAsia="宋体" w:hint="default"/>
                <w:sz w:val="21"/>
                <w:szCs w:val="21"/>
              </w:rPr>
              <w:t>证券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证券理财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03" w:right="0"/>
              <w:jc w:val="left"/>
              <w:rPr>
                <w:rFonts w:ascii="Times New Roman" w:hAnsi="Times New Roman" w:cs="Times New Roman" w:eastAsia="Times New Roman" w:hint="default"/>
                <w:sz w:val="21"/>
                <w:szCs w:val="21"/>
              </w:rPr>
            </w:pPr>
            <w:r>
              <w:rPr>
                <w:rFonts w:ascii="Times New Roman"/>
                <w:sz w:val="21"/>
              </w:rPr>
              <w:t>2016-2-26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0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
              <w:jc w:val="center"/>
              <w:rPr>
                <w:rFonts w:ascii="宋体" w:hAnsi="宋体" w:cs="宋体" w:eastAsia="宋体" w:hint="default"/>
                <w:sz w:val="21"/>
                <w:szCs w:val="21"/>
              </w:rPr>
            </w:pPr>
            <w:r>
              <w:rPr>
                <w:rFonts w:ascii="宋体" w:hAnsi="宋体" w:cs="宋体" w:eastAsia="宋体" w:hint="default"/>
                <w:sz w:val="21"/>
                <w:szCs w:val="21"/>
              </w:rPr>
              <w:t>兴业银行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银行理财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11,500,000.00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2015-09-30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1" w:right="137" w:hanging="3"/>
              <w:jc w:val="center"/>
              <w:rPr>
                <w:rFonts w:ascii="宋体" w:hAnsi="宋体" w:cs="宋体" w:eastAsia="宋体" w:hint="default"/>
                <w:sz w:val="21"/>
                <w:szCs w:val="21"/>
              </w:rPr>
            </w:pPr>
            <w:r>
              <w:rPr>
                <w:rFonts w:ascii="宋体" w:hAnsi="宋体" w:cs="宋体" w:eastAsia="宋体" w:hint="default"/>
                <w:sz w:val="21"/>
                <w:szCs w:val="21"/>
              </w:rPr>
              <w:t>根据需要</w:t>
            </w:r>
            <w:r>
              <w:rPr>
                <w:rFonts w:ascii="宋体" w:hAnsi="宋体" w:cs="宋体" w:eastAsia="宋体" w:hint="default"/>
                <w:spacing w:val="-3"/>
                <w:w w:val="100"/>
                <w:sz w:val="21"/>
                <w:szCs w:val="21"/>
              </w:rPr>
              <w:t> </w:t>
            </w:r>
            <w:r>
              <w:rPr>
                <w:rFonts w:ascii="宋体" w:hAnsi="宋体" w:cs="宋体" w:eastAsia="宋体" w:hint="default"/>
                <w:sz w:val="21"/>
                <w:szCs w:val="21"/>
              </w:rPr>
              <w:t>赎回还本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11,500,000.00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23,495.89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
              <w:jc w:val="center"/>
              <w:rPr>
                <w:rFonts w:ascii="宋体" w:hAnsi="宋体" w:cs="宋体" w:eastAsia="宋体" w:hint="default"/>
                <w:sz w:val="21"/>
                <w:szCs w:val="21"/>
              </w:rPr>
            </w:pPr>
            <w:r>
              <w:rPr>
                <w:rFonts w:ascii="宋体" w:hAnsi="宋体" w:cs="宋体" w:eastAsia="宋体" w:hint="default"/>
                <w:sz w:val="21"/>
                <w:szCs w:val="21"/>
              </w:rPr>
              <w:t>兴业银行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银行理财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2015-11-12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2015-11-19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-30,566.05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0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
              <w:jc w:val="center"/>
              <w:rPr>
                <w:rFonts w:ascii="宋体" w:hAnsi="宋体" w:cs="宋体" w:eastAsia="宋体" w:hint="default"/>
                <w:sz w:val="21"/>
                <w:szCs w:val="21"/>
              </w:rPr>
            </w:pPr>
            <w:r>
              <w:rPr>
                <w:rFonts w:ascii="宋体" w:hAnsi="宋体" w:cs="宋体" w:eastAsia="宋体" w:hint="default"/>
                <w:sz w:val="21"/>
                <w:szCs w:val="21"/>
              </w:rPr>
              <w:t>兴业银行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银行理财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41" w:right="137"/>
              <w:jc w:val="center"/>
              <w:rPr>
                <w:rFonts w:ascii="宋体" w:hAnsi="宋体" w:cs="宋体" w:eastAsia="宋体" w:hint="default"/>
                <w:sz w:val="21"/>
                <w:szCs w:val="21"/>
              </w:rPr>
            </w:pPr>
            <w:r>
              <w:rPr>
                <w:rFonts w:ascii="宋体" w:hAnsi="宋体" w:cs="宋体" w:eastAsia="宋体" w:hint="default"/>
                <w:sz w:val="21"/>
                <w:szCs w:val="21"/>
              </w:rPr>
              <w:t>根据需要</w:t>
            </w:r>
            <w:r>
              <w:rPr>
                <w:rFonts w:ascii="宋体" w:hAnsi="宋体" w:cs="宋体" w:eastAsia="宋体" w:hint="default"/>
                <w:w w:val="100"/>
                <w:sz w:val="21"/>
                <w:szCs w:val="21"/>
              </w:rPr>
              <w:t> </w:t>
            </w:r>
            <w:r>
              <w:rPr>
                <w:rFonts w:ascii="宋体" w:hAnsi="宋体" w:cs="宋体" w:eastAsia="宋体" w:hint="default"/>
                <w:sz w:val="21"/>
                <w:szCs w:val="21"/>
              </w:rPr>
              <w:t>赎回还本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52,863.02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
              <w:jc w:val="center"/>
              <w:rPr>
                <w:rFonts w:ascii="宋体" w:hAnsi="宋体" w:cs="宋体" w:eastAsia="宋体" w:hint="default"/>
                <w:sz w:val="21"/>
                <w:szCs w:val="21"/>
              </w:rPr>
            </w:pPr>
            <w:r>
              <w:rPr>
                <w:rFonts w:ascii="宋体" w:hAnsi="宋体" w:cs="宋体" w:eastAsia="宋体" w:hint="default"/>
                <w:sz w:val="21"/>
                <w:szCs w:val="21"/>
              </w:rPr>
              <w:t>招商银行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银行理财</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2015-09-07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2015-09-17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22.74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145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103" w:right="269"/>
              <w:jc w:val="left"/>
              <w:rPr>
                <w:rFonts w:ascii="宋体" w:hAnsi="宋体" w:cs="宋体" w:eastAsia="宋体" w:hint="default"/>
                <w:sz w:val="21"/>
                <w:szCs w:val="21"/>
              </w:rPr>
            </w:pPr>
            <w:r>
              <w:rPr>
                <w:rFonts w:ascii="宋体" w:hAnsi="宋体" w:cs="宋体" w:eastAsia="宋体" w:hint="default"/>
                <w:sz w:val="21"/>
                <w:szCs w:val="21"/>
              </w:rPr>
              <w:t>中国民</w:t>
            </w:r>
            <w:r>
              <w:rPr>
                <w:rFonts w:ascii="宋体" w:hAnsi="宋体" w:cs="宋体" w:eastAsia="宋体" w:hint="default"/>
                <w:spacing w:val="-102"/>
                <w:sz w:val="21"/>
                <w:szCs w:val="21"/>
              </w:rPr>
              <w:t> </w:t>
            </w:r>
            <w:r>
              <w:rPr>
                <w:rFonts w:ascii="宋体" w:hAnsi="宋体" w:cs="宋体" w:eastAsia="宋体" w:hint="default"/>
                <w:sz w:val="21"/>
                <w:szCs w:val="21"/>
              </w:rPr>
              <w:t>生银行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both"/>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凡</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pacing w:val="-71"/>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翠</w:t>
            </w:r>
            <w:r>
              <w:rPr>
                <w:rFonts w:ascii="宋体" w:hAnsi="宋体" w:cs="宋体" w:eastAsia="宋体" w:hint="default"/>
                <w:spacing w:val="-71"/>
                <w:sz w:val="21"/>
                <w:szCs w:val="21"/>
              </w:rPr>
              <w:t> </w:t>
            </w:r>
            <w:r>
              <w:rPr>
                <w:rFonts w:ascii="宋体" w:hAnsi="宋体" w:cs="宋体" w:eastAsia="宋体" w:hint="default"/>
                <w:sz w:val="21"/>
                <w:szCs w:val="21"/>
              </w:rPr>
              <w:t>竹</w:t>
            </w:r>
            <w:r>
              <w:rPr>
                <w:rFonts w:ascii="宋体" w:hAnsi="宋体" w:cs="宋体" w:eastAsia="宋体" w:hint="default"/>
                <w:w w:val="100"/>
                <w:sz w:val="21"/>
                <w:szCs w:val="21"/>
              </w:rPr>
              <w:t> </w:t>
            </w:r>
            <w:r>
              <w:rPr>
                <w:rFonts w:ascii="宋体" w:hAnsi="宋体" w:cs="宋体" w:eastAsia="宋体" w:hint="default"/>
                <w:sz w:val="21"/>
                <w:szCs w:val="21"/>
              </w:rPr>
              <w:t>1W</w:t>
            </w:r>
            <w:r>
              <w:rPr>
                <w:rFonts w:ascii="宋体" w:hAnsi="宋体" w:cs="宋体" w:eastAsia="宋体" w:hint="default"/>
                <w:spacing w:val="-71"/>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财</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sz w:val="21"/>
              </w:rPr>
              <w:t>2015-10-08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53" w:right="0"/>
              <w:jc w:val="left"/>
              <w:rPr>
                <w:rFonts w:ascii="Times New Roman" w:hAnsi="Times New Roman" w:cs="Times New Roman" w:eastAsia="Times New Roman" w:hint="default"/>
                <w:sz w:val="21"/>
                <w:szCs w:val="21"/>
              </w:rPr>
            </w:pPr>
            <w:r>
              <w:rPr>
                <w:rFonts w:ascii="Times New Roman"/>
                <w:sz w:val="21"/>
              </w:rPr>
              <w:t>2015-10-21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3"/>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2,742.46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72"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上海浦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2015-07-08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3" w:right="0"/>
              <w:jc w:val="left"/>
              <w:rPr>
                <w:rFonts w:ascii="Times New Roman" w:hAnsi="Times New Roman" w:cs="Times New Roman" w:eastAsia="Times New Roman" w:hint="default"/>
                <w:sz w:val="21"/>
                <w:szCs w:val="21"/>
              </w:rPr>
            </w:pPr>
            <w:r>
              <w:rPr>
                <w:rFonts w:ascii="Times New Roman"/>
                <w:sz w:val="21"/>
              </w:rPr>
              <w:t>2016-01-08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到期还本</w:t>
            </w:r>
          </w:p>
        </w:tc>
        <w:tc>
          <w:tcPr>
            <w:tcW w:w="158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center"/>
        <w:rPr>
          <w:rFonts w:ascii="宋体" w:hAnsi="宋体" w:cs="宋体" w:eastAsia="宋体" w:hint="default"/>
          <w:sz w:val="21"/>
          <w:szCs w:val="21"/>
        </w:rPr>
        <w:sectPr>
          <w:pgSz w:w="16840" w:h="11910" w:orient="landscape"/>
          <w:pgMar w:header="880" w:footer="975" w:top="1120" w:bottom="1160" w:left="10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1018"/>
        <w:gridCol w:w="1157"/>
        <w:gridCol w:w="1587"/>
        <w:gridCol w:w="1442"/>
        <w:gridCol w:w="1296"/>
        <w:gridCol w:w="1133"/>
        <w:gridCol w:w="1586"/>
        <w:gridCol w:w="1321"/>
        <w:gridCol w:w="761"/>
        <w:gridCol w:w="754"/>
        <w:gridCol w:w="862"/>
        <w:gridCol w:w="780"/>
        <w:gridCol w:w="720"/>
      </w:tblGrid>
      <w:tr>
        <w:trPr>
          <w:trHeight w:val="73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92" w:right="185" w:hanging="106"/>
              <w:jc w:val="left"/>
              <w:rPr>
                <w:rFonts w:ascii="宋体" w:hAnsi="宋体" w:cs="宋体" w:eastAsia="宋体" w:hint="default"/>
                <w:sz w:val="21"/>
                <w:szCs w:val="21"/>
              </w:rPr>
            </w:pPr>
            <w:r>
              <w:rPr>
                <w:rFonts w:ascii="宋体" w:hAnsi="宋体" w:cs="宋体" w:eastAsia="宋体" w:hint="default"/>
                <w:sz w:val="21"/>
                <w:szCs w:val="21"/>
              </w:rPr>
              <w:t>东发展</w:t>
            </w:r>
            <w:r>
              <w:rPr>
                <w:rFonts w:ascii="宋体" w:hAnsi="宋体" w:cs="宋体" w:eastAsia="宋体" w:hint="default"/>
                <w:spacing w:val="-102"/>
                <w:sz w:val="21"/>
                <w:szCs w:val="21"/>
              </w:rPr>
              <w:t> </w:t>
            </w:r>
            <w:r>
              <w:rPr>
                <w:rFonts w:ascii="宋体" w:hAnsi="宋体" w:cs="宋体" w:eastAsia="宋体" w:hint="default"/>
                <w:sz w:val="21"/>
                <w:szCs w:val="21"/>
              </w:rPr>
              <w:t>银行</w:t>
            </w:r>
          </w:p>
        </w:tc>
        <w:tc>
          <w:tcPr>
            <w:tcW w:w="115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181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22"/>
              <w:ind w:left="187" w:right="185"/>
              <w:jc w:val="left"/>
              <w:rPr>
                <w:rFonts w:ascii="宋体" w:hAnsi="宋体" w:cs="宋体" w:eastAsia="宋体" w:hint="default"/>
                <w:sz w:val="21"/>
                <w:szCs w:val="21"/>
              </w:rPr>
            </w:pPr>
            <w:r>
              <w:rPr>
                <w:rFonts w:ascii="宋体" w:hAnsi="宋体" w:cs="宋体" w:eastAsia="宋体" w:hint="default"/>
                <w:sz w:val="21"/>
                <w:szCs w:val="21"/>
              </w:rPr>
              <w:t>中国民</w:t>
            </w:r>
            <w:r>
              <w:rPr>
                <w:rFonts w:ascii="宋体" w:hAnsi="宋体" w:cs="宋体" w:eastAsia="宋体" w:hint="default"/>
                <w:spacing w:val="-102"/>
                <w:sz w:val="21"/>
                <w:szCs w:val="21"/>
              </w:rPr>
              <w:t> </w:t>
            </w:r>
            <w:r>
              <w:rPr>
                <w:rFonts w:ascii="宋体" w:hAnsi="宋体" w:cs="宋体" w:eastAsia="宋体" w:hint="default"/>
                <w:sz w:val="21"/>
                <w:szCs w:val="21"/>
              </w:rPr>
              <w:t>生银行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1"/>
                <w:sz w:val="21"/>
                <w:szCs w:val="21"/>
              </w:rPr>
              <w:t> </w:t>
            </w:r>
            <w:r>
              <w:rPr>
                <w:rFonts w:ascii="宋体" w:hAnsi="宋体" w:cs="宋体" w:eastAsia="宋体" w:hint="default"/>
                <w:sz w:val="21"/>
                <w:szCs w:val="21"/>
              </w:rPr>
              <w:t>凡</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pacing w:val="16"/>
                <w:sz w:val="21"/>
                <w:szCs w:val="21"/>
              </w:rPr>
              <w:t>管理</w:t>
            </w:r>
            <w:r>
              <w:rPr>
                <w:rFonts w:ascii="宋体" w:hAnsi="宋体" w:cs="宋体" w:eastAsia="宋体" w:hint="default"/>
                <w:spacing w:val="-71"/>
                <w:sz w:val="21"/>
                <w:szCs w:val="21"/>
              </w:rPr>
              <w:t> </w:t>
            </w:r>
            <w:r>
              <w:rPr>
                <w:rFonts w:ascii="宋体" w:hAnsi="宋体" w:cs="宋体" w:eastAsia="宋体" w:hint="default"/>
                <w:sz w:val="21"/>
                <w:szCs w:val="21"/>
              </w:rPr>
              <w:t>35</w:t>
            </w:r>
            <w:r>
              <w:rPr>
                <w:rFonts w:ascii="宋体" w:hAnsi="宋体" w:cs="宋体" w:eastAsia="宋体" w:hint="default"/>
                <w:spacing w:val="-71"/>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增 利</w:t>
            </w:r>
            <w:r>
              <w:rPr>
                <w:rFonts w:ascii="宋体" w:hAnsi="宋体" w:cs="宋体" w:eastAsia="宋体" w:hint="default"/>
                <w:spacing w:val="101"/>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210 </w:t>
            </w:r>
            <w:r>
              <w:rPr>
                <w:rFonts w:ascii="宋体" w:hAnsi="宋体" w:cs="宋体" w:eastAsia="宋体" w:hint="default"/>
                <w:sz w:val="21"/>
                <w:szCs w:val="21"/>
              </w:rPr>
              <w:t>期</w:t>
            </w:r>
            <w:r>
              <w:rPr>
                <w:rFonts w:ascii="宋体" w:hAnsi="宋体" w:cs="宋体" w:eastAsia="宋体" w:hint="default"/>
                <w:spacing w:val="-4"/>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公款</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96"/>
              <w:jc w:val="right"/>
              <w:rPr>
                <w:rFonts w:ascii="Times New Roman" w:hAnsi="Times New Roman" w:cs="Times New Roman" w:eastAsia="Times New Roman" w:hint="default"/>
                <w:sz w:val="21"/>
                <w:szCs w:val="21"/>
              </w:rPr>
            </w:pPr>
            <w:r>
              <w:rPr>
                <w:rFonts w:ascii="Times New Roman"/>
                <w:spacing w:val="-1"/>
                <w:sz w:val="21"/>
              </w:rPr>
              <w:t>6,000,000.00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2015-11-30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sz w:val="21"/>
              </w:rPr>
              <w:t>2016-01-04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22"/>
              <w:ind w:left="350" w:right="137" w:hanging="209"/>
              <w:jc w:val="left"/>
              <w:rPr>
                <w:rFonts w:ascii="宋体" w:hAnsi="宋体" w:cs="宋体" w:eastAsia="宋体" w:hint="default"/>
                <w:sz w:val="21"/>
                <w:szCs w:val="21"/>
              </w:rPr>
            </w:pPr>
            <w:r>
              <w:rPr>
                <w:rFonts w:ascii="宋体" w:hAnsi="宋体" w:cs="宋体" w:eastAsia="宋体" w:hint="default"/>
                <w:sz w:val="21"/>
                <w:szCs w:val="21"/>
              </w:rPr>
              <w:t>到期还本</w:t>
            </w:r>
            <w:r>
              <w:rPr>
                <w:rFonts w:ascii="宋体" w:hAnsi="宋体" w:cs="宋体" w:eastAsia="宋体" w:hint="default"/>
                <w:w w:val="100"/>
                <w:sz w:val="21"/>
                <w:szCs w:val="21"/>
              </w:rPr>
              <w:t> </w:t>
            </w:r>
            <w:r>
              <w:rPr>
                <w:rFonts w:ascii="宋体" w:hAnsi="宋体" w:cs="宋体" w:eastAsia="宋体" w:hint="default"/>
                <w:sz w:val="21"/>
                <w:szCs w:val="21"/>
              </w:rPr>
              <w:t>付息</w:t>
            </w:r>
          </w:p>
        </w:tc>
        <w:tc>
          <w:tcPr>
            <w:tcW w:w="158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319"/>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42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9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459,000,000.00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w w:val="100"/>
                <w:sz w:val="21"/>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58" w:right="0"/>
              <w:jc w:val="left"/>
              <w:rPr>
                <w:rFonts w:ascii="Times New Roman" w:hAnsi="Times New Roman" w:cs="Times New Roman" w:eastAsia="Times New Roman" w:hint="default"/>
                <w:sz w:val="21"/>
                <w:szCs w:val="21"/>
              </w:rPr>
            </w:pPr>
            <w:r>
              <w:rPr>
                <w:rFonts w:ascii="Times New Roman"/>
                <w:sz w:val="21"/>
              </w:rPr>
              <w:t>388,000,000.00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Times New Roman" w:hAnsi="Times New Roman" w:cs="Times New Roman" w:eastAsia="Times New Roman" w:hint="default"/>
                <w:sz w:val="21"/>
                <w:szCs w:val="21"/>
              </w:rPr>
            </w:pPr>
            <w:r>
              <w:rPr>
                <w:rFonts w:ascii="Times New Roman"/>
                <w:sz w:val="21"/>
              </w:rPr>
              <w:t>8,783,079.86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
              <w:jc w:val="center"/>
              <w:rPr>
                <w:rFonts w:ascii="Times New Roman" w:hAnsi="Times New Roman" w:cs="Times New Roman" w:eastAsia="Times New Roman" w:hint="default"/>
                <w:sz w:val="21"/>
                <w:szCs w:val="21"/>
              </w:rPr>
            </w:pPr>
            <w:r>
              <w:rPr>
                <w:rFonts w:ascii="Times New Roman"/>
                <w:w w:val="100"/>
                <w:sz w:val="21"/>
              </w:rPr>
              <w:t>/</w:t>
            </w:r>
          </w:p>
        </w:tc>
        <w:tc>
          <w:tcPr>
            <w:tcW w:w="754"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95"/>
              <w:jc w:val="right"/>
              <w:rPr>
                <w:rFonts w:ascii="Times New Roman" w:hAnsi="Times New Roman" w:cs="Times New Roman" w:eastAsia="Times New Roman" w:hint="default"/>
                <w:sz w:val="21"/>
                <w:szCs w:val="21"/>
              </w:rPr>
            </w:pPr>
            <w:r>
              <w:rPr>
                <w:rFonts w:ascii="Times New Roman"/>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w w:val="100"/>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08" w:hRule="exact"/>
        </w:trPr>
        <w:tc>
          <w:tcPr>
            <w:tcW w:w="76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逾期未收回的本金和收益累计金额（元）</w:t>
            </w:r>
          </w:p>
        </w:tc>
        <w:tc>
          <w:tcPr>
            <w:tcW w:w="678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4331" w:hRule="exact"/>
        </w:trPr>
        <w:tc>
          <w:tcPr>
            <w:tcW w:w="76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委托理财的情况说明</w:t>
            </w:r>
          </w:p>
        </w:tc>
        <w:tc>
          <w:tcPr>
            <w:tcW w:w="6783"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42"/>
              <w:ind w:left="103" w:right="96"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19</w:t>
            </w:r>
            <w:r>
              <w:rPr>
                <w:rFonts w:ascii="宋体" w:hAnsi="宋体" w:cs="宋体" w:eastAsia="宋体" w:hint="default"/>
                <w:spacing w:val="-3"/>
                <w:sz w:val="21"/>
                <w:szCs w:val="21"/>
              </w:rPr>
              <w:t>日，公司第二届董事会第十次会议审议通过《关于使用</w:t>
            </w:r>
            <w:r>
              <w:rPr>
                <w:rFonts w:ascii="宋体" w:hAnsi="宋体" w:cs="宋体" w:eastAsia="宋体" w:hint="default"/>
                <w:w w:val="100"/>
                <w:sz w:val="21"/>
                <w:szCs w:val="21"/>
              </w:rPr>
              <w:t> </w:t>
            </w:r>
            <w:r>
              <w:rPr>
                <w:rFonts w:ascii="宋体" w:hAnsi="宋体" w:cs="宋体" w:eastAsia="宋体" w:hint="default"/>
                <w:sz w:val="21"/>
                <w:szCs w:val="21"/>
              </w:rPr>
              <w:t>部分闲置募集资金购买保本型理财产品的议案》，同意公司使用最高额</w:t>
            </w:r>
            <w:r>
              <w:rPr>
                <w:rFonts w:ascii="宋体" w:hAnsi="宋体" w:cs="宋体" w:eastAsia="宋体" w:hint="default"/>
                <w:w w:val="100"/>
                <w:sz w:val="21"/>
                <w:szCs w:val="21"/>
              </w:rPr>
              <w:t> </w:t>
            </w:r>
            <w:r>
              <w:rPr>
                <w:rFonts w:ascii="宋体" w:hAnsi="宋体" w:cs="宋体" w:eastAsia="宋体" w:hint="default"/>
                <w:spacing w:val="-4"/>
                <w:sz w:val="21"/>
                <w:szCs w:val="21"/>
              </w:rPr>
              <w:t>度不超过</w:t>
            </w:r>
            <w:r>
              <w:rPr>
                <w:rFonts w:ascii="Times New Roman" w:hAnsi="Times New Roman" w:cs="Times New Roman" w:eastAsia="Times New Roman" w:hint="default"/>
                <w:spacing w:val="-4"/>
                <w:sz w:val="21"/>
                <w:szCs w:val="21"/>
              </w:rPr>
              <w:t>10,000</w:t>
            </w:r>
            <w:r>
              <w:rPr>
                <w:rFonts w:ascii="宋体" w:hAnsi="宋体" w:cs="宋体" w:eastAsia="宋体" w:hint="default"/>
                <w:spacing w:val="-4"/>
                <w:sz w:val="21"/>
                <w:szCs w:val="21"/>
              </w:rPr>
              <w:t>万元的闲置募集资金进行现金管理；</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日，公司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第二届董事会第十二次会议审议通过《关于使用部分闲置募集资金进行</w:t>
            </w:r>
            <w:r>
              <w:rPr>
                <w:rFonts w:ascii="宋体" w:hAnsi="宋体" w:cs="宋体" w:eastAsia="宋体" w:hint="default"/>
                <w:w w:val="100"/>
                <w:sz w:val="21"/>
                <w:szCs w:val="21"/>
              </w:rPr>
              <w:t> </w:t>
            </w:r>
            <w:r>
              <w:rPr>
                <w:rFonts w:ascii="宋体" w:hAnsi="宋体" w:cs="宋体" w:eastAsia="宋体" w:hint="default"/>
                <w:spacing w:val="-5"/>
                <w:sz w:val="21"/>
                <w:szCs w:val="21"/>
              </w:rPr>
              <w:t>现金管理的议案》，同意公司使用新增额度不超过</w:t>
            </w:r>
            <w:r>
              <w:rPr>
                <w:rFonts w:ascii="Times New Roman" w:hAnsi="Times New Roman" w:cs="Times New Roman" w:eastAsia="Times New Roman" w:hint="default"/>
                <w:spacing w:val="-5"/>
                <w:sz w:val="21"/>
                <w:szCs w:val="21"/>
              </w:rPr>
              <w:t>15,000</w:t>
            </w:r>
            <w:r>
              <w:rPr>
                <w:rFonts w:ascii="宋体" w:hAnsi="宋体" w:cs="宋体" w:eastAsia="宋体" w:hint="default"/>
                <w:spacing w:val="-5"/>
                <w:sz w:val="21"/>
                <w:szCs w:val="21"/>
              </w:rPr>
              <w:t>万元的闲置募集</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资金进行现金管理。</w:t>
            </w:r>
          </w:p>
          <w:p>
            <w:pPr>
              <w:pStyle w:val="TableParagraph"/>
              <w:spacing w:line="304" w:lineRule="auto" w:before="28"/>
              <w:ind w:left="103" w:right="99"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19</w:t>
            </w:r>
            <w:r>
              <w:rPr>
                <w:rFonts w:ascii="宋体" w:hAnsi="宋体" w:cs="宋体" w:eastAsia="宋体" w:hint="default"/>
                <w:spacing w:val="-3"/>
                <w:sz w:val="21"/>
                <w:szCs w:val="21"/>
              </w:rPr>
              <w:t>日，公司第二届董事会第十次会议审议通过了《关于使</w:t>
            </w:r>
            <w:r>
              <w:rPr>
                <w:rFonts w:ascii="宋体" w:hAnsi="宋体" w:cs="宋体" w:eastAsia="宋体" w:hint="default"/>
                <w:w w:val="100"/>
                <w:sz w:val="21"/>
                <w:szCs w:val="21"/>
              </w:rPr>
              <w:t> </w:t>
            </w:r>
            <w:r>
              <w:rPr>
                <w:rFonts w:ascii="宋体" w:hAnsi="宋体" w:cs="宋体" w:eastAsia="宋体" w:hint="default"/>
                <w:spacing w:val="-2"/>
                <w:sz w:val="21"/>
                <w:szCs w:val="21"/>
              </w:rPr>
              <w:t>用闲置自有资金购买理财产品的议案》，同意公司使用额度不超过</w:t>
            </w:r>
            <w:r>
              <w:rPr>
                <w:rFonts w:ascii="Times New Roman" w:hAnsi="Times New Roman" w:cs="Times New Roman" w:eastAsia="Times New Roman" w:hint="default"/>
                <w:spacing w:val="-2"/>
                <w:sz w:val="21"/>
                <w:szCs w:val="21"/>
              </w:rPr>
              <w:t>9,000</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11"/>
                <w:sz w:val="21"/>
                <w:szCs w:val="21"/>
              </w:rPr>
            </w:r>
            <w:r>
              <w:rPr>
                <w:rFonts w:ascii="宋体" w:hAnsi="宋体" w:cs="宋体" w:eastAsia="宋体" w:hint="default"/>
                <w:sz w:val="21"/>
                <w:szCs w:val="21"/>
              </w:rPr>
              <w:t>万元的闲置自有资金适时购买低风险理财产品，在上述额度内，资金可</w:t>
            </w:r>
            <w:r>
              <w:rPr>
                <w:rFonts w:ascii="宋体" w:hAnsi="宋体" w:cs="宋体" w:eastAsia="宋体" w:hint="default"/>
                <w:w w:val="100"/>
                <w:sz w:val="21"/>
                <w:szCs w:val="21"/>
              </w:rPr>
              <w:t> </w:t>
            </w:r>
            <w:r>
              <w:rPr>
                <w:rFonts w:ascii="宋体" w:hAnsi="宋体" w:cs="宋体" w:eastAsia="宋体" w:hint="default"/>
                <w:spacing w:val="-6"/>
                <w:sz w:val="21"/>
                <w:szCs w:val="21"/>
              </w:rPr>
              <w:t>以滚动使用；</w:t>
            </w:r>
            <w:r>
              <w:rPr>
                <w:rFonts w:ascii="Times New Roman" w:hAnsi="Times New Roman" w:cs="Times New Roman" w:eastAsia="Times New Roman" w:hint="default"/>
                <w:spacing w:val="-6"/>
                <w:sz w:val="21"/>
                <w:szCs w:val="21"/>
              </w:rPr>
              <w:t>2015</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31</w:t>
            </w:r>
            <w:r>
              <w:rPr>
                <w:rFonts w:ascii="宋体" w:hAnsi="宋体" w:cs="宋体" w:eastAsia="宋体" w:hint="default"/>
                <w:spacing w:val="-6"/>
                <w:sz w:val="21"/>
                <w:szCs w:val="21"/>
              </w:rPr>
              <w:t>日，第二届董事会第十九次会议审议通过《关</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于使用闲置自有资金进行现金管理的议案》，同意公司使用新增额度不</w:t>
            </w:r>
            <w:r>
              <w:rPr>
                <w:rFonts w:ascii="宋体" w:hAnsi="宋体" w:cs="宋体" w:eastAsia="宋体" w:hint="default"/>
                <w:w w:val="100"/>
                <w:sz w:val="21"/>
                <w:szCs w:val="21"/>
              </w:rPr>
              <w:t> </w:t>
            </w:r>
            <w:r>
              <w:rPr>
                <w:rFonts w:ascii="宋体" w:hAnsi="宋体" w:cs="宋体" w:eastAsia="宋体" w:hint="default"/>
                <w:sz w:val="21"/>
                <w:szCs w:val="21"/>
              </w:rPr>
              <w:t>超过</w:t>
            </w:r>
            <w:r>
              <w:rPr>
                <w:rFonts w:ascii="Times New Roman" w:hAnsi="Times New Roman" w:cs="Times New Roman" w:eastAsia="Times New Roman" w:hint="default"/>
                <w:sz w:val="21"/>
                <w:szCs w:val="21"/>
              </w:rPr>
              <w:t>9,000</w:t>
            </w:r>
            <w:r>
              <w:rPr>
                <w:rFonts w:ascii="宋体" w:hAnsi="宋体" w:cs="宋体" w:eastAsia="宋体" w:hint="default"/>
                <w:sz w:val="21"/>
                <w:szCs w:val="21"/>
              </w:rPr>
              <w:t>万元的闲置自有资金适时购买低风险理财产品。</w:t>
            </w:r>
          </w:p>
        </w:tc>
      </w:tr>
    </w:tbl>
    <w:p>
      <w:pPr>
        <w:spacing w:after="0" w:line="304" w:lineRule="auto"/>
        <w:jc w:val="both"/>
        <w:rPr>
          <w:rFonts w:ascii="宋体" w:hAnsi="宋体" w:cs="宋体" w:eastAsia="宋体" w:hint="default"/>
          <w:sz w:val="21"/>
          <w:szCs w:val="21"/>
        </w:rPr>
        <w:sectPr>
          <w:pgSz w:w="16840" w:h="11910" w:orient="landscape"/>
          <w:pgMar w:header="880" w:footer="975" w:top="1120" w:bottom="1160" w:left="106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Heading2"/>
        <w:spacing w:line="240" w:lineRule="auto" w:before="36"/>
        <w:ind w:left="138" w:right="0"/>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7"/>
        <w:ind w:left="138" w:right="0"/>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tabs>
          <w:tab w:pos="977" w:val="left" w:leader="none"/>
        </w:tabs>
        <w:spacing w:line="372" w:lineRule="auto" w:before="147"/>
        <w:ind w:left="558" w:right="2240" w:hanging="42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其他重大合同</w:t>
      </w:r>
      <w:r>
        <w:rPr>
          <w:rFonts w:ascii="宋体" w:hAnsi="宋体" w:cs="宋体" w:eastAsia="宋体" w:hint="default"/>
          <w:b/>
          <w:bCs/>
          <w:spacing w:val="-104"/>
          <w:sz w:val="21"/>
          <w:szCs w:val="21"/>
        </w:rPr>
        <w:t> </w:t>
      </w:r>
      <w:r>
        <w:rPr>
          <w:rFonts w:ascii="宋体" w:hAnsi="宋体" w:cs="宋体" w:eastAsia="宋体" w:hint="default"/>
          <w:spacing w:val="-2"/>
          <w:sz w:val="21"/>
          <w:szCs w:val="21"/>
        </w:rPr>
        <w:t>公司重大合同信息已依法披露，不存在应披露而未披露的重大合同。</w:t>
      </w:r>
    </w:p>
    <w:p>
      <w:pPr>
        <w:spacing w:line="240" w:lineRule="auto" w:before="12"/>
        <w:rPr>
          <w:rFonts w:ascii="宋体" w:hAnsi="宋体" w:cs="宋体" w:eastAsia="宋体" w:hint="default"/>
          <w:sz w:val="21"/>
          <w:szCs w:val="21"/>
        </w:rPr>
      </w:pPr>
    </w:p>
    <w:p>
      <w:pPr>
        <w:pStyle w:val="Heading2"/>
        <w:spacing w:line="240" w:lineRule="auto"/>
        <w:ind w:left="138" w:right="0"/>
        <w:jc w:val="left"/>
        <w:rPr>
          <w:b w:val="0"/>
          <w:bCs w:val="0"/>
        </w:rPr>
      </w:pPr>
      <w:r>
        <w:rPr/>
        <w:t>十四、其他重大事项的说明</w:t>
      </w:r>
      <w:r>
        <w:rPr>
          <w:b w:val="0"/>
          <w:bCs w:val="0"/>
        </w:rPr>
      </w:r>
    </w:p>
    <w:p>
      <w:pPr>
        <w:pStyle w:val="BodyText"/>
        <w:spacing w:line="240" w:lineRule="auto" w:before="97"/>
        <w:ind w:left="558" w:right="0"/>
        <w:jc w:val="left"/>
      </w:pPr>
      <w:r>
        <w:rPr/>
        <w:t>□适用 √不适用</w:t>
      </w:r>
    </w:p>
    <w:p>
      <w:pPr>
        <w:spacing w:line="240" w:lineRule="auto" w:before="0"/>
        <w:rPr>
          <w:rFonts w:ascii="宋体" w:hAnsi="宋体" w:cs="宋体" w:eastAsia="宋体" w:hint="default"/>
          <w:sz w:val="20"/>
          <w:szCs w:val="20"/>
        </w:rPr>
      </w:pPr>
    </w:p>
    <w:p>
      <w:pPr>
        <w:pStyle w:val="Heading2"/>
        <w:tabs>
          <w:tab w:pos="781" w:val="left" w:leader="none"/>
        </w:tabs>
        <w:spacing w:line="324" w:lineRule="auto" w:before="147"/>
        <w:ind w:left="138" w:right="559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40" w:lineRule="auto" w:before="23"/>
        <w:ind w:left="2" w:right="7147"/>
        <w:jc w:val="center"/>
      </w:pPr>
      <w:r>
        <w:rPr/>
        <w:t>不适用。</w:t>
      </w:r>
    </w:p>
    <w:p>
      <w:pPr>
        <w:spacing w:line="240" w:lineRule="auto" w:before="0"/>
        <w:rPr>
          <w:rFonts w:ascii="宋体" w:hAnsi="宋体" w:cs="宋体" w:eastAsia="宋体" w:hint="default"/>
          <w:sz w:val="20"/>
          <w:szCs w:val="20"/>
        </w:rPr>
      </w:pPr>
    </w:p>
    <w:p>
      <w:pPr>
        <w:pStyle w:val="Heading2"/>
        <w:tabs>
          <w:tab w:pos="781" w:val="left" w:leader="none"/>
        </w:tabs>
        <w:spacing w:line="324" w:lineRule="auto" w:before="147"/>
        <w:ind w:left="558" w:right="945" w:hanging="42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spacing w:val="-76"/>
        </w:rPr>
        <w:t> </w:t>
      </w:r>
      <w:r>
        <w:rPr>
          <w:spacing w:val="-76"/>
        </w:rPr>
      </w:r>
      <w:r>
        <w:rPr>
          <w:rFonts w:ascii="宋体" w:hAnsi="宋体" w:cs="宋体" w:eastAsia="宋体" w:hint="default"/>
          <w:b w:val="0"/>
          <w:bCs w:val="0"/>
        </w:rPr>
        <w:t>不适用。</w:t>
      </w:r>
    </w:p>
    <w:p>
      <w:pPr>
        <w:spacing w:line="240" w:lineRule="auto" w:before="9"/>
        <w:rPr>
          <w:rFonts w:ascii="宋体" w:hAnsi="宋体" w:cs="宋体" w:eastAsia="宋体" w:hint="default"/>
          <w:sz w:val="25"/>
          <w:szCs w:val="25"/>
        </w:rPr>
      </w:pPr>
    </w:p>
    <w:p>
      <w:pPr>
        <w:pStyle w:val="Heading2"/>
        <w:spacing w:line="240" w:lineRule="auto"/>
        <w:ind w:left="138" w:right="0"/>
        <w:jc w:val="left"/>
        <w:rPr>
          <w:b w:val="0"/>
          <w:bCs w:val="0"/>
        </w:rPr>
      </w:pPr>
      <w:r>
        <w:rPr/>
        <w:t>十六、可转换公司债券情况</w:t>
      </w:r>
      <w:r>
        <w:rPr>
          <w:b w:val="0"/>
          <w:bCs w:val="0"/>
        </w:rPr>
      </w:r>
    </w:p>
    <w:p>
      <w:pPr>
        <w:pStyle w:val="BodyText"/>
        <w:spacing w:line="240" w:lineRule="auto" w:before="97"/>
        <w:ind w:left="558"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63"/>
        <w:ind w:left="2132" w:right="2132" w:firstLine="0"/>
        <w:jc w:val="center"/>
        <w:rPr>
          <w:rFonts w:ascii="Calibri" w:hAnsi="Calibri" w:cs="Calibri" w:eastAsia="Calibri" w:hint="default"/>
          <w:sz w:val="18"/>
          <w:szCs w:val="18"/>
        </w:rPr>
      </w:pPr>
      <w:r>
        <w:rPr>
          <w:rFonts w:ascii="Calibri"/>
          <w:b/>
          <w:sz w:val="18"/>
        </w:rPr>
        <w:t>37 </w:t>
      </w:r>
      <w:r>
        <w:rPr>
          <w:rFonts w:ascii="Calibri"/>
          <w:sz w:val="18"/>
        </w:rPr>
        <w:t>/</w:t>
      </w:r>
      <w:r>
        <w:rPr>
          <w:rFonts w:ascii="Calibri"/>
          <w:spacing w:val="-4"/>
          <w:sz w:val="18"/>
        </w:rPr>
        <w:t> </w:t>
      </w:r>
      <w:r>
        <w:rPr>
          <w:rFonts w:ascii="Calibri"/>
          <w:b/>
          <w:sz w:val="18"/>
        </w:rPr>
        <w:t>161</w:t>
      </w:r>
      <w:r>
        <w:rPr>
          <w:rFonts w:ascii="Calibri"/>
          <w:sz w:val="18"/>
        </w:rPr>
      </w:r>
    </w:p>
    <w:p>
      <w:pPr>
        <w:spacing w:after="0"/>
        <w:jc w:val="center"/>
        <w:rPr>
          <w:rFonts w:ascii="Calibri" w:hAnsi="Calibri" w:cs="Calibri" w:eastAsia="Calibri" w:hint="default"/>
          <w:sz w:val="18"/>
          <w:szCs w:val="18"/>
        </w:rPr>
        <w:sectPr>
          <w:headerReference w:type="default" r:id="rId24"/>
          <w:footerReference w:type="default" r:id="rId25"/>
          <w:pgSz w:w="11910" w:h="16840"/>
          <w:pgMar w:header="880" w:footer="0" w:top="1120" w:bottom="280" w:left="1660" w:right="1140"/>
        </w:sectPr>
      </w:pPr>
    </w:p>
    <w:p>
      <w:pPr>
        <w:spacing w:before="20"/>
        <w:ind w:left="0" w:right="421"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tabs>
          <w:tab w:pos="1259" w:val="left" w:leader="none"/>
        </w:tabs>
        <w:spacing w:line="240" w:lineRule="auto"/>
        <w:ind w:right="194"/>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headerReference w:type="default" r:id="rId26"/>
          <w:footerReference w:type="default" r:id="rId27"/>
          <w:pgSz w:w="16840" w:h="11910" w:orient="landscape"/>
          <w:pgMar w:header="0" w:footer="0" w:top="800" w:bottom="280" w:left="1220" w:right="1120"/>
        </w:sectPr>
      </w:pPr>
    </w:p>
    <w:p>
      <w:pPr>
        <w:pStyle w:val="Heading2"/>
        <w:tabs>
          <w:tab w:pos="786" w:val="left" w:leader="none"/>
        </w:tabs>
        <w:spacing w:line="309" w:lineRule="auto" w:before="36"/>
        <w:ind w:left="220"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20" w:bottom="1160" w:left="1220" w:right="1120"/>
          <w:cols w:num="2" w:equalWidth="0">
            <w:col w:w="2897" w:space="10125"/>
            <w:col w:w="1478"/>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868"/>
        <w:gridCol w:w="1393"/>
        <w:gridCol w:w="900"/>
        <w:gridCol w:w="1162"/>
        <w:gridCol w:w="879"/>
        <w:gridCol w:w="1294"/>
        <w:gridCol w:w="1585"/>
        <w:gridCol w:w="1582"/>
        <w:gridCol w:w="1584"/>
        <w:gridCol w:w="1016"/>
      </w:tblGrid>
      <w:tr>
        <w:trPr>
          <w:trHeight w:val="350" w:hRule="exact"/>
        </w:trPr>
        <w:tc>
          <w:tcPr>
            <w:tcW w:w="2868" w:type="dxa"/>
            <w:vMerge w:val="restart"/>
            <w:tcBorders>
              <w:top w:val="single" w:sz="4" w:space="0" w:color="000000"/>
              <w:left w:val="single" w:sz="4" w:space="0" w:color="000000"/>
              <w:right w:val="single" w:sz="4" w:space="0" w:color="000000"/>
            </w:tcBorders>
          </w:tcPr>
          <w:p>
            <w:pPr/>
          </w:p>
        </w:tc>
        <w:tc>
          <w:tcPr>
            <w:tcW w:w="2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1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6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8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6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2868" w:type="dxa"/>
            <w:vMerge/>
            <w:tcBorders>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87" w:right="23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1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2"/>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75,000,000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75.00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-17,595,750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-17,595,750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57,404,250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57.40</w:t>
            </w:r>
          </w:p>
        </w:tc>
      </w:tr>
      <w:tr>
        <w:trPr>
          <w:trHeight w:val="348"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9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39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75,000,000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75.00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-17,595,750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-17,595,750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57,404,250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57.40</w:t>
            </w:r>
          </w:p>
        </w:tc>
      </w:tr>
      <w:tr>
        <w:trPr>
          <w:trHeight w:val="351"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1"/>
                <w:szCs w:val="21"/>
              </w:rPr>
            </w:pPr>
            <w:r>
              <w:rPr>
                <w:rFonts w:ascii="Times New Roman"/>
                <w:spacing w:val="-1"/>
                <w:sz w:val="21"/>
              </w:rPr>
              <w:t>14,948,250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21"/>
                <w:szCs w:val="21"/>
              </w:rPr>
            </w:pPr>
            <w:r>
              <w:rPr>
                <w:rFonts w:ascii="Times New Roman"/>
                <w:sz w:val="21"/>
              </w:rPr>
              <w:t>14.95</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21"/>
                <w:szCs w:val="21"/>
              </w:rPr>
            </w:pPr>
            <w:r>
              <w:rPr>
                <w:rFonts w:ascii="Times New Roman"/>
                <w:spacing w:val="-1"/>
                <w:sz w:val="21"/>
              </w:rPr>
              <w:t>-14,948,250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right"/>
              <w:rPr>
                <w:rFonts w:ascii="Times New Roman" w:hAnsi="Times New Roman" w:cs="Times New Roman" w:eastAsia="Times New Roman" w:hint="default"/>
                <w:sz w:val="21"/>
                <w:szCs w:val="21"/>
              </w:rPr>
            </w:pPr>
            <w:r>
              <w:rPr>
                <w:rFonts w:ascii="Times New Roman"/>
                <w:spacing w:val="-1"/>
                <w:sz w:val="21"/>
              </w:rPr>
              <w:t>-14,948,250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21"/>
                <w:szCs w:val="21"/>
              </w:rPr>
            </w:pPr>
            <w:r>
              <w:rPr>
                <w:rFonts w:ascii="Times New Roman"/>
                <w:w w:val="100"/>
                <w:sz w:val="21"/>
              </w:rPr>
              <w:t>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60,051,750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60.05</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-2,647,500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-2,647,500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57,404,250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57.40</w:t>
            </w: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9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39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9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25,000,000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25.00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17,595,750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17,595,750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42,595,750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42.60</w:t>
            </w: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25,000,000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25.00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17,595,750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right"/>
              <w:rPr>
                <w:rFonts w:ascii="Times New Roman" w:hAnsi="Times New Roman" w:cs="Times New Roman" w:eastAsia="Times New Roman" w:hint="default"/>
                <w:sz w:val="21"/>
                <w:szCs w:val="21"/>
              </w:rPr>
            </w:pPr>
            <w:r>
              <w:rPr>
                <w:rFonts w:ascii="Times New Roman"/>
                <w:spacing w:val="-1"/>
                <w:sz w:val="21"/>
              </w:rPr>
              <w:t>17,595,750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42,595,750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42.60</w:t>
            </w:r>
          </w:p>
        </w:tc>
      </w:tr>
      <w:tr>
        <w:trPr>
          <w:trHeight w:val="351"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39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39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9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w w:val="100"/>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63"/>
        <w:ind w:left="0" w:right="184" w:firstLine="0"/>
        <w:jc w:val="center"/>
        <w:rPr>
          <w:rFonts w:ascii="Calibri" w:hAnsi="Calibri" w:cs="Calibri" w:eastAsia="Calibri" w:hint="default"/>
          <w:sz w:val="18"/>
          <w:szCs w:val="18"/>
        </w:rPr>
      </w:pPr>
      <w:r>
        <w:rPr>
          <w:rFonts w:ascii="Calibri"/>
          <w:b/>
          <w:sz w:val="18"/>
        </w:rPr>
        <w:t>38 </w:t>
      </w:r>
      <w:r>
        <w:rPr>
          <w:rFonts w:ascii="Calibri"/>
          <w:sz w:val="18"/>
        </w:rPr>
        <w:t>/</w:t>
      </w:r>
      <w:r>
        <w:rPr>
          <w:rFonts w:ascii="Calibri"/>
          <w:spacing w:val="-4"/>
          <w:sz w:val="18"/>
        </w:rPr>
        <w:t> </w:t>
      </w:r>
      <w:r>
        <w:rPr>
          <w:rFonts w:ascii="Calibri"/>
          <w:b/>
          <w:sz w:val="18"/>
        </w:rPr>
        <w:t>161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120"/>
        </w:sectPr>
      </w:pPr>
    </w:p>
    <w:p>
      <w:pPr>
        <w:spacing w:line="240" w:lineRule="auto" w:before="11"/>
        <w:rPr>
          <w:rFonts w:ascii="Calibri" w:hAnsi="Calibri" w:cs="Calibri" w:eastAsia="Calibri" w:hint="default"/>
          <w:b/>
          <w:bCs/>
          <w:sz w:val="28"/>
          <w:szCs w:val="28"/>
        </w:rPr>
      </w:pPr>
    </w:p>
    <w:p>
      <w:pPr>
        <w:pStyle w:val="Heading2"/>
        <w:spacing w:line="240" w:lineRule="auto" w:before="36"/>
        <w:ind w:right="2926"/>
        <w:jc w:val="left"/>
        <w:rPr>
          <w:b w:val="0"/>
          <w:bCs w:val="0"/>
        </w:rPr>
      </w:pPr>
      <w:r>
        <w:rPr>
          <w:rFonts w:ascii="Cambria" w:hAnsi="Cambria" w:cs="Cambria" w:eastAsia="Cambria" w:hint="default"/>
        </w:rPr>
        <w:t>2</w:t>
      </w:r>
      <w:r>
        <w:rPr/>
        <w:t>、</w:t>
      </w:r>
      <w:r>
        <w:rPr>
          <w:spacing w:val="-21"/>
        </w:rPr>
        <w:t> </w:t>
      </w:r>
      <w:r>
        <w:rPr/>
        <w:t>普通股股份变动情况说明</w:t>
      </w:r>
      <w:r>
        <w:rPr>
          <w:b w:val="0"/>
          <w:bCs w:val="0"/>
        </w:rPr>
      </w:r>
    </w:p>
    <w:p>
      <w:pPr>
        <w:pStyle w:val="BodyText"/>
        <w:spacing w:line="304" w:lineRule="auto" w:before="135"/>
        <w:ind w:left="218" w:right="127" w:firstLine="419"/>
        <w:jc w:val="both"/>
        <w:rPr>
          <w:rFonts w:ascii="Times New Roman" w:hAnsi="Times New Roman" w:cs="Times New Roman" w:eastAsia="Times New Roman" w:hint="default"/>
        </w:rPr>
      </w:pPr>
      <w:r>
        <w:rPr>
          <w:spacing w:val="-4"/>
        </w:rPr>
        <w:t>经中国证券监督管理委员会“证监许可〔</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1332</w:t>
      </w:r>
      <w:r>
        <w:rPr>
          <w:rFonts w:ascii="Times New Roman" w:hAnsi="Times New Roman" w:cs="Times New Roman" w:eastAsia="Times New Roman" w:hint="default"/>
          <w:spacing w:val="9"/>
        </w:rPr>
        <w:t> </w:t>
      </w:r>
      <w:r>
        <w:rPr>
          <w:spacing w:val="-5"/>
        </w:rPr>
        <w:t>号”文件核准，</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7"/>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日公司</w:t>
      </w:r>
      <w:r>
        <w:rPr>
          <w:w w:val="100"/>
        </w:rPr>
        <w:t> </w:t>
      </w:r>
      <w:r>
        <w:rPr/>
        <w:t>完成首次公开发行人民币股票</w:t>
      </w:r>
      <w:r>
        <w:rPr>
          <w:spacing w:val="-51"/>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万股，每股面值</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元，发行后公司股本总额变更为</w:t>
      </w:r>
      <w:r>
        <w:rPr>
          <w:spacing w:val="-51"/>
        </w:rPr>
        <w:t> </w:t>
      </w:r>
      <w:r>
        <w:rPr>
          <w:rFonts w:ascii="Times New Roman" w:hAnsi="Times New Roman" w:cs="Times New Roman" w:eastAsia="Times New Roman" w:hint="default"/>
        </w:rPr>
        <w:t>10,000</w:t>
      </w:r>
      <w:r>
        <w:rPr>
          <w:rFonts w:ascii="Times New Roman" w:hAnsi="Times New Roman" w:cs="Times New Roman" w:eastAsia="Times New Roman" w:hint="default"/>
          <w:w w:val="100"/>
        </w:rPr>
        <w:t> </w:t>
      </w:r>
      <w:r>
        <w:rPr>
          <w:spacing w:val="-1"/>
        </w:rPr>
        <w:t>万股。根据首次公开发行前股东承诺，凯信金鹏、德弘嘉业、盈科成长、黄友荣、潘新瑾、廖长</w:t>
      </w:r>
      <w:r>
        <w:rPr>
          <w:spacing w:val="-55"/>
        </w:rPr>
        <w:t> </w:t>
      </w:r>
      <w:r>
        <w:rPr>
          <w:spacing w:val="-55"/>
        </w:rPr>
      </w:r>
      <w:r>
        <w:rPr>
          <w:spacing w:val="-1"/>
        </w:rPr>
        <w:t>宝、侯济恭、吴丽卿、郑金聪、范为民、黄文峰、游建友、吴延川、张鹏程、杜建春、高稳仁、</w:t>
      </w:r>
      <w:r>
        <w:rPr>
          <w:spacing w:val="-55"/>
        </w:rPr>
        <w:t> </w:t>
      </w:r>
      <w:r>
        <w:rPr>
          <w:spacing w:val="-55"/>
        </w:rPr>
      </w:r>
      <w:r>
        <w:rPr/>
        <w:t>吴文宣、赖礼袍、刘少军、许辉奇合计持有</w:t>
      </w:r>
      <w:r>
        <w:rPr>
          <w:spacing w:val="-50"/>
        </w:rPr>
        <w:t> </w:t>
      </w:r>
      <w:r>
        <w:rPr>
          <w:rFonts w:ascii="Times New Roman" w:hAnsi="Times New Roman" w:cs="Times New Roman" w:eastAsia="Times New Roman" w:hint="default"/>
        </w:rPr>
        <w:t>17,595,750</w:t>
      </w:r>
      <w:r>
        <w:rPr>
          <w:rFonts w:ascii="Times New Roman" w:hAnsi="Times New Roman" w:cs="Times New Roman" w:eastAsia="Times New Roman" w:hint="default"/>
          <w:spacing w:val="3"/>
        </w:rPr>
        <w:t> </w:t>
      </w:r>
      <w:r>
        <w:rPr/>
        <w:t>股自公司股票上市之日起限售一年，</w:t>
      </w:r>
      <w:r>
        <w:rPr>
          <w:rFonts w:ascii="Times New Roman" w:hAnsi="Times New Roman" w:cs="Times New Roman" w:eastAsia="Times New Roman" w:hint="default"/>
        </w:rPr>
        <w:t>2015</w:t>
      </w:r>
    </w:p>
    <w:p>
      <w:pPr>
        <w:pStyle w:val="BodyText"/>
        <w:spacing w:line="240" w:lineRule="auto" w:before="6"/>
        <w:ind w:left="218" w:right="2926"/>
        <w:jc w:val="left"/>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日，该部分股票已解除限售上市流通。</w:t>
      </w:r>
    </w:p>
    <w:p>
      <w:pPr>
        <w:spacing w:line="240" w:lineRule="auto" w:before="0"/>
        <w:rPr>
          <w:rFonts w:ascii="宋体" w:hAnsi="宋体" w:cs="宋体" w:eastAsia="宋体" w:hint="default"/>
          <w:sz w:val="22"/>
          <w:szCs w:val="22"/>
        </w:rPr>
      </w:pPr>
    </w:p>
    <w:p>
      <w:pPr>
        <w:pStyle w:val="Heading2"/>
        <w:spacing w:line="352" w:lineRule="auto" w:before="146"/>
        <w:ind w:left="638" w:right="310" w:hanging="420"/>
        <w:jc w:val="left"/>
        <w:rPr>
          <w:rFonts w:ascii="宋体" w:hAnsi="宋体" w:cs="宋体" w:eastAsia="宋体" w:hint="default"/>
          <w:b w:val="0"/>
          <w:bCs w:val="0"/>
        </w:rPr>
      </w:pPr>
      <w:r>
        <w:rPr>
          <w:rFonts w:ascii="Cambria" w:hAnsi="Cambria" w:cs="Cambria" w:eastAsia="Cambria" w:hint="default"/>
        </w:rPr>
        <w:t>3</w:t>
      </w:r>
      <w:r>
        <w:rPr/>
        <w:t>、</w:t>
      </w:r>
      <w:r>
        <w:rPr>
          <w:spacing w:val="-25"/>
        </w:rPr>
        <w:t> </w:t>
      </w:r>
      <w:r>
        <w:rPr/>
        <w:t>普通股股份变动对最近一年和最近一期每股收益、每股净资产等财务指标的影响（如有）</w:t>
      </w:r>
      <w:r>
        <w:rPr>
          <w:w w:val="100"/>
        </w:rPr>
        <w:t> </w:t>
      </w:r>
      <w:r>
        <w:rPr>
          <w:rFonts w:ascii="宋体" w:hAnsi="宋体" w:cs="宋体" w:eastAsia="宋体" w:hint="default"/>
          <w:b w:val="0"/>
          <w:bCs w:val="0"/>
        </w:rPr>
        <w:t>无。</w:t>
      </w: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8"/>
          <w:pgSz w:w="11910" w:h="16840"/>
          <w:pgMar w:footer="974" w:header="0" w:top="1120" w:bottom="1160" w:left="1580" w:right="1140"/>
          <w:pgNumType w:start="3"/>
        </w:sectPr>
      </w:pPr>
    </w:p>
    <w:p>
      <w:pPr>
        <w:pStyle w:val="Heading2"/>
        <w:spacing w:line="350" w:lineRule="auto" w:before="36"/>
        <w:ind w:left="638" w:right="-17" w:hanging="420"/>
        <w:jc w:val="left"/>
        <w:rPr>
          <w:rFonts w:ascii="宋体" w:hAnsi="宋体" w:cs="宋体" w:eastAsia="宋体" w:hint="default"/>
          <w:b w:val="0"/>
          <w:bCs w:val="0"/>
        </w:rPr>
      </w:pPr>
      <w:r>
        <w:rPr>
          <w:rFonts w:ascii="Cambria" w:hAnsi="Cambria" w:cs="Cambria" w:eastAsia="Cambria" w:hint="default"/>
        </w:rPr>
        <w:t>4</w:t>
      </w:r>
      <w:r>
        <w:rPr/>
        <w:t>、</w:t>
      </w:r>
      <w:r>
        <w:rPr>
          <w:spacing w:val="-23"/>
        </w:rPr>
        <w:t> </w:t>
      </w:r>
      <w:r>
        <w:rPr/>
        <w:t>公司认为必要或证券监管机构要求披露的其他内容</w:t>
      </w:r>
      <w:r>
        <w:rPr>
          <w:w w:val="100"/>
        </w:rPr>
        <w:t> </w:t>
      </w:r>
      <w:r>
        <w:rPr>
          <w:rFonts w:ascii="宋体" w:hAnsi="宋体" w:cs="宋体" w:eastAsia="宋体" w:hint="default"/>
          <w:b w:val="0"/>
          <w:bCs w:val="0"/>
        </w:rPr>
        <w:t>无。</w:t>
      </w:r>
    </w:p>
    <w:p>
      <w:pPr>
        <w:pStyle w:val="Heading2"/>
        <w:tabs>
          <w:tab w:pos="784" w:val="left" w:leader="none"/>
        </w:tabs>
        <w:spacing w:line="295" w:lineRule="exact"/>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21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160" w:left="1580" w:right="1140"/>
          <w:cols w:num="2" w:equalWidth="0">
            <w:col w:w="5278" w:space="2821"/>
            <w:col w:w="1091"/>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14"/>
        <w:gridCol w:w="1165"/>
        <w:gridCol w:w="1162"/>
        <w:gridCol w:w="1107"/>
        <w:gridCol w:w="1162"/>
        <w:gridCol w:w="1225"/>
        <w:gridCol w:w="1553"/>
      </w:tblGrid>
      <w:tr>
        <w:trPr>
          <w:trHeight w:val="63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7" w:right="154" w:hanging="212"/>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3" w:right="153"/>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4" w:right="127"/>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4" w:right="151" w:hanging="209"/>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57,404,250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57,404,250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2017.12.30</w:t>
            </w:r>
          </w:p>
        </w:tc>
      </w:tr>
      <w:tr>
        <w:trPr>
          <w:trHeight w:val="157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2"/>
              <w:jc w:val="both"/>
              <w:rPr>
                <w:rFonts w:ascii="宋体" w:hAnsi="宋体" w:cs="宋体" w:eastAsia="宋体" w:hint="default"/>
                <w:sz w:val="21"/>
                <w:szCs w:val="21"/>
              </w:rPr>
            </w:pPr>
            <w:r>
              <w:rPr>
                <w:rFonts w:ascii="宋体" w:hAnsi="宋体" w:cs="宋体" w:eastAsia="宋体" w:hint="default"/>
                <w:spacing w:val="28"/>
                <w:sz w:val="21"/>
                <w:szCs w:val="21"/>
              </w:rPr>
              <w:t>天津市凯信</w:t>
            </w:r>
            <w:r>
              <w:rPr>
                <w:rFonts w:ascii="宋体" w:hAnsi="宋体" w:cs="宋体" w:eastAsia="宋体" w:hint="default"/>
                <w:spacing w:val="-95"/>
                <w:sz w:val="21"/>
                <w:szCs w:val="21"/>
              </w:rPr>
              <w:t> </w:t>
            </w:r>
            <w:r>
              <w:rPr>
                <w:rFonts w:ascii="宋体" w:hAnsi="宋体" w:cs="宋体" w:eastAsia="宋体" w:hint="default"/>
                <w:spacing w:val="28"/>
                <w:sz w:val="21"/>
                <w:szCs w:val="21"/>
              </w:rPr>
              <w:t>金鹏股权投</w:t>
            </w:r>
            <w:r>
              <w:rPr>
                <w:rFonts w:ascii="宋体" w:hAnsi="宋体" w:cs="宋体" w:eastAsia="宋体" w:hint="default"/>
                <w:spacing w:val="-95"/>
                <w:sz w:val="21"/>
                <w:szCs w:val="21"/>
              </w:rPr>
              <w:t> </w:t>
            </w:r>
            <w:r>
              <w:rPr>
                <w:rFonts w:ascii="宋体" w:hAnsi="宋体" w:cs="宋体" w:eastAsia="宋体" w:hint="default"/>
                <w:spacing w:val="28"/>
                <w:sz w:val="21"/>
                <w:szCs w:val="21"/>
              </w:rPr>
              <w:t>资基金合伙</w:t>
            </w:r>
            <w:r>
              <w:rPr>
                <w:rFonts w:ascii="宋体" w:hAnsi="宋体" w:cs="宋体" w:eastAsia="宋体" w:hint="default"/>
                <w:spacing w:val="-95"/>
                <w:sz w:val="21"/>
                <w:szCs w:val="21"/>
              </w:rPr>
              <w:t> </w:t>
            </w:r>
            <w:r>
              <w:rPr>
                <w:rFonts w:ascii="宋体" w:hAnsi="宋体" w:cs="宋体" w:eastAsia="宋体" w:hint="default"/>
                <w:spacing w:val="-12"/>
                <w:sz w:val="21"/>
                <w:szCs w:val="21"/>
              </w:rPr>
              <w:t>企业（有限合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伙）</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7,448,250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spacing w:val="-1"/>
                <w:sz w:val="21"/>
              </w:rPr>
              <w:t>7,448,250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125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2"/>
              <w:jc w:val="both"/>
              <w:rPr>
                <w:rFonts w:ascii="宋体" w:hAnsi="宋体" w:cs="宋体" w:eastAsia="宋体" w:hint="default"/>
                <w:sz w:val="21"/>
                <w:szCs w:val="21"/>
              </w:rPr>
            </w:pPr>
            <w:r>
              <w:rPr>
                <w:rFonts w:ascii="宋体" w:hAnsi="宋体" w:cs="宋体" w:eastAsia="宋体" w:hint="default"/>
                <w:spacing w:val="28"/>
                <w:sz w:val="21"/>
                <w:szCs w:val="21"/>
              </w:rPr>
              <w:t>福州市晋安</w:t>
            </w:r>
            <w:r>
              <w:rPr>
                <w:rFonts w:ascii="宋体" w:hAnsi="宋体" w:cs="宋体" w:eastAsia="宋体" w:hint="default"/>
                <w:spacing w:val="-95"/>
                <w:sz w:val="21"/>
                <w:szCs w:val="21"/>
              </w:rPr>
              <w:t> </w:t>
            </w:r>
            <w:r>
              <w:rPr>
                <w:rFonts w:ascii="宋体" w:hAnsi="宋体" w:cs="宋体" w:eastAsia="宋体" w:hint="default"/>
                <w:spacing w:val="28"/>
                <w:sz w:val="21"/>
                <w:szCs w:val="21"/>
              </w:rPr>
              <w:t>区德弘嘉业</w:t>
            </w:r>
            <w:r>
              <w:rPr>
                <w:rFonts w:ascii="宋体" w:hAnsi="宋体" w:cs="宋体" w:eastAsia="宋体" w:hint="default"/>
                <w:spacing w:val="-95"/>
                <w:sz w:val="21"/>
                <w:szCs w:val="21"/>
              </w:rPr>
              <w:t> </w:t>
            </w:r>
            <w:r>
              <w:rPr>
                <w:rFonts w:ascii="宋体" w:hAnsi="宋体" w:cs="宋体" w:eastAsia="宋体" w:hint="default"/>
                <w:spacing w:val="-12"/>
                <w:sz w:val="21"/>
                <w:szCs w:val="21"/>
              </w:rPr>
              <w:t>投资中心（有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限合伙）</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94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2"/>
              <w:jc w:val="both"/>
              <w:rPr>
                <w:rFonts w:ascii="宋体" w:hAnsi="宋体" w:cs="宋体" w:eastAsia="宋体" w:hint="default"/>
                <w:sz w:val="21"/>
                <w:szCs w:val="21"/>
              </w:rPr>
            </w:pPr>
            <w:r>
              <w:rPr>
                <w:rFonts w:ascii="宋体" w:hAnsi="宋体" w:cs="宋体" w:eastAsia="宋体" w:hint="default"/>
                <w:spacing w:val="28"/>
                <w:sz w:val="21"/>
                <w:szCs w:val="21"/>
              </w:rPr>
              <w:t>福建盈科成</w:t>
            </w:r>
            <w:r>
              <w:rPr>
                <w:rFonts w:ascii="宋体" w:hAnsi="宋体" w:cs="宋体" w:eastAsia="宋体" w:hint="default"/>
                <w:spacing w:val="-95"/>
                <w:sz w:val="21"/>
                <w:szCs w:val="21"/>
              </w:rPr>
              <w:t> </w:t>
            </w:r>
            <w:r>
              <w:rPr>
                <w:rFonts w:ascii="宋体" w:hAnsi="宋体" w:cs="宋体" w:eastAsia="宋体" w:hint="default"/>
                <w:spacing w:val="28"/>
                <w:sz w:val="21"/>
                <w:szCs w:val="21"/>
              </w:rPr>
              <w:t>长创业投资</w:t>
            </w:r>
            <w:r>
              <w:rPr>
                <w:rFonts w:ascii="宋体" w:hAnsi="宋体" w:cs="宋体" w:eastAsia="宋体" w:hint="default"/>
                <w:spacing w:val="-95"/>
                <w:sz w:val="21"/>
                <w:szCs w:val="21"/>
              </w:rPr>
              <w:t> </w:t>
            </w:r>
            <w:r>
              <w:rPr>
                <w:rFonts w:ascii="宋体" w:hAnsi="宋体" w:cs="宋体" w:eastAsia="宋体" w:hint="default"/>
                <w:sz w:val="21"/>
                <w:szCs w:val="21"/>
              </w:rPr>
              <w:t>有限公司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2,250,000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黄友荣</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2,250,000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2,250,000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潘新瑾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699,000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699,000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廖长宝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279,750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279,750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侯济恭</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吴丽卿</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210,000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郑金聪</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210,000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范为民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140,250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140,250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2015.12.30</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20" w:bottom="1160" w:left="15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65" w:type="dxa"/>
        <w:tblLayout w:type="fixed"/>
        <w:tblCellMar>
          <w:top w:w="0" w:type="dxa"/>
          <w:left w:w="0" w:type="dxa"/>
          <w:bottom w:w="0" w:type="dxa"/>
          <w:right w:w="0" w:type="dxa"/>
        </w:tblCellMar>
        <w:tblLook w:val="01E0"/>
      </w:tblPr>
      <w:tblGrid>
        <w:gridCol w:w="1414"/>
        <w:gridCol w:w="1165"/>
        <w:gridCol w:w="1162"/>
        <w:gridCol w:w="1107"/>
        <w:gridCol w:w="1162"/>
        <w:gridCol w:w="1225"/>
        <w:gridCol w:w="1553"/>
      </w:tblGrid>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黄文峰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140,250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pacing w:val="-1"/>
                <w:sz w:val="21"/>
              </w:rPr>
              <w:t>140,250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吴延川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140,250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140,250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游建友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140,250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140,250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张鹏程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140,250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140,250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杜建春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84,000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84,000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高稳仁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70,500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70,500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吴文宣</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70,500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70,500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赖礼袍</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42,000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42,000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刘少军</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42,000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z w:val="21"/>
              </w:rPr>
              <w:t>42,000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许辉奇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28,500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28,500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w w:val="100"/>
                <w:sz w:val="21"/>
              </w:rPr>
              <w:t>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首发上市</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2015.12.30</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75,000,000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17,595,750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57,404,250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w w:val="100"/>
                <w:sz w:val="21"/>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Heading2"/>
        <w:spacing w:line="240" w:lineRule="auto" w:before="47"/>
        <w:ind w:left="378" w:right="957"/>
        <w:jc w:val="left"/>
        <w:rPr>
          <w:b w:val="0"/>
          <w:bCs w:val="0"/>
        </w:rPr>
      </w:pPr>
      <w:r>
        <w:rPr/>
        <w:t>二、</w:t>
      </w:r>
      <w:r>
        <w:rPr>
          <w:spacing w:val="-74"/>
        </w:rPr>
        <w:t> </w:t>
      </w:r>
      <w:r>
        <w:rPr/>
        <w:t>证券发行与上市情况</w:t>
      </w:r>
      <w:r>
        <w:rPr>
          <w:b w:val="0"/>
          <w:bCs w:val="0"/>
        </w:rPr>
      </w:r>
    </w:p>
    <w:p>
      <w:pPr>
        <w:spacing w:line="340" w:lineRule="auto" w:before="97"/>
        <w:ind w:left="798" w:right="95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截至报告期内证券发行情况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截至本报告期末，公司未有公开的证券发行与上市情况。</w:t>
      </w:r>
    </w:p>
    <w:p>
      <w:pPr>
        <w:spacing w:line="240" w:lineRule="auto" w:before="13"/>
        <w:rPr>
          <w:rFonts w:ascii="宋体" w:hAnsi="宋体" w:cs="宋体" w:eastAsia="宋体" w:hint="default"/>
          <w:sz w:val="23"/>
          <w:szCs w:val="23"/>
        </w:rPr>
      </w:pPr>
    </w:p>
    <w:p>
      <w:pPr>
        <w:spacing w:line="340" w:lineRule="auto" w:before="0"/>
        <w:ind w:left="798" w:right="95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报告期内，公司没有因送股、配股等原因引起股份总数及结构的变动的情形。</w:t>
      </w:r>
    </w:p>
    <w:p>
      <w:pPr>
        <w:spacing w:line="240" w:lineRule="auto" w:before="13"/>
        <w:rPr>
          <w:rFonts w:ascii="宋体" w:hAnsi="宋体" w:cs="宋体" w:eastAsia="宋体" w:hint="default"/>
          <w:sz w:val="23"/>
          <w:szCs w:val="23"/>
        </w:rPr>
      </w:pPr>
    </w:p>
    <w:p>
      <w:pPr>
        <w:pStyle w:val="Heading2"/>
        <w:spacing w:line="240" w:lineRule="auto"/>
        <w:ind w:left="378" w:right="957"/>
        <w:jc w:val="left"/>
        <w:rPr>
          <w:b w:val="0"/>
          <w:bCs w:val="0"/>
        </w:rPr>
      </w:pPr>
      <w:r>
        <w:rPr/>
        <w:t>三、</w:t>
      </w:r>
      <w:r>
        <w:rPr>
          <w:spacing w:val="-80"/>
        </w:rPr>
        <w:t> </w:t>
      </w:r>
      <w:r>
        <w:rPr/>
        <w:t>股东和实际控制人情况</w:t>
      </w:r>
      <w:r>
        <w:rPr>
          <w:b w:val="0"/>
          <w:bCs w:val="0"/>
        </w:rPr>
      </w:r>
    </w:p>
    <w:p>
      <w:pPr>
        <w:pStyle w:val="Heading2"/>
        <w:spacing w:line="240" w:lineRule="auto" w:before="97"/>
        <w:ind w:left="378" w:right="95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265" w:type="dxa"/>
        <w:tblLayout w:type="fixed"/>
        <w:tblCellMar>
          <w:top w:w="0" w:type="dxa"/>
          <w:left w:w="0" w:type="dxa"/>
          <w:bottom w:w="0" w:type="dxa"/>
          <w:right w:w="0" w:type="dxa"/>
        </w:tblCellMar>
        <w:tblLook w:val="01E0"/>
      </w:tblPr>
      <w:tblGrid>
        <w:gridCol w:w="5099"/>
        <w:gridCol w:w="3404"/>
      </w:tblGrid>
      <w:tr>
        <w:trPr>
          <w:trHeight w:val="408"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11,076</w:t>
            </w:r>
          </w:p>
        </w:tc>
      </w:tr>
      <w:tr>
        <w:trPr>
          <w:trHeight w:val="406"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z w:val="21"/>
              </w:rPr>
              <w:t>12,566</w:t>
            </w:r>
          </w:p>
        </w:tc>
      </w:tr>
      <w:tr>
        <w:trPr>
          <w:trHeight w:val="408"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730" w:hRule="exact"/>
        </w:trPr>
        <w:tc>
          <w:tcPr>
            <w:tcW w:w="50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6"/>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总数（户）</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974" w:top="1120" w:bottom="1160" w:left="1420" w:right="1020"/>
        </w:sectPr>
      </w:pPr>
    </w:p>
    <w:p>
      <w:pPr>
        <w:pStyle w:val="Heading2"/>
        <w:spacing w:line="240" w:lineRule="auto" w:before="36"/>
        <w:ind w:left="37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37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160" w:left="1420" w:right="1020"/>
          <w:cols w:num="2" w:equalWidth="0">
            <w:col w:w="7973" w:space="127"/>
            <w:col w:w="1370"/>
          </w:cols>
        </w:sectPr>
      </w:pP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418"/>
        <w:gridCol w:w="1133"/>
        <w:gridCol w:w="1277"/>
        <w:gridCol w:w="850"/>
        <w:gridCol w:w="1277"/>
        <w:gridCol w:w="708"/>
        <w:gridCol w:w="1417"/>
        <w:gridCol w:w="1135"/>
      </w:tblGrid>
      <w:tr>
        <w:trPr>
          <w:trHeight w:val="370" w:hRule="exact"/>
        </w:trPr>
        <w:tc>
          <w:tcPr>
            <w:tcW w:w="92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370"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85"/>
              <w:ind w:left="28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4" w:lineRule="auto"/>
              <w:ind w:left="347" w:right="140"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4" w:lineRule="auto"/>
              <w:ind w:left="528" w:right="10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4"/>
              <w:ind w:left="259" w:right="0"/>
              <w:jc w:val="left"/>
              <w:rPr>
                <w:rFonts w:ascii="Times New Roman" w:hAnsi="Times New Roman" w:cs="Times New Roman" w:eastAsia="Times New Roman" w:hint="default"/>
                <w:sz w:val="21"/>
                <w:szCs w:val="21"/>
              </w:rPr>
            </w:pPr>
            <w:r>
              <w:rPr>
                <w:rFonts w:ascii="Times New Roman"/>
                <w:sz w:val="21"/>
              </w:rPr>
              <w:t>(%)</w:t>
            </w:r>
          </w:p>
        </w:tc>
        <w:tc>
          <w:tcPr>
            <w:tcW w:w="1277" w:type="dxa"/>
            <w:vMerge w:val="restart"/>
            <w:tcBorders>
              <w:top w:val="single" w:sz="4" w:space="0" w:color="000000"/>
              <w:left w:val="single" w:sz="4" w:space="0" w:color="000000"/>
              <w:right w:val="single" w:sz="4" w:space="0" w:color="000000"/>
            </w:tcBorders>
          </w:tcPr>
          <w:p>
            <w:pPr>
              <w:pStyle w:val="TableParagraph"/>
              <w:spacing w:line="314" w:lineRule="auto" w:before="47"/>
              <w:ind w:left="107" w:right="103"/>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9"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4" w:lineRule="auto"/>
              <w:ind w:left="350" w:right="35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732" w:hRule="exact"/>
        </w:trPr>
        <w:tc>
          <w:tcPr>
            <w:tcW w:w="141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36" w:right="13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35" w:type="dxa"/>
            <w:vMerge/>
            <w:tcBorders>
              <w:left w:val="single" w:sz="4" w:space="0" w:color="000000"/>
              <w:bottom w:val="single" w:sz="4" w:space="0" w:color="000000"/>
              <w:right w:val="single" w:sz="4" w:space="0" w:color="000000"/>
            </w:tcBorders>
          </w:tcPr>
          <w:p>
            <w:pPr/>
          </w:p>
        </w:tc>
      </w:tr>
      <w:tr>
        <w:trPr>
          <w:trHeight w:val="7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57,404,250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61" w:right="0"/>
              <w:jc w:val="left"/>
              <w:rPr>
                <w:rFonts w:ascii="Times New Roman" w:hAnsi="Times New Roman" w:cs="Times New Roman" w:eastAsia="Times New Roman" w:hint="default"/>
                <w:sz w:val="21"/>
                <w:szCs w:val="21"/>
              </w:rPr>
            </w:pPr>
            <w:r>
              <w:rPr>
                <w:rFonts w:ascii="Times New Roman"/>
                <w:sz w:val="21"/>
              </w:rPr>
              <w:t>57.40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57,404,250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21,850,400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55" w:right="139" w:hanging="315"/>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bl>
    <w:p>
      <w:pPr>
        <w:spacing w:after="0" w:line="314" w:lineRule="auto"/>
        <w:jc w:val="left"/>
        <w:rPr>
          <w:rFonts w:ascii="宋体" w:hAnsi="宋体" w:cs="宋体" w:eastAsia="宋体" w:hint="default"/>
          <w:sz w:val="21"/>
          <w:szCs w:val="21"/>
        </w:rPr>
        <w:sectPr>
          <w:type w:val="continuous"/>
          <w:pgSz w:w="11910" w:h="16840"/>
          <w:pgMar w:top="1120" w:bottom="1160" w:left="142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418"/>
        <w:gridCol w:w="1133"/>
        <w:gridCol w:w="1277"/>
        <w:gridCol w:w="850"/>
        <w:gridCol w:w="1277"/>
        <w:gridCol w:w="708"/>
        <w:gridCol w:w="1417"/>
        <w:gridCol w:w="1135"/>
      </w:tblGrid>
      <w:tr>
        <w:trPr>
          <w:trHeight w:val="181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8"/>
              <w:jc w:val="both"/>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66"/>
                <w:sz w:val="21"/>
                <w:szCs w:val="21"/>
              </w:rPr>
              <w:t> </w:t>
            </w:r>
            <w:r>
              <w:rPr>
                <w:rFonts w:ascii="宋体" w:hAnsi="宋体" w:cs="宋体" w:eastAsia="宋体" w:hint="default"/>
                <w:sz w:val="21"/>
                <w:szCs w:val="21"/>
              </w:rPr>
              <w:t>津</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凯</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鹏</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基</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伙</w:t>
            </w:r>
            <w:r>
              <w:rPr>
                <w:rFonts w:ascii="宋体" w:hAnsi="宋体" w:cs="宋体" w:eastAsia="宋体" w:hint="default"/>
                <w:w w:val="100"/>
                <w:sz w:val="21"/>
                <w:szCs w:val="21"/>
              </w:rPr>
              <w:t> </w:t>
            </w:r>
            <w:r>
              <w:rPr>
                <w:rFonts w:ascii="宋体" w:hAnsi="宋体" w:cs="宋体" w:eastAsia="宋体" w:hint="default"/>
                <w:spacing w:val="-11"/>
                <w:sz w:val="21"/>
                <w:szCs w:val="21"/>
              </w:rPr>
              <w:t>企业（有限合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spacing w:val="-1"/>
                <w:sz w:val="21"/>
              </w:rPr>
              <w:t>7,448,250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sz w:val="21"/>
              </w:rPr>
              <w:t>7.45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25"/>
              <w:ind w:left="244" w:right="139" w:hanging="104"/>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145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晋</w:t>
            </w:r>
            <w:r>
              <w:rPr>
                <w:rFonts w:ascii="宋体" w:hAnsi="宋体" w:cs="宋体" w:eastAsia="宋体" w:hint="default"/>
                <w:spacing w:val="-66"/>
                <w:sz w:val="21"/>
                <w:szCs w:val="21"/>
              </w:rPr>
              <w:t> </w:t>
            </w: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spacing w:val="-66"/>
                <w:sz w:val="21"/>
                <w:szCs w:val="21"/>
              </w:rPr>
              <w:t> </w:t>
            </w:r>
            <w:r>
              <w:rPr>
                <w:rFonts w:ascii="宋体" w:hAnsi="宋体" w:cs="宋体" w:eastAsia="宋体" w:hint="default"/>
                <w:sz w:val="21"/>
                <w:szCs w:val="21"/>
              </w:rPr>
              <w:t>德</w:t>
            </w:r>
            <w:r>
              <w:rPr>
                <w:rFonts w:ascii="宋体" w:hAnsi="宋体" w:cs="宋体" w:eastAsia="宋体" w:hint="default"/>
                <w:spacing w:val="-69"/>
                <w:sz w:val="21"/>
                <w:szCs w:val="21"/>
              </w:rPr>
              <w:t> </w:t>
            </w:r>
            <w:r>
              <w:rPr>
                <w:rFonts w:ascii="宋体" w:hAnsi="宋体" w:cs="宋体" w:eastAsia="宋体" w:hint="default"/>
                <w:sz w:val="21"/>
                <w:szCs w:val="21"/>
              </w:rPr>
              <w:t>弘</w:t>
            </w:r>
            <w:r>
              <w:rPr>
                <w:rFonts w:ascii="宋体" w:hAnsi="宋体" w:cs="宋体" w:eastAsia="宋体" w:hint="default"/>
                <w:spacing w:val="-69"/>
                <w:sz w:val="21"/>
                <w:szCs w:val="21"/>
              </w:rPr>
              <w:t> </w:t>
            </w:r>
            <w:r>
              <w:rPr>
                <w:rFonts w:ascii="宋体" w:hAnsi="宋体" w:cs="宋体" w:eastAsia="宋体" w:hint="default"/>
                <w:sz w:val="21"/>
                <w:szCs w:val="21"/>
              </w:rPr>
              <w:t>嘉</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pacing w:val="-11"/>
                <w:sz w:val="21"/>
                <w:szCs w:val="21"/>
              </w:rPr>
              <w:t>投资中心（有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z w:val="21"/>
              </w:rPr>
              <w:t>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463" w:right="0"/>
              <w:jc w:val="left"/>
              <w:rPr>
                <w:rFonts w:ascii="Times New Roman" w:hAnsi="Times New Roman" w:cs="Times New Roman" w:eastAsia="Times New Roman" w:hint="default"/>
                <w:sz w:val="21"/>
                <w:szCs w:val="21"/>
              </w:rPr>
            </w:pPr>
            <w:r>
              <w:rPr>
                <w:rFonts w:ascii="Times New Roman"/>
                <w:sz w:val="21"/>
              </w:rPr>
              <w:t>3,000,000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4" w:lineRule="auto" w:before="172"/>
              <w:ind w:left="244" w:right="139" w:hanging="104"/>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21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9"/>
              <w:jc w:val="both"/>
              <w:rPr>
                <w:rFonts w:ascii="宋体" w:hAnsi="宋体" w:cs="宋体" w:eastAsia="宋体" w:hint="default"/>
                <w:sz w:val="21"/>
                <w:szCs w:val="21"/>
              </w:rPr>
            </w:pPr>
            <w:r>
              <w:rPr>
                <w:rFonts w:ascii="宋体" w:hAnsi="宋体" w:cs="宋体" w:eastAsia="宋体" w:hint="default"/>
                <w:sz w:val="21"/>
                <w:szCs w:val="21"/>
              </w:rPr>
              <w:t>招</w:t>
            </w:r>
            <w:r>
              <w:rPr>
                <w:rFonts w:ascii="宋体" w:hAnsi="宋体" w:cs="宋体" w:eastAsia="宋体" w:hint="default"/>
                <w:spacing w:val="-66"/>
                <w:sz w:val="21"/>
                <w:szCs w:val="21"/>
              </w:rPr>
              <w:t> </w:t>
            </w:r>
            <w:r>
              <w:rPr>
                <w:rFonts w:ascii="宋体" w:hAnsi="宋体" w:cs="宋体" w:eastAsia="宋体" w:hint="default"/>
                <w:sz w:val="21"/>
                <w:szCs w:val="21"/>
              </w:rPr>
              <w:t>商</w:t>
            </w:r>
            <w:r>
              <w:rPr>
                <w:rFonts w:ascii="宋体" w:hAnsi="宋体" w:cs="宋体" w:eastAsia="宋体" w:hint="default"/>
                <w:spacing w:val="-69"/>
                <w:sz w:val="21"/>
                <w:szCs w:val="21"/>
              </w:rPr>
              <w:t> </w:t>
            </w:r>
            <w:r>
              <w:rPr>
                <w:rFonts w:ascii="宋体" w:hAnsi="宋体" w:cs="宋体" w:eastAsia="宋体" w:hint="default"/>
                <w:sz w:val="21"/>
                <w:szCs w:val="21"/>
              </w:rPr>
              <w:t>银</w:t>
            </w:r>
            <w:r>
              <w:rPr>
                <w:rFonts w:ascii="宋体" w:hAnsi="宋体" w:cs="宋体" w:eastAsia="宋体" w:hint="default"/>
                <w:spacing w:val="-69"/>
                <w:sz w:val="21"/>
                <w:szCs w:val="21"/>
              </w:rPr>
              <w:t> </w:t>
            </w:r>
            <w:r>
              <w:rPr>
                <w:rFonts w:ascii="宋体" w:hAnsi="宋体" w:cs="宋体" w:eastAsia="宋体" w:hint="default"/>
                <w:sz w:val="21"/>
                <w:szCs w:val="21"/>
              </w:rPr>
              <w:t>行</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p>
            <w:pPr>
              <w:pStyle w:val="TableParagraph"/>
              <w:spacing w:line="314" w:lineRule="auto" w:before="20"/>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富</w:t>
            </w:r>
            <w:r>
              <w:rPr>
                <w:rFonts w:ascii="宋体" w:hAnsi="宋体" w:cs="宋体" w:eastAsia="宋体" w:hint="default"/>
                <w:spacing w:val="-69"/>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低</w:t>
            </w:r>
            <w:r>
              <w:rPr>
                <w:rFonts w:ascii="宋体" w:hAnsi="宋体" w:cs="宋体" w:eastAsia="宋体" w:hint="default"/>
                <w:spacing w:val="-66"/>
                <w:sz w:val="21"/>
                <w:szCs w:val="21"/>
              </w:rPr>
              <w:t> </w:t>
            </w:r>
            <w:r>
              <w:rPr>
                <w:rFonts w:ascii="宋体" w:hAnsi="宋体" w:cs="宋体" w:eastAsia="宋体" w:hint="default"/>
                <w:sz w:val="21"/>
                <w:szCs w:val="21"/>
              </w:rPr>
              <w:t>碳</w:t>
            </w:r>
            <w:r>
              <w:rPr>
                <w:rFonts w:ascii="宋体" w:hAnsi="宋体" w:cs="宋体" w:eastAsia="宋体" w:hint="default"/>
                <w:w w:val="100"/>
                <w:sz w:val="21"/>
                <w:szCs w:val="21"/>
              </w:rPr>
              <w:t> </w:t>
            </w:r>
            <w:r>
              <w:rPr>
                <w:rFonts w:ascii="宋体" w:hAnsi="宋体" w:cs="宋体" w:eastAsia="宋体" w:hint="default"/>
                <w:sz w:val="21"/>
                <w:szCs w:val="21"/>
              </w:rPr>
              <w:t>环</w:t>
            </w:r>
            <w:r>
              <w:rPr>
                <w:rFonts w:ascii="宋体" w:hAnsi="宋体" w:cs="宋体" w:eastAsia="宋体" w:hint="default"/>
                <w:spacing w:val="-66"/>
                <w:sz w:val="21"/>
                <w:szCs w:val="21"/>
              </w:rPr>
              <w:t> </w:t>
            </w:r>
            <w:r>
              <w:rPr>
                <w:rFonts w:ascii="宋体" w:hAnsi="宋体" w:cs="宋体" w:eastAsia="宋体" w:hint="default"/>
                <w:sz w:val="21"/>
                <w:szCs w:val="21"/>
              </w:rPr>
              <w:t>保</w:t>
            </w:r>
            <w:r>
              <w:rPr>
                <w:rFonts w:ascii="宋体" w:hAnsi="宋体" w:cs="宋体" w:eastAsia="宋体" w:hint="default"/>
                <w:spacing w:val="-69"/>
                <w:sz w:val="21"/>
                <w:szCs w:val="21"/>
              </w:rPr>
              <w:t> </w:t>
            </w:r>
            <w:r>
              <w:rPr>
                <w:rFonts w:ascii="宋体" w:hAnsi="宋体" w:cs="宋体" w:eastAsia="宋体" w:hint="default"/>
                <w:sz w:val="21"/>
                <w:szCs w:val="21"/>
              </w:rPr>
              <w:t>混</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型</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9"/>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2,330,140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2,330,140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350"/>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109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6"/>
                <w:sz w:val="21"/>
                <w:szCs w:val="21"/>
              </w:rPr>
              <w:t> </w:t>
            </w:r>
            <w:r>
              <w:rPr>
                <w:rFonts w:ascii="宋体" w:hAnsi="宋体" w:cs="宋体" w:eastAsia="宋体" w:hint="default"/>
                <w:sz w:val="21"/>
                <w:szCs w:val="21"/>
              </w:rPr>
              <w:t>建</w:t>
            </w:r>
            <w:r>
              <w:rPr>
                <w:rFonts w:ascii="宋体" w:hAnsi="宋体" w:cs="宋体" w:eastAsia="宋体" w:hint="default"/>
                <w:spacing w:val="-69"/>
                <w:sz w:val="21"/>
                <w:szCs w:val="21"/>
              </w:rPr>
              <w:t> </w:t>
            </w:r>
            <w:r>
              <w:rPr>
                <w:rFonts w:ascii="宋体" w:hAnsi="宋体" w:cs="宋体" w:eastAsia="宋体" w:hint="default"/>
                <w:sz w:val="21"/>
                <w:szCs w:val="21"/>
              </w:rPr>
              <w:t>盈</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spacing w:val="-66"/>
                <w:sz w:val="21"/>
                <w:szCs w:val="21"/>
              </w:rPr>
              <w:t> </w:t>
            </w:r>
            <w:r>
              <w:rPr>
                <w:rFonts w:ascii="宋体" w:hAnsi="宋体" w:cs="宋体" w:eastAsia="宋体" w:hint="default"/>
                <w:sz w:val="21"/>
                <w:szCs w:val="21"/>
              </w:rPr>
              <w:t>创</w:t>
            </w:r>
            <w:r>
              <w:rPr>
                <w:rFonts w:ascii="宋体" w:hAnsi="宋体" w:cs="宋体" w:eastAsia="宋体" w:hint="default"/>
                <w:spacing w:val="-69"/>
                <w:sz w:val="21"/>
                <w:szCs w:val="21"/>
              </w:rPr>
              <w:t> </w:t>
            </w:r>
            <w:r>
              <w:rPr>
                <w:rFonts w:ascii="宋体" w:hAnsi="宋体" w:cs="宋体" w:eastAsia="宋体" w:hint="default"/>
                <w:sz w:val="21"/>
                <w:szCs w:val="21"/>
              </w:rPr>
              <w:t>业</w:t>
            </w:r>
            <w:r>
              <w:rPr>
                <w:rFonts w:ascii="宋体" w:hAnsi="宋体" w:cs="宋体" w:eastAsia="宋体" w:hint="default"/>
                <w:spacing w:val="-69"/>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244" w:right="139" w:hanging="104"/>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7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黄友荣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455" w:right="139" w:hanging="315"/>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21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商</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富</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兴</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66"/>
                <w:sz w:val="21"/>
                <w:szCs w:val="21"/>
              </w:rPr>
              <w:t> </w:t>
            </w:r>
            <w:r>
              <w:rPr>
                <w:rFonts w:ascii="宋体" w:hAnsi="宋体" w:cs="宋体" w:eastAsia="宋体" w:hint="default"/>
                <w:sz w:val="21"/>
                <w:szCs w:val="21"/>
              </w:rPr>
              <w:t>型</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1,192,616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1,192,616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50"/>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73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潘新瑾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133,600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565,400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455" w:right="139" w:hanging="315"/>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21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建</w:t>
            </w:r>
            <w:r>
              <w:rPr>
                <w:rFonts w:ascii="宋体" w:hAnsi="宋体" w:cs="宋体" w:eastAsia="宋体" w:hint="default"/>
                <w:spacing w:val="-69"/>
                <w:sz w:val="21"/>
                <w:szCs w:val="21"/>
              </w:rPr>
              <w:t> </w:t>
            </w:r>
            <w:r>
              <w:rPr>
                <w:rFonts w:ascii="宋体" w:hAnsi="宋体" w:cs="宋体" w:eastAsia="宋体" w:hint="default"/>
                <w:sz w:val="21"/>
                <w:szCs w:val="21"/>
              </w:rPr>
              <w:t>设</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夏</w:t>
            </w:r>
            <w:r>
              <w:rPr>
                <w:rFonts w:ascii="宋体" w:hAnsi="宋体" w:cs="宋体" w:eastAsia="宋体" w:hint="default"/>
                <w:w w:val="100"/>
                <w:sz w:val="21"/>
                <w:szCs w:val="21"/>
              </w:rPr>
              <w:t> </w:t>
            </w:r>
            <w:r>
              <w:rPr>
                <w:rFonts w:ascii="宋体" w:hAnsi="宋体" w:cs="宋体" w:eastAsia="宋体" w:hint="default"/>
                <w:sz w:val="21"/>
                <w:szCs w:val="21"/>
              </w:rPr>
              <w:t>优</w:t>
            </w:r>
            <w:r>
              <w:rPr>
                <w:rFonts w:ascii="宋体" w:hAnsi="宋体" w:cs="宋体" w:eastAsia="宋体" w:hint="default"/>
                <w:spacing w:val="-66"/>
                <w:sz w:val="21"/>
                <w:szCs w:val="21"/>
              </w:rPr>
              <w:t> </w:t>
            </w:r>
            <w:r>
              <w:rPr>
                <w:rFonts w:ascii="宋体" w:hAnsi="宋体" w:cs="宋体" w:eastAsia="宋体" w:hint="default"/>
                <w:sz w:val="21"/>
                <w:szCs w:val="21"/>
              </w:rPr>
              <w:t>势</w:t>
            </w:r>
            <w:r>
              <w:rPr>
                <w:rFonts w:ascii="宋体" w:hAnsi="宋体" w:cs="宋体" w:eastAsia="宋体" w:hint="default"/>
                <w:spacing w:val="-69"/>
                <w:sz w:val="21"/>
                <w:szCs w:val="21"/>
              </w:rPr>
              <w:t> </w:t>
            </w:r>
            <w:r>
              <w:rPr>
                <w:rFonts w:ascii="宋体" w:hAnsi="宋体" w:cs="宋体" w:eastAsia="宋体" w:hint="default"/>
                <w:sz w:val="21"/>
                <w:szCs w:val="21"/>
              </w:rPr>
              <w:t>增</w:t>
            </w:r>
            <w:r>
              <w:rPr>
                <w:rFonts w:ascii="宋体" w:hAnsi="宋体" w:cs="宋体" w:eastAsia="宋体" w:hint="default"/>
                <w:spacing w:val="-69"/>
                <w:sz w:val="21"/>
                <w:szCs w:val="21"/>
              </w:rPr>
              <w:t> </w:t>
            </w:r>
            <w:r>
              <w:rPr>
                <w:rFonts w:ascii="宋体" w:hAnsi="宋体" w:cs="宋体" w:eastAsia="宋体" w:hint="default"/>
                <w:sz w:val="21"/>
                <w:szCs w:val="21"/>
              </w:rPr>
              <w:t>长</w:t>
            </w:r>
            <w:r>
              <w:rPr>
                <w:rFonts w:ascii="宋体" w:hAnsi="宋体" w:cs="宋体" w:eastAsia="宋体" w:hint="default"/>
                <w:spacing w:val="-66"/>
                <w:sz w:val="21"/>
                <w:szCs w:val="21"/>
              </w:rPr>
              <w:t> </w:t>
            </w:r>
            <w:r>
              <w:rPr>
                <w:rFonts w:ascii="宋体" w:hAnsi="宋体" w:cs="宋体" w:eastAsia="宋体" w:hint="default"/>
                <w:sz w:val="21"/>
                <w:szCs w:val="21"/>
              </w:rPr>
              <w:t>混</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型</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562,344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562,344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50"/>
              <w:jc w:val="righ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right"/>
        <w:rPr>
          <w:rFonts w:ascii="宋体" w:hAnsi="宋体" w:cs="宋体" w:eastAsia="宋体" w:hint="default"/>
          <w:sz w:val="21"/>
          <w:szCs w:val="21"/>
        </w:rPr>
        <w:sectPr>
          <w:footerReference w:type="default" r:id="rId29"/>
          <w:pgSz w:w="11910" w:h="16840"/>
          <w:pgMar w:footer="974" w:header="0" w:top="1120" w:bottom="1160" w:left="1420" w:right="102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418"/>
        <w:gridCol w:w="1133"/>
        <w:gridCol w:w="811"/>
        <w:gridCol w:w="466"/>
        <w:gridCol w:w="850"/>
        <w:gridCol w:w="1277"/>
        <w:gridCol w:w="708"/>
        <w:gridCol w:w="850"/>
        <w:gridCol w:w="566"/>
        <w:gridCol w:w="1135"/>
      </w:tblGrid>
      <w:tr>
        <w:trPr>
          <w:trHeight w:val="217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商</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南</w:t>
            </w:r>
            <w:r>
              <w:rPr>
                <w:rFonts w:ascii="宋体" w:hAnsi="宋体" w:cs="宋体" w:eastAsia="宋体" w:hint="default"/>
                <w:spacing w:val="-66"/>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优</w:t>
            </w:r>
            <w:r>
              <w:rPr>
                <w:rFonts w:ascii="宋体" w:hAnsi="宋体" w:cs="宋体" w:eastAsia="宋体" w:hint="default"/>
                <w:spacing w:val="-66"/>
                <w:sz w:val="21"/>
                <w:szCs w:val="21"/>
              </w:rPr>
              <w:t> </w:t>
            </w:r>
            <w:r>
              <w:rPr>
                <w:rFonts w:ascii="宋体" w:hAnsi="宋体" w:cs="宋体" w:eastAsia="宋体" w:hint="default"/>
                <w:sz w:val="21"/>
                <w:szCs w:val="21"/>
              </w:rPr>
              <w:t>选</w:t>
            </w:r>
            <w:r>
              <w:rPr>
                <w:rFonts w:ascii="宋体" w:hAnsi="宋体" w:cs="宋体" w:eastAsia="宋体" w:hint="default"/>
                <w:spacing w:val="-69"/>
                <w:sz w:val="21"/>
                <w:szCs w:val="21"/>
              </w:rPr>
              <w:t> </w:t>
            </w:r>
            <w:r>
              <w:rPr>
                <w:rFonts w:ascii="宋体" w:hAnsi="宋体" w:cs="宋体" w:eastAsia="宋体" w:hint="default"/>
                <w:sz w:val="21"/>
                <w:szCs w:val="21"/>
              </w:rPr>
              <w:t>价</w:t>
            </w:r>
            <w:r>
              <w:rPr>
                <w:rFonts w:ascii="宋体" w:hAnsi="宋体" w:cs="宋体" w:eastAsia="宋体" w:hint="default"/>
                <w:spacing w:val="-69"/>
                <w:sz w:val="21"/>
                <w:szCs w:val="21"/>
              </w:rPr>
              <w:t> </w:t>
            </w:r>
            <w:r>
              <w:rPr>
                <w:rFonts w:ascii="宋体" w:hAnsi="宋体" w:cs="宋体" w:eastAsia="宋体" w:hint="default"/>
                <w:sz w:val="21"/>
                <w:szCs w:val="21"/>
              </w:rPr>
              <w:t>值</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66"/>
                <w:sz w:val="21"/>
                <w:szCs w:val="21"/>
              </w:rPr>
              <w:t> </w:t>
            </w:r>
            <w:r>
              <w:rPr>
                <w:rFonts w:ascii="宋体" w:hAnsi="宋体" w:cs="宋体" w:eastAsia="宋体" w:hint="default"/>
                <w:sz w:val="21"/>
                <w:szCs w:val="21"/>
              </w:rPr>
              <w:t>型</w:t>
            </w:r>
            <w:r>
              <w:rPr>
                <w:rFonts w:ascii="宋体" w:hAnsi="宋体" w:cs="宋体" w:eastAsia="宋体" w:hint="default"/>
                <w:spacing w:val="-69"/>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35" w:right="0"/>
              <w:jc w:val="left"/>
              <w:rPr>
                <w:rFonts w:ascii="Times New Roman" w:hAnsi="Times New Roman" w:cs="Times New Roman" w:eastAsia="Times New Roman" w:hint="default"/>
                <w:sz w:val="21"/>
                <w:szCs w:val="21"/>
              </w:rPr>
            </w:pPr>
            <w:r>
              <w:rPr>
                <w:rFonts w:ascii="Times New Roman"/>
                <w:sz w:val="21"/>
              </w:rPr>
              <w:t>478,308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482" w:right="0"/>
              <w:jc w:val="left"/>
              <w:rPr>
                <w:rFonts w:ascii="Times New Roman" w:hAnsi="Times New Roman" w:cs="Times New Roman" w:eastAsia="Times New Roman" w:hint="default"/>
                <w:sz w:val="21"/>
                <w:szCs w:val="21"/>
              </w:rPr>
            </w:pPr>
            <w:r>
              <w:rPr>
                <w:rFonts w:ascii="Times New Roman"/>
                <w:sz w:val="21"/>
              </w:rPr>
              <w:t>478,308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67" w:right="0"/>
              <w:jc w:val="left"/>
              <w:rPr>
                <w:rFonts w:ascii="Times New Roman" w:hAnsi="Times New Roman" w:cs="Times New Roman" w:eastAsia="Times New Roman" w:hint="default"/>
                <w:sz w:val="21"/>
                <w:szCs w:val="21"/>
              </w:rPr>
            </w:pPr>
            <w:r>
              <w:rPr>
                <w:rFonts w:ascii="Times New Roman"/>
                <w:sz w:val="21"/>
              </w:rPr>
              <w:t>0.49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82" w:hRule="exact"/>
        </w:trPr>
        <w:tc>
          <w:tcPr>
            <w:tcW w:w="921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406" w:hRule="exact"/>
        </w:trPr>
        <w:tc>
          <w:tcPr>
            <w:tcW w:w="3363" w:type="dxa"/>
            <w:gridSpan w:val="3"/>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92" w:type="dxa"/>
            <w:gridSpan w:val="3"/>
            <w:vMerge w:val="restart"/>
            <w:tcBorders>
              <w:top w:val="single" w:sz="4" w:space="0" w:color="000000"/>
              <w:left w:val="single" w:sz="4" w:space="0" w:color="000000"/>
              <w:right w:val="single" w:sz="4" w:space="0" w:color="000000"/>
            </w:tcBorders>
          </w:tcPr>
          <w:p>
            <w:pPr>
              <w:pStyle w:val="TableParagraph"/>
              <w:spacing w:line="314" w:lineRule="auto" w:before="83"/>
              <w:ind w:left="1079" w:right="132" w:hanging="946"/>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数量</w:t>
            </w:r>
          </w:p>
        </w:tc>
        <w:tc>
          <w:tcPr>
            <w:tcW w:w="32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8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409" w:hRule="exact"/>
        </w:trPr>
        <w:tc>
          <w:tcPr>
            <w:tcW w:w="3363" w:type="dxa"/>
            <w:gridSpan w:val="3"/>
            <w:vMerge/>
            <w:tcBorders>
              <w:left w:val="single" w:sz="4" w:space="0" w:color="000000"/>
              <w:bottom w:val="single" w:sz="4" w:space="0" w:color="000000"/>
              <w:right w:val="single" w:sz="4" w:space="0" w:color="000000"/>
            </w:tcBorders>
          </w:tcPr>
          <w:p>
            <w:pPr/>
          </w:p>
        </w:tc>
        <w:tc>
          <w:tcPr>
            <w:tcW w:w="2592" w:type="dxa"/>
            <w:gridSpan w:val="3"/>
            <w:vMerge/>
            <w:tcBorders>
              <w:left w:val="single" w:sz="4" w:space="0" w:color="000000"/>
              <w:bottom w:val="single" w:sz="4" w:space="0" w:color="000000"/>
              <w:right w:val="single" w:sz="4" w:space="0" w:color="000000"/>
            </w:tcBorders>
          </w:tcPr>
          <w:p>
            <w:pP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730"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12"/>
                <w:sz w:val="21"/>
                <w:szCs w:val="21"/>
              </w:rPr>
              <w:t>天津市凯信金鹏股权投资基金合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伙企业（有限合伙）</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39" w:right="0"/>
              <w:jc w:val="left"/>
              <w:rPr>
                <w:rFonts w:ascii="Times New Roman" w:hAnsi="Times New Roman" w:cs="Times New Roman" w:eastAsia="Times New Roman" w:hint="default"/>
                <w:sz w:val="21"/>
                <w:szCs w:val="21"/>
              </w:rPr>
            </w:pPr>
            <w:r>
              <w:rPr>
                <w:rFonts w:ascii="Times New Roman"/>
                <w:sz w:val="21"/>
              </w:rPr>
              <w:t>7,448,250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7,448,250</w:t>
            </w:r>
          </w:p>
        </w:tc>
      </w:tr>
      <w:tr>
        <w:trPr>
          <w:trHeight w:val="730"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12"/>
                <w:sz w:val="21"/>
                <w:szCs w:val="21"/>
              </w:rPr>
              <w:t>福州市晋安区德弘嘉业投资中心</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39" w:right="0"/>
              <w:jc w:val="left"/>
              <w:rPr>
                <w:rFonts w:ascii="Times New Roman" w:hAnsi="Times New Roman" w:cs="Times New Roman" w:eastAsia="Times New Roman" w:hint="default"/>
                <w:sz w:val="21"/>
                <w:szCs w:val="21"/>
              </w:rPr>
            </w:pPr>
            <w:r>
              <w:rPr>
                <w:rFonts w:ascii="Times New Roman"/>
                <w:sz w:val="21"/>
              </w:rPr>
              <w:t>3,000,000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3,000,000</w:t>
            </w:r>
          </w:p>
        </w:tc>
      </w:tr>
      <w:tr>
        <w:trPr>
          <w:trHeight w:val="730"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12"/>
                <w:sz w:val="21"/>
                <w:szCs w:val="21"/>
              </w:rPr>
              <w:t>招商银行股份有限公司－富国低</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碳环保混合型证券投资基金</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39" w:right="0"/>
              <w:jc w:val="left"/>
              <w:rPr>
                <w:rFonts w:ascii="Times New Roman" w:hAnsi="Times New Roman" w:cs="Times New Roman" w:eastAsia="Times New Roman" w:hint="default"/>
                <w:sz w:val="21"/>
                <w:szCs w:val="21"/>
              </w:rPr>
            </w:pPr>
            <w:r>
              <w:rPr>
                <w:rFonts w:ascii="Times New Roman"/>
                <w:sz w:val="21"/>
              </w:rPr>
              <w:t>2,330,140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2,330,140</w:t>
            </w:r>
          </w:p>
        </w:tc>
      </w:tr>
      <w:tr>
        <w:trPr>
          <w:trHeight w:val="408"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福建盈科成长创业投资有限公司</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39" w:right="0"/>
              <w:jc w:val="left"/>
              <w:rPr>
                <w:rFonts w:ascii="Times New Roman" w:hAnsi="Times New Roman" w:cs="Times New Roman" w:eastAsia="Times New Roman" w:hint="default"/>
                <w:sz w:val="21"/>
                <w:szCs w:val="21"/>
              </w:rPr>
            </w:pPr>
            <w:r>
              <w:rPr>
                <w:rFonts w:ascii="Times New Roman"/>
                <w:sz w:val="21"/>
              </w:rPr>
              <w:t>2,250,000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8" w:right="0"/>
              <w:jc w:val="left"/>
              <w:rPr>
                <w:rFonts w:ascii="Times New Roman" w:hAnsi="Times New Roman" w:cs="Times New Roman" w:eastAsia="Times New Roman" w:hint="default"/>
                <w:sz w:val="21"/>
                <w:szCs w:val="21"/>
              </w:rPr>
            </w:pPr>
            <w:r>
              <w:rPr>
                <w:rFonts w:ascii="Times New Roman"/>
                <w:sz w:val="21"/>
              </w:rPr>
              <w:t>2,250,000</w:t>
            </w:r>
          </w:p>
        </w:tc>
      </w:tr>
      <w:tr>
        <w:trPr>
          <w:trHeight w:val="408"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黄友荣</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39" w:right="0"/>
              <w:jc w:val="left"/>
              <w:rPr>
                <w:rFonts w:ascii="Times New Roman" w:hAnsi="Times New Roman" w:cs="Times New Roman" w:eastAsia="Times New Roman" w:hint="default"/>
                <w:sz w:val="21"/>
                <w:szCs w:val="21"/>
              </w:rPr>
            </w:pPr>
            <w:r>
              <w:rPr>
                <w:rFonts w:ascii="Times New Roman"/>
                <w:sz w:val="21"/>
              </w:rPr>
              <w:t>1,340,000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8" w:right="0"/>
              <w:jc w:val="left"/>
              <w:rPr>
                <w:rFonts w:ascii="Times New Roman" w:hAnsi="Times New Roman" w:cs="Times New Roman" w:eastAsia="Times New Roman" w:hint="default"/>
                <w:sz w:val="21"/>
                <w:szCs w:val="21"/>
              </w:rPr>
            </w:pPr>
            <w:r>
              <w:rPr>
                <w:rFonts w:ascii="Times New Roman"/>
                <w:sz w:val="21"/>
              </w:rPr>
              <w:t>1,340,000</w:t>
            </w:r>
          </w:p>
        </w:tc>
      </w:tr>
      <w:tr>
        <w:trPr>
          <w:trHeight w:val="730"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12"/>
                <w:sz w:val="21"/>
                <w:szCs w:val="21"/>
              </w:rPr>
              <w:t>中国工商银行股份有限公司－富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国新兴产业股票型证券投资基金</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39" w:right="0"/>
              <w:jc w:val="left"/>
              <w:rPr>
                <w:rFonts w:ascii="Times New Roman" w:hAnsi="Times New Roman" w:cs="Times New Roman" w:eastAsia="Times New Roman" w:hint="default"/>
                <w:sz w:val="21"/>
                <w:szCs w:val="21"/>
              </w:rPr>
            </w:pPr>
            <w:r>
              <w:rPr>
                <w:rFonts w:ascii="Times New Roman"/>
                <w:sz w:val="21"/>
              </w:rPr>
              <w:t>1,192,616</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1,192,616</w:t>
            </w:r>
          </w:p>
        </w:tc>
      </w:tr>
      <w:tr>
        <w:trPr>
          <w:trHeight w:val="406"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潘新瑾</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565,400</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07" w:right="0"/>
              <w:jc w:val="left"/>
              <w:rPr>
                <w:rFonts w:ascii="Times New Roman" w:hAnsi="Times New Roman" w:cs="Times New Roman" w:eastAsia="Times New Roman" w:hint="default"/>
                <w:sz w:val="21"/>
                <w:szCs w:val="21"/>
              </w:rPr>
            </w:pPr>
            <w:r>
              <w:rPr>
                <w:rFonts w:ascii="Times New Roman"/>
                <w:sz w:val="21"/>
              </w:rPr>
              <w:t>565,400</w:t>
            </w:r>
          </w:p>
        </w:tc>
      </w:tr>
      <w:tr>
        <w:trPr>
          <w:trHeight w:val="732"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2"/>
              <w:jc w:val="left"/>
              <w:rPr>
                <w:rFonts w:ascii="宋体" w:hAnsi="宋体" w:cs="宋体" w:eastAsia="宋体" w:hint="default"/>
                <w:sz w:val="21"/>
                <w:szCs w:val="21"/>
              </w:rPr>
            </w:pPr>
            <w:r>
              <w:rPr>
                <w:rFonts w:ascii="宋体" w:hAnsi="宋体" w:cs="宋体" w:eastAsia="宋体" w:hint="default"/>
                <w:spacing w:val="12"/>
                <w:sz w:val="21"/>
                <w:szCs w:val="21"/>
              </w:rPr>
              <w:t>中国建设银行股份有限公司－华</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夏优势增长混合型证券投资基金</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562,344</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907" w:right="0"/>
              <w:jc w:val="left"/>
              <w:rPr>
                <w:rFonts w:ascii="Times New Roman" w:hAnsi="Times New Roman" w:cs="Times New Roman" w:eastAsia="Times New Roman" w:hint="default"/>
                <w:sz w:val="21"/>
                <w:szCs w:val="21"/>
              </w:rPr>
            </w:pPr>
            <w:r>
              <w:rPr>
                <w:rFonts w:ascii="Times New Roman"/>
                <w:sz w:val="21"/>
              </w:rPr>
              <w:t>562,344</w:t>
            </w:r>
          </w:p>
        </w:tc>
      </w:tr>
      <w:tr>
        <w:trPr>
          <w:trHeight w:val="730"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12"/>
                <w:sz w:val="21"/>
                <w:szCs w:val="21"/>
              </w:rPr>
              <w:t>中国工商银行股份有限公司－南</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方优选价值股票型证券投资基金</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478,308</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07" w:right="0"/>
              <w:jc w:val="left"/>
              <w:rPr>
                <w:rFonts w:ascii="Times New Roman" w:hAnsi="Times New Roman" w:cs="Times New Roman" w:eastAsia="Times New Roman" w:hint="default"/>
                <w:sz w:val="21"/>
                <w:szCs w:val="21"/>
              </w:rPr>
            </w:pPr>
            <w:r>
              <w:rPr>
                <w:rFonts w:ascii="Times New Roman"/>
                <w:sz w:val="21"/>
              </w:rPr>
              <w:t>478,308</w:t>
            </w:r>
          </w:p>
        </w:tc>
      </w:tr>
      <w:tr>
        <w:trPr>
          <w:trHeight w:val="730"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12"/>
                <w:sz w:val="21"/>
                <w:szCs w:val="21"/>
              </w:rPr>
              <w:t>中国工商银行－南方隆元产业主</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题股票型证券投资基金</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375,212</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07" w:right="0"/>
              <w:jc w:val="left"/>
              <w:rPr>
                <w:rFonts w:ascii="Times New Roman" w:hAnsi="Times New Roman" w:cs="Times New Roman" w:eastAsia="Times New Roman" w:hint="default"/>
                <w:sz w:val="21"/>
                <w:szCs w:val="21"/>
              </w:rPr>
            </w:pPr>
            <w:r>
              <w:rPr>
                <w:rFonts w:ascii="Times New Roman"/>
                <w:sz w:val="21"/>
              </w:rPr>
              <w:t>375,212</w:t>
            </w:r>
          </w:p>
        </w:tc>
      </w:tr>
      <w:tr>
        <w:trPr>
          <w:trHeight w:val="730"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12"/>
                <w:sz w:val="21"/>
                <w:szCs w:val="21"/>
              </w:rPr>
              <w:t>上述股东关联关系或一致行动的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说明</w:t>
            </w:r>
          </w:p>
        </w:tc>
        <w:tc>
          <w:tcPr>
            <w:tcW w:w="5852"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3"/>
                <w:sz w:val="21"/>
                <w:szCs w:val="21"/>
              </w:rPr>
              <w:t>公司未知前十名无限售条件股东是否存在关联关系或一致行</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动情况。</w:t>
            </w:r>
          </w:p>
        </w:tc>
      </w:tr>
      <w:tr>
        <w:trPr>
          <w:trHeight w:val="730" w:hRule="exact"/>
        </w:trPr>
        <w:tc>
          <w:tcPr>
            <w:tcW w:w="336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pacing w:val="12"/>
                <w:sz w:val="21"/>
                <w:szCs w:val="21"/>
              </w:rPr>
              <w:t>表决权恢复的优先股股东及持股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数量的说明</w:t>
            </w:r>
          </w:p>
        </w:tc>
        <w:tc>
          <w:tcPr>
            <w:tcW w:w="58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公司无优先股。</w:t>
            </w: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left="2797" w:right="0"/>
        <w:jc w:val="left"/>
      </w:pPr>
      <w:r>
        <w:rPr/>
        <w:t>前十名有限售条件股东持股数量及限售条件</w:t>
      </w:r>
    </w:p>
    <w:p>
      <w:pPr>
        <w:pStyle w:val="BodyText"/>
        <w:spacing w:line="240" w:lineRule="auto" w:before="37"/>
        <w:ind w:left="0" w:right="330"/>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260" w:type="dxa"/>
        <w:tblLayout w:type="fixed"/>
        <w:tblCellMar>
          <w:top w:w="0" w:type="dxa"/>
          <w:left w:w="0" w:type="dxa"/>
          <w:bottom w:w="0" w:type="dxa"/>
          <w:right w:w="0" w:type="dxa"/>
        </w:tblCellMar>
        <w:tblLook w:val="01E0"/>
      </w:tblPr>
      <w:tblGrid>
        <w:gridCol w:w="646"/>
        <w:gridCol w:w="2221"/>
        <w:gridCol w:w="1863"/>
        <w:gridCol w:w="1421"/>
        <w:gridCol w:w="1875"/>
        <w:gridCol w:w="1135"/>
      </w:tblGrid>
      <w:tr>
        <w:trPr>
          <w:trHeight w:val="324" w:hRule="exact"/>
        </w:trPr>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2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863" w:type="dxa"/>
            <w:vMerge w:val="restart"/>
            <w:tcBorders>
              <w:top w:val="single" w:sz="4" w:space="0" w:color="000000"/>
              <w:left w:val="single" w:sz="4" w:space="0" w:color="000000"/>
              <w:right w:val="single" w:sz="4" w:space="0" w:color="000000"/>
            </w:tcBorders>
          </w:tcPr>
          <w:p>
            <w:pPr>
              <w:pStyle w:val="TableParagraph"/>
              <w:spacing w:line="273" w:lineRule="auto" w:before="150"/>
              <w:ind w:left="400" w:right="187" w:hanging="212"/>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3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0"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34" w:hRule="exact"/>
        </w:trPr>
        <w:tc>
          <w:tcPr>
            <w:tcW w:w="646" w:type="dxa"/>
            <w:vMerge/>
            <w:tcBorders>
              <w:left w:val="single" w:sz="4" w:space="0" w:color="000000"/>
              <w:bottom w:val="single" w:sz="4" w:space="0" w:color="000000"/>
              <w:right w:val="single" w:sz="4" w:space="0" w:color="000000"/>
            </w:tcBorders>
          </w:tcPr>
          <w:p>
            <w:pPr/>
          </w:p>
        </w:tc>
        <w:tc>
          <w:tcPr>
            <w:tcW w:w="2221" w:type="dxa"/>
            <w:vMerge/>
            <w:tcBorders>
              <w:left w:val="single" w:sz="4" w:space="0" w:color="000000"/>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94" w:right="175" w:hanging="315"/>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1" w:right="192" w:hanging="315"/>
              <w:jc w:val="left"/>
              <w:rPr>
                <w:rFonts w:ascii="宋体" w:hAnsi="宋体" w:cs="宋体" w:eastAsia="宋体" w:hint="default"/>
                <w:sz w:val="21"/>
                <w:szCs w:val="21"/>
              </w:rPr>
            </w:pPr>
            <w:r>
              <w:rPr>
                <w:rFonts w:ascii="宋体" w:hAnsi="宋体" w:cs="宋体" w:eastAsia="宋体" w:hint="default"/>
                <w:sz w:val="21"/>
                <w:szCs w:val="21"/>
              </w:rPr>
              <w:t>新增可上市交易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c>
          <w:tcPr>
            <w:tcW w:w="1135" w:type="dxa"/>
            <w:vMerge/>
            <w:tcBorders>
              <w:left w:val="single" w:sz="4" w:space="0" w:color="000000"/>
              <w:bottom w:val="single" w:sz="4" w:space="0" w:color="000000"/>
              <w:right w:val="single" w:sz="4" w:space="0" w:color="000000"/>
            </w:tcBorders>
          </w:tcPr>
          <w:p>
            <w:pPr/>
          </w:p>
        </w:tc>
      </w:tr>
      <w:tr>
        <w:trPr>
          <w:trHeight w:val="355"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3" w:right="0"/>
              <w:jc w:val="left"/>
              <w:rPr>
                <w:rFonts w:ascii="Times New Roman" w:hAnsi="Times New Roman" w:cs="Times New Roman" w:eastAsia="Times New Roman" w:hint="default"/>
                <w:sz w:val="21"/>
                <w:szCs w:val="21"/>
              </w:rPr>
            </w:pPr>
            <w:r>
              <w:rPr>
                <w:rFonts w:ascii="Times New Roman"/>
                <w:sz w:val="21"/>
              </w:rPr>
              <w:t>57,404,250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2" w:right="0"/>
              <w:jc w:val="left"/>
              <w:rPr>
                <w:rFonts w:ascii="Times New Roman" w:hAnsi="Times New Roman" w:cs="Times New Roman" w:eastAsia="Times New Roman" w:hint="default"/>
                <w:sz w:val="21"/>
                <w:szCs w:val="21"/>
              </w:rPr>
            </w:pPr>
            <w:r>
              <w:rPr>
                <w:rFonts w:ascii="Times New Roman"/>
                <w:sz w:val="21"/>
              </w:rPr>
              <w:t>2017.12.30</w:t>
            </w:r>
          </w:p>
        </w:tc>
        <w:tc>
          <w:tcPr>
            <w:tcW w:w="18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首发上市</w:t>
            </w:r>
          </w:p>
        </w:tc>
      </w:tr>
    </w:tbl>
    <w:p>
      <w:pPr>
        <w:spacing w:after="0" w:line="262" w:lineRule="exact"/>
        <w:jc w:val="left"/>
        <w:rPr>
          <w:rFonts w:ascii="宋体" w:hAnsi="宋体" w:cs="宋体" w:eastAsia="宋体" w:hint="default"/>
          <w:sz w:val="21"/>
          <w:szCs w:val="21"/>
        </w:rPr>
        <w:sectPr>
          <w:pgSz w:w="11910" w:h="16840"/>
          <w:pgMar w:header="0" w:footer="974" w:top="1120" w:bottom="1160" w:left="142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866"/>
        <w:gridCol w:w="6294"/>
      </w:tblGrid>
      <w:tr>
        <w:trPr>
          <w:trHeight w:val="63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6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9"/>
        <w:rPr>
          <w:rFonts w:ascii="宋体" w:hAnsi="宋体" w:cs="宋体" w:eastAsia="宋体" w:hint="default"/>
          <w:sz w:val="24"/>
          <w:szCs w:val="24"/>
        </w:rPr>
      </w:pPr>
    </w:p>
    <w:p>
      <w:pPr>
        <w:pStyle w:val="Heading2"/>
        <w:spacing w:line="240" w:lineRule="auto" w:before="36"/>
        <w:ind w:right="1258"/>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95" w:lineRule="auto" w:before="97"/>
        <w:ind w:right="74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自然人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吴志雄</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81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98"/>
              <w:jc w:val="both"/>
              <w:rPr>
                <w:rFonts w:ascii="宋体" w:hAnsi="宋体" w:cs="宋体" w:eastAsia="宋体" w:hint="default"/>
                <w:sz w:val="21"/>
                <w:szCs w:val="21"/>
              </w:rPr>
            </w:pPr>
            <w:r>
              <w:rPr>
                <w:rFonts w:ascii="宋体" w:hAnsi="宋体" w:cs="宋体" w:eastAsia="宋体" w:hint="default"/>
                <w:spacing w:val="-2"/>
                <w:sz w:val="21"/>
                <w:szCs w:val="21"/>
              </w:rPr>
              <w:t>公司董事长兼总经理；万石控股集团有限公司、北京万石资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产管理有限公司、福建万石股权投资有限公司、福建万石恒</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信资产管理有限公司、福建新微、新疆新微房地产开发有限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公司、福建泰宁县金湖乡榭旅游置业发展有限公司、福建冠</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恒华威股权投资有限公司执行董事。</w:t>
            </w:r>
          </w:p>
        </w:tc>
      </w:tr>
    </w:tbl>
    <w:p>
      <w:pPr>
        <w:spacing w:line="240" w:lineRule="auto" w:before="9"/>
        <w:rPr>
          <w:rFonts w:ascii="宋体" w:hAnsi="宋体" w:cs="宋体" w:eastAsia="宋体" w:hint="default"/>
          <w:b/>
          <w:bCs/>
          <w:sz w:val="24"/>
          <w:szCs w:val="24"/>
        </w:rPr>
      </w:pPr>
    </w:p>
    <w:p>
      <w:pPr>
        <w:pStyle w:val="Heading2"/>
        <w:tabs>
          <w:tab w:pos="637" w:val="left" w:leader="none"/>
        </w:tabs>
        <w:spacing w:line="372" w:lineRule="auto" w:before="36"/>
        <w:ind w:left="638" w:right="5371" w:hanging="420"/>
        <w:jc w:val="left"/>
        <w:rPr>
          <w:rFonts w:ascii="宋体" w:hAnsi="宋体" w:cs="宋体" w:eastAsia="宋体" w:hint="default"/>
          <w:b w:val="0"/>
          <w:bCs w:val="0"/>
        </w:rPr>
      </w:pPr>
      <w:r>
        <w:rPr>
          <w:rFonts w:ascii="宋体" w:hAnsi="宋体" w:cs="宋体" w:eastAsia="宋体" w:hint="default"/>
          <w:w w:val="95"/>
        </w:rPr>
        <w:t>2</w:t>
        <w:tab/>
      </w:r>
      <w:r>
        <w:rPr>
          <w:spacing w:val="-1"/>
        </w:rPr>
        <w:t>公司不存在控股股东情况的特别说明</w:t>
      </w:r>
      <w:r>
        <w:rPr>
          <w:spacing w:val="-90"/>
        </w:rPr>
        <w:t> </w:t>
      </w:r>
      <w:r>
        <w:rPr>
          <w:spacing w:val="-90"/>
        </w:rPr>
      </w:r>
      <w:r>
        <w:rPr>
          <w:rFonts w:ascii="宋体" w:hAnsi="宋体" w:cs="宋体" w:eastAsia="宋体" w:hint="default"/>
          <w:b w:val="0"/>
          <w:bCs w:val="0"/>
        </w:rPr>
        <w:t>不适用。</w:t>
      </w:r>
    </w:p>
    <w:p>
      <w:pPr>
        <w:spacing w:line="240" w:lineRule="auto" w:before="12"/>
        <w:rPr>
          <w:rFonts w:ascii="宋体" w:hAnsi="宋体" w:cs="宋体" w:eastAsia="宋体" w:hint="default"/>
          <w:sz w:val="21"/>
          <w:szCs w:val="21"/>
        </w:rPr>
      </w:pPr>
    </w:p>
    <w:p>
      <w:pPr>
        <w:pStyle w:val="Heading2"/>
        <w:tabs>
          <w:tab w:pos="637" w:val="left" w:leader="none"/>
        </w:tabs>
        <w:spacing w:line="372" w:lineRule="auto"/>
        <w:ind w:left="638" w:right="5160" w:hanging="420"/>
        <w:jc w:val="left"/>
        <w:rPr>
          <w:rFonts w:ascii="宋体" w:hAnsi="宋体" w:cs="宋体" w:eastAsia="宋体" w:hint="default"/>
          <w:b w:val="0"/>
          <w:bCs w:val="0"/>
        </w:rPr>
      </w:pPr>
      <w:r>
        <w:rPr>
          <w:rFonts w:ascii="宋体" w:hAnsi="宋体" w:cs="宋体" w:eastAsia="宋体" w:hint="default"/>
          <w:w w:val="95"/>
        </w:rPr>
        <w:t>3</w:t>
        <w:tab/>
      </w:r>
      <w:r>
        <w:rPr>
          <w:spacing w:val="-1"/>
        </w:rPr>
        <w:t>报告期内控股股东变更情况索引及日期</w:t>
      </w:r>
      <w:r>
        <w:rPr>
          <w:spacing w:val="-89"/>
        </w:rPr>
        <w:t> </w:t>
      </w:r>
      <w:r>
        <w:rPr>
          <w:spacing w:val="-89"/>
        </w:rPr>
      </w:r>
      <w:r>
        <w:rPr>
          <w:rFonts w:ascii="宋体" w:hAnsi="宋体" w:cs="宋体" w:eastAsia="宋体" w:hint="default"/>
          <w:b w:val="0"/>
          <w:bCs w:val="0"/>
        </w:rPr>
        <w:t>无。</w:t>
      </w:r>
    </w:p>
    <w:p>
      <w:pPr>
        <w:spacing w:line="240" w:lineRule="auto" w:before="12"/>
        <w:rPr>
          <w:rFonts w:ascii="宋体" w:hAnsi="宋体" w:cs="宋体" w:eastAsia="宋体" w:hint="default"/>
          <w:sz w:val="21"/>
          <w:szCs w:val="21"/>
        </w:rPr>
      </w:pPr>
    </w:p>
    <w:p>
      <w:pPr>
        <w:pStyle w:val="Heading2"/>
        <w:tabs>
          <w:tab w:pos="637" w:val="left" w:leader="none"/>
        </w:tabs>
        <w:spacing w:line="240" w:lineRule="auto"/>
        <w:ind w:right="1258"/>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7"/>
        <w:rPr>
          <w:rFonts w:ascii="宋体" w:hAnsi="宋体" w:cs="宋体" w:eastAsia="宋体" w:hint="default"/>
          <w:b/>
          <w:bCs/>
          <w:sz w:val="11"/>
          <w:szCs w:val="11"/>
        </w:rPr>
      </w:pPr>
    </w:p>
    <w:p>
      <w:pPr>
        <w:spacing w:line="3361" w:lineRule="exact"/>
        <w:ind w:left="1944"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432436" cy="213474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0" cstate="print"/>
                    <a:stretch>
                      <a:fillRect/>
                    </a:stretch>
                  </pic:blipFill>
                  <pic:spPr>
                    <a:xfrm>
                      <a:off x="0" y="0"/>
                      <a:ext cx="3432436" cy="2134743"/>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1"/>
        <w:rPr>
          <w:rFonts w:ascii="宋体" w:hAnsi="宋体" w:cs="宋体" w:eastAsia="宋体" w:hint="default"/>
          <w:b/>
          <w:bCs/>
          <w:sz w:val="29"/>
          <w:szCs w:val="29"/>
        </w:rPr>
      </w:pPr>
    </w:p>
    <w:p>
      <w:pPr>
        <w:pStyle w:val="Heading2"/>
        <w:tabs>
          <w:tab w:pos="642" w:val="left" w:leader="none"/>
        </w:tabs>
        <w:spacing w:line="295" w:lineRule="auto"/>
        <w:ind w:right="72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自然人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40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吴志雄</w:t>
            </w:r>
          </w:p>
        </w:tc>
      </w:tr>
      <w:tr>
        <w:trPr>
          <w:trHeight w:val="408"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40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0" w:footer="974" w:top="1120" w:bottom="1160" w:left="1580" w:right="9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181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98"/>
              <w:jc w:val="both"/>
              <w:rPr>
                <w:rFonts w:ascii="宋体" w:hAnsi="宋体" w:cs="宋体" w:eastAsia="宋体" w:hint="default"/>
                <w:sz w:val="21"/>
                <w:szCs w:val="21"/>
              </w:rPr>
            </w:pPr>
            <w:r>
              <w:rPr>
                <w:rFonts w:ascii="宋体" w:hAnsi="宋体" w:cs="宋体" w:eastAsia="宋体" w:hint="default"/>
                <w:spacing w:val="-3"/>
                <w:sz w:val="21"/>
                <w:szCs w:val="21"/>
              </w:rPr>
              <w:t>公司董事长兼总经理；万石控股集团有限公司、北京万石资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产管理有限公司、福建万石股权投资有限公司、福建万石恒</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信资产管理有限公司、福建新微、新疆新微房地产开发有限</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3"/>
                <w:sz w:val="21"/>
                <w:szCs w:val="21"/>
              </w:rPr>
              <w:t>公司、福建泰宁县金湖乡榭旅游置业发展有限公司、福建冠</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恒华威股权投资有限公司执行董事。</w:t>
            </w:r>
          </w:p>
        </w:tc>
      </w:tr>
      <w:tr>
        <w:trPr>
          <w:trHeight w:val="73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9"/>
        <w:rPr>
          <w:rFonts w:ascii="宋体" w:hAnsi="宋体" w:cs="宋体" w:eastAsia="宋体" w:hint="default"/>
          <w:b/>
          <w:bCs/>
          <w:sz w:val="24"/>
          <w:szCs w:val="24"/>
        </w:rPr>
      </w:pPr>
    </w:p>
    <w:p>
      <w:pPr>
        <w:pStyle w:val="Heading2"/>
        <w:tabs>
          <w:tab w:pos="642" w:val="left" w:leader="none"/>
        </w:tabs>
        <w:spacing w:line="374" w:lineRule="auto" w:before="36"/>
        <w:ind w:left="638" w:right="5055" w:hanging="420"/>
        <w:jc w:val="left"/>
        <w:rPr>
          <w:rFonts w:ascii="宋体" w:hAnsi="宋体" w:cs="宋体" w:eastAsia="宋体" w:hint="default"/>
          <w:b w:val="0"/>
          <w:bCs w:val="0"/>
        </w:rPr>
      </w:pPr>
      <w:r>
        <w:rPr>
          <w:rFonts w:ascii="宋体" w:hAnsi="宋体" w:cs="宋体" w:eastAsia="宋体" w:hint="default"/>
          <w:w w:val="95"/>
        </w:rPr>
        <w:t>2</w:t>
        <w:tab/>
        <w:tab/>
      </w:r>
      <w:r>
        <w:rPr>
          <w:spacing w:val="-1"/>
        </w:rPr>
        <w:t>公司不存在实际控制人情况的特别说明</w:t>
      </w:r>
      <w:r>
        <w:rPr>
          <w:spacing w:val="-89"/>
        </w:rPr>
        <w:t> </w:t>
      </w:r>
      <w:r>
        <w:rPr>
          <w:spacing w:val="-89"/>
        </w:rPr>
      </w:r>
      <w:r>
        <w:rPr>
          <w:rFonts w:ascii="宋体" w:hAnsi="宋体" w:cs="宋体" w:eastAsia="宋体" w:hint="default"/>
          <w:b w:val="0"/>
          <w:bCs w:val="0"/>
        </w:rPr>
        <w:t>不适用。</w:t>
      </w:r>
    </w:p>
    <w:p>
      <w:pPr>
        <w:spacing w:line="240" w:lineRule="auto" w:before="10"/>
        <w:rPr>
          <w:rFonts w:ascii="宋体" w:hAnsi="宋体" w:cs="宋体" w:eastAsia="宋体" w:hint="default"/>
          <w:sz w:val="21"/>
          <w:szCs w:val="21"/>
        </w:rPr>
      </w:pPr>
    </w:p>
    <w:p>
      <w:pPr>
        <w:pStyle w:val="Heading2"/>
        <w:tabs>
          <w:tab w:pos="642" w:val="left" w:leader="none"/>
        </w:tabs>
        <w:spacing w:line="372" w:lineRule="auto"/>
        <w:ind w:left="638" w:right="4844" w:hanging="420"/>
        <w:jc w:val="left"/>
        <w:rPr>
          <w:rFonts w:ascii="宋体" w:hAnsi="宋体" w:cs="宋体" w:eastAsia="宋体" w:hint="default"/>
          <w:b w:val="0"/>
          <w:bCs w:val="0"/>
        </w:rPr>
      </w:pPr>
      <w:r>
        <w:rPr>
          <w:rFonts w:ascii="宋体" w:hAnsi="宋体" w:cs="宋体" w:eastAsia="宋体" w:hint="default"/>
          <w:w w:val="95"/>
        </w:rPr>
        <w:t>3</w:t>
        <w:tab/>
        <w:tab/>
      </w:r>
      <w:r>
        <w:rPr>
          <w:spacing w:val="-1"/>
        </w:rPr>
        <w:t>报告期内实际控制人变更情况索引及日期</w:t>
      </w:r>
      <w:r>
        <w:rPr>
          <w:spacing w:val="-87"/>
        </w:rPr>
        <w:t> </w:t>
      </w:r>
      <w:r>
        <w:rPr>
          <w:spacing w:val="-87"/>
        </w:rPr>
      </w:r>
      <w:r>
        <w:rPr>
          <w:rFonts w:ascii="宋体" w:hAnsi="宋体" w:cs="宋体" w:eastAsia="宋体" w:hint="default"/>
          <w:b w:val="0"/>
          <w:bCs w:val="0"/>
        </w:rPr>
        <w:t>不适用。</w:t>
      </w:r>
    </w:p>
    <w:p>
      <w:pPr>
        <w:spacing w:line="240" w:lineRule="auto" w:before="12"/>
        <w:rPr>
          <w:rFonts w:ascii="宋体" w:hAnsi="宋体" w:cs="宋体" w:eastAsia="宋体" w:hint="default"/>
          <w:sz w:val="21"/>
          <w:szCs w:val="21"/>
        </w:rPr>
      </w:pPr>
    </w:p>
    <w:p>
      <w:pPr>
        <w:pStyle w:val="Heading2"/>
        <w:tabs>
          <w:tab w:pos="642" w:val="left" w:leader="none"/>
        </w:tabs>
        <w:spacing w:line="240" w:lineRule="auto"/>
        <w:ind w:right="227"/>
        <w:jc w:val="left"/>
        <w:rPr>
          <w:b w:val="0"/>
          <w:bCs w:val="0"/>
        </w:rPr>
      </w:pPr>
      <w:r>
        <w:rPr>
          <w:rFonts w:ascii="宋体" w:hAnsi="宋体" w:cs="宋体" w:eastAsia="宋体" w:hint="default"/>
          <w:w w:val="95"/>
        </w:rPr>
        <w:t>4</w:t>
        <w:tab/>
      </w:r>
      <w:r>
        <w:rPr/>
        <w:t>公司与实际控制人之间的产权及控制关系的方框图</w:t>
      </w:r>
      <w:r>
        <w:rPr>
          <w:b w:val="0"/>
          <w:bCs w:val="0"/>
        </w:rPr>
      </w:r>
    </w:p>
    <w:p>
      <w:pPr>
        <w:spacing w:line="240" w:lineRule="auto" w:before="1"/>
        <w:rPr>
          <w:rFonts w:ascii="宋体" w:hAnsi="宋体" w:cs="宋体" w:eastAsia="宋体" w:hint="default"/>
          <w:b/>
          <w:bCs/>
          <w:sz w:val="15"/>
          <w:szCs w:val="15"/>
        </w:rPr>
      </w:pPr>
    </w:p>
    <w:p>
      <w:pPr>
        <w:spacing w:line="3232" w:lineRule="exact"/>
        <w:ind w:left="2016"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300363" cy="2052637"/>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30" cstate="print"/>
                    <a:stretch>
                      <a:fillRect/>
                    </a:stretch>
                  </pic:blipFill>
                  <pic:spPr>
                    <a:xfrm>
                      <a:off x="0" y="0"/>
                      <a:ext cx="3300363" cy="2052637"/>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2"/>
        <w:tabs>
          <w:tab w:pos="642" w:val="left" w:leader="none"/>
        </w:tabs>
        <w:spacing w:line="374" w:lineRule="auto"/>
        <w:ind w:left="638" w:right="4002" w:hanging="420"/>
        <w:jc w:val="left"/>
        <w:rPr>
          <w:rFonts w:ascii="宋体" w:hAnsi="宋体" w:cs="宋体" w:eastAsia="宋体" w:hint="default"/>
          <w:b w:val="0"/>
          <w:bCs w:val="0"/>
        </w:rPr>
      </w:pPr>
      <w:r>
        <w:rPr>
          <w:rFonts w:ascii="宋体" w:hAnsi="宋体" w:cs="宋体" w:eastAsia="宋体" w:hint="default"/>
          <w:w w:val="95"/>
        </w:rPr>
        <w:t>5</w:t>
        <w:tab/>
        <w:tab/>
      </w:r>
      <w:r>
        <w:rPr>
          <w:spacing w:val="-1"/>
        </w:rPr>
        <w:t>实际控制人通过信托或其他资产管理方式控制公司</w:t>
      </w:r>
      <w:r>
        <w:rPr>
          <w:spacing w:val="-85"/>
        </w:rPr>
        <w:t> </w:t>
      </w:r>
      <w:r>
        <w:rPr>
          <w:spacing w:val="-85"/>
        </w:rPr>
      </w:r>
      <w:r>
        <w:rPr>
          <w:rFonts w:ascii="宋体" w:hAnsi="宋体" w:cs="宋体" w:eastAsia="宋体" w:hint="default"/>
          <w:b w:val="0"/>
          <w:bCs w:val="0"/>
        </w:rPr>
        <w:t>不适用。</w:t>
      </w:r>
    </w:p>
    <w:p>
      <w:pPr>
        <w:spacing w:line="240" w:lineRule="auto" w:before="10"/>
        <w:rPr>
          <w:rFonts w:ascii="宋体" w:hAnsi="宋体" w:cs="宋体" w:eastAsia="宋体" w:hint="default"/>
          <w:sz w:val="21"/>
          <w:szCs w:val="21"/>
        </w:rPr>
      </w:pPr>
    </w:p>
    <w:p>
      <w:pPr>
        <w:pStyle w:val="Heading2"/>
        <w:spacing w:line="340" w:lineRule="auto"/>
        <w:ind w:left="638" w:right="5257" w:hanging="42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w w:val="100"/>
        </w:rPr>
        <w:t> </w:t>
      </w:r>
      <w:r>
        <w:rPr>
          <w:rFonts w:ascii="宋体" w:hAnsi="宋体" w:cs="宋体" w:eastAsia="宋体" w:hint="default"/>
          <w:b w:val="0"/>
          <w:bCs w:val="0"/>
        </w:rPr>
        <w:t>无。</w:t>
      </w:r>
    </w:p>
    <w:p>
      <w:pPr>
        <w:spacing w:line="240" w:lineRule="auto" w:before="13"/>
        <w:rPr>
          <w:rFonts w:ascii="宋体" w:hAnsi="宋体" w:cs="宋体" w:eastAsia="宋体" w:hint="default"/>
          <w:sz w:val="23"/>
          <w:szCs w:val="23"/>
        </w:rPr>
      </w:pPr>
    </w:p>
    <w:p>
      <w:pPr>
        <w:pStyle w:val="Heading2"/>
        <w:spacing w:line="240" w:lineRule="auto"/>
        <w:ind w:right="227"/>
        <w:jc w:val="left"/>
        <w:rPr>
          <w:b w:val="0"/>
          <w:bCs w:val="0"/>
        </w:rPr>
      </w:pPr>
      <w:r>
        <w:rPr/>
        <w:t>五、</w:t>
      </w:r>
      <w:r>
        <w:rPr>
          <w:spacing w:val="-77"/>
        </w:rPr>
        <w:t> </w:t>
      </w:r>
      <w:r>
        <w:rPr/>
        <w:t>股份限制减持情况说明</w:t>
      </w:r>
      <w:r>
        <w:rPr>
          <w:b w:val="0"/>
          <w:bCs w:val="0"/>
        </w:rPr>
      </w:r>
    </w:p>
    <w:p>
      <w:pPr>
        <w:pStyle w:val="BodyText"/>
        <w:spacing w:line="240" w:lineRule="auto" w:before="97"/>
        <w:ind w:left="218" w:right="227"/>
        <w:jc w:val="left"/>
      </w:pPr>
      <w:r>
        <w:rPr/>
        <w:t>√适用□不适用</w:t>
      </w:r>
    </w:p>
    <w:p>
      <w:pPr>
        <w:pStyle w:val="BodyText"/>
        <w:spacing w:line="240" w:lineRule="auto" w:before="92"/>
        <w:ind w:left="638"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日，公司首次公开发行</w:t>
      </w:r>
      <w:r>
        <w:rPr>
          <w:spacing w:val="-45"/>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股股票完成后总股本为</w:t>
      </w:r>
      <w:r>
        <w:rPr>
          <w:spacing w:val="-4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8"/>
        </w:rPr>
        <w:t> </w:t>
      </w:r>
      <w:r>
        <w:rPr/>
        <w:t>万股，其中无限售</w:t>
      </w:r>
    </w:p>
    <w:p>
      <w:pPr>
        <w:pStyle w:val="BodyText"/>
        <w:spacing w:line="240" w:lineRule="auto" w:before="69"/>
        <w:ind w:left="218" w:right="227"/>
        <w:jc w:val="left"/>
      </w:pPr>
      <w:r>
        <w:rPr/>
        <w:t>条件流通股</w:t>
      </w:r>
      <w:r>
        <w:rPr>
          <w:spacing w:val="-53"/>
        </w:rPr>
        <w:t> </w:t>
      </w:r>
      <w:r>
        <w:rPr>
          <w:rFonts w:ascii="Times New Roman" w:hAnsi="Times New Roman" w:cs="Times New Roman" w:eastAsia="Times New Roman" w:hint="default"/>
        </w:rPr>
        <w:t>2,500 </w:t>
      </w:r>
      <w:r>
        <w:rPr/>
        <w:t>万股，有限售条件流通股</w:t>
      </w:r>
      <w:r>
        <w:rPr>
          <w:spacing w:val="-52"/>
        </w:rPr>
        <w:t> </w:t>
      </w:r>
      <w:r>
        <w:rPr>
          <w:rFonts w:ascii="Times New Roman" w:hAnsi="Times New Roman" w:cs="Times New Roman" w:eastAsia="Times New Roman" w:hint="default"/>
        </w:rPr>
        <w:t>7,500</w:t>
      </w:r>
      <w:r>
        <w:rPr>
          <w:rFonts w:ascii="Times New Roman" w:hAnsi="Times New Roman" w:cs="Times New Roman" w:eastAsia="Times New Roman" w:hint="default"/>
          <w:spacing w:val="-3"/>
        </w:rPr>
        <w:t> </w:t>
      </w:r>
      <w:r>
        <w:rPr/>
        <w:t>万股。</w:t>
      </w:r>
    </w:p>
    <w:p>
      <w:pPr>
        <w:pStyle w:val="BodyText"/>
        <w:spacing w:line="240" w:lineRule="auto" w:before="69"/>
        <w:ind w:left="638" w:right="0"/>
        <w:jc w:val="left"/>
      </w:pPr>
      <w:r>
        <w:rPr>
          <w:rFonts w:ascii="Times New Roman" w:hAnsi="Times New Roman" w:cs="Times New Roman" w:eastAsia="Times New Roman" w:hint="default"/>
        </w:rPr>
        <w:t>1</w:t>
      </w:r>
      <w:r>
        <w:rPr/>
        <w:t>、控股股东及实际控制人吴志雄承诺：自公司上市之日起</w:t>
      </w:r>
      <w:r>
        <w:rPr>
          <w:spacing w:val="-51"/>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个月内不转让其所持有的公司</w:t>
      </w:r>
    </w:p>
    <w:p>
      <w:pPr>
        <w:pStyle w:val="BodyText"/>
        <w:spacing w:line="240" w:lineRule="auto" w:before="69"/>
        <w:ind w:left="218" w:right="0"/>
        <w:jc w:val="left"/>
      </w:pPr>
      <w:r>
        <w:rPr>
          <w:spacing w:val="-4"/>
        </w:rPr>
        <w:t>股份；其所持股份在锁定期满后两年内减持的，减持价格不低于发行价；在锁定期满后的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3"/>
        </w:rPr>
        <w:t>个月</w:t>
      </w:r>
      <w:r>
        <w:rPr/>
      </w:r>
    </w:p>
    <w:p>
      <w:pPr>
        <w:spacing w:after="0" w:line="240" w:lineRule="auto"/>
        <w:jc w:val="left"/>
        <w:sectPr>
          <w:pgSz w:w="11910" w:h="16840"/>
          <w:pgMar w:header="0" w:footer="974" w:top="1120" w:bottom="1160" w:left="1580" w:right="1040"/>
        </w:sectPr>
      </w:pPr>
    </w:p>
    <w:p>
      <w:pPr>
        <w:spacing w:line="240" w:lineRule="auto" w:before="0"/>
        <w:rPr>
          <w:rFonts w:ascii="宋体" w:hAnsi="宋体" w:cs="宋体" w:eastAsia="宋体" w:hint="default"/>
          <w:sz w:val="20"/>
          <w:szCs w:val="20"/>
        </w:rPr>
      </w:pPr>
    </w:p>
    <w:p>
      <w:pPr>
        <w:pStyle w:val="BodyText"/>
        <w:spacing w:line="297" w:lineRule="auto" w:before="182"/>
        <w:ind w:right="0"/>
        <w:jc w:val="left"/>
      </w:pPr>
      <w:r>
        <w:rPr>
          <w:spacing w:val="-2"/>
        </w:rPr>
        <w:t>内，在不影响控股地位的前提下，减持股份数量不超过其持有公司股份总数的</w:t>
      </w:r>
      <w:r>
        <w:rPr/>
        <w:t> </w:t>
      </w:r>
      <w:r>
        <w:rPr>
          <w:rFonts w:ascii="Times New Roman" w:hAnsi="Times New Roman" w:cs="Times New Roman" w:eastAsia="Times New Roman" w:hint="default"/>
          <w:spacing w:val="-2"/>
        </w:rPr>
        <w:t>10%</w:t>
      </w:r>
      <w:r>
        <w:rPr>
          <w:spacing w:val="-2"/>
        </w:rPr>
        <w:t>；锁定期满后</w:t>
      </w:r>
      <w:r>
        <w:rPr>
          <w:spacing w:val="-85"/>
        </w:rPr>
        <w:t> </w:t>
      </w:r>
      <w:r>
        <w:rPr>
          <w:spacing w:val="-85"/>
        </w:rPr>
      </w:r>
      <w:r>
        <w:rPr/>
        <w:t>的</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个月内，减持股份数量累计不超过其持有公司股份总数的</w:t>
      </w:r>
      <w:r>
        <w:rPr>
          <w:spacing w:val="-54"/>
        </w:rPr>
        <w:t> </w:t>
      </w:r>
      <w:r>
        <w:rPr>
          <w:rFonts w:ascii="Times New Roman" w:hAnsi="Times New Roman" w:cs="Times New Roman" w:eastAsia="Times New Roman" w:hint="default"/>
        </w:rPr>
        <w:t>20%</w:t>
      </w:r>
      <w:r>
        <w:rPr/>
        <w:t>。</w:t>
      </w:r>
    </w:p>
    <w:p>
      <w:pPr>
        <w:pStyle w:val="BodyText"/>
        <w:spacing w:line="240" w:lineRule="auto" w:before="13"/>
        <w:ind w:left="558" w:right="0"/>
        <w:jc w:val="left"/>
      </w:pPr>
      <w:r>
        <w:rPr>
          <w:rFonts w:ascii="Times New Roman" w:hAnsi="Times New Roman" w:cs="Times New Roman" w:eastAsia="Times New Roman" w:hint="default"/>
        </w:rPr>
        <w:t>2</w:t>
      </w:r>
      <w:r>
        <w:rPr/>
        <w:t>、凯信金鹏、德弘嘉业、盈科成长等</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名股东合计持有</w:t>
      </w:r>
      <w:r>
        <w:rPr>
          <w:spacing w:val="-51"/>
        </w:rPr>
        <w:t> </w:t>
      </w:r>
      <w:r>
        <w:rPr>
          <w:rFonts w:ascii="Times New Roman" w:hAnsi="Times New Roman" w:cs="Times New Roman" w:eastAsia="Times New Roman" w:hint="default"/>
        </w:rPr>
        <w:t>17,595,750</w:t>
      </w:r>
      <w:r>
        <w:rPr>
          <w:rFonts w:ascii="Times New Roman" w:hAnsi="Times New Roman" w:cs="Times New Roman" w:eastAsia="Times New Roman" w:hint="default"/>
          <w:spacing w:val="1"/>
        </w:rPr>
        <w:t> </w:t>
      </w:r>
      <w:r>
        <w:rPr/>
        <w:t>股的公司限售股锁定期</w:t>
      </w:r>
    </w:p>
    <w:p>
      <w:pPr>
        <w:pStyle w:val="BodyText"/>
        <w:spacing w:line="240" w:lineRule="auto" w:before="69"/>
        <w:ind w:right="0"/>
        <w:jc w:val="left"/>
      </w:pPr>
      <w:r>
        <w:rPr/>
        <w:t>为自公司上市之日起</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个月，该部分股份已于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日上市流通。</w:t>
      </w:r>
    </w:p>
    <w:p>
      <w:pPr>
        <w:pStyle w:val="BodyText"/>
        <w:spacing w:line="297" w:lineRule="auto" w:before="69"/>
        <w:ind w:right="127" w:firstLine="419"/>
        <w:jc w:val="both"/>
      </w:pPr>
      <w:r>
        <w:rPr>
          <w:rFonts w:ascii="Times New Roman" w:hAnsi="Times New Roman" w:cs="Times New Roman" w:eastAsia="Times New Roman" w:hint="default"/>
        </w:rPr>
        <w:t>3</w:t>
      </w:r>
      <w:r>
        <w:rPr/>
        <w:t>、作为公司持股 </w:t>
      </w:r>
      <w:r>
        <w:rPr>
          <w:rFonts w:ascii="Times New Roman" w:hAnsi="Times New Roman" w:cs="Times New Roman" w:eastAsia="Times New Roman" w:hint="default"/>
        </w:rPr>
        <w:t>5%</w:t>
      </w:r>
      <w:r>
        <w:rPr/>
        <w:t>以上股东，凯信金鹏承诺其所持有的股票在锁定期满后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个月内减持</w:t>
      </w:r>
      <w:r>
        <w:rPr>
          <w:w w:val="100"/>
        </w:rPr>
        <w:t> </w:t>
      </w:r>
      <w:r>
        <w:rPr/>
        <w:t>不超过其所持公司股份总数的 </w:t>
      </w:r>
      <w:r>
        <w:rPr>
          <w:rFonts w:ascii="Times New Roman" w:hAnsi="Times New Roman" w:cs="Times New Roman" w:eastAsia="Times New Roman" w:hint="default"/>
        </w:rPr>
        <w:t>30%</w:t>
      </w:r>
      <w:r>
        <w:rPr/>
        <w:t>；在锁定期满后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t>个月内，累计减持不超过其所持公司股份</w:t>
      </w:r>
      <w:r>
        <w:rPr>
          <w:w w:val="100"/>
        </w:rPr>
        <w:t> </w:t>
      </w:r>
      <w:r>
        <w:rPr/>
        <w:t>总数的</w:t>
      </w:r>
      <w:r>
        <w:rPr>
          <w:spacing w:val="-53"/>
        </w:rPr>
        <w:t> </w:t>
      </w:r>
      <w:r>
        <w:rPr>
          <w:rFonts w:ascii="Times New Roman" w:hAnsi="Times New Roman" w:cs="Times New Roman" w:eastAsia="Times New Roman" w:hint="default"/>
        </w:rPr>
        <w:t>60%</w:t>
      </w:r>
      <w:r>
        <w:rPr/>
        <w:t>。</w:t>
      </w:r>
    </w:p>
    <w:p>
      <w:pPr>
        <w:pStyle w:val="BodyText"/>
        <w:spacing w:line="309" w:lineRule="auto" w:before="13"/>
        <w:ind w:right="128" w:firstLine="419"/>
        <w:jc w:val="both"/>
      </w:pPr>
      <w:r>
        <w:rPr>
          <w:rFonts w:ascii="Times New Roman" w:hAnsi="Times New Roman" w:cs="Times New Roman" w:eastAsia="Times New Roman" w:hint="default"/>
          <w:spacing w:val="-4"/>
        </w:rPr>
        <w:t>4</w:t>
      </w:r>
      <w:r>
        <w:rPr>
          <w:spacing w:val="-4"/>
        </w:rPr>
        <w:t>、公司董事及高级管理人员侯济恭、廖长宝、潘新瑾、吴丽卿、张鹏程、郑金聪承诺，其所</w:t>
      </w:r>
      <w:r>
        <w:rPr>
          <w:w w:val="100"/>
        </w:rPr>
        <w:t> </w:t>
      </w:r>
      <w:r>
        <w:rPr>
          <w:spacing w:val="-1"/>
        </w:rPr>
        <w:t>持股票在两年内减持的，减持价格不低于发行价，在任职公司董事、高级管理人员期间，每年转</w:t>
      </w:r>
      <w:r>
        <w:rPr>
          <w:spacing w:val="-55"/>
        </w:rPr>
        <w:t> </w:t>
      </w:r>
      <w:r>
        <w:rPr>
          <w:spacing w:val="-55"/>
        </w:rPr>
      </w:r>
      <w:r>
        <w:rPr>
          <w:spacing w:val="-1"/>
        </w:rPr>
        <w:t>让的股份不超过所持有的公司股份总数的百分之二十五；在离职后六个月内，不转让持有的公司</w:t>
      </w:r>
      <w:r>
        <w:rPr>
          <w:spacing w:val="-55"/>
        </w:rPr>
        <w:t> </w:t>
      </w:r>
      <w:r>
        <w:rPr>
          <w:spacing w:val="-55"/>
        </w:rPr>
      </w:r>
      <w:r>
        <w:rPr>
          <w:spacing w:val="-1"/>
        </w:rPr>
        <w:t>股份，离职六个月后的十二个月内通过证券交易所挂牌交易出售公司股份不超过其所持有公司股</w:t>
      </w:r>
      <w:r>
        <w:rPr>
          <w:spacing w:val="-55"/>
        </w:rPr>
        <w:t> </w:t>
      </w:r>
      <w:r>
        <w:rPr>
          <w:spacing w:val="-55"/>
        </w:rPr>
      </w:r>
      <w:r>
        <w:rPr/>
        <w:t>份总数的百分之五十。</w:t>
      </w:r>
    </w:p>
    <w:p>
      <w:pPr>
        <w:pStyle w:val="BodyText"/>
        <w:spacing w:line="304" w:lineRule="auto" w:before="24"/>
        <w:ind w:right="128" w:firstLine="419"/>
        <w:jc w:val="both"/>
      </w:pPr>
      <w:r>
        <w:rPr>
          <w:rFonts w:ascii="Times New Roman" w:hAnsi="Times New Roman" w:cs="Times New Roman" w:eastAsia="Times New Roman" w:hint="default"/>
          <w:spacing w:val="-9"/>
          <w:w w:val="100"/>
        </w:rPr>
        <w:t>5</w:t>
      </w:r>
      <w:r>
        <w:rPr>
          <w:spacing w:val="-9"/>
          <w:w w:val="100"/>
        </w:rPr>
        <w:t>、公司监事黄文峰、许辉奇承诺，每年转让不超过其所持有的公司股份总数的百分之二十五；</w:t>
      </w:r>
      <w:r>
        <w:rPr>
          <w:w w:val="100"/>
        </w:rPr>
        <w:t> </w:t>
      </w:r>
      <w:r>
        <w:rPr>
          <w:spacing w:val="-1"/>
        </w:rPr>
        <w:t>在离职后六个月内，不转让其持有的公司股份，在离职六个月后的十二个月内通过证券交易所挂</w:t>
      </w:r>
      <w:r>
        <w:rPr>
          <w:spacing w:val="-55"/>
        </w:rPr>
        <w:t> </w:t>
      </w:r>
      <w:r>
        <w:rPr>
          <w:spacing w:val="-55"/>
        </w:rPr>
      </w:r>
      <w:r>
        <w:rPr/>
        <w:t>牌交易出售公司股份不超过其所持有公司股份总数的百分之五十。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1"/>
        <w:tabs>
          <w:tab w:pos="4199" w:val="left" w:leader="none"/>
        </w:tabs>
        <w:spacing w:line="240" w:lineRule="auto" w:before="0"/>
        <w:ind w:left="2939" w:right="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right="0"/>
        <w:jc w:val="left"/>
      </w:pPr>
      <w:r>
        <w:rPr/>
        <w:t>□适用</w:t>
      </w:r>
      <w:r>
        <w:rPr>
          <w:spacing w:val="-1"/>
        </w:rPr>
        <w:t> </w:t>
      </w:r>
      <w:r>
        <w:rPr/>
        <w:t>√不适用</w:t>
      </w:r>
    </w:p>
    <w:p>
      <w:pPr>
        <w:spacing w:after="0" w:line="240" w:lineRule="auto"/>
        <w:jc w:val="left"/>
        <w:sectPr>
          <w:pgSz w:w="11910" w:h="16840"/>
          <w:pgMar w:header="0" w:footer="974" w:top="1120" w:bottom="116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1"/>
          <w:footerReference w:type="default" r:id="rId32"/>
          <w:pgSz w:w="16840" w:h="11910" w:orient="landscape"/>
          <w:pgMar w:header="880" w:footer="975" w:top="1120" w:bottom="1160" w:left="1300" w:right="1280"/>
          <w:pgNumType w:start="46"/>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160" w:left="1300" w:right="1280"/>
          <w:cols w:num="2" w:equalWidth="0">
            <w:col w:w="6972" w:space="6062"/>
            <w:col w:w="122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8"/>
        <w:gridCol w:w="1699"/>
        <w:gridCol w:w="434"/>
        <w:gridCol w:w="425"/>
        <w:gridCol w:w="1985"/>
        <w:gridCol w:w="2120"/>
        <w:gridCol w:w="1265"/>
        <w:gridCol w:w="1268"/>
        <w:gridCol w:w="1154"/>
        <w:gridCol w:w="698"/>
        <w:gridCol w:w="1359"/>
        <w:gridCol w:w="758"/>
      </w:tblGrid>
      <w:tr>
        <w:trPr>
          <w:trHeight w:val="1645"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8" w:right="103"/>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1" w:right="149"/>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4" w:right="131"/>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16"/>
                <w:sz w:val="21"/>
                <w:szCs w:val="21"/>
              </w:rPr>
              <w:t>报告期内从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6"/>
                <w:sz w:val="21"/>
                <w:szCs w:val="21"/>
              </w:rPr>
              <w:t>公司获得的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税前报酬总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额（元）</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19"/>
                <w:sz w:val="21"/>
                <w:szCs w:val="21"/>
              </w:rPr>
              <w:t> </w:t>
            </w:r>
            <w:r>
              <w:rPr>
                <w:rFonts w:ascii="宋体" w:hAnsi="宋体" w:cs="宋体" w:eastAsia="宋体" w:hint="default"/>
                <w:sz w:val="21"/>
                <w:szCs w:val="21"/>
              </w:rPr>
              <w:t>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19"/>
                <w:sz w:val="21"/>
                <w:szCs w:val="21"/>
              </w:rPr>
              <w:t> </w:t>
            </w:r>
            <w:r>
              <w:rPr>
                <w:rFonts w:ascii="宋体" w:hAnsi="宋体" w:cs="宋体" w:eastAsia="宋体" w:hint="default"/>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19"/>
                <w:sz w:val="21"/>
                <w:szCs w:val="21"/>
              </w:rPr>
              <w:t> </w:t>
            </w:r>
            <w:r>
              <w:rPr>
                <w:rFonts w:ascii="宋体" w:hAnsi="宋体" w:cs="宋体" w:eastAsia="宋体" w:hint="default"/>
                <w:sz w:val="21"/>
                <w:szCs w:val="21"/>
              </w:rPr>
              <w:t>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19"/>
                <w:sz w:val="21"/>
                <w:szCs w:val="21"/>
              </w:rPr>
              <w:t> </w:t>
            </w:r>
            <w:r>
              <w:rPr>
                <w:rFonts w:ascii="宋体" w:hAnsi="宋体" w:cs="宋体" w:eastAsia="宋体" w:hint="default"/>
                <w:sz w:val="21"/>
                <w:szCs w:val="21"/>
              </w:rPr>
              <w:t>方</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获</w:t>
            </w:r>
            <w:r>
              <w:rPr>
                <w:rFonts w:ascii="宋体" w:hAnsi="宋体" w:cs="宋体" w:eastAsia="宋体" w:hint="default"/>
                <w:spacing w:val="19"/>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57,404,250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57,404,250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392,570.00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侯济恭</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210,000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214,800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4,800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233,839.00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279,750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282,550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2,800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218,140.00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205,017.00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2"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21"/>
                <w:szCs w:val="21"/>
              </w:rPr>
            </w:pPr>
            <w:r>
              <w:rPr>
                <w:rFonts w:ascii="Times New Roman"/>
                <w:sz w:val="21"/>
              </w:rPr>
              <w:t>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黄文峰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140,250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140,550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223,436.00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133,790.00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曾文语</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180,890.12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3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24" w:right="209" w:hanging="209"/>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100"/>
                <w:sz w:val="21"/>
                <w:szCs w:val="21"/>
              </w:rPr>
              <w:t> </w:t>
            </w:r>
            <w:r>
              <w:rPr>
                <w:rFonts w:ascii="宋体" w:hAnsi="宋体" w:cs="宋体" w:eastAsia="宋体" w:hint="default"/>
                <w:sz w:val="21"/>
                <w:szCs w:val="21"/>
              </w:rPr>
              <w:t>副总经理</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215,000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216,862.00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2"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张鹏程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21"/>
                <w:szCs w:val="21"/>
              </w:rPr>
            </w:pPr>
            <w:r>
              <w:rPr>
                <w:rFonts w:ascii="Times New Roman"/>
                <w:sz w:val="21"/>
              </w:rPr>
              <w:t>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140,250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140,250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198,099.00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郑金聪</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210,000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172,570.00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160" w:left="1300" w:right="128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848"/>
        <w:gridCol w:w="1699"/>
        <w:gridCol w:w="434"/>
        <w:gridCol w:w="425"/>
        <w:gridCol w:w="1985"/>
        <w:gridCol w:w="2120"/>
        <w:gridCol w:w="1265"/>
        <w:gridCol w:w="1268"/>
        <w:gridCol w:w="1154"/>
        <w:gridCol w:w="698"/>
        <w:gridCol w:w="1359"/>
        <w:gridCol w:w="758"/>
      </w:tblGrid>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许辉奇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28,500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28,800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171,936.00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20,000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增持</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潘新瑾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699,000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699,000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698"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50,420.00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2"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4"/>
              <w:jc w:val="right"/>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59,322,000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59,357,500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35,500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2,577,569.12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w w:val="100"/>
                <w:sz w:val="21"/>
              </w:rPr>
              <w:t>/</w:t>
            </w:r>
          </w:p>
        </w:tc>
      </w:tr>
    </w:tbl>
    <w:p>
      <w:pPr>
        <w:spacing w:line="240" w:lineRule="auto" w:before="10"/>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0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both"/>
              <w:rPr>
                <w:rFonts w:ascii="宋体" w:hAnsi="宋体" w:cs="宋体" w:eastAsia="宋体" w:hint="default"/>
                <w:sz w:val="21"/>
                <w:szCs w:val="21"/>
              </w:rPr>
            </w:pPr>
            <w:r>
              <w:rPr>
                <w:rFonts w:ascii="宋体" w:hAnsi="宋体" w:cs="宋体" w:eastAsia="宋体" w:hint="default"/>
                <w:sz w:val="21"/>
                <w:szCs w:val="21"/>
              </w:rPr>
              <w:t>历任华福贸易执行董事，香港南威董事长，江西天睿执行董事；现任南威软件董事长兼总经理，万石控股集团有限公司、北京万石资产</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管理有限公司、福建万石股权投资有限公司、福建万石恒信资产管理有限公司、福建新微、新疆新微房地产开发有限公司、福建泰宁县</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金湖乡榭旅游置业发展有限公司、福建冠恒华威股权投资有限公司执行董事。</w:t>
            </w:r>
          </w:p>
        </w:tc>
      </w:tr>
      <w:tr>
        <w:trPr>
          <w:trHeight w:val="37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侯济恭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历任华侨大学计算机学院教师、讲师、副教授、教授，南威软件常务副总经理；现任南威软件董事、技术中心主任。</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廖长宝</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8"/>
              <w:jc w:val="left"/>
              <w:rPr>
                <w:rFonts w:ascii="宋体" w:hAnsi="宋体" w:cs="宋体" w:eastAsia="宋体" w:hint="default"/>
                <w:sz w:val="21"/>
                <w:szCs w:val="21"/>
              </w:rPr>
            </w:pPr>
            <w:r>
              <w:rPr>
                <w:rFonts w:ascii="宋体" w:hAnsi="宋体" w:cs="宋体" w:eastAsia="宋体" w:hint="default"/>
                <w:spacing w:val="-2"/>
                <w:sz w:val="21"/>
                <w:szCs w:val="21"/>
              </w:rPr>
              <w:t>历任福州诺威亚网络有限公司工程师，福建榕基软件股份有限公司售前支持部经理，南威软件技术总监；现任南威软件董事、副总经理。</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 </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年至今历任南威软件售前支持部经理、项目总监；现任南威软件董事、副总经理。</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历任福建省范厝水电厂计财科会计，华侨大学教授；现任南威软件独立董事、华侨大学会计系主任。</w:t>
            </w:r>
          </w:p>
        </w:tc>
      </w:tr>
      <w:tr>
        <w:trPr>
          <w:trHeight w:val="10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2"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both"/>
              <w:rPr>
                <w:rFonts w:ascii="宋体" w:hAnsi="宋体" w:cs="宋体" w:eastAsia="宋体" w:hint="default"/>
                <w:sz w:val="21"/>
                <w:szCs w:val="21"/>
              </w:rPr>
            </w:pPr>
            <w:r>
              <w:rPr>
                <w:rFonts w:ascii="宋体" w:hAnsi="宋体" w:cs="宋体" w:eastAsia="宋体" w:hint="default"/>
                <w:sz w:val="21"/>
                <w:szCs w:val="21"/>
              </w:rPr>
              <w:t>历任电子工业部综合规划司副司长，信息产业部综合规划司副司长，信息产业部综合规划司司长，浙江水晶光电科技股份有限公司独立</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董事，北京歌华有线电视网络股份有限公司独立董事，恒宝股份有限公司独立董事；现任南威软件独立董事、万达信息股份有限公司独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立董事、彩虹显示器件股份有限公司独立董事，福建星网锐捷通讯股份有限公司独立董事。</w:t>
            </w:r>
          </w:p>
        </w:tc>
      </w:tr>
      <w:tr>
        <w:trPr>
          <w:trHeight w:val="10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both"/>
              <w:rPr>
                <w:rFonts w:ascii="宋体" w:hAnsi="宋体" w:cs="宋体" w:eastAsia="宋体" w:hint="default"/>
                <w:sz w:val="21"/>
                <w:szCs w:val="21"/>
              </w:rPr>
            </w:pPr>
            <w:r>
              <w:rPr>
                <w:rFonts w:ascii="宋体" w:hAnsi="宋体" w:cs="宋体" w:eastAsia="宋体" w:hint="default"/>
                <w:sz w:val="21"/>
                <w:szCs w:val="21"/>
              </w:rPr>
              <w:t>历任福州大学计算机系讲师、教授、系主任和副院长；现任南威软件独立董事，福州大学数学与计算机科学学院教授、博士生导师，福</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建省信息产业专家委员会委员，福建省计算机学会副理事长，福建博思软件股份有限公司独立董事，福建星网锐捷通讯股份有限公司独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立董事、福建顶点软件股份有限公司独立董事。</w:t>
            </w:r>
          </w:p>
        </w:tc>
      </w:tr>
      <w:tr>
        <w:trPr>
          <w:trHeight w:val="7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黄文峰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4"/>
              <w:jc w:val="left"/>
              <w:rPr>
                <w:rFonts w:ascii="宋体" w:hAnsi="宋体" w:cs="宋体" w:eastAsia="宋体" w:hint="default"/>
                <w:sz w:val="21"/>
                <w:szCs w:val="21"/>
              </w:rPr>
            </w:pPr>
            <w:r>
              <w:rPr>
                <w:rFonts w:ascii="宋体" w:hAnsi="宋体" w:cs="宋体" w:eastAsia="宋体" w:hint="default"/>
                <w:sz w:val="21"/>
                <w:szCs w:val="21"/>
              </w:rPr>
              <w:t>历任福建榕基软件股份有限公司研发工程师，南威软件政务事业部总经理；现任南威软件监事会主席、福建南威软件有限公司技术总监</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兼浙江技术事业部总经理、政务事业二部总经理。</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洪培琪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历任南威软件工程师、项目经理等职务，现任南威软件职工代表监事、项目与质量管理部总经理。</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曾文语</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月至今历任南威软件技术主管、部门经理，现任南威软件监事、政务事业部副总经理。</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吴丽卿</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历任中包网信息技术有限公司总经理助理，南威软件总经理助理、总经理办公室主任，现任南威软件副总经理兼董事会秘书。</w:t>
            </w:r>
          </w:p>
        </w:tc>
      </w:tr>
    </w:tbl>
    <w:p>
      <w:pPr>
        <w:spacing w:after="0" w:line="240" w:lineRule="auto"/>
        <w:jc w:val="left"/>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张鹏程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left"/>
              <w:rPr>
                <w:rFonts w:ascii="宋体" w:hAnsi="宋体" w:cs="宋体" w:eastAsia="宋体" w:hint="default"/>
                <w:sz w:val="21"/>
                <w:szCs w:val="21"/>
              </w:rPr>
            </w:pPr>
            <w:r>
              <w:rPr>
                <w:rFonts w:ascii="宋体" w:hAnsi="宋体" w:cs="宋体" w:eastAsia="宋体" w:hint="default"/>
                <w:sz w:val="21"/>
                <w:szCs w:val="21"/>
              </w:rPr>
              <w:t>历任福建榕基软件股份有限公司项目经理，南威有限软件工程部经理、技术副总监、项目总监。现任南威软件副总经理，泉州微软技术</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中心董事长，福建南威软件有限公司董事长。</w:t>
            </w:r>
          </w:p>
        </w:tc>
      </w:tr>
      <w:tr>
        <w:trPr>
          <w:trHeight w:val="7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郑金聪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4"/>
              <w:jc w:val="left"/>
              <w:rPr>
                <w:rFonts w:ascii="宋体" w:hAnsi="宋体" w:cs="宋体" w:eastAsia="宋体" w:hint="default"/>
                <w:sz w:val="21"/>
                <w:szCs w:val="21"/>
              </w:rPr>
            </w:pPr>
            <w:r>
              <w:rPr>
                <w:rFonts w:ascii="宋体" w:hAnsi="宋体" w:cs="宋体" w:eastAsia="宋体" w:hint="default"/>
                <w:sz w:val="21"/>
                <w:szCs w:val="21"/>
              </w:rPr>
              <w:t>历任福建省石狮新发股份有限公司财务经理，福建阳光实业发展股份有限公司财务经理，福建阳光农业科技发展有限公司财务总监，福</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建匹克集团有限公司财务总监，凯鸿投资管理有限公司财务策划总监；现任南威软件财务总监。</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72" w:right="0"/>
              <w:jc w:val="left"/>
              <w:rPr>
                <w:rFonts w:ascii="宋体" w:hAnsi="宋体" w:cs="宋体" w:eastAsia="宋体" w:hint="default"/>
                <w:sz w:val="21"/>
                <w:szCs w:val="21"/>
              </w:rPr>
            </w:pPr>
            <w:r>
              <w:rPr>
                <w:rFonts w:ascii="宋体" w:hAnsi="宋体" w:cs="宋体" w:eastAsia="宋体" w:hint="default"/>
                <w:sz w:val="21"/>
                <w:szCs w:val="21"/>
              </w:rPr>
              <w:t>许辉奇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曾任南威软件监事，现任福建南威软件有限公司重点行业应用事业部总经理。</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72" w:right="0"/>
              <w:jc w:val="left"/>
              <w:rPr>
                <w:rFonts w:ascii="宋体" w:hAnsi="宋体" w:cs="宋体" w:eastAsia="宋体" w:hint="default"/>
                <w:sz w:val="21"/>
                <w:szCs w:val="21"/>
              </w:rPr>
            </w:pPr>
            <w:r>
              <w:rPr>
                <w:rFonts w:ascii="宋体" w:hAnsi="宋体" w:cs="宋体" w:eastAsia="宋体" w:hint="default"/>
                <w:sz w:val="21"/>
                <w:szCs w:val="21"/>
              </w:rPr>
              <w:t>周伟贤</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曾任南威软件董事，现任福建雪人股份有限公司副总经理、德弘嘉业执行事务合伙人。</w:t>
            </w:r>
          </w:p>
        </w:tc>
      </w:tr>
      <w:tr>
        <w:trPr>
          <w:trHeight w:val="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72" w:right="0"/>
              <w:jc w:val="left"/>
              <w:rPr>
                <w:rFonts w:ascii="宋体" w:hAnsi="宋体" w:cs="宋体" w:eastAsia="宋体" w:hint="default"/>
                <w:sz w:val="21"/>
                <w:szCs w:val="21"/>
              </w:rPr>
            </w:pPr>
            <w:r>
              <w:rPr>
                <w:rFonts w:ascii="宋体" w:hAnsi="宋体" w:cs="宋体" w:eastAsia="宋体" w:hint="default"/>
                <w:sz w:val="21"/>
                <w:szCs w:val="21"/>
              </w:rPr>
              <w:t>潘新瑾</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曾任南威软件董事、副总经理，</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月起不再担任董事和高级管理人员。</w:t>
            </w:r>
          </w:p>
        </w:tc>
      </w:tr>
    </w:tbl>
    <w:p>
      <w:pPr>
        <w:pStyle w:val="BodyText"/>
        <w:spacing w:line="240" w:lineRule="auto" w:before="42"/>
        <w:ind w:left="224" w:right="0"/>
        <w:jc w:val="left"/>
      </w:pPr>
      <w:r>
        <w:rPr/>
        <w:t>注：</w:t>
      </w:r>
    </w:p>
    <w:p>
      <w:pPr>
        <w:pStyle w:val="BodyText"/>
        <w:spacing w:line="297" w:lineRule="auto" w:before="85"/>
        <w:ind w:left="224" w:right="0" w:firstLine="420"/>
        <w:jc w:val="left"/>
      </w:pPr>
      <w:r>
        <w:rPr>
          <w:spacing w:val="-1"/>
          <w:w w:val="100"/>
        </w:rPr>
        <w:t>周伟贤先生于</w:t>
      </w:r>
      <w:r>
        <w:rPr>
          <w:spacing w:val="-53"/>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 </w:t>
      </w:r>
      <w:r>
        <w:rPr>
          <w:spacing w:val="-5"/>
          <w:w w:val="100"/>
        </w:rPr>
        <w:t>日辞去董事职务，同日公司召开第二届董事会第十六次会议并于</w:t>
      </w:r>
      <w:r>
        <w:rPr>
          <w:spacing w:val="-53"/>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w w:val="100"/>
        </w:rPr>
        <w:t> </w:t>
      </w:r>
      <w:r>
        <w:rPr>
          <w:w w:val="100"/>
        </w:rPr>
        <w:t>召开</w:t>
      </w:r>
      <w:r>
        <w:rPr>
          <w:spacing w:val="-55"/>
          <w:w w:val="100"/>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3"/>
          <w:w w:val="100"/>
        </w:rPr>
        <w:t> </w:t>
      </w:r>
      <w:r>
        <w:rPr>
          <w:spacing w:val="-2"/>
          <w:w w:val="100"/>
        </w:rPr>
        <w:t>年第一次临时股东大会选举</w:t>
      </w:r>
      <w:r>
        <w:rPr>
          <w:spacing w:val="-3"/>
          <w:w w:val="100"/>
        </w:rPr>
        <w:t> </w:t>
      </w:r>
      <w:r>
        <w:rPr/>
        <w:t>徐春梅女士为公司第二届董事会董事。</w:t>
      </w:r>
    </w:p>
    <w:p>
      <w:pPr>
        <w:pStyle w:val="BodyText"/>
        <w:spacing w:line="297" w:lineRule="auto" w:before="34"/>
        <w:ind w:left="224" w:right="0" w:firstLine="420"/>
        <w:jc w:val="left"/>
      </w:pPr>
      <w:r>
        <w:rPr>
          <w:spacing w:val="-1"/>
          <w:w w:val="100"/>
        </w:rPr>
        <w:t>许辉奇先生于</w:t>
      </w:r>
      <w:r>
        <w:rPr>
          <w:spacing w:val="-53"/>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3"/>
          <w:w w:val="100"/>
        </w:rPr>
        <w:t> </w:t>
      </w:r>
      <w:r>
        <w:rPr>
          <w:spacing w:val="-5"/>
          <w:w w:val="100"/>
        </w:rPr>
        <w:t>日辞去监事职务，同日公司召开第二届监事会第十次会议并于</w:t>
      </w:r>
      <w:r>
        <w:rPr>
          <w:spacing w:val="-53"/>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w w:val="100"/>
        </w:rPr>
        <w:t> </w:t>
      </w:r>
      <w:r>
        <w:rPr>
          <w:w w:val="100"/>
        </w:rPr>
        <w:t>年</w:t>
      </w:r>
      <w:r>
        <w:rPr>
          <w:spacing w:val="-55"/>
          <w:w w:val="100"/>
        </w:rPr>
        <w:t> </w:t>
      </w:r>
      <w:r>
        <w:rPr>
          <w:rFonts w:ascii="Times New Roman" w:hAnsi="Times New Roman" w:cs="Times New Roman" w:eastAsia="Times New Roman" w:hint="default"/>
          <w:spacing w:val="-2"/>
          <w:w w:val="100"/>
        </w:rPr>
        <w:t>11</w:t>
      </w:r>
      <w:r>
        <w:rPr>
          <w:rFonts w:ascii="Times New Roman" w:hAnsi="Times New Roman" w:cs="Times New Roman" w:eastAsia="Times New Roman" w:hint="default"/>
          <w:w w:val="100"/>
        </w:rPr>
        <w:t> </w:t>
      </w:r>
      <w:r>
        <w:rPr>
          <w:w w:val="100"/>
        </w:rPr>
        <w:t>月</w:t>
      </w:r>
      <w:r>
        <w:rPr>
          <w:spacing w:val="-53"/>
          <w:w w:val="100"/>
        </w:rPr>
        <w:t> </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w w:val="100"/>
        </w:rPr>
        <w:t> </w:t>
      </w:r>
      <w:r>
        <w:rPr>
          <w:spacing w:val="-1"/>
          <w:w w:val="100"/>
        </w:rPr>
        <w:t>日召开</w:t>
      </w:r>
      <w:r>
        <w:rPr>
          <w:spacing w:val="-53"/>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3"/>
          <w:w w:val="100"/>
        </w:rPr>
        <w:t> </w:t>
      </w:r>
      <w:r>
        <w:rPr>
          <w:spacing w:val="-2"/>
          <w:w w:val="100"/>
        </w:rPr>
        <w:t>年第一次临时股东大会选</w:t>
      </w:r>
      <w:r>
        <w:rPr>
          <w:w w:val="100"/>
        </w:rPr>
        <w:t> </w:t>
      </w:r>
      <w:r>
        <w:rPr/>
        <w:t>举曾文语先生为公司第二届监事会监事。</w:t>
      </w:r>
    </w:p>
    <w:p>
      <w:pPr>
        <w:pStyle w:val="BodyText"/>
        <w:spacing w:line="240" w:lineRule="auto" w:before="34"/>
        <w:ind w:left="644" w:right="0"/>
        <w:jc w:val="left"/>
      </w:pPr>
      <w:r>
        <w:rPr/>
        <w:t>潘新瑾女士已于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日辞去副总经理职务，同日公司召开第二届董事会第十次会议聘任徐春梅女士为副总经理。</w:t>
      </w:r>
    </w:p>
    <w:p>
      <w:pPr>
        <w:spacing w:line="240" w:lineRule="auto" w:before="10"/>
        <w:rPr>
          <w:rFonts w:ascii="宋体" w:hAnsi="宋体" w:cs="宋体" w:eastAsia="宋体" w:hint="default"/>
          <w:sz w:val="24"/>
          <w:szCs w:val="24"/>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BodyText"/>
        <w:spacing w:line="240" w:lineRule="auto" w:before="32"/>
        <w:ind w:left="224" w:right="0"/>
        <w:jc w:val="left"/>
      </w:pPr>
      <w:r>
        <w:rPr/>
        <w:t>□适用√不适用</w:t>
      </w:r>
    </w:p>
    <w:p>
      <w:pPr>
        <w:spacing w:line="240" w:lineRule="auto" w:before="3"/>
        <w:rPr>
          <w:rFonts w:ascii="宋体" w:hAnsi="宋体" w:cs="宋体" w:eastAsia="宋体" w:hint="default"/>
          <w:sz w:val="25"/>
          <w:szCs w:val="25"/>
        </w:rPr>
      </w:pPr>
    </w:p>
    <w:p>
      <w:pPr>
        <w:pStyle w:val="Heading2"/>
        <w:spacing w:line="240" w:lineRule="auto"/>
        <w:ind w:left="224" w:right="0"/>
        <w:jc w:val="left"/>
        <w:rPr>
          <w:b w:val="0"/>
          <w:bCs w:val="0"/>
        </w:rPr>
      </w:pPr>
      <w:r>
        <w:rPr/>
        <w:t>二、现任及报告期内离任董事、监事和高级管理人员的任职情况</w:t>
      </w:r>
      <w:r>
        <w:rPr>
          <w:b w:val="0"/>
          <w:bCs w:val="0"/>
        </w:rPr>
      </w:r>
    </w:p>
    <w:p>
      <w:pPr>
        <w:pStyle w:val="Heading2"/>
        <w:spacing w:line="240" w:lineRule="auto" w:before="5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56"/>
        <w:gridCol w:w="3617"/>
        <w:gridCol w:w="2787"/>
        <w:gridCol w:w="2355"/>
        <w:gridCol w:w="2350"/>
      </w:tblGrid>
      <w:tr>
        <w:trPr>
          <w:trHeight w:val="37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7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 w:right="0"/>
              <w:jc w:val="center"/>
              <w:rPr>
                <w:rFonts w:ascii="宋体" w:hAnsi="宋体" w:cs="宋体" w:eastAsia="宋体" w:hint="default"/>
                <w:sz w:val="21"/>
                <w:szCs w:val="21"/>
              </w:rPr>
            </w:pPr>
            <w:r>
              <w:rPr>
                <w:rFonts w:ascii="宋体" w:hAnsi="宋体" w:cs="宋体" w:eastAsia="宋体" w:hint="default"/>
                <w:sz w:val="21"/>
                <w:szCs w:val="21"/>
              </w:rPr>
              <w:t>德弘嘉业</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 w:right="0"/>
              <w:jc w:val="center"/>
              <w:rPr>
                <w:rFonts w:ascii="宋体" w:hAnsi="宋体" w:cs="宋体" w:eastAsia="宋体" w:hint="default"/>
                <w:sz w:val="21"/>
                <w:szCs w:val="21"/>
              </w:rPr>
            </w:pPr>
            <w:r>
              <w:rPr>
                <w:rFonts w:ascii="宋体" w:hAnsi="宋体" w:cs="宋体" w:eastAsia="宋体" w:hint="default"/>
                <w:sz w:val="21"/>
                <w:szCs w:val="21"/>
              </w:rPr>
              <w:t>执行合伙人</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5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4"/>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80" w:footer="975" w:top="1120" w:bottom="1160" w:left="1300" w:right="1220"/>
        </w:sectPr>
      </w:pPr>
    </w:p>
    <w:p>
      <w:pPr>
        <w:pStyle w:val="Heading2"/>
        <w:spacing w:line="240" w:lineRule="auto" w:before="120"/>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97"/>
        <w:gridCol w:w="4253"/>
        <w:gridCol w:w="2787"/>
        <w:gridCol w:w="2336"/>
        <w:gridCol w:w="2381"/>
      </w:tblGrid>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宁德新微投资有限公司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新疆新微房地产开发有限公司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福建泰宁县金湖乡榭旅游置业发展有限公司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万石控股集团有限公司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福建冠恒华威股权投资有限公司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福建雪人股份有限公司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德弘嘉业</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执行合伙人</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万达信息股份有限公司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彩虹显示器件股份有限公司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7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王建章</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福建星网锐捷通讯股份有限公司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福州大学</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教授、副院长</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福建省信息产业专家委员会</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委员</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福建省计算机学会</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副理事长</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福建博思软件股份有限公司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福建星网锐捷通讯股份有限公司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372"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叶东毅</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福建顶点软件股份有限公司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曾繁英</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华侨大学</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教授、会计系主任</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81"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在其他单位任职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情况的说明</w:t>
            </w:r>
          </w:p>
        </w:tc>
        <w:tc>
          <w:tcPr>
            <w:tcW w:w="117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80" w:footer="975" w:top="1120" w:bottom="1160" w:left="130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2"/>
        <w:spacing w:line="240" w:lineRule="auto"/>
        <w:ind w:left="224" w:right="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5809"/>
        <w:gridCol w:w="8080"/>
      </w:tblGrid>
      <w:tr>
        <w:trPr>
          <w:trHeight w:val="406"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根据公司章程，董事、监事报酬由股东大会确定；高级管理人员报酬由董事会确定。</w:t>
            </w:r>
          </w:p>
        </w:tc>
      </w:tr>
      <w:tr>
        <w:trPr>
          <w:trHeight w:val="408"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结合公司所处行业及地区的薪酬水平，根据公司《薪酬管理制度》确定。</w:t>
            </w:r>
          </w:p>
        </w:tc>
      </w:tr>
      <w:tr>
        <w:trPr>
          <w:trHeight w:val="406"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2,577,569.12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r>
        <w:trPr>
          <w:trHeight w:val="408" w:hRule="exact"/>
        </w:trPr>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报告期末全体董事、监事和高级管理人员实际获得的报酬合计</w:t>
            </w:r>
          </w:p>
        </w:tc>
        <w:tc>
          <w:tcPr>
            <w:tcW w:w="8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2,577,569.12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r>
    </w:tbl>
    <w:p>
      <w:pPr>
        <w:spacing w:line="240" w:lineRule="auto" w:before="2"/>
        <w:rPr>
          <w:rFonts w:ascii="宋体" w:hAnsi="宋体" w:cs="宋体" w:eastAsia="宋体" w:hint="default"/>
          <w:b/>
          <w:bCs/>
          <w:sz w:val="20"/>
          <w:szCs w:val="20"/>
        </w:rPr>
      </w:pPr>
    </w:p>
    <w:p>
      <w:pPr>
        <w:pStyle w:val="Heading2"/>
        <w:spacing w:line="240" w:lineRule="auto" w:before="36"/>
        <w:ind w:left="224"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3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0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新聘</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徐春梅</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新聘</w:t>
            </w:r>
          </w:p>
        </w:tc>
      </w:tr>
      <w:tr>
        <w:trPr>
          <w:trHeight w:val="40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曾文语</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sz w:val="21"/>
                <w:szCs w:val="21"/>
              </w:rPr>
              <w:t>新聘</w:t>
            </w:r>
          </w:p>
        </w:tc>
      </w:tr>
      <w:tr>
        <w:trPr>
          <w:trHeight w:val="40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潘新瑾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个人原因</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周伟贤</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个人原因</w:t>
            </w:r>
          </w:p>
        </w:tc>
      </w:tr>
      <w:tr>
        <w:trPr>
          <w:trHeight w:val="40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许辉奇</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个人原因</w:t>
            </w:r>
          </w:p>
        </w:tc>
      </w:tr>
    </w:tbl>
    <w:p>
      <w:pPr>
        <w:spacing w:line="240" w:lineRule="auto" w:before="12"/>
        <w:rPr>
          <w:rFonts w:ascii="宋体" w:hAnsi="宋体" w:cs="宋体" w:eastAsia="宋体" w:hint="default"/>
          <w:b/>
          <w:bCs/>
          <w:sz w:val="19"/>
          <w:szCs w:val="19"/>
        </w:rPr>
      </w:pPr>
    </w:p>
    <w:p>
      <w:pPr>
        <w:pStyle w:val="Heading2"/>
        <w:spacing w:line="240" w:lineRule="auto" w:before="36"/>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spacing w:after="0" w:line="240" w:lineRule="auto"/>
        <w:jc w:val="left"/>
        <w:sectPr>
          <w:footerReference w:type="default" r:id="rId33"/>
          <w:pgSz w:w="16840" w:h="11910" w:orient="landscape"/>
          <w:pgMar w:footer="975" w:header="880" w:top="1120" w:bottom="1160" w:left="1300" w:right="1220"/>
        </w:sectPr>
      </w:pPr>
    </w:p>
    <w:p>
      <w:pPr>
        <w:spacing w:line="240" w:lineRule="auto" w:before="9"/>
        <w:rPr>
          <w:rFonts w:ascii="宋体" w:hAnsi="宋体" w:cs="宋体" w:eastAsia="宋体" w:hint="default"/>
          <w:sz w:val="29"/>
          <w:szCs w:val="29"/>
        </w:rPr>
      </w:pPr>
    </w:p>
    <w:p>
      <w:pPr>
        <w:pStyle w:val="Heading2"/>
        <w:spacing w:line="240" w:lineRule="auto" w:before="36"/>
        <w:ind w:right="1258"/>
        <w:jc w:val="left"/>
        <w:rPr>
          <w:b w:val="0"/>
          <w:bCs w:val="0"/>
        </w:rPr>
      </w:pPr>
      <w:r>
        <w:rPr/>
        <w:t>六、母公司和主要子公司的员工情况</w:t>
      </w:r>
      <w:r>
        <w:rPr>
          <w:b w:val="0"/>
          <w:bCs w:val="0"/>
        </w:rPr>
      </w:r>
    </w:p>
    <w:p>
      <w:pPr>
        <w:pStyle w:val="Heading2"/>
        <w:spacing w:line="240" w:lineRule="auto" w:before="58"/>
        <w:ind w:right="125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084"/>
        <w:gridCol w:w="4071"/>
      </w:tblGrid>
      <w:tr>
        <w:trPr>
          <w:trHeight w:val="372"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674</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169</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843</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9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372"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21"/>
                <w:szCs w:val="21"/>
              </w:rPr>
            </w:pPr>
            <w:r>
              <w:rPr>
                <w:rFonts w:ascii="Times New Roman"/>
                <w:sz w:val="21"/>
              </w:rPr>
              <w:t>91</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573</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21"/>
                <w:szCs w:val="21"/>
              </w:rPr>
            </w:pPr>
            <w:r>
              <w:rPr>
                <w:rFonts w:ascii="Times New Roman"/>
                <w:sz w:val="21"/>
              </w:rPr>
              <w:t>24</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155</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843</w:t>
            </w:r>
          </w:p>
        </w:tc>
      </w:tr>
      <w:tr>
        <w:trPr>
          <w:trHeight w:val="372" w:hRule="exact"/>
        </w:trPr>
        <w:tc>
          <w:tcPr>
            <w:tcW w:w="9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21"/>
                <w:szCs w:val="21"/>
              </w:rPr>
            </w:pPr>
            <w:r>
              <w:rPr>
                <w:rFonts w:ascii="Times New Roman"/>
                <w:sz w:val="21"/>
              </w:rPr>
              <w:t>29</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473</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277</w:t>
            </w:r>
          </w:p>
        </w:tc>
      </w:tr>
      <w:tr>
        <w:trPr>
          <w:trHeight w:val="370"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21"/>
                <w:szCs w:val="21"/>
              </w:rPr>
            </w:pPr>
            <w:r>
              <w:rPr>
                <w:rFonts w:ascii="Times New Roman"/>
                <w:sz w:val="21"/>
              </w:rPr>
              <w:t>64</w:t>
            </w:r>
          </w:p>
        </w:tc>
      </w:tr>
      <w:tr>
        <w:trPr>
          <w:trHeight w:val="372"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843</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2"/>
        <w:spacing w:line="240" w:lineRule="auto" w:before="36"/>
        <w:ind w:right="125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14" w:lineRule="auto" w:before="106"/>
        <w:ind w:left="218" w:right="328" w:firstLine="419"/>
        <w:jc w:val="both"/>
      </w:pPr>
      <w:r>
        <w:rPr>
          <w:spacing w:val="-1"/>
        </w:rPr>
        <w:t>公司岗位职级薪酬体系采用国际通用的职级体系，以岗位价值作为职级评估基准，综合考虑</w:t>
      </w:r>
      <w:r>
        <w:rPr>
          <w:w w:val="100"/>
        </w:rPr>
        <w:t> </w:t>
      </w:r>
      <w:r>
        <w:rPr>
          <w:spacing w:val="-1"/>
        </w:rPr>
        <w:t>员工的岗位胜任能力，确定其薪酬架构。同时，公司通过对员工绩效指标完成情况进行考核，并</w:t>
      </w:r>
      <w:r>
        <w:rPr>
          <w:spacing w:val="-56"/>
        </w:rPr>
        <w:t> </w:t>
      </w:r>
      <w:r>
        <w:rPr>
          <w:spacing w:val="-56"/>
        </w:rPr>
      </w:r>
      <w:r>
        <w:rPr/>
        <w:t>以此对其薪酬进行上下浮动，注重员工薪酬的外部市场竞争性和内部公平性。</w:t>
      </w:r>
    </w:p>
    <w:p>
      <w:pPr>
        <w:spacing w:line="240" w:lineRule="auto" w:before="3"/>
        <w:rPr>
          <w:rFonts w:ascii="宋体" w:hAnsi="宋体" w:cs="宋体" w:eastAsia="宋体" w:hint="default"/>
          <w:sz w:val="21"/>
          <w:szCs w:val="21"/>
        </w:rPr>
      </w:pPr>
    </w:p>
    <w:p>
      <w:pPr>
        <w:pStyle w:val="Heading2"/>
        <w:spacing w:line="240" w:lineRule="auto"/>
        <w:ind w:right="125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106"/>
        <w:ind w:left="638" w:right="1258"/>
        <w:jc w:val="left"/>
      </w:pPr>
      <w:r>
        <w:rPr/>
        <w:t>公司的培训计划分为新员工培训和在岗培训两种，具体为：</w:t>
      </w:r>
    </w:p>
    <w:p>
      <w:pPr>
        <w:pStyle w:val="Heading2"/>
        <w:spacing w:line="240" w:lineRule="auto" w:before="85"/>
        <w:ind w:left="640" w:right="1258"/>
        <w:jc w:val="left"/>
        <w:rPr>
          <w:b w:val="0"/>
          <w:bCs w:val="0"/>
        </w:rPr>
      </w:pPr>
      <w:r>
        <w:rPr>
          <w:rFonts w:ascii="Times New Roman" w:hAnsi="Times New Roman" w:cs="Times New Roman" w:eastAsia="Times New Roman" w:hint="default"/>
        </w:rPr>
        <w:t>1</w:t>
      </w:r>
      <w:r>
        <w:rPr/>
        <w:t>、新员工的培训</w:t>
      </w:r>
      <w:r>
        <w:rPr>
          <w:b w:val="0"/>
          <w:bCs w:val="0"/>
        </w:rPr>
      </w:r>
    </w:p>
    <w:p>
      <w:pPr>
        <w:pStyle w:val="BodyText"/>
        <w:spacing w:line="297" w:lineRule="auto" w:before="69"/>
        <w:ind w:left="218" w:right="328" w:firstLine="419"/>
        <w:jc w:val="both"/>
      </w:pPr>
      <w:r>
        <w:rPr>
          <w:spacing w:val="-4"/>
        </w:rPr>
        <w:t>（</w:t>
      </w:r>
      <w:r>
        <w:rPr>
          <w:rFonts w:ascii="Times New Roman" w:hAnsi="Times New Roman" w:cs="Times New Roman" w:eastAsia="Times New Roman" w:hint="default"/>
          <w:spacing w:val="-4"/>
        </w:rPr>
        <w:t>1</w:t>
      </w:r>
      <w:r>
        <w:rPr>
          <w:spacing w:val="-4"/>
        </w:rPr>
        <w:t>）公司新员工培训分为入职当天培训和集中培训，入职当天培训为每周二至三次，集训为</w:t>
      </w:r>
      <w:r>
        <w:rPr>
          <w:w w:val="100"/>
        </w:rPr>
        <w:t> </w:t>
      </w:r>
      <w:r>
        <w:rPr/>
        <w:t>每月一次，新员工培训课程主要分为企业文化、公司制度、职业礼仪、产品介绍等。</w:t>
      </w:r>
    </w:p>
    <w:p>
      <w:pPr>
        <w:pStyle w:val="BodyText"/>
        <w:spacing w:line="297" w:lineRule="auto" w:before="34"/>
        <w:ind w:left="218" w:right="328" w:firstLine="419"/>
        <w:jc w:val="both"/>
      </w:pPr>
      <w:r>
        <w:rPr>
          <w:spacing w:val="-4"/>
        </w:rPr>
        <w:t>（</w:t>
      </w:r>
      <w:r>
        <w:rPr>
          <w:rFonts w:ascii="Times New Roman" w:hAnsi="Times New Roman" w:cs="Times New Roman" w:eastAsia="Times New Roman" w:hint="default"/>
          <w:spacing w:val="-4"/>
        </w:rPr>
        <w:t>2</w:t>
      </w:r>
      <w:r>
        <w:rPr>
          <w:spacing w:val="-4"/>
        </w:rPr>
        <w:t>）分支机构新员工培训，根据人事管理部提供的分支机构入职人员名单，采用远程培训方</w:t>
      </w:r>
      <w:r>
        <w:rPr>
          <w:w w:val="100"/>
        </w:rPr>
        <w:t> </w:t>
      </w:r>
      <w:r>
        <w:rPr/>
        <w:t>式，课程与总部新员工集训课程内容相同。</w:t>
      </w:r>
    </w:p>
    <w:p>
      <w:pPr>
        <w:pStyle w:val="BodyText"/>
        <w:spacing w:line="297" w:lineRule="auto" w:before="34"/>
        <w:ind w:left="218" w:right="328" w:firstLine="419"/>
        <w:jc w:val="both"/>
      </w:pPr>
      <w:r>
        <w:rPr>
          <w:spacing w:val="-9"/>
        </w:rPr>
        <w:t>（</w:t>
      </w:r>
      <w:r>
        <w:rPr>
          <w:rFonts w:ascii="Times New Roman" w:hAnsi="Times New Roman" w:cs="Times New Roman" w:eastAsia="Times New Roman" w:hint="default"/>
          <w:spacing w:val="-9"/>
        </w:rPr>
        <w:t>3</w:t>
      </w:r>
      <w:r>
        <w:rPr>
          <w:spacing w:val="-9"/>
        </w:rPr>
        <w:t>）新员工导师制，每名新员工均配有一名导师，采用传帮带的方式，对新员工的岗位工作、</w:t>
      </w:r>
      <w:r>
        <w:rPr>
          <w:w w:val="100"/>
        </w:rPr>
        <w:t> </w:t>
      </w:r>
      <w:r>
        <w:rPr/>
        <w:t>技能、工作态度等内容进行辅导。</w:t>
      </w:r>
    </w:p>
    <w:p>
      <w:pPr>
        <w:pStyle w:val="BodyText"/>
        <w:spacing w:line="240" w:lineRule="auto" w:before="34"/>
        <w:ind w:left="638" w:right="0"/>
        <w:jc w:val="left"/>
      </w:pPr>
      <w:r>
        <w:rPr>
          <w:spacing w:val="-4"/>
        </w:rPr>
        <w:t>（</w:t>
      </w:r>
      <w:r>
        <w:rPr>
          <w:rFonts w:ascii="Times New Roman" w:hAnsi="Times New Roman" w:cs="Times New Roman" w:eastAsia="Times New Roman" w:hint="default"/>
          <w:spacing w:val="-4"/>
        </w:rPr>
        <w:t>4</w:t>
      </w:r>
      <w:r>
        <w:rPr>
          <w:spacing w:val="-4"/>
        </w:rPr>
        <w:t>）技术口与业务口分别针对各自口径新进员工进行专业技能培训，并进行考核，为转正提</w:t>
      </w:r>
    </w:p>
    <w:p>
      <w:pPr>
        <w:spacing w:after="0" w:line="240" w:lineRule="auto"/>
        <w:jc w:val="left"/>
        <w:sectPr>
          <w:headerReference w:type="default" r:id="rId34"/>
          <w:footerReference w:type="default" r:id="rId35"/>
          <w:pgSz w:w="11910" w:h="16840"/>
          <w:pgMar w:header="882" w:footer="974" w:top="1120" w:bottom="1160" w:left="1580" w:right="940"/>
          <w:pgNumType w:start="51"/>
        </w:sectPr>
      </w:pPr>
    </w:p>
    <w:p>
      <w:pPr>
        <w:spacing w:line="240" w:lineRule="auto" w:before="0"/>
        <w:rPr>
          <w:rFonts w:ascii="宋体" w:hAnsi="宋体" w:cs="宋体" w:eastAsia="宋体" w:hint="default"/>
          <w:sz w:val="20"/>
          <w:szCs w:val="20"/>
        </w:rPr>
      </w:pPr>
    </w:p>
    <w:p>
      <w:pPr>
        <w:pStyle w:val="BodyText"/>
        <w:spacing w:line="240" w:lineRule="auto" w:before="180"/>
        <w:ind w:left="218" w:right="227"/>
        <w:jc w:val="left"/>
      </w:pPr>
      <w:r>
        <w:rPr/>
        <w:t>供参考依据。</w:t>
      </w:r>
    </w:p>
    <w:p>
      <w:pPr>
        <w:pStyle w:val="BodyText"/>
        <w:spacing w:line="297" w:lineRule="auto" w:before="85"/>
        <w:ind w:left="218" w:right="227" w:firstLine="419"/>
        <w:jc w:val="both"/>
      </w:pPr>
      <w:r>
        <w:rPr>
          <w:spacing w:val="-4"/>
        </w:rPr>
        <w:t>（</w:t>
      </w:r>
      <w:r>
        <w:rPr>
          <w:rFonts w:ascii="Times New Roman" w:hAnsi="Times New Roman" w:cs="Times New Roman" w:eastAsia="Times New Roman" w:hint="default"/>
          <w:spacing w:val="-4"/>
        </w:rPr>
        <w:t>5</w:t>
      </w:r>
      <w:r>
        <w:rPr>
          <w:spacing w:val="-4"/>
        </w:rPr>
        <w:t>）校招生培训，针对新进校招生制定三个阶段的培养方案，课程包含心态拓展训练、公司</w:t>
      </w:r>
      <w:r>
        <w:rPr>
          <w:w w:val="100"/>
        </w:rPr>
        <w:t> </w:t>
      </w:r>
      <w:r>
        <w:rPr/>
        <w:t>级通用课程、专业技术课程、轮岗实训等，为期四个月。</w:t>
      </w:r>
    </w:p>
    <w:p>
      <w:pPr>
        <w:pStyle w:val="Heading2"/>
        <w:spacing w:line="240" w:lineRule="auto" w:before="34"/>
        <w:ind w:left="640" w:right="227"/>
        <w:jc w:val="left"/>
        <w:rPr>
          <w:b w:val="0"/>
          <w:bCs w:val="0"/>
        </w:rPr>
      </w:pPr>
      <w:r>
        <w:rPr>
          <w:rFonts w:ascii="Times New Roman" w:hAnsi="Times New Roman" w:cs="Times New Roman" w:eastAsia="Times New Roman" w:hint="default"/>
        </w:rPr>
        <w:t>2</w:t>
      </w:r>
      <w:r>
        <w:rPr/>
        <w:t>、在岗培训</w:t>
      </w:r>
      <w:r>
        <w:rPr>
          <w:b w:val="0"/>
          <w:bCs w:val="0"/>
        </w:rPr>
      </w:r>
    </w:p>
    <w:p>
      <w:pPr>
        <w:pStyle w:val="BodyText"/>
        <w:spacing w:line="304" w:lineRule="auto" w:before="69"/>
        <w:ind w:left="218" w:right="228" w:firstLine="419"/>
        <w:jc w:val="both"/>
      </w:pPr>
      <w:r>
        <w:rPr>
          <w:spacing w:val="-8"/>
        </w:rPr>
        <w:t>（</w:t>
      </w:r>
      <w:r>
        <w:rPr>
          <w:rFonts w:ascii="Times New Roman" w:hAnsi="Times New Roman" w:cs="Times New Roman" w:eastAsia="Times New Roman" w:hint="default"/>
          <w:spacing w:val="-8"/>
        </w:rPr>
        <w:t>1</w:t>
      </w:r>
      <w:r>
        <w:rPr>
          <w:spacing w:val="-8"/>
        </w:rPr>
        <w:t>）创新论坛。</w:t>
      </w:r>
      <w:r>
        <w:rPr>
          <w:rFonts w:ascii="Times New Roman" w:hAnsi="Times New Roman" w:cs="Times New Roman" w:eastAsia="Times New Roman" w:hint="default"/>
          <w:spacing w:val="-8"/>
        </w:rPr>
        <w:t>2015</w:t>
      </w:r>
      <w:r>
        <w:rPr>
          <w:spacing w:val="-8"/>
        </w:rPr>
        <w:t>年以“创新、分享、追求、超越”为主题的创新论坛，较好地传承了</w:t>
      </w:r>
      <w:r>
        <w:rPr>
          <w:rFonts w:ascii="Times New Roman" w:hAnsi="Times New Roman" w:cs="Times New Roman" w:eastAsia="Times New Roman" w:hint="default"/>
          <w:spacing w:val="-8"/>
        </w:rPr>
        <w:t>2014</w:t>
      </w:r>
      <w:r>
        <w:rPr>
          <w:rFonts w:ascii="Times New Roman" w:hAnsi="Times New Roman" w:cs="Times New Roman" w:eastAsia="Times New Roman" w:hint="default"/>
          <w:w w:val="100"/>
        </w:rPr>
        <w:t> </w:t>
      </w:r>
      <w:r>
        <w:rPr>
          <w:spacing w:val="-1"/>
        </w:rPr>
        <w:t>年的成果，在技术课题上进一步深挖的同时也开设了创客、项目管理、财务等方向的新课题，报</w:t>
      </w:r>
      <w:r>
        <w:rPr>
          <w:spacing w:val="-55"/>
        </w:rPr>
        <w:t> </w:t>
      </w:r>
      <w:r>
        <w:rPr>
          <w:spacing w:val="-55"/>
        </w:rPr>
      </w:r>
      <w:r>
        <w:rPr/>
        <w:t>告期内共组织开展</w:t>
      </w:r>
      <w:r>
        <w:rPr>
          <w:rFonts w:ascii="Times New Roman" w:hAnsi="Times New Roman" w:cs="Times New Roman" w:eastAsia="Times New Roman" w:hint="default"/>
        </w:rPr>
        <w:t>10</w:t>
      </w:r>
      <w:r>
        <w:rPr/>
        <w:t>期，总参训</w:t>
      </w:r>
      <w:r>
        <w:rPr>
          <w:rFonts w:ascii="Times New Roman" w:hAnsi="Times New Roman" w:cs="Times New Roman" w:eastAsia="Times New Roman" w:hint="default"/>
        </w:rPr>
        <w:t>894</w:t>
      </w:r>
      <w:r>
        <w:rPr/>
        <w:t>人</w:t>
      </w:r>
      <w:r>
        <w:rPr>
          <w:rFonts w:ascii="Times New Roman" w:hAnsi="Times New Roman" w:cs="Times New Roman" w:eastAsia="Times New Roman" w:hint="default"/>
        </w:rPr>
        <w:t>/</w:t>
      </w:r>
      <w:r>
        <w:rPr/>
        <w:t>次，累计</w:t>
      </w:r>
      <w:r>
        <w:rPr>
          <w:rFonts w:ascii="Times New Roman" w:hAnsi="Times New Roman" w:cs="Times New Roman" w:eastAsia="Times New Roman" w:hint="default"/>
        </w:rPr>
        <w:t>2136</w:t>
      </w:r>
      <w:r>
        <w:rPr/>
        <w:t>课时。</w:t>
      </w:r>
    </w:p>
    <w:p>
      <w:pPr>
        <w:pStyle w:val="BodyText"/>
        <w:spacing w:line="297" w:lineRule="auto" w:before="6"/>
        <w:ind w:left="218" w:right="227" w:firstLine="419"/>
        <w:jc w:val="both"/>
      </w:pPr>
      <w:r>
        <w:rPr>
          <w:spacing w:val="-1"/>
        </w:rPr>
        <w:t>（</w:t>
      </w:r>
      <w:r>
        <w:rPr>
          <w:rFonts w:ascii="Times New Roman" w:hAnsi="Times New Roman" w:cs="Times New Roman" w:eastAsia="Times New Roman" w:hint="default"/>
          <w:spacing w:val="-1"/>
        </w:rPr>
        <w:t>2</w:t>
      </w:r>
      <w:r>
        <w:rPr>
          <w:spacing w:val="-1"/>
        </w:rPr>
        <w:t>）创业沙龙。报告期内共开展</w:t>
      </w:r>
      <w:r>
        <w:rPr>
          <w:rFonts w:ascii="Times New Roman" w:hAnsi="Times New Roman" w:cs="Times New Roman" w:eastAsia="Times New Roman" w:hint="default"/>
          <w:spacing w:val="-1"/>
        </w:rPr>
        <w:t>17</w:t>
      </w:r>
      <w:r>
        <w:rPr>
          <w:spacing w:val="-1"/>
        </w:rPr>
        <w:t>期创业沙龙，邀请</w:t>
      </w:r>
      <w:r>
        <w:rPr>
          <w:rFonts w:ascii="Times New Roman" w:hAnsi="Times New Roman" w:cs="Times New Roman" w:eastAsia="Times New Roman" w:hint="default"/>
          <w:spacing w:val="-1"/>
        </w:rPr>
        <w:t>44</w:t>
      </w:r>
      <w:r>
        <w:rPr>
          <w:spacing w:val="-1"/>
        </w:rPr>
        <w:t>位讲师参与授课。其中包括</w:t>
      </w:r>
      <w:r>
        <w:rPr>
          <w:rFonts w:ascii="Times New Roman" w:hAnsi="Times New Roman" w:cs="Times New Roman" w:eastAsia="Times New Roman" w:hint="default"/>
          <w:spacing w:val="-1"/>
        </w:rPr>
        <w:t>4</w:t>
      </w:r>
      <w:r>
        <w:rPr>
          <w:spacing w:val="-1"/>
        </w:rPr>
        <w:t>期以小</w:t>
      </w:r>
      <w:r>
        <w:rPr>
          <w:w w:val="100"/>
        </w:rPr>
        <w:t> </w:t>
      </w:r>
      <w:r>
        <w:rPr>
          <w:spacing w:val="-1"/>
        </w:rPr>
        <w:t>组研讨方式呈现的编码专题、</w:t>
      </w:r>
      <w:r>
        <w:rPr>
          <w:rFonts w:ascii="Times New Roman" w:hAnsi="Times New Roman" w:cs="Times New Roman" w:eastAsia="Times New Roman" w:hint="default"/>
          <w:spacing w:val="-1"/>
        </w:rPr>
        <w:t>3</w:t>
      </w:r>
      <w:r>
        <w:rPr>
          <w:spacing w:val="-1"/>
        </w:rPr>
        <w:t>期以互动方式开展的正能量专题、</w:t>
      </w:r>
      <w:r>
        <w:rPr>
          <w:rFonts w:ascii="Times New Roman" w:hAnsi="Times New Roman" w:cs="Times New Roman" w:eastAsia="Times New Roman" w:hint="default"/>
          <w:spacing w:val="-1"/>
        </w:rPr>
        <w:t>9</w:t>
      </w:r>
      <w:r>
        <w:rPr>
          <w:spacing w:val="-1"/>
        </w:rPr>
        <w:t>期以竞赛方式开展的专才学习</w:t>
      </w:r>
      <w:r>
        <w:rPr>
          <w:spacing w:val="-54"/>
        </w:rPr>
        <w:t> </w:t>
      </w:r>
      <w:r>
        <w:rPr>
          <w:spacing w:val="-54"/>
        </w:rPr>
      </w:r>
      <w:r>
        <w:rPr>
          <w:spacing w:val="-1"/>
        </w:rPr>
        <w:t>会、</w:t>
      </w:r>
      <w:r>
        <w:rPr>
          <w:rFonts w:ascii="Times New Roman" w:hAnsi="Times New Roman" w:cs="Times New Roman" w:eastAsia="Times New Roman" w:hint="default"/>
          <w:spacing w:val="-1"/>
        </w:rPr>
        <w:t>1</w:t>
      </w:r>
      <w:r>
        <w:rPr>
          <w:spacing w:val="-1"/>
        </w:rPr>
        <w:t>期以微信票选加现场演讲方式开展的“三十职业行动”，并获推泉州市“</w:t>
      </w:r>
      <w:r>
        <w:rPr>
          <w:rFonts w:ascii="Times New Roman" w:hAnsi="Times New Roman" w:cs="Times New Roman" w:eastAsia="Times New Roman" w:hint="default"/>
          <w:spacing w:val="-1"/>
        </w:rPr>
        <w:t>365</w:t>
      </w:r>
      <w:r>
        <w:rPr>
          <w:spacing w:val="-1"/>
        </w:rPr>
        <w:t>”民营企业人</w:t>
      </w:r>
      <w:r>
        <w:rPr>
          <w:spacing w:val="-54"/>
        </w:rPr>
        <w:t> </w:t>
      </w:r>
      <w:r>
        <w:rPr>
          <w:spacing w:val="-54"/>
        </w:rPr>
      </w:r>
      <w:r>
        <w:rPr/>
        <w:t>才工作典型案例，总参训人次：</w:t>
      </w:r>
      <w:r>
        <w:rPr>
          <w:rFonts w:ascii="Times New Roman" w:hAnsi="Times New Roman" w:cs="Times New Roman" w:eastAsia="Times New Roman" w:hint="default"/>
        </w:rPr>
        <w:t>1373</w:t>
      </w:r>
      <w:r>
        <w:rPr/>
        <w:t>人，总课时：</w:t>
      </w:r>
      <w:r>
        <w:rPr>
          <w:rFonts w:ascii="Times New Roman" w:hAnsi="Times New Roman" w:cs="Times New Roman" w:eastAsia="Times New Roman" w:hint="default"/>
        </w:rPr>
        <w:t>3743.5</w:t>
      </w:r>
      <w:r>
        <w:rPr/>
        <w:t>课时。</w:t>
      </w:r>
    </w:p>
    <w:p>
      <w:pPr>
        <w:pStyle w:val="BodyText"/>
        <w:spacing w:line="297" w:lineRule="auto" w:before="13"/>
        <w:ind w:left="218" w:right="228" w:firstLine="419"/>
        <w:jc w:val="both"/>
      </w:pPr>
      <w:r>
        <w:rPr>
          <w:spacing w:val="-4"/>
        </w:rPr>
        <w:t>（</w:t>
      </w:r>
      <w:r>
        <w:rPr>
          <w:rFonts w:ascii="Times New Roman" w:hAnsi="Times New Roman" w:cs="Times New Roman" w:eastAsia="Times New Roman" w:hint="default"/>
          <w:spacing w:val="-4"/>
        </w:rPr>
        <w:t>3</w:t>
      </w:r>
      <w:r>
        <w:rPr>
          <w:spacing w:val="-4"/>
        </w:rPr>
        <w:t>）各部门内训。各部门根据公司政策、文化要求开展内部分享会、学习会，内容涉及专业</w:t>
      </w:r>
      <w:r>
        <w:rPr>
          <w:w w:val="100"/>
        </w:rPr>
        <w:t> </w:t>
      </w:r>
      <w:r>
        <w:rPr/>
        <w:t>技能、通用技能、前沿知识等。</w:t>
      </w:r>
    </w:p>
    <w:p>
      <w:pPr>
        <w:pStyle w:val="BodyText"/>
        <w:spacing w:line="240" w:lineRule="auto" w:before="34"/>
        <w:ind w:left="638" w:right="0"/>
        <w:jc w:val="left"/>
      </w:pPr>
      <w:r>
        <w:rPr/>
        <w:t>（</w:t>
      </w:r>
      <w:r>
        <w:rPr>
          <w:rFonts w:ascii="Times New Roman" w:hAnsi="Times New Roman" w:cs="Times New Roman" w:eastAsia="Times New Roman" w:hint="default"/>
        </w:rPr>
        <w:t>4</w:t>
      </w:r>
      <w:r>
        <w:rPr/>
        <w:t>）外部培训。根据工作发展需要，选派工作表现优异的员工，参加外部培训会、交流会。</w:t>
      </w:r>
    </w:p>
    <w:p>
      <w:pPr>
        <w:spacing w:line="240" w:lineRule="auto" w:before="12"/>
        <w:rPr>
          <w:rFonts w:ascii="宋体" w:hAnsi="宋体" w:cs="宋体" w:eastAsia="宋体" w:hint="default"/>
          <w:sz w:val="24"/>
          <w:szCs w:val="24"/>
        </w:rPr>
      </w:pPr>
    </w:p>
    <w:p>
      <w:pPr>
        <w:pStyle w:val="Heading2"/>
        <w:spacing w:line="240" w:lineRule="auto"/>
        <w:ind w:right="22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0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b/>
          <w:bCs/>
          <w:sz w:val="19"/>
          <w:szCs w:val="19"/>
        </w:rPr>
      </w:pPr>
    </w:p>
    <w:p>
      <w:pPr>
        <w:pStyle w:val="Heading2"/>
        <w:spacing w:line="240" w:lineRule="auto" w:before="36"/>
        <w:ind w:right="227"/>
        <w:jc w:val="left"/>
        <w:rPr>
          <w:b w:val="0"/>
          <w:bCs w:val="0"/>
        </w:rPr>
      </w:pPr>
      <w:r>
        <w:rPr/>
        <w:t>七、其他</w:t>
      </w:r>
      <w:r>
        <w:rPr>
          <w:b w:val="0"/>
          <w:bCs w:val="0"/>
        </w:rPr>
      </w:r>
    </w:p>
    <w:p>
      <w:pPr>
        <w:pStyle w:val="BodyText"/>
        <w:spacing w:line="240" w:lineRule="auto" w:before="135"/>
        <w:ind w:left="638" w:right="227"/>
        <w:jc w:val="left"/>
      </w:pPr>
      <w:r>
        <w:rPr/>
        <w:t>无。</w:t>
      </w:r>
    </w:p>
    <w:p>
      <w:pPr>
        <w:spacing w:after="0" w:line="240" w:lineRule="auto"/>
        <w:jc w:val="left"/>
        <w:sectPr>
          <w:pgSz w:w="11910" w:h="16840"/>
          <w:pgMar w:header="882" w:footer="974" w:top="1120" w:bottom="1160" w:left="1580" w:right="1040"/>
        </w:sectPr>
      </w:pPr>
    </w:p>
    <w:p>
      <w:pPr>
        <w:spacing w:line="240" w:lineRule="auto" w:before="9"/>
        <w:rPr>
          <w:rFonts w:ascii="宋体" w:hAnsi="宋体" w:cs="宋体" w:eastAsia="宋体" w:hint="default"/>
          <w:sz w:val="25"/>
          <w:szCs w:val="25"/>
        </w:rPr>
      </w:pPr>
    </w:p>
    <w:p>
      <w:pPr>
        <w:pStyle w:val="Heading1"/>
        <w:tabs>
          <w:tab w:pos="1259" w:val="left" w:leader="none"/>
        </w:tabs>
        <w:spacing w:line="240" w:lineRule="auto"/>
        <w:ind w:right="3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357" w:lineRule="auto" w:before="0"/>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7"/>
          <w:sz w:val="21"/>
          <w:szCs w:val="21"/>
        </w:rPr>
        <w:t>报告期内，公司严格按照《公司法》、《证券法》、《上市公司治理制度》以及中国证监会、</w:t>
      </w:r>
    </w:p>
    <w:p>
      <w:pPr>
        <w:pStyle w:val="BodyText"/>
        <w:spacing w:line="257" w:lineRule="exact"/>
        <w:ind w:left="638" w:right="0" w:hanging="420"/>
        <w:jc w:val="left"/>
      </w:pPr>
      <w:r>
        <w:rPr>
          <w:spacing w:val="-7"/>
        </w:rPr>
        <w:t>上海证券交易所等监管机构的要求，结合公司实际情况，不断完善法人治理结构，规范公司运作。</w:t>
      </w:r>
    </w:p>
    <w:p>
      <w:pPr>
        <w:pStyle w:val="BodyText"/>
        <w:spacing w:line="314" w:lineRule="auto" w:before="85"/>
        <w:ind w:left="218" w:right="248" w:firstLine="419"/>
        <w:jc w:val="both"/>
      </w:pPr>
      <w:r>
        <w:rPr>
          <w:spacing w:val="-1"/>
        </w:rPr>
        <w:t>报告期内，公司建立健全《信息披露管理办法》、《重大信息内部报告制度》、《内幕信息</w:t>
      </w:r>
      <w:r>
        <w:rPr>
          <w:w w:val="100"/>
        </w:rPr>
        <w:t> </w:t>
      </w:r>
      <w:r>
        <w:rPr>
          <w:spacing w:val="-1"/>
        </w:rPr>
        <w:t>知情人登记制度》、《外部单位报送信息管理制度》、《投融资管理制度》、《投资者关系管理</w:t>
      </w:r>
      <w:r>
        <w:rPr>
          <w:spacing w:val="-55"/>
        </w:rPr>
        <w:t> </w:t>
      </w:r>
      <w:r>
        <w:rPr>
          <w:spacing w:val="-55"/>
        </w:rPr>
      </w:r>
      <w:r>
        <w:rPr>
          <w:spacing w:val="-1"/>
        </w:rPr>
        <w:t>制度》、《委托理财管理制度》、《年度报告工作制度》、《独立董事年报工作制度》、《董事</w:t>
      </w:r>
      <w:r>
        <w:rPr>
          <w:spacing w:val="-54"/>
        </w:rPr>
        <w:t> </w:t>
      </w:r>
      <w:r>
        <w:rPr>
          <w:spacing w:val="-54"/>
        </w:rPr>
      </w:r>
      <w:r>
        <w:rPr>
          <w:spacing w:val="-1"/>
        </w:rPr>
        <w:t>会审计委员会年报工作规程》、《年报信息披露重大差错责任追究制度》、《董事、监事和高级</w:t>
      </w:r>
      <w:r>
        <w:rPr>
          <w:spacing w:val="-55"/>
        </w:rPr>
        <w:t> </w:t>
      </w:r>
      <w:r>
        <w:rPr>
          <w:spacing w:val="-55"/>
        </w:rPr>
      </w:r>
      <w:r>
        <w:rPr>
          <w:spacing w:val="-2"/>
        </w:rPr>
        <w:t>管理人员持有公司股份及其变动管理办法》；修订完善《公司章程》、《股东大会议事规则》、</w:t>
      </w:r>
    </w:p>
    <w:p>
      <w:pPr>
        <w:pStyle w:val="BodyText"/>
        <w:spacing w:line="314" w:lineRule="auto" w:before="20"/>
        <w:ind w:left="218" w:right="247"/>
        <w:jc w:val="both"/>
      </w:pPr>
      <w:r>
        <w:rPr>
          <w:spacing w:val="-1"/>
        </w:rPr>
        <w:t>《董事会议事规则》、《对外担保制度》、《关联交易制度》、《募集资金管理办法》等内部治</w:t>
      </w:r>
      <w:r>
        <w:rPr>
          <w:spacing w:val="-55"/>
        </w:rPr>
        <w:t> </w:t>
      </w:r>
      <w:r>
        <w:rPr>
          <w:spacing w:val="-55"/>
        </w:rPr>
      </w:r>
      <w:r>
        <w:rPr>
          <w:spacing w:val="-2"/>
        </w:rPr>
        <w:t>理制度，积极规范公司运作，努力降低经营风险，确保公司规范、高效运作，维护公司及全体股</w:t>
      </w:r>
      <w:r>
        <w:rPr>
          <w:spacing w:val="-16"/>
        </w:rPr>
        <w:t> </w:t>
      </w:r>
      <w:r>
        <w:rPr>
          <w:spacing w:val="-16"/>
        </w:rPr>
      </w:r>
      <w:r>
        <w:rPr/>
        <w:t>东的利益。</w:t>
      </w:r>
    </w:p>
    <w:p>
      <w:pPr>
        <w:pStyle w:val="BodyText"/>
        <w:spacing w:line="304" w:lineRule="auto" w:before="63"/>
        <w:ind w:left="638" w:right="0" w:hanging="420"/>
        <w:jc w:val="left"/>
      </w:pPr>
      <w:r>
        <w:rPr>
          <w:spacing w:val="-2"/>
        </w:rPr>
        <w:t>公司治理与中国证监会相关规定的要求是否存在重大差异；如有重大差异，应当说明原因</w:t>
      </w:r>
      <w:r>
        <w:rPr>
          <w:spacing w:val="-33"/>
        </w:rPr>
        <w:t> </w:t>
      </w:r>
      <w:r>
        <w:rPr>
          <w:spacing w:val="-33"/>
        </w:rPr>
      </w:r>
      <w:r>
        <w:rPr/>
        <w:t>公司治理与相关规定不存在重大差异。</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二、股东大会情况简介</w:t>
      </w:r>
      <w:r>
        <w:rPr>
          <w:b w:val="0"/>
          <w:bCs w:val="0"/>
        </w:rPr>
      </w:r>
    </w:p>
    <w:p>
      <w:pPr>
        <w:spacing w:line="240" w:lineRule="auto" w:before="1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05"/>
        <w:gridCol w:w="2036"/>
        <w:gridCol w:w="2033"/>
        <w:gridCol w:w="2077"/>
      </w:tblGrid>
      <w:tr>
        <w:trPr>
          <w:trHeight w:val="73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81" w:right="168" w:hanging="212"/>
              <w:jc w:val="left"/>
              <w:rPr>
                <w:rFonts w:ascii="宋体" w:hAnsi="宋体" w:cs="宋体" w:eastAsia="宋体" w:hint="default"/>
                <w:sz w:val="21"/>
                <w:szCs w:val="21"/>
              </w:rPr>
            </w:pPr>
            <w:r>
              <w:rPr>
                <w:rFonts w:ascii="宋体" w:hAnsi="宋体" w:cs="宋体" w:eastAsia="宋体" w:hint="default"/>
                <w:sz w:val="21"/>
                <w:szCs w:val="21"/>
              </w:rPr>
              <w:t>决议刊登的指定网</w:t>
            </w:r>
            <w:r>
              <w:rPr>
                <w:rFonts w:ascii="宋体" w:hAnsi="宋体" w:cs="宋体" w:eastAsia="宋体" w:hint="default"/>
                <w:w w:val="100"/>
                <w:sz w:val="21"/>
                <w:szCs w:val="21"/>
              </w:rPr>
              <w:t> </w:t>
            </w:r>
            <w:r>
              <w:rPr>
                <w:rFonts w:ascii="宋体" w:hAnsi="宋体" w:cs="宋体" w:eastAsia="宋体" w:hint="default"/>
                <w:sz w:val="21"/>
                <w:szCs w:val="21"/>
              </w:rPr>
              <w:t>站的查询索引</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927" w:right="190" w:hanging="735"/>
              <w:jc w:val="left"/>
              <w:rPr>
                <w:rFonts w:ascii="宋体" w:hAnsi="宋体" w:cs="宋体" w:eastAsia="宋体" w:hint="default"/>
                <w:sz w:val="21"/>
                <w:szCs w:val="21"/>
              </w:rPr>
            </w:pPr>
            <w:r>
              <w:rPr>
                <w:rFonts w:ascii="宋体" w:hAnsi="宋体" w:cs="宋体" w:eastAsia="宋体" w:hint="default"/>
                <w:sz w:val="21"/>
                <w:szCs w:val="21"/>
              </w:rPr>
              <w:t>决议刊登的披露日</w:t>
            </w:r>
            <w:r>
              <w:rPr>
                <w:rFonts w:ascii="宋体" w:hAnsi="宋体" w:cs="宋体" w:eastAsia="宋体" w:hint="default"/>
                <w:w w:val="100"/>
                <w:sz w:val="21"/>
                <w:szCs w:val="21"/>
              </w:rPr>
              <w:t> </w:t>
            </w:r>
            <w:r>
              <w:rPr>
                <w:rFonts w:ascii="宋体" w:hAnsi="宋体" w:cs="宋体" w:eastAsia="宋体" w:hint="default"/>
                <w:sz w:val="21"/>
                <w:szCs w:val="21"/>
              </w:rPr>
              <w:t>期</w:t>
            </w:r>
          </w:p>
        </w:tc>
      </w:tr>
      <w:tr>
        <w:trPr>
          <w:trHeight w:val="37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5"/>
              <w:jc w:val="right"/>
              <w:rPr>
                <w:rFonts w:ascii="Times New Roman" w:hAnsi="Times New Roman" w:cs="Times New Roman" w:eastAsia="Times New Roman" w:hint="default"/>
                <w:sz w:val="21"/>
                <w:szCs w:val="21"/>
              </w:rPr>
            </w:pPr>
            <w:r>
              <w:rPr>
                <w:rFonts w:ascii="Times New Roman"/>
                <w:color w:val="0000FF"/>
                <w:w w:val="100"/>
                <w:sz w:val="21"/>
              </w:rPr>
            </w:r>
            <w:hyperlink r:id="rId12">
              <w:r>
                <w:rPr>
                  <w:rFonts w:ascii="Times New Roman"/>
                  <w:color w:val="0000FF"/>
                  <w:spacing w:val="-1"/>
                  <w:sz w:val="21"/>
                  <w:u w:val="single" w:color="0000FF"/>
                </w:rPr>
                <w:t>www.sse.com.cn</w:t>
              </w:r>
              <w:r>
                <w:rPr>
                  <w:rFonts w:ascii="Times New Roman"/>
                  <w:color w:val="0000FF"/>
                  <w:spacing w:val="-1"/>
                  <w:sz w:val="21"/>
                </w:rPr>
              </w:r>
              <w:r>
                <w:rPr>
                  <w:rFonts w:ascii="Times New Roman"/>
                  <w:spacing w:val="-1"/>
                  <w:sz w:val="21"/>
                </w:rPr>
              </w:r>
            </w:hyperlink>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08"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95"/>
              <w:jc w:val="right"/>
              <w:rPr>
                <w:rFonts w:ascii="Times New Roman" w:hAnsi="Times New Roman" w:cs="Times New Roman" w:eastAsia="Times New Roman" w:hint="default"/>
                <w:sz w:val="21"/>
                <w:szCs w:val="21"/>
              </w:rPr>
            </w:pPr>
            <w:r>
              <w:rPr>
                <w:rFonts w:ascii="Times New Roman"/>
                <w:color w:val="0000FF"/>
                <w:w w:val="100"/>
                <w:sz w:val="21"/>
              </w:rPr>
            </w:r>
            <w:hyperlink r:id="rId12">
              <w:r>
                <w:rPr>
                  <w:rFonts w:ascii="Times New Roman"/>
                  <w:color w:val="0000FF"/>
                  <w:spacing w:val="-1"/>
                  <w:sz w:val="21"/>
                  <w:u w:val="single" w:color="0000FF"/>
                </w:rPr>
                <w:t>www.sse.com.cn</w:t>
              </w:r>
              <w:r>
                <w:rPr>
                  <w:rFonts w:ascii="Times New Roman"/>
                  <w:color w:val="0000FF"/>
                  <w:spacing w:val="-1"/>
                  <w:sz w:val="21"/>
                </w:rPr>
              </w:r>
              <w:r>
                <w:rPr>
                  <w:rFonts w:ascii="Times New Roman"/>
                  <w:spacing w:val="-1"/>
                  <w:sz w:val="21"/>
                </w:rPr>
              </w:r>
            </w:hyperlink>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年第二次临时股东大会</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5"/>
              <w:jc w:val="right"/>
              <w:rPr>
                <w:rFonts w:ascii="Times New Roman" w:hAnsi="Times New Roman" w:cs="Times New Roman" w:eastAsia="Times New Roman" w:hint="default"/>
                <w:sz w:val="21"/>
                <w:szCs w:val="21"/>
              </w:rPr>
            </w:pPr>
            <w:r>
              <w:rPr>
                <w:rFonts w:ascii="Times New Roman"/>
                <w:color w:val="0000FF"/>
                <w:w w:val="100"/>
                <w:sz w:val="21"/>
              </w:rPr>
            </w:r>
            <w:hyperlink r:id="rId12">
              <w:r>
                <w:rPr>
                  <w:rFonts w:ascii="Times New Roman"/>
                  <w:color w:val="0000FF"/>
                  <w:spacing w:val="-1"/>
                  <w:sz w:val="21"/>
                  <w:u w:val="single" w:color="0000FF"/>
                </w:rPr>
                <w:t>www.sse.com.cn</w:t>
              </w:r>
              <w:r>
                <w:rPr>
                  <w:rFonts w:ascii="Times New Roman"/>
                  <w:color w:val="0000FF"/>
                  <w:spacing w:val="-1"/>
                  <w:sz w:val="21"/>
                </w:rPr>
              </w:r>
              <w:r>
                <w:rPr>
                  <w:rFonts w:ascii="Times New Roman"/>
                  <w:spacing w:val="-1"/>
                  <w:sz w:val="21"/>
                </w:rPr>
              </w:r>
            </w:hyperlink>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314" w:lineRule="auto" w:before="42"/>
        <w:ind w:left="638" w:right="2644" w:hanging="420"/>
        <w:jc w:val="left"/>
      </w:pPr>
      <w:r>
        <w:rPr/>
        <w:t>股东大会情况说明</w:t>
      </w:r>
      <w:r>
        <w:rPr>
          <w:w w:val="100"/>
        </w:rPr>
        <w:t> </w:t>
      </w:r>
      <w:r>
        <w:rPr>
          <w:spacing w:val="-2"/>
        </w:rPr>
        <w:t>报告期内，公司股东大会审议的所有议案均获通过。</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r>
        <w:rPr/>
        <w:t>三、董事履行职责情况</w:t>
      </w:r>
      <w:r>
        <w:rPr>
          <w:b w:val="0"/>
          <w:bCs w:val="0"/>
        </w:rPr>
      </w:r>
    </w:p>
    <w:p>
      <w:pPr>
        <w:pStyle w:val="Heading2"/>
        <w:spacing w:line="240" w:lineRule="auto" w:before="56"/>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董事参加董事会和股东大会的情况</w:t>
      </w:r>
      <w:r>
        <w:rPr>
          <w:b w:val="0"/>
          <w:bCs w:val="0"/>
        </w:rPr>
      </w:r>
    </w:p>
    <w:p>
      <w:pPr>
        <w:spacing w:line="240" w:lineRule="auto" w:before="1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869"/>
        <w:gridCol w:w="869"/>
        <w:gridCol w:w="877"/>
        <w:gridCol w:w="871"/>
        <w:gridCol w:w="1164"/>
        <w:gridCol w:w="1164"/>
        <w:gridCol w:w="910"/>
        <w:gridCol w:w="1186"/>
        <w:gridCol w:w="1171"/>
      </w:tblGrid>
      <w:tr>
        <w:trPr>
          <w:trHeight w:val="572" w:hRule="exact"/>
        </w:trPr>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218" w:right="216"/>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12" w:right="110"/>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61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8"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5" w:lineRule="exact"/>
              <w:ind w:left="158"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1099" w:hRule="exact"/>
        </w:trPr>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本年应</w:t>
            </w:r>
          </w:p>
          <w:p>
            <w:pPr>
              <w:pStyle w:val="TableParagraph"/>
              <w:spacing w:line="237" w:lineRule="auto"/>
              <w:ind w:left="117" w:right="113"/>
              <w:jc w:val="center"/>
              <w:rPr>
                <w:rFonts w:ascii="宋体" w:hAnsi="宋体" w:cs="宋体" w:eastAsia="宋体" w:hint="default"/>
                <w:sz w:val="21"/>
                <w:szCs w:val="21"/>
              </w:rPr>
            </w:pPr>
            <w:r>
              <w:rPr>
                <w:rFonts w:ascii="宋体" w:hAnsi="宋体" w:cs="宋体" w:eastAsia="宋体" w:hint="default"/>
                <w:sz w:val="21"/>
                <w:szCs w:val="21"/>
              </w:rPr>
              <w:t>参加董</w:t>
            </w:r>
            <w:r>
              <w:rPr>
                <w:rFonts w:ascii="宋体" w:hAnsi="宋体" w:cs="宋体" w:eastAsia="宋体" w:hint="default"/>
                <w:w w:val="100"/>
                <w:sz w:val="21"/>
                <w:szCs w:val="21"/>
              </w:rPr>
              <w:t> </w:t>
            </w:r>
            <w:r>
              <w:rPr>
                <w:rFonts w:ascii="宋体" w:hAnsi="宋体" w:cs="宋体" w:eastAsia="宋体" w:hint="default"/>
                <w:sz w:val="21"/>
                <w:szCs w:val="21"/>
              </w:rPr>
              <w:t>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5" w:right="11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3" w:right="156"/>
              <w:jc w:val="center"/>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64" w:right="156" w:hanging="212"/>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7" w:right="239"/>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37" w:lineRule="auto"/>
              <w:ind w:left="165" w:right="166"/>
              <w:jc w:val="center"/>
              <w:rPr>
                <w:rFonts w:ascii="宋体" w:hAnsi="宋体" w:cs="宋体" w:eastAsia="宋体" w:hint="default"/>
                <w:sz w:val="21"/>
                <w:szCs w:val="21"/>
              </w:rPr>
            </w:pPr>
            <w:r>
              <w:rPr>
                <w:rFonts w:ascii="宋体" w:hAnsi="宋体" w:cs="宋体" w:eastAsia="宋体" w:hint="default"/>
                <w:sz w:val="21"/>
                <w:szCs w:val="21"/>
              </w:rPr>
              <w:t>两次未亲</w:t>
            </w:r>
            <w:r>
              <w:rPr>
                <w:rFonts w:ascii="宋体" w:hAnsi="宋体" w:cs="宋体" w:eastAsia="宋体" w:hint="default"/>
                <w:w w:val="100"/>
                <w:sz w:val="21"/>
                <w:szCs w:val="21"/>
              </w:rPr>
              <w:t> </w:t>
            </w:r>
            <w:r>
              <w:rPr>
                <w:rFonts w:ascii="宋体" w:hAnsi="宋体" w:cs="宋体" w:eastAsia="宋体" w:hint="default"/>
                <w:sz w:val="21"/>
                <w:szCs w:val="21"/>
              </w:rPr>
              <w:t>自参加会</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8" w:right="158"/>
              <w:jc w:val="center"/>
              <w:rPr>
                <w:rFonts w:ascii="宋体" w:hAnsi="宋体" w:cs="宋体" w:eastAsia="宋体" w:hint="default"/>
                <w:sz w:val="21"/>
                <w:szCs w:val="21"/>
              </w:rPr>
            </w:pPr>
            <w:r>
              <w:rPr>
                <w:rFonts w:ascii="宋体" w:hAnsi="宋体" w:cs="宋体" w:eastAsia="宋体" w:hint="default"/>
                <w:sz w:val="21"/>
                <w:szCs w:val="21"/>
              </w:rPr>
              <w:t>出席股东</w:t>
            </w:r>
            <w:r>
              <w:rPr>
                <w:rFonts w:ascii="宋体" w:hAnsi="宋体" w:cs="宋体" w:eastAsia="宋体" w:hint="default"/>
                <w:w w:val="100"/>
                <w:sz w:val="21"/>
                <w:szCs w:val="21"/>
              </w:rPr>
              <w:t> </w:t>
            </w: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37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z w:val="21"/>
                <w:szCs w:val="21"/>
              </w:rPr>
              <w:t>吴志雄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2</w:t>
            </w:r>
          </w:p>
        </w:tc>
      </w:tr>
      <w:tr>
        <w:trPr>
          <w:trHeight w:val="37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z w:val="21"/>
                <w:szCs w:val="21"/>
              </w:rPr>
              <w:t>侯济恭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z w:val="21"/>
                <w:szCs w:val="21"/>
              </w:rPr>
              <w:t>廖长宝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2</w:t>
            </w:r>
          </w:p>
        </w:tc>
      </w:tr>
      <w:tr>
        <w:trPr>
          <w:trHeight w:val="37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z w:val="21"/>
                <w:szCs w:val="21"/>
              </w:rPr>
              <w:t>曾繁英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1</w:t>
            </w:r>
          </w:p>
        </w:tc>
      </w:tr>
      <w:tr>
        <w:trPr>
          <w:trHeight w:val="37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0"/>
              <w:jc w:val="right"/>
              <w:rPr>
                <w:rFonts w:ascii="宋体" w:hAnsi="宋体" w:cs="宋体" w:eastAsia="宋体" w:hint="default"/>
                <w:sz w:val="21"/>
                <w:szCs w:val="21"/>
              </w:rPr>
            </w:pPr>
            <w:r>
              <w:rPr>
                <w:rFonts w:ascii="宋体" w:hAnsi="宋体" w:cs="宋体" w:eastAsia="宋体" w:hint="default"/>
                <w:sz w:val="21"/>
                <w:szCs w:val="21"/>
              </w:rPr>
              <w:t>叶东毅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center"/>
              <w:rPr>
                <w:rFonts w:ascii="Times New Roman" w:hAnsi="Times New Roman" w:cs="Times New Roman" w:eastAsia="Times New Roman" w:hint="default"/>
                <w:sz w:val="21"/>
                <w:szCs w:val="21"/>
              </w:rPr>
            </w:pPr>
            <w:r>
              <w:rPr>
                <w:rFonts w:ascii="Times New Roman"/>
                <w:w w:val="100"/>
                <w:sz w:val="21"/>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center"/>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2</w:t>
            </w:r>
          </w:p>
        </w:tc>
      </w:tr>
      <w:tr>
        <w:trPr>
          <w:trHeight w:val="37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0"/>
              <w:jc w:val="right"/>
              <w:rPr>
                <w:rFonts w:ascii="宋体" w:hAnsi="宋体" w:cs="宋体" w:eastAsia="宋体" w:hint="default"/>
                <w:sz w:val="21"/>
                <w:szCs w:val="21"/>
              </w:rPr>
            </w:pPr>
            <w:r>
              <w:rPr>
                <w:rFonts w:ascii="宋体" w:hAnsi="宋体" w:cs="宋体" w:eastAsia="宋体" w:hint="default"/>
                <w:sz w:val="21"/>
                <w:szCs w:val="21"/>
              </w:rPr>
              <w:t>王建章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sz w:val="21"/>
              </w:rPr>
              <w:t>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z w:val="21"/>
                <w:szCs w:val="21"/>
              </w:rPr>
              <w:t>徐春梅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1"/>
                <w:szCs w:val="21"/>
              </w:rPr>
            </w:pPr>
            <w:r>
              <w:rPr>
                <w:rFonts w:ascii="Times New Roman"/>
                <w:w w:val="100"/>
                <w:sz w:val="21"/>
              </w:rPr>
              <w:t>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1</w:t>
            </w:r>
          </w:p>
        </w:tc>
      </w:tr>
    </w:tbl>
    <w:p>
      <w:pPr>
        <w:spacing w:after="0" w:line="240" w:lineRule="auto"/>
        <w:jc w:val="center"/>
        <w:rPr>
          <w:rFonts w:ascii="Times New Roman" w:hAnsi="Times New Roman" w:cs="Times New Roman" w:eastAsia="Times New Roman" w:hint="default"/>
          <w:sz w:val="21"/>
          <w:szCs w:val="21"/>
        </w:rPr>
        <w:sectPr>
          <w:pgSz w:w="11910" w:h="16840"/>
          <w:pgMar w:header="882" w:footer="974" w:top="1120" w:bottom="1160" w:left="158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869"/>
        <w:gridCol w:w="869"/>
        <w:gridCol w:w="877"/>
        <w:gridCol w:w="871"/>
        <w:gridCol w:w="1164"/>
        <w:gridCol w:w="1164"/>
        <w:gridCol w:w="910"/>
        <w:gridCol w:w="1186"/>
        <w:gridCol w:w="1171"/>
      </w:tblGrid>
      <w:tr>
        <w:trPr>
          <w:trHeight w:val="37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2" w:right="0"/>
              <w:jc w:val="left"/>
              <w:rPr>
                <w:rFonts w:ascii="宋体" w:hAnsi="宋体" w:cs="宋体" w:eastAsia="宋体" w:hint="default"/>
                <w:sz w:val="21"/>
                <w:szCs w:val="21"/>
              </w:rPr>
            </w:pPr>
            <w:r>
              <w:rPr>
                <w:rFonts w:ascii="宋体" w:hAnsi="宋体" w:cs="宋体" w:eastAsia="宋体" w:hint="default"/>
                <w:sz w:val="21"/>
                <w:szCs w:val="21"/>
              </w:rPr>
              <w:t>周伟贤</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w w:val="100"/>
                <w:sz w:val="21"/>
              </w:rPr>
              <w:t>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center"/>
              <w:rPr>
                <w:rFonts w:ascii="Times New Roman" w:hAnsi="Times New Roman" w:cs="Times New Roman" w:eastAsia="Times New Roman" w:hint="default"/>
                <w:sz w:val="21"/>
                <w:szCs w:val="21"/>
              </w:rPr>
            </w:pPr>
            <w:r>
              <w:rPr>
                <w:rFonts w:ascii="Times New Roman"/>
                <w:w w:val="100"/>
                <w:sz w:val="21"/>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center"/>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1</w:t>
            </w:r>
          </w:p>
        </w:tc>
      </w:tr>
    </w:tbl>
    <w:p>
      <w:pPr>
        <w:pStyle w:val="BodyText"/>
        <w:spacing w:line="240" w:lineRule="auto" w:before="42"/>
        <w:ind w:left="218" w:right="0"/>
        <w:jc w:val="left"/>
      </w:pPr>
      <w:r>
        <w:rPr/>
        <w:t>备注：徐春梅女士的任期自</w:t>
      </w:r>
      <w:r>
        <w:rPr>
          <w:spacing w:val="-53"/>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 </w:t>
      </w:r>
      <w:r>
        <w:rPr/>
        <w:t>日至</w:t>
      </w:r>
      <w:r>
        <w:rPr>
          <w:spacing w:val="-55"/>
        </w:rPr>
        <w:t> </w:t>
      </w: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9 </w:t>
      </w:r>
      <w:r>
        <w:rPr/>
        <w:t>日；周伟贤先生的任期自</w:t>
      </w:r>
      <w:r>
        <w:rPr>
          <w:spacing w:val="-53"/>
        </w:rPr>
        <w:t> </w:t>
      </w:r>
      <w:r>
        <w:rPr>
          <w:rFonts w:ascii="Times New Roman" w:hAnsi="Times New Roman" w:cs="Times New Roman" w:eastAsia="Times New Roman" w:hint="default"/>
        </w:rPr>
        <w:t>2014 </w:t>
      </w:r>
      <w:r>
        <w:rPr/>
        <w:t>年</w:t>
      </w:r>
    </w:p>
    <w:p>
      <w:pPr>
        <w:pStyle w:val="BodyText"/>
        <w:spacing w:line="396" w:lineRule="auto" w:before="69"/>
        <w:ind w:left="218" w:right="2644"/>
        <w:jc w:val="left"/>
      </w:pP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10 </w:t>
      </w:r>
      <w:r>
        <w:rPr/>
        <w:t>日至</w:t>
      </w:r>
      <w:r>
        <w:rPr>
          <w:spacing w:val="-53"/>
        </w:rPr>
        <w:t> </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9 </w:t>
      </w:r>
      <w:r>
        <w:rPr/>
        <w:t>月</w:t>
      </w:r>
      <w:r>
        <w:rPr>
          <w:spacing w:val="-55"/>
        </w:rPr>
        <w:t> </w:t>
      </w:r>
      <w:r>
        <w:rPr>
          <w:rFonts w:ascii="Times New Roman" w:hAnsi="Times New Roman" w:cs="Times New Roman" w:eastAsia="Times New Roman" w:hint="default"/>
        </w:rPr>
        <w:t>15 </w:t>
      </w:r>
      <w:r>
        <w:rPr/>
        <w:t>日。</w:t>
      </w:r>
      <w:r>
        <w:rPr>
          <w:w w:val="100"/>
        </w:rPr>
        <w:t> </w:t>
      </w:r>
      <w:r>
        <w:rPr>
          <w:spacing w:val="-2"/>
        </w:rPr>
        <w:t>连续两次未亲自出席董事会会议的说明</w:t>
      </w:r>
    </w:p>
    <w:p>
      <w:pPr>
        <w:pStyle w:val="BodyText"/>
        <w:spacing w:line="239" w:lineRule="exact"/>
        <w:ind w:left="638"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日至</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日，公司董事长吴志雄先生应相关部门要求协助调查，</w:t>
      </w:r>
    </w:p>
    <w:p>
      <w:pPr>
        <w:pStyle w:val="BodyText"/>
        <w:spacing w:line="240" w:lineRule="auto" w:before="69"/>
        <w:ind w:left="218" w:right="0"/>
        <w:jc w:val="left"/>
      </w:pPr>
      <w:r>
        <w:rPr/>
        <w:t>暂不能履行董事长职责，因此未能出席这期间召开的董事会会议。</w:t>
      </w: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7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21"/>
                <w:szCs w:val="21"/>
              </w:rPr>
            </w:pPr>
            <w:r>
              <w:rPr>
                <w:rFonts w:ascii="Times New Roman"/>
                <w:sz w:val="21"/>
              </w:rPr>
              <w:t>10</w:t>
            </w:r>
          </w:p>
        </w:tc>
      </w:tr>
      <w:tr>
        <w:trPr>
          <w:trHeight w:val="3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21"/>
                <w:szCs w:val="21"/>
              </w:rPr>
            </w:pPr>
            <w:r>
              <w:rPr>
                <w:rFonts w:ascii="Times New Roman"/>
                <w:w w:val="100"/>
                <w:sz w:val="21"/>
              </w:rPr>
              <w:t>1</w:t>
            </w:r>
          </w:p>
        </w:tc>
      </w:tr>
      <w:tr>
        <w:trPr>
          <w:trHeight w:val="3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21"/>
                <w:szCs w:val="21"/>
              </w:rPr>
            </w:pPr>
            <w:r>
              <w:rPr>
                <w:rFonts w:ascii="Times New Roman"/>
                <w:w w:val="100"/>
                <w:sz w:val="21"/>
              </w:rPr>
              <w:t>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345" w:lineRule="auto" w:before="0"/>
        <w:ind w:left="638"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报告期内，公司独立董事未对公司本年度的董事会议案及其他非董事会议案事项提出异议。</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其他</w:t>
      </w:r>
      <w:r>
        <w:rPr>
          <w:b w:val="0"/>
          <w:bCs w:val="0"/>
        </w:rPr>
      </w:r>
    </w:p>
    <w:p>
      <w:pPr>
        <w:pStyle w:val="BodyText"/>
        <w:spacing w:line="240" w:lineRule="auto" w:before="117"/>
        <w:ind w:left="638" w:right="0"/>
        <w:jc w:val="left"/>
      </w:pPr>
      <w:r>
        <w:rPr/>
        <w:t>无。</w:t>
      </w:r>
    </w:p>
    <w:p>
      <w:pPr>
        <w:spacing w:line="240" w:lineRule="auto" w:before="12"/>
        <w:rPr>
          <w:rFonts w:ascii="宋体" w:hAnsi="宋体" w:cs="宋体" w:eastAsia="宋体" w:hint="default"/>
          <w:sz w:val="25"/>
          <w:szCs w:val="25"/>
        </w:rPr>
      </w:pPr>
    </w:p>
    <w:p>
      <w:pPr>
        <w:pStyle w:val="Heading2"/>
        <w:spacing w:line="272" w:lineRule="exact"/>
        <w:ind w:left="638" w:right="0"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314" w:lineRule="auto" w:before="110"/>
        <w:ind w:left="218" w:right="248" w:firstLine="419"/>
        <w:jc w:val="both"/>
      </w:pPr>
      <w:r>
        <w:rPr>
          <w:spacing w:val="-2"/>
        </w:rPr>
        <w:t>报告期内，公司董事会下设的战略委员会、审计委员会、提名委员会、薪酬与考核委员会能</w:t>
      </w:r>
      <w:r>
        <w:rPr>
          <w:w w:val="100"/>
        </w:rPr>
        <w:t> </w:t>
      </w:r>
      <w:r>
        <w:rPr>
          <w:spacing w:val="-1"/>
        </w:rPr>
        <w:t>够按照各专门委员会工作细则认真履行职责，分别对公司子公司设立、对外担保、募集资金、财</w:t>
      </w:r>
      <w:r>
        <w:rPr>
          <w:spacing w:val="-55"/>
        </w:rPr>
        <w:t> </w:t>
      </w:r>
      <w:r>
        <w:rPr>
          <w:spacing w:val="-55"/>
        </w:rPr>
      </w:r>
      <w:r>
        <w:rPr/>
        <w:t>务报告、内部控制、提名和高级管理人员等事项进行审查，均未对所审议案提出异议。</w:t>
      </w:r>
    </w:p>
    <w:p>
      <w:pPr>
        <w:spacing w:line="240" w:lineRule="auto" w:before="8"/>
        <w:rPr>
          <w:rFonts w:ascii="宋体" w:hAnsi="宋体" w:cs="宋体" w:eastAsia="宋体" w:hint="default"/>
          <w:sz w:val="18"/>
          <w:szCs w:val="18"/>
        </w:rPr>
      </w:pPr>
    </w:p>
    <w:p>
      <w:pPr>
        <w:spacing w:line="357" w:lineRule="auto" w:before="0"/>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报告期内，公司监事会对公司定期报告，财务报告、募集资金管理等工作履行了监督职责，</w:t>
      </w:r>
    </w:p>
    <w:p>
      <w:pPr>
        <w:pStyle w:val="BodyText"/>
        <w:spacing w:line="257" w:lineRule="exact"/>
        <w:ind w:left="218" w:right="0"/>
        <w:jc w:val="left"/>
      </w:pPr>
      <w:r>
        <w:rPr>
          <w:w w:val="100"/>
        </w:rPr>
        <w:t>报告</w:t>
      </w:r>
      <w:r>
        <w:rPr>
          <w:spacing w:val="-3"/>
          <w:w w:val="100"/>
        </w:rPr>
        <w:t>期</w:t>
      </w:r>
      <w:r>
        <w:rPr>
          <w:spacing w:val="-1"/>
          <w:w w:val="100"/>
        </w:rPr>
        <w:t>内</w:t>
      </w:r>
      <w:r>
        <w:rPr>
          <w:spacing w:val="-3"/>
          <w:w w:val="100"/>
        </w:rPr>
        <w:t>公</w:t>
      </w:r>
      <w:r>
        <w:rPr>
          <w:w w:val="100"/>
        </w:rPr>
        <w:t>司</w:t>
      </w:r>
      <w:r>
        <w:rPr>
          <w:spacing w:val="-3"/>
          <w:w w:val="100"/>
        </w:rPr>
        <w:t>依</w:t>
      </w:r>
      <w:r>
        <w:rPr>
          <w:w w:val="100"/>
        </w:rPr>
        <w:t>法</w:t>
      </w:r>
      <w:r>
        <w:rPr>
          <w:spacing w:val="-3"/>
          <w:w w:val="100"/>
        </w:rPr>
        <w:t>合</w:t>
      </w:r>
      <w:r>
        <w:rPr>
          <w:w w:val="100"/>
        </w:rPr>
        <w:t>规</w:t>
      </w:r>
      <w:r>
        <w:rPr>
          <w:spacing w:val="-3"/>
          <w:w w:val="100"/>
        </w:rPr>
        <w:t>运</w:t>
      </w:r>
      <w:r>
        <w:rPr>
          <w:w w:val="100"/>
        </w:rPr>
        <w:t>作</w:t>
      </w:r>
      <w:r>
        <w:rPr>
          <w:spacing w:val="-101"/>
          <w:w w:val="100"/>
        </w:rPr>
        <w:t>，</w:t>
      </w:r>
      <w:r>
        <w:rPr>
          <w:w w:val="100"/>
        </w:rPr>
        <w:t>不</w:t>
      </w:r>
      <w:r>
        <w:rPr>
          <w:spacing w:val="-3"/>
          <w:w w:val="100"/>
        </w:rPr>
        <w:t>存</w:t>
      </w:r>
      <w:r>
        <w:rPr>
          <w:w w:val="100"/>
        </w:rPr>
        <w:t>在损</w:t>
      </w:r>
      <w:r>
        <w:rPr>
          <w:spacing w:val="-3"/>
          <w:w w:val="100"/>
        </w:rPr>
        <w:t>害</w:t>
      </w:r>
      <w:r>
        <w:rPr>
          <w:w w:val="100"/>
        </w:rPr>
        <w:t>公</w:t>
      </w:r>
      <w:r>
        <w:rPr>
          <w:spacing w:val="-3"/>
          <w:w w:val="100"/>
        </w:rPr>
        <w:t>司</w:t>
      </w:r>
      <w:r>
        <w:rPr>
          <w:w w:val="100"/>
        </w:rPr>
        <w:t>和</w:t>
      </w:r>
      <w:r>
        <w:rPr>
          <w:spacing w:val="-3"/>
          <w:w w:val="100"/>
        </w:rPr>
        <w:t>股东</w:t>
      </w:r>
      <w:r>
        <w:rPr>
          <w:w w:val="100"/>
        </w:rPr>
        <w:t>权益</w:t>
      </w:r>
      <w:r>
        <w:rPr>
          <w:spacing w:val="-3"/>
          <w:w w:val="100"/>
        </w:rPr>
        <w:t>的</w:t>
      </w:r>
      <w:r>
        <w:rPr>
          <w:w w:val="100"/>
        </w:rPr>
        <w:t>情</w:t>
      </w:r>
      <w:r>
        <w:rPr>
          <w:spacing w:val="-3"/>
          <w:w w:val="100"/>
        </w:rPr>
        <w:t>况</w:t>
      </w:r>
      <w:r>
        <w:rPr>
          <w:spacing w:val="-99"/>
          <w:w w:val="100"/>
        </w:rPr>
        <w:t>，</w:t>
      </w:r>
      <w:r>
        <w:rPr>
          <w:spacing w:val="-3"/>
          <w:w w:val="100"/>
        </w:rPr>
        <w:t>监</w:t>
      </w:r>
      <w:r>
        <w:rPr>
          <w:w w:val="100"/>
        </w:rPr>
        <w:t>事</w:t>
      </w:r>
      <w:r>
        <w:rPr>
          <w:spacing w:val="-3"/>
          <w:w w:val="100"/>
        </w:rPr>
        <w:t>会</w:t>
      </w:r>
      <w:r>
        <w:rPr>
          <w:w w:val="100"/>
        </w:rPr>
        <w:t>对</w:t>
      </w:r>
      <w:r>
        <w:rPr>
          <w:spacing w:val="-3"/>
          <w:w w:val="100"/>
        </w:rPr>
        <w:t>上</w:t>
      </w:r>
      <w:r>
        <w:rPr>
          <w:spacing w:val="-2"/>
          <w:w w:val="100"/>
        </w:rPr>
        <w:t>述</w:t>
      </w:r>
      <w:r>
        <w:rPr>
          <w:w w:val="100"/>
        </w:rPr>
        <w:t>监督</w:t>
      </w:r>
      <w:r>
        <w:rPr>
          <w:spacing w:val="-3"/>
          <w:w w:val="100"/>
        </w:rPr>
        <w:t>事</w:t>
      </w:r>
      <w:r>
        <w:rPr>
          <w:w w:val="100"/>
        </w:rPr>
        <w:t>项</w:t>
      </w:r>
      <w:r>
        <w:rPr>
          <w:spacing w:val="-3"/>
          <w:w w:val="100"/>
        </w:rPr>
        <w:t>无异议</w:t>
      </w:r>
      <w:r>
        <w:rPr>
          <w:w w:val="100"/>
        </w:rPr>
        <w:t>。</w:t>
      </w:r>
    </w:p>
    <w:p>
      <w:pPr>
        <w:spacing w:line="240" w:lineRule="auto" w:before="12"/>
        <w:rPr>
          <w:rFonts w:ascii="宋体" w:hAnsi="宋体" w:cs="宋体" w:eastAsia="宋体" w:hint="default"/>
          <w:sz w:val="25"/>
          <w:szCs w:val="25"/>
        </w:rPr>
      </w:pPr>
    </w:p>
    <w:p>
      <w:pPr>
        <w:pStyle w:val="Heading2"/>
        <w:spacing w:line="272" w:lineRule="exact"/>
        <w:ind w:left="64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7" w:lineRule="auto" w:before="110"/>
        <w:ind w:left="218" w:right="2644" w:firstLine="419"/>
        <w:jc w:val="left"/>
      </w:pPr>
      <w:r>
        <w:rPr/>
        <w:t>不适用。</w:t>
      </w:r>
      <w:r>
        <w:rPr>
          <w:w w:val="100"/>
        </w:rPr>
        <w:t> </w:t>
      </w:r>
      <w:r>
        <w:rPr>
          <w:spacing w:val="-2"/>
        </w:rPr>
        <w:t>存在同业竞争的，公司相应的解决措施、工作进度及后续工作计划</w:t>
      </w:r>
    </w:p>
    <w:p>
      <w:pPr>
        <w:pStyle w:val="BodyText"/>
        <w:spacing w:line="240" w:lineRule="auto" w:before="67"/>
        <w:ind w:left="638" w:right="0"/>
        <w:jc w:val="left"/>
      </w:pPr>
      <w:r>
        <w:rPr/>
        <w:t>公司不存在同业竞争的情况。</w:t>
      </w:r>
    </w:p>
    <w:p>
      <w:pPr>
        <w:spacing w:line="240" w:lineRule="auto" w:before="10"/>
        <w:rPr>
          <w:rFonts w:ascii="宋体" w:hAnsi="宋体" w:cs="宋体" w:eastAsia="宋体" w:hint="default"/>
          <w:sz w:val="23"/>
          <w:szCs w:val="23"/>
        </w:rPr>
      </w:pPr>
    </w:p>
    <w:p>
      <w:pPr>
        <w:spacing w:line="355" w:lineRule="auto" w:before="0"/>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公司建立并不断完善高级管理人员的激励考核机制，高级管理人员由董事会聘任，董事会下</w:t>
      </w:r>
    </w:p>
    <w:p>
      <w:pPr>
        <w:pStyle w:val="BodyText"/>
        <w:spacing w:line="259" w:lineRule="exact"/>
        <w:ind w:left="218" w:right="0"/>
        <w:jc w:val="left"/>
      </w:pPr>
      <w:r>
        <w:rPr/>
        <w:t>设的薪酬与考核委员会对高级管理人员工作能力、职责履行及目标完成情况进行考核激励，不断</w:t>
      </w:r>
    </w:p>
    <w:p>
      <w:pPr>
        <w:pStyle w:val="BodyText"/>
        <w:spacing w:line="240" w:lineRule="auto" w:before="85"/>
        <w:ind w:left="218" w:right="0"/>
        <w:jc w:val="left"/>
      </w:pPr>
      <w:r>
        <w:rPr/>
        <w:t>提高公司高级管理人员的进取、务实的精神和责任意识。</w:t>
      </w:r>
    </w:p>
    <w:p>
      <w:pPr>
        <w:spacing w:after="0" w:line="240" w:lineRule="auto"/>
        <w:jc w:val="left"/>
        <w:sectPr>
          <w:pgSz w:w="11910" w:h="16840"/>
          <w:pgMar w:header="882" w:footer="974" w:top="1120" w:bottom="1160" w:left="1580" w:right="102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b w:val="0"/>
          <w:bCs w:val="0"/>
        </w:rPr>
      </w:pPr>
      <w:r>
        <w:rPr/>
        <w:t>八、是否披露内部控制自我评价报告</w:t>
      </w:r>
      <w:r>
        <w:rPr>
          <w:b w:val="0"/>
          <w:bCs w:val="0"/>
        </w:rPr>
      </w:r>
    </w:p>
    <w:p>
      <w:pPr>
        <w:pStyle w:val="BodyText"/>
        <w:spacing w:line="240" w:lineRule="auto" w:before="58"/>
        <w:ind w:right="0"/>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right="0"/>
        <w:jc w:val="left"/>
      </w:pPr>
      <w:r>
        <w:rPr/>
        <w:t>报告期内部控制存在重大缺陷情况的说明</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九、内部控制审计报告的相关情况说明</w:t>
      </w:r>
      <w:r>
        <w:rPr>
          <w:b w:val="0"/>
          <w:bCs w:val="0"/>
        </w:rPr>
      </w:r>
    </w:p>
    <w:p>
      <w:pPr>
        <w:pStyle w:val="BodyText"/>
        <w:spacing w:line="314" w:lineRule="auto" w:before="135"/>
        <w:ind w:right="0" w:firstLine="419"/>
        <w:jc w:val="left"/>
      </w:pPr>
      <w:r>
        <w:rPr>
          <w:spacing w:val="-6"/>
        </w:rPr>
        <w:t>福建华兴会计师事务所（特殊普通合伙）对公司 </w:t>
      </w:r>
      <w:r>
        <w:rPr>
          <w:rFonts w:ascii="宋体" w:hAnsi="宋体" w:cs="宋体" w:eastAsia="宋体" w:hint="default"/>
        </w:rPr>
        <w:t>2015</w:t>
      </w:r>
      <w:r>
        <w:rPr>
          <w:rFonts w:ascii="宋体" w:hAnsi="宋体" w:cs="宋体" w:eastAsia="宋体" w:hint="default"/>
          <w:spacing w:val="-78"/>
        </w:rPr>
        <w:t> </w:t>
      </w:r>
      <w:r>
        <w:rPr/>
        <w:t>年度财务报告内部控制的有效性进行了</w:t>
      </w:r>
      <w:r>
        <w:rPr>
          <w:w w:val="100"/>
        </w:rPr>
        <w:t> </w:t>
      </w:r>
      <w:r>
        <w:rPr/>
        <w:t>审计，并出具了标准无保留意见的审计报告。</w:t>
      </w:r>
    </w:p>
    <w:p>
      <w:pPr>
        <w:pStyle w:val="BodyText"/>
        <w:spacing w:line="314" w:lineRule="auto" w:before="20"/>
        <w:ind w:right="0" w:firstLine="419"/>
        <w:jc w:val="left"/>
      </w:pPr>
      <w:r>
        <w:rPr>
          <w:spacing w:val="-3"/>
        </w:rPr>
        <w:t>福建华兴会计师事务所（特殊普通合伙）出具的《</w:t>
      </w:r>
      <w:r>
        <w:rPr>
          <w:rFonts w:ascii="宋体" w:hAnsi="宋体" w:cs="宋体" w:eastAsia="宋体" w:hint="default"/>
          <w:spacing w:val="-3"/>
        </w:rPr>
        <w:t>2015</w:t>
      </w:r>
      <w:r>
        <w:rPr>
          <w:rFonts w:ascii="宋体" w:hAnsi="宋体" w:cs="宋体" w:eastAsia="宋体" w:hint="default"/>
          <w:spacing w:val="-2"/>
        </w:rPr>
        <w:t> </w:t>
      </w:r>
      <w:r>
        <w:rPr>
          <w:spacing w:val="-3"/>
        </w:rPr>
        <w:t>年度内部控制审计报告》与本公司的</w:t>
      </w:r>
      <w:r>
        <w:rPr>
          <w:w w:val="100"/>
        </w:rPr>
        <w:t> </w:t>
      </w:r>
      <w:r>
        <w:rPr>
          <w:spacing w:val="-2"/>
        </w:rPr>
        <w:t>年度报告同时披露，具体内容详见上海证券交易所网站</w:t>
      </w:r>
      <w:r>
        <w:rPr>
          <w:spacing w:val="11"/>
        </w:rPr>
        <w:t> </w:t>
      </w:r>
      <w:r>
        <w:rPr>
          <w:rFonts w:ascii="宋体" w:hAnsi="宋体" w:cs="宋体" w:eastAsia="宋体" w:hint="default"/>
          <w:color w:val="0000FF"/>
          <w:spacing w:val="11"/>
        </w:rPr>
      </w:r>
      <w:hyperlink r:id="rId12">
        <w:r>
          <w:rPr>
            <w:rFonts w:ascii="宋体" w:hAnsi="宋体" w:cs="宋体" w:eastAsia="宋体" w:hint="default"/>
            <w:color w:val="0000FF"/>
            <w:spacing w:val="-1"/>
            <w:u w:val="single" w:color="0000FF"/>
          </w:rPr>
          <w:t>http://www.sse.com.cn</w:t>
        </w:r>
        <w:r>
          <w:rPr>
            <w:rFonts w:ascii="宋体" w:hAnsi="宋体" w:cs="宋体" w:eastAsia="宋体" w:hint="default"/>
            <w:color w:val="0000FF"/>
            <w:spacing w:val="-1"/>
          </w:rPr>
        </w:r>
      </w:hyperlink>
      <w:r>
        <w:rPr>
          <w:spacing w:val="-1"/>
        </w:rPr>
        <w:t>。</w:t>
      </w:r>
    </w:p>
    <w:p>
      <w:pPr>
        <w:pStyle w:val="BodyText"/>
        <w:spacing w:line="240" w:lineRule="auto" w:before="63"/>
        <w:ind w:left="558" w:right="0"/>
        <w:jc w:val="left"/>
      </w:pPr>
      <w:r>
        <w:rPr/>
        <w:t>是否披露内部控制审计报告：是</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t>十、其他</w:t>
      </w:r>
      <w:r>
        <w:rPr>
          <w:b w:val="0"/>
          <w:bCs w:val="0"/>
        </w:rPr>
      </w:r>
    </w:p>
    <w:p>
      <w:pPr>
        <w:pStyle w:val="BodyText"/>
        <w:spacing w:line="240" w:lineRule="auto" w:before="133"/>
        <w:ind w:left="558" w:right="0"/>
        <w:jc w:val="left"/>
      </w:pPr>
      <w:r>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1"/>
        <w:tabs>
          <w:tab w:pos="4060" w:val="left" w:leader="none"/>
        </w:tabs>
        <w:spacing w:line="240" w:lineRule="auto" w:before="0"/>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3"/>
        <w:rPr>
          <w:rFonts w:ascii="黑体" w:hAnsi="黑体" w:cs="黑体" w:eastAsia="黑体" w:hint="default"/>
          <w:b/>
          <w:bCs/>
          <w:sz w:val="40"/>
          <w:szCs w:val="40"/>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882" w:footer="974" w:top="1120" w:bottom="1160" w:left="1660" w:right="1140"/>
        </w:sectPr>
      </w:pPr>
    </w:p>
    <w:p>
      <w:pPr>
        <w:spacing w:line="240" w:lineRule="auto" w:before="9"/>
        <w:rPr>
          <w:rFonts w:ascii="宋体" w:hAnsi="宋体" w:cs="宋体" w:eastAsia="宋体" w:hint="default"/>
          <w:sz w:val="25"/>
          <w:szCs w:val="25"/>
        </w:rPr>
      </w:pPr>
    </w:p>
    <w:p>
      <w:pPr>
        <w:pStyle w:val="Heading1"/>
        <w:spacing w:line="240" w:lineRule="auto"/>
        <w:ind w:left="2134" w:right="2132"/>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2"/>
        <w:spacing w:line="240" w:lineRule="auto" w:before="36"/>
        <w:ind w:left="138" w:right="0"/>
        <w:jc w:val="left"/>
        <w:rPr>
          <w:b w:val="0"/>
          <w:bCs w:val="0"/>
        </w:rPr>
      </w:pPr>
      <w:r>
        <w:rPr/>
        <w:t>一、审计报告</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4"/>
        <w:rPr>
          <w:rFonts w:ascii="宋体" w:hAnsi="宋体" w:cs="宋体" w:eastAsia="宋体" w:hint="default"/>
          <w:sz w:val="16"/>
          <w:szCs w:val="16"/>
        </w:rPr>
      </w:pPr>
    </w:p>
    <w:p>
      <w:pPr>
        <w:spacing w:line="369" w:lineRule="auto" w:before="26"/>
        <w:ind w:left="2865" w:right="2848" w:firstLine="1207"/>
        <w:jc w:val="left"/>
        <w:rPr>
          <w:rFonts w:ascii="宋体" w:hAnsi="宋体" w:cs="宋体" w:eastAsia="宋体" w:hint="default"/>
          <w:sz w:val="24"/>
          <w:szCs w:val="24"/>
        </w:rPr>
      </w:pPr>
      <w:r>
        <w:rPr>
          <w:rFonts w:ascii="宋体" w:hAnsi="宋体" w:cs="宋体" w:eastAsia="宋体" w:hint="default"/>
          <w:b/>
          <w:bCs/>
          <w:sz w:val="24"/>
          <w:szCs w:val="24"/>
        </w:rPr>
        <w:t>审计报告</w:t>
      </w:r>
      <w:r>
        <w:rPr>
          <w:rFonts w:ascii="宋体" w:hAnsi="宋体" w:cs="宋体" w:eastAsia="宋体" w:hint="default"/>
          <w:b/>
          <w:bCs/>
          <w:w w:val="99"/>
          <w:sz w:val="24"/>
          <w:szCs w:val="24"/>
        </w:rPr>
        <w:t> </w:t>
      </w:r>
      <w:r>
        <w:rPr>
          <w:rFonts w:ascii="宋体" w:hAnsi="宋体" w:cs="宋体" w:eastAsia="宋体" w:hint="default"/>
          <w:b/>
          <w:bCs/>
          <w:sz w:val="24"/>
          <w:szCs w:val="24"/>
        </w:rPr>
        <w:t>闽华兴所（</w:t>
      </w:r>
      <w:r>
        <w:rPr>
          <w:rFonts w:ascii="宋体" w:hAnsi="宋体" w:cs="宋体" w:eastAsia="宋体" w:hint="default"/>
          <w:b/>
          <w:bCs/>
          <w:sz w:val="24"/>
          <w:szCs w:val="24"/>
        </w:rPr>
        <w:t>2016</w:t>
      </w:r>
      <w:r>
        <w:rPr>
          <w:rFonts w:ascii="宋体" w:hAnsi="宋体" w:cs="宋体" w:eastAsia="宋体" w:hint="default"/>
          <w:b/>
          <w:bCs/>
          <w:sz w:val="24"/>
          <w:szCs w:val="24"/>
        </w:rPr>
        <w:t>）审字</w:t>
      </w:r>
      <w:r>
        <w:rPr>
          <w:rFonts w:ascii="宋体" w:hAnsi="宋体" w:cs="宋体" w:eastAsia="宋体" w:hint="default"/>
          <w:b/>
          <w:bCs/>
          <w:spacing w:val="-62"/>
          <w:sz w:val="24"/>
          <w:szCs w:val="24"/>
        </w:rPr>
        <w:t> </w:t>
      </w:r>
      <w:r>
        <w:rPr>
          <w:rFonts w:ascii="宋体" w:hAnsi="宋体" w:cs="宋体" w:eastAsia="宋体" w:hint="default"/>
          <w:b/>
          <w:bCs/>
          <w:sz w:val="24"/>
          <w:szCs w:val="24"/>
        </w:rPr>
        <w:t>B-063</w:t>
      </w:r>
      <w:r>
        <w:rPr>
          <w:rFonts w:ascii="宋体" w:hAnsi="宋体" w:cs="宋体" w:eastAsia="宋体" w:hint="default"/>
          <w:b/>
          <w:bCs/>
          <w:spacing w:val="-64"/>
          <w:sz w:val="24"/>
          <w:szCs w:val="24"/>
        </w:rPr>
        <w:t> </w:t>
      </w:r>
      <w:r>
        <w:rPr>
          <w:rFonts w:ascii="宋体" w:hAnsi="宋体" w:cs="宋体" w:eastAsia="宋体" w:hint="default"/>
          <w:b/>
          <w:bCs/>
          <w:sz w:val="24"/>
          <w:szCs w:val="24"/>
        </w:rPr>
        <w:t>号</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7"/>
          <w:szCs w:val="17"/>
        </w:rPr>
      </w:pPr>
    </w:p>
    <w:p>
      <w:pPr>
        <w:pStyle w:val="Heading2"/>
        <w:spacing w:line="240" w:lineRule="auto"/>
        <w:ind w:left="138" w:right="0"/>
        <w:jc w:val="left"/>
        <w:rPr>
          <w:b w:val="0"/>
          <w:bCs w:val="0"/>
        </w:rPr>
      </w:pPr>
      <w:r>
        <w:rPr/>
        <w:t>南威软件股份有限公司全体股东：</w:t>
      </w:r>
      <w:r>
        <w:rPr>
          <w:b w:val="0"/>
          <w:bCs w:val="0"/>
        </w:rPr>
      </w:r>
    </w:p>
    <w:p>
      <w:pPr>
        <w:pStyle w:val="BodyText"/>
        <w:spacing w:line="297" w:lineRule="auto" w:before="85"/>
        <w:ind w:right="125" w:firstLine="412"/>
        <w:jc w:val="both"/>
      </w:pPr>
      <w:r>
        <w:rPr>
          <w:spacing w:val="-7"/>
        </w:rPr>
        <w:t>我们审计了后附的南威软件股份有限公司</w:t>
      </w:r>
      <w:r>
        <w:rPr>
          <w:rFonts w:ascii="Times New Roman" w:hAnsi="Times New Roman" w:cs="Times New Roman" w:eastAsia="Times New Roman" w:hint="default"/>
          <w:spacing w:val="-7"/>
        </w:rPr>
        <w:t>(</w:t>
      </w:r>
      <w:r>
        <w:rPr>
          <w:spacing w:val="-7"/>
        </w:rPr>
        <w:t>以下简称贵公司</w:t>
      </w:r>
      <w:r>
        <w:rPr>
          <w:rFonts w:ascii="Times New Roman" w:hAnsi="Times New Roman" w:cs="Times New Roman" w:eastAsia="Times New Roman" w:hint="default"/>
          <w:spacing w:val="-7"/>
        </w:rPr>
        <w:t>)</w:t>
      </w:r>
      <w:r>
        <w:rPr>
          <w:spacing w:val="-7"/>
        </w:rPr>
        <w:t>财务报表，包括</w:t>
      </w:r>
      <w:r>
        <w:rPr>
          <w:spacing w:val="-51"/>
        </w:rPr>
        <w:t> </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w w:val="100"/>
        </w:rPr>
        <w:t> </w:t>
      </w:r>
      <w:r>
        <w:rPr>
          <w:spacing w:val="-7"/>
        </w:rPr>
        <w:t>的合并及母公司资产负债表，</w:t>
      </w:r>
      <w:r>
        <w:rPr>
          <w:rFonts w:ascii="Times New Roman" w:hAnsi="Times New Roman" w:cs="Times New Roman" w:eastAsia="Times New Roman" w:hint="default"/>
          <w:spacing w:val="-7"/>
        </w:rPr>
        <w:t>2015 </w:t>
      </w:r>
      <w:r>
        <w:rPr>
          <w:spacing w:val="-7"/>
        </w:rPr>
        <w:t>年度的合并及母公司利润表、合并及母公司现金流量表和合并及</w:t>
      </w:r>
      <w:r>
        <w:rPr>
          <w:spacing w:val="-83"/>
        </w:rPr>
        <w:t> </w:t>
      </w:r>
      <w:r>
        <w:rPr>
          <w:spacing w:val="-83"/>
        </w:rPr>
      </w:r>
      <w:r>
        <w:rPr>
          <w:spacing w:val="-6"/>
        </w:rPr>
        <w:t>母公司股东权益变动表以及财务报表附注。</w:t>
      </w:r>
    </w:p>
    <w:p>
      <w:pPr>
        <w:tabs>
          <w:tab w:pos="1337" w:val="left" w:leader="none"/>
        </w:tabs>
        <w:spacing w:line="297" w:lineRule="auto" w:before="34"/>
        <w:ind w:left="558" w:right="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w:t>
        <w:tab/>
      </w:r>
      <w:r>
        <w:rPr>
          <w:rFonts w:ascii="宋体" w:hAnsi="宋体" w:cs="宋体" w:eastAsia="宋体" w:hint="default"/>
          <w:b/>
          <w:bCs/>
          <w:sz w:val="21"/>
          <w:szCs w:val="21"/>
        </w:rPr>
        <w:t>管理层对财务报表的责任</w:t>
      </w:r>
      <w:r>
        <w:rPr>
          <w:rFonts w:ascii="宋体" w:hAnsi="宋体" w:cs="宋体" w:eastAsia="宋体" w:hint="default"/>
          <w:b/>
          <w:bCs/>
          <w:w w:val="100"/>
          <w:sz w:val="21"/>
          <w:szCs w:val="21"/>
        </w:rPr>
        <w:t> </w:t>
      </w:r>
      <w:r>
        <w:rPr>
          <w:rFonts w:ascii="宋体" w:hAnsi="宋体" w:cs="宋体" w:eastAsia="宋体" w:hint="default"/>
          <w:spacing w:val="-4"/>
          <w:sz w:val="21"/>
          <w:szCs w:val="21"/>
        </w:rPr>
        <w:t>编制和公允列报财务报表是贵公司管理层的责任，这种责任包括：（</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）按照企业会计准则的</w:t>
      </w:r>
    </w:p>
    <w:p>
      <w:pPr>
        <w:pStyle w:val="BodyText"/>
        <w:spacing w:line="297" w:lineRule="auto" w:before="13"/>
        <w:ind w:right="0"/>
        <w:jc w:val="left"/>
      </w:pPr>
      <w:r>
        <w:rPr>
          <w:spacing w:val="-4"/>
        </w:rPr>
        <w:t>规定编制财务报表，并使其实现公允反映；（</w:t>
      </w:r>
      <w:r>
        <w:rPr>
          <w:rFonts w:ascii="Times New Roman" w:hAnsi="Times New Roman" w:cs="Times New Roman" w:eastAsia="Times New Roman" w:hint="default"/>
          <w:spacing w:val="-4"/>
        </w:rPr>
        <w:t>2</w:t>
      </w:r>
      <w:r>
        <w:rPr>
          <w:spacing w:val="-4"/>
        </w:rPr>
        <w:t>）设计、执行和维护必要的内部控制，以使财务报</w:t>
      </w:r>
      <w:r>
        <w:rPr>
          <w:spacing w:val="-38"/>
        </w:rPr>
        <w:t> </w:t>
      </w:r>
      <w:r>
        <w:rPr>
          <w:spacing w:val="-38"/>
        </w:rPr>
      </w:r>
      <w:r>
        <w:rPr/>
        <w:t>表不存在由于舞弊或错误导致的重大错报。</w:t>
      </w:r>
    </w:p>
    <w:p>
      <w:pPr>
        <w:spacing w:line="314" w:lineRule="auto" w:before="34"/>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我们的责任是在执行审计工作的基础上对财务报表发表审计意见。我们按照中国注册会计师</w:t>
      </w:r>
    </w:p>
    <w:p>
      <w:pPr>
        <w:pStyle w:val="BodyText"/>
        <w:spacing w:line="314" w:lineRule="auto" w:before="20"/>
        <w:ind w:right="0"/>
        <w:jc w:val="left"/>
      </w:pPr>
      <w:r>
        <w:rPr>
          <w:spacing w:val="-1"/>
        </w:rPr>
        <w:t>审计准则的规定执行了审计工作。中国注册会计师审计准则要求我们遵守中国注册会计师职业道</w:t>
      </w:r>
      <w:r>
        <w:rPr>
          <w:spacing w:val="-55"/>
        </w:rPr>
        <w:t> </w:t>
      </w:r>
      <w:r>
        <w:rPr>
          <w:spacing w:val="-55"/>
        </w:rPr>
      </w:r>
      <w:r>
        <w:rPr/>
        <w:t>德守则，计划和执行审计工作以对财务报表是否不存在重大错报获取合理保证。</w:t>
      </w:r>
    </w:p>
    <w:p>
      <w:pPr>
        <w:pStyle w:val="BodyText"/>
        <w:spacing w:line="314" w:lineRule="auto" w:before="20"/>
        <w:ind w:right="128" w:firstLine="419"/>
        <w:jc w:val="both"/>
      </w:pPr>
      <w:r>
        <w:rPr>
          <w:spacing w:val="-2"/>
        </w:rPr>
        <w:t>审计工作涉及实施审计程序，以获取有关财务报表金额和披露的审计证据。选择的审计程序</w:t>
      </w:r>
      <w:r>
        <w:rPr>
          <w:w w:val="100"/>
        </w:rPr>
        <w:t> </w:t>
      </w:r>
      <w:r>
        <w:rPr>
          <w:spacing w:val="-1"/>
        </w:rPr>
        <w:t>取决于注册会计师的判断，包括对由于舞弊或错误导致的财务报表重大错报风险的评估。在进行</w:t>
      </w:r>
      <w:r>
        <w:rPr>
          <w:spacing w:val="-55"/>
        </w:rPr>
        <w:t> </w:t>
      </w:r>
      <w:r>
        <w:rPr>
          <w:spacing w:val="-55"/>
        </w:rPr>
      </w:r>
      <w:r>
        <w:rPr>
          <w:spacing w:val="-1"/>
        </w:rPr>
        <w:t>风险评估时，注册会计师考虑与财务报表编制和公允列报相关的内部控制，以设计恰当的审计程</w:t>
      </w:r>
      <w:r>
        <w:rPr>
          <w:spacing w:val="-55"/>
        </w:rPr>
        <w:t> </w:t>
      </w:r>
      <w:r>
        <w:rPr>
          <w:spacing w:val="-55"/>
        </w:rPr>
      </w:r>
      <w:r>
        <w:rPr>
          <w:spacing w:val="-1"/>
        </w:rPr>
        <w:t>序，但目的并非对内部控制的有效性发表意见。审计工作还包括评价管理层选用会计政策的恰当</w:t>
      </w:r>
      <w:r>
        <w:rPr>
          <w:spacing w:val="-55"/>
        </w:rPr>
        <w:t> </w:t>
      </w:r>
      <w:r>
        <w:rPr>
          <w:spacing w:val="-55"/>
        </w:rPr>
      </w:r>
      <w:r>
        <w:rPr/>
        <w:t>性和作出会计估计的合理性，以及评价财务报表的总体列报。</w:t>
      </w:r>
    </w:p>
    <w:p>
      <w:pPr>
        <w:pStyle w:val="BodyText"/>
        <w:spacing w:line="314" w:lineRule="auto" w:before="20"/>
        <w:ind w:left="558" w:right="0"/>
        <w:jc w:val="left"/>
      </w:pPr>
      <w:r>
        <w:rPr/>
        <w:t>我们相信，我们获取的审计证据是充分、适当的，为发表审计意见提供了基础。</w:t>
      </w:r>
      <w:r>
        <w:rPr>
          <w:w w:val="100"/>
        </w:rPr>
        <w:t> </w:t>
      </w:r>
      <w:r>
        <w:rPr>
          <w:rFonts w:ascii="宋体" w:hAnsi="宋体" w:cs="宋体" w:eastAsia="宋体" w:hint="default"/>
          <w:b/>
          <w:bCs/>
        </w:rPr>
        <w:t>三、审计意见</w:t>
      </w:r>
      <w:r>
        <w:rPr>
          <w:rFonts w:ascii="宋体" w:hAnsi="宋体" w:cs="宋体" w:eastAsia="宋体" w:hint="default"/>
          <w:b/>
          <w:bCs/>
          <w:spacing w:val="-104"/>
        </w:rPr>
        <w:t> </w:t>
      </w:r>
      <w:r>
        <w:rPr>
          <w:spacing w:val="-1"/>
        </w:rPr>
        <w:t>我们认为，贵公司财务报表在所有重大方面按照企业会计准则的规定编制，公允反映了贵公</w:t>
      </w:r>
    </w:p>
    <w:p>
      <w:pPr>
        <w:pStyle w:val="BodyText"/>
        <w:spacing w:line="240" w:lineRule="auto" w:before="20"/>
        <w:ind w:right="0"/>
        <w:jc w:val="left"/>
      </w:pPr>
      <w:r>
        <w:rPr/>
        <w:t>司</w:t>
      </w:r>
      <w:r>
        <w:rPr>
          <w:spacing w:val="-52"/>
        </w:rPr>
        <w:t> </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日的合并及母公司财务状况以及</w:t>
      </w:r>
      <w:r>
        <w:rPr>
          <w:spacing w:val="-55"/>
        </w:rPr>
        <w:t> </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t>的合并及母公司经营成果和现金流量。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461" w:type="dxa"/>
        <w:tblLayout w:type="fixed"/>
        <w:tblCellMar>
          <w:top w:w="0" w:type="dxa"/>
          <w:left w:w="0" w:type="dxa"/>
          <w:bottom w:w="0" w:type="dxa"/>
          <w:right w:w="0" w:type="dxa"/>
        </w:tblCellMar>
        <w:tblLook w:val="01E0"/>
      </w:tblPr>
      <w:tblGrid>
        <w:gridCol w:w="3838"/>
        <w:gridCol w:w="4050"/>
      </w:tblGrid>
      <w:tr>
        <w:trPr>
          <w:trHeight w:val="842"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11" w:lineRule="exact"/>
              <w:ind w:right="1326"/>
              <w:jc w:val="center"/>
              <w:rPr>
                <w:rFonts w:ascii="宋体" w:hAnsi="宋体" w:cs="宋体" w:eastAsia="宋体" w:hint="default"/>
                <w:sz w:val="21"/>
                <w:szCs w:val="21"/>
              </w:rPr>
            </w:pPr>
            <w:r>
              <w:rPr>
                <w:rFonts w:ascii="宋体" w:hAnsi="宋体" w:cs="宋体" w:eastAsia="宋体" w:hint="default"/>
                <w:b/>
                <w:bCs/>
                <w:sz w:val="21"/>
                <w:szCs w:val="21"/>
              </w:rPr>
              <w:t>福建华兴会计师事务所</w:t>
            </w:r>
            <w:r>
              <w:rPr>
                <w:rFonts w:ascii="宋体" w:hAnsi="宋体" w:cs="宋体" w:eastAsia="宋体" w:hint="default"/>
                <w:sz w:val="21"/>
                <w:szCs w:val="21"/>
              </w:rPr>
            </w:r>
          </w:p>
          <w:p>
            <w:pPr>
              <w:pStyle w:val="TableParagraph"/>
              <w:spacing w:line="240" w:lineRule="auto" w:before="85"/>
              <w:ind w:right="1328"/>
              <w:jc w:val="center"/>
              <w:rPr>
                <w:rFonts w:ascii="宋体" w:hAnsi="宋体" w:cs="宋体" w:eastAsia="宋体" w:hint="default"/>
                <w:sz w:val="21"/>
                <w:szCs w:val="21"/>
              </w:rPr>
            </w:pPr>
            <w:r>
              <w:rPr>
                <w:rFonts w:ascii="宋体" w:hAnsi="宋体" w:cs="宋体" w:eastAsia="宋体" w:hint="default"/>
                <w:b/>
                <w:bCs/>
                <w:sz w:val="21"/>
                <w:szCs w:val="21"/>
              </w:rPr>
              <w:t>（特殊普通合伙）</w:t>
            </w:r>
            <w:r>
              <w:rPr>
                <w:rFonts w:ascii="宋体" w:hAnsi="宋体" w:cs="宋体" w:eastAsia="宋体" w:hint="default"/>
                <w:sz w:val="21"/>
                <w:szCs w:val="21"/>
              </w:rPr>
            </w:r>
          </w:p>
        </w:tc>
        <w:tc>
          <w:tcPr>
            <w:tcW w:w="4050" w:type="dxa"/>
            <w:tcBorders>
              <w:top w:val="nil" w:sz="6" w:space="0" w:color="auto"/>
              <w:left w:val="nil" w:sz="6" w:space="0" w:color="auto"/>
              <w:bottom w:val="nil" w:sz="6" w:space="0" w:color="auto"/>
              <w:right w:val="nil" w:sz="6" w:space="0" w:color="auto"/>
            </w:tcBorders>
          </w:tcPr>
          <w:p>
            <w:pPr>
              <w:pStyle w:val="TableParagraph"/>
              <w:spacing w:line="211" w:lineRule="exact"/>
              <w:ind w:left="1528" w:right="0"/>
              <w:jc w:val="left"/>
              <w:rPr>
                <w:rFonts w:ascii="宋体" w:hAnsi="宋体" w:cs="宋体" w:eastAsia="宋体" w:hint="default"/>
                <w:sz w:val="21"/>
                <w:szCs w:val="21"/>
              </w:rPr>
            </w:pPr>
            <w:r>
              <w:rPr>
                <w:rFonts w:ascii="宋体" w:hAnsi="宋体" w:cs="宋体" w:eastAsia="宋体" w:hint="default"/>
                <w:b/>
                <w:bCs/>
                <w:sz w:val="21"/>
                <w:szCs w:val="21"/>
              </w:rPr>
              <w:t>中国注册会计师：蒋新红</w:t>
            </w:r>
            <w:r>
              <w:rPr>
                <w:rFonts w:ascii="宋体" w:hAnsi="宋体" w:cs="宋体" w:eastAsia="宋体" w:hint="default"/>
                <w:sz w:val="21"/>
                <w:szCs w:val="21"/>
              </w:rPr>
            </w:r>
          </w:p>
        </w:tc>
      </w:tr>
      <w:tr>
        <w:trPr>
          <w:trHeight w:val="810" w:hRule="exact"/>
        </w:trPr>
        <w:tc>
          <w:tcPr>
            <w:tcW w:w="3838" w:type="dxa"/>
            <w:tcBorders>
              <w:top w:val="nil" w:sz="6" w:space="0" w:color="auto"/>
              <w:left w:val="nil" w:sz="6" w:space="0" w:color="auto"/>
              <w:bottom w:val="nil" w:sz="6" w:space="0" w:color="auto"/>
              <w:right w:val="nil" w:sz="6" w:space="0" w:color="auto"/>
            </w:tcBorders>
          </w:tcPr>
          <w:p>
            <w:pPr/>
          </w:p>
        </w:tc>
        <w:tc>
          <w:tcPr>
            <w:tcW w:w="40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3" w:right="0"/>
              <w:jc w:val="left"/>
              <w:rPr>
                <w:rFonts w:ascii="宋体" w:hAnsi="宋体" w:cs="宋体" w:eastAsia="宋体" w:hint="default"/>
                <w:sz w:val="21"/>
                <w:szCs w:val="21"/>
              </w:rPr>
            </w:pPr>
            <w:r>
              <w:rPr>
                <w:rFonts w:ascii="宋体" w:hAnsi="宋体" w:cs="宋体" w:eastAsia="宋体" w:hint="default"/>
                <w:b/>
                <w:bCs/>
                <w:sz w:val="21"/>
                <w:szCs w:val="21"/>
              </w:rPr>
              <w:t>中国注册会计师：林力</w:t>
            </w:r>
            <w:r>
              <w:rPr>
                <w:rFonts w:ascii="宋体" w:hAnsi="宋体" w:cs="宋体" w:eastAsia="宋体" w:hint="default"/>
                <w:sz w:val="21"/>
                <w:szCs w:val="21"/>
              </w:rPr>
            </w:r>
          </w:p>
        </w:tc>
      </w:tr>
      <w:tr>
        <w:trPr>
          <w:trHeight w:val="539" w:hRule="exact"/>
        </w:trPr>
        <w:tc>
          <w:tcPr>
            <w:tcW w:w="38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25" w:right="0"/>
              <w:jc w:val="left"/>
              <w:rPr>
                <w:rFonts w:ascii="宋体" w:hAnsi="宋体" w:cs="宋体" w:eastAsia="宋体" w:hint="default"/>
                <w:sz w:val="21"/>
                <w:szCs w:val="21"/>
              </w:rPr>
            </w:pPr>
            <w:r>
              <w:rPr>
                <w:rFonts w:ascii="宋体" w:hAnsi="宋体" w:cs="宋体" w:eastAsia="宋体" w:hint="default"/>
                <w:b/>
                <w:bCs/>
                <w:sz w:val="21"/>
                <w:szCs w:val="21"/>
              </w:rPr>
              <w:t>中国福州市</w:t>
            </w:r>
            <w:r>
              <w:rPr>
                <w:rFonts w:ascii="宋体" w:hAnsi="宋体" w:cs="宋体" w:eastAsia="宋体" w:hint="default"/>
                <w:sz w:val="21"/>
                <w:szCs w:val="21"/>
              </w:rPr>
            </w:r>
          </w:p>
        </w:tc>
        <w:tc>
          <w:tcPr>
            <w:tcW w:w="40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28" w:right="0"/>
              <w:jc w:val="left"/>
              <w:rPr>
                <w:rFonts w:ascii="宋体" w:hAnsi="宋体" w:cs="宋体" w:eastAsia="宋体" w:hint="default"/>
                <w:sz w:val="21"/>
                <w:szCs w:val="21"/>
              </w:rPr>
            </w:pPr>
            <w:r>
              <w:rPr>
                <w:rFonts w:ascii="宋体" w:hAnsi="宋体" w:cs="宋体" w:eastAsia="宋体" w:hint="default"/>
                <w:b/>
                <w:bCs/>
                <w:sz w:val="21"/>
                <w:szCs w:val="21"/>
              </w:rPr>
              <w:t>二○一六年三月二十九日</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2"/>
        <w:spacing w:line="240" w:lineRule="auto" w:before="36"/>
        <w:ind w:right="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ind w:left="218" w:right="0"/>
        <w:jc w:val="left"/>
      </w:pPr>
      <w:r>
        <w:rPr>
          <w:spacing w:val="-2"/>
        </w:rPr>
        <w:t>编制单位</w:t>
      </w:r>
      <w:r>
        <w:rPr>
          <w:rFonts w:ascii="Times New Roman" w:hAnsi="Times New Roman" w:cs="Times New Roman" w:eastAsia="Times New Roman" w:hint="default"/>
          <w:spacing w:val="-2"/>
        </w:rPr>
        <w:t>:</w:t>
      </w:r>
      <w:r>
        <w:rPr>
          <w:spacing w:val="-2"/>
        </w:rPr>
        <w:t>南威软件股份有限公司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14"/>
          <w:szCs w:val="14"/>
        </w:rPr>
      </w:pPr>
    </w:p>
    <w:p>
      <w:pPr>
        <w:pStyle w:val="Heading2"/>
        <w:spacing w:line="240" w:lineRule="auto"/>
        <w:ind w:left="215" w:right="0"/>
        <w:jc w:val="center"/>
        <w:rPr>
          <w:b w:val="0"/>
          <w:bCs w:val="0"/>
        </w:rPr>
      </w:pPr>
      <w:r>
        <w:rPr/>
        <w:t>合并资产负债表</w:t>
      </w:r>
      <w:r>
        <w:rPr>
          <w:b w:val="0"/>
          <w:bCs w:val="0"/>
        </w:rPr>
      </w:r>
    </w:p>
    <w:p>
      <w:pPr>
        <w:pStyle w:val="BodyText"/>
        <w:spacing w:line="240" w:lineRule="auto" w:before="85"/>
        <w:ind w:left="218" w:right="0"/>
        <w:jc w:val="center"/>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8"/>
          <w:szCs w:val="28"/>
        </w:rPr>
      </w:pPr>
    </w:p>
    <w:p>
      <w:pPr>
        <w:pStyle w:val="BodyText"/>
        <w:spacing w:line="240" w:lineRule="auto"/>
        <w:ind w:left="21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160" w:left="1580" w:right="1040"/>
          <w:cols w:num="3" w:equalWidth="0">
            <w:col w:w="3221" w:space="329"/>
            <w:col w:w="1954" w:space="1531"/>
            <w:col w:w="2255"/>
          </w:cols>
        </w:sectPr>
      </w:pP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343"/>
        <w:gridCol w:w="2074"/>
      </w:tblGrid>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4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60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495,745,640.69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616,032,504.48</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85,742,297.47</w:t>
            </w: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150,866,360.57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102,695,291.91</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37,198,311.08</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4,233,436.42</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603,646.16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3,519,781.60</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28,306,339.13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15,171,224.65</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196,501,073.48</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168,456,508.38</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20,618,176.72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667,283.58</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1,015,581,845.30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910,776,031.02</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456,507.37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441,136.49</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181,377.82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181,377.82</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34,547,762.14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35,532,004.18</w:t>
            </w: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85,170,645.72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80,885,184.27</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2,948,562.82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247,166.82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343"/>
        <w:gridCol w:w="2074"/>
      </w:tblGrid>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53,537,774.63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42,504,007.56</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26,186,257.26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13,865,334.70</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564,730.84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737,401.45</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13,101,018.41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10,148,826.82</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w w:val="100"/>
                <w:sz w:val="21"/>
              </w:rPr>
              <w:t>0</w:t>
            </w: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216,694,637.01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184,542,440.11</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1,232,276,482.31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1,095,318,471.13</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47,802,071.25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65,772,804.94</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76,662,446.29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43,545,918.10</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183,803,608.54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126,737,229.99</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16,331,108.70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12,805,005.25</w:t>
            </w: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7,032,683.38</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15,701,594.78</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25,526,565.49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13,062,732.84</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974"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343"/>
        <w:gridCol w:w="2074"/>
      </w:tblGrid>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357,158,483.65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277,625,285.90</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2,650,000.00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3,341,666.67</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138,846.37</w:t>
            </w: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2,788,846.37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3,341,666.67</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359,947,330.02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280,966,952.57</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100,000,000.00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406,823,402.40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406,823,402.40</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38,866,410.36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31,603,309.37</w:t>
            </w: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303,425,252.74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265,548,006.81</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849,115,065.50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803,974,718.58</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23,214,086.79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10,376,799.98</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872,329,152.29</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814,351,518.56</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1,232,276,482.31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1,095,318,471.13</w:t>
            </w:r>
          </w:p>
        </w:tc>
      </w:tr>
    </w:tbl>
    <w:p>
      <w:pPr>
        <w:pStyle w:val="BodyText"/>
        <w:spacing w:line="240" w:lineRule="auto" w:before="42"/>
        <w:ind w:left="218" w:right="227"/>
        <w:jc w:val="left"/>
      </w:pPr>
      <w:r>
        <w:rPr/>
        <w:t>法定代表人：吴志雄主管会计工作负责人：郑金聪会计机构负责人：黄丽珠</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974" w:top="1120" w:bottom="1160" w:left="1580" w:right="1040"/>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81"/>
        <w:ind w:left="218" w:right="0"/>
        <w:jc w:val="left"/>
      </w:pPr>
      <w:r>
        <w:rPr>
          <w:spacing w:val="-2"/>
        </w:rPr>
        <w:t>编制单位</w:t>
      </w:r>
      <w:r>
        <w:rPr>
          <w:rFonts w:ascii="Times New Roman" w:hAnsi="Times New Roman" w:cs="Times New Roman" w:eastAsia="Times New Roman" w:hint="default"/>
          <w:spacing w:val="-2"/>
        </w:rPr>
        <w:t>:</w:t>
      </w:r>
      <w:r>
        <w:rPr>
          <w:spacing w:val="-2"/>
        </w:rPr>
        <w:t>南威软件股份有限公司</w:t>
      </w:r>
    </w:p>
    <w:p>
      <w:pPr>
        <w:pStyle w:val="Heading2"/>
        <w:spacing w:line="240" w:lineRule="auto" w:before="36"/>
        <w:ind w:left="239" w:right="0"/>
        <w:jc w:val="left"/>
        <w:rPr>
          <w:b w:val="0"/>
          <w:bCs w:val="0"/>
        </w:rPr>
      </w:pPr>
      <w:r>
        <w:rPr>
          <w:b w:val="0"/>
          <w:bCs w:val="0"/>
        </w:rPr>
        <w:br w:type="column"/>
      </w:r>
      <w:r>
        <w:rPr/>
        <w:t>母公司资产负债表</w:t>
      </w:r>
      <w:r>
        <w:rPr>
          <w:b w:val="0"/>
          <w:bCs w:val="0"/>
        </w:rPr>
      </w:r>
    </w:p>
    <w:p>
      <w:pPr>
        <w:pStyle w:val="BodyText"/>
        <w:spacing w:line="240" w:lineRule="auto" w:before="85"/>
        <w:ind w:left="218"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40" w:lineRule="auto"/>
        <w:jc w:val="left"/>
        <w:sectPr>
          <w:type w:val="continuous"/>
          <w:pgSz w:w="11910" w:h="16840"/>
          <w:pgMar w:top="1120" w:bottom="1160" w:left="1580" w:right="1040"/>
          <w:cols w:num="2" w:equalWidth="0">
            <w:col w:w="3221" w:space="329"/>
            <w:col w:w="5740"/>
          </w:cols>
        </w:sectPr>
      </w:pPr>
    </w:p>
    <w:p>
      <w:pPr>
        <w:spacing w:line="240" w:lineRule="auto" w:before="0"/>
        <w:rPr>
          <w:rFonts w:ascii="宋体" w:hAnsi="宋体" w:cs="宋体" w:eastAsia="宋体" w:hint="default"/>
          <w:sz w:val="20"/>
          <w:szCs w:val="20"/>
        </w:rPr>
      </w:pPr>
    </w:p>
    <w:p>
      <w:pPr>
        <w:pStyle w:val="BodyText"/>
        <w:spacing w:line="240" w:lineRule="auto" w:before="180"/>
        <w:ind w:left="0" w:right="230"/>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394,753,309.88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577,753,071.29</w:t>
            </w:r>
          </w:p>
        </w:tc>
      </w:tr>
      <w:tr>
        <w:trPr>
          <w:trHeight w:val="73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85,742,297.47</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147,802,965.85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98,712,454.15</w:t>
            </w:r>
          </w:p>
        </w:tc>
      </w:tr>
      <w:tr>
        <w:trPr>
          <w:trHeight w:val="37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5,590,052.70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4,190,349.42</w:t>
            </w: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601,483.83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3,519,781.60</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30,627,560.04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21,867,603.06</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170,820,276.74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167,994,003.47</w:t>
            </w: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4,397,716.54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170,367.74</w:t>
            </w:r>
          </w:p>
        </w:tc>
      </w:tr>
      <w:tr>
        <w:trPr>
          <w:trHeight w:val="37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840,335,663.05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874,207,630.73</w:t>
            </w: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456,507.37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441,136.49</w:t>
            </w: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179,948,044.82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64,431,377.82</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34,547,762.14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35,532,004.18</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83,013,433.35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78,619,353.22</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2,948,562.82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247,166.82</w:t>
            </w: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51,407,982.92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39,331,912.41</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22,976,029.49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13,865,334.70</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54,374.96</w:t>
            </w: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4,047,764.28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4,134,576.22</w:t>
            </w:r>
          </w:p>
        </w:tc>
      </w:tr>
      <w:tr>
        <w:trPr>
          <w:trHeight w:val="37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379,346,087.19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236,657,236.82</w:t>
            </w:r>
          </w:p>
        </w:tc>
      </w:tr>
    </w:tbl>
    <w:p>
      <w:pPr>
        <w:spacing w:after="0" w:line="240" w:lineRule="auto"/>
        <w:jc w:val="right"/>
        <w:rPr>
          <w:rFonts w:ascii="Times New Roman" w:hAnsi="Times New Roman" w:cs="Times New Roman" w:eastAsia="Times New Roman" w:hint="default"/>
          <w:sz w:val="21"/>
          <w:szCs w:val="21"/>
        </w:rPr>
        <w:sectPr>
          <w:footerReference w:type="default" r:id="rId36"/>
          <w:pgSz w:w="11910" w:h="16840"/>
          <w:pgMar w:footer="974" w:header="882"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1,219,681,750.24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1,110,864,867.55</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47,802,071.25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65,772,804.94</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83,434,775.77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47,486,249.55</w:t>
            </w:r>
          </w:p>
        </w:tc>
      </w:tr>
      <w:tr>
        <w:trPr>
          <w:trHeight w:val="37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162,994,184.05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126,728,229.99</w:t>
            </w: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8,666,409.54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7,787,558.37</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5,801,653.31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15,459,523.38</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30,706,304.05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21,499,005.32</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339,405,397.97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284,733,371.55</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2,650,000.00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3,275,000.00</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138,846.37</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2,788,846.37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3,275,000.00</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342,194,244.34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288,008,371.55</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7"/>
          <w:pgSz w:w="11910" w:h="16840"/>
          <w:pgMar w:footer="974" w:header="882" w:top="1120" w:bottom="1160" w:left="1580" w:right="104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406,823,402.40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406,823,402.40</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38,866,410.36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31,603,309.37</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331,797,693.14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284,429,784.23</w:t>
            </w:r>
          </w:p>
        </w:tc>
      </w:tr>
      <w:tr>
        <w:trPr>
          <w:trHeight w:val="37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877,487,505.90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822,856,496.00</w:t>
            </w:r>
          </w:p>
        </w:tc>
      </w:tr>
      <w:tr>
        <w:trPr>
          <w:trHeight w:val="37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1,219,681,750.24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1,110,864,867.55</w:t>
            </w:r>
          </w:p>
        </w:tc>
      </w:tr>
    </w:tbl>
    <w:p>
      <w:pPr>
        <w:pStyle w:val="BodyText"/>
        <w:spacing w:line="240" w:lineRule="auto" w:before="42"/>
        <w:ind w:left="218" w:right="302"/>
        <w:jc w:val="left"/>
      </w:pPr>
      <w:r>
        <w:rPr/>
        <w:t>法定代表人：吴志雄主管会计工作负责人：郑金聪会计机构负责人：黄丽珠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960"/>
        </w:sectPr>
      </w:pPr>
    </w:p>
    <w:p>
      <w:pPr>
        <w:pStyle w:val="Heading2"/>
        <w:spacing w:line="240" w:lineRule="auto" w:before="36"/>
        <w:ind w:left="0" w:right="233"/>
        <w:jc w:val="right"/>
        <w:rPr>
          <w:b w:val="0"/>
          <w:bCs w:val="0"/>
        </w:rPr>
      </w:pPr>
      <w:r>
        <w:rPr/>
        <w:t>合并利润表</w:t>
      </w:r>
      <w:r>
        <w:rPr>
          <w:b w:val="0"/>
          <w:bCs w:val="0"/>
        </w:rPr>
      </w:r>
    </w:p>
    <w:p>
      <w:pPr>
        <w:pStyle w:val="BodyText"/>
        <w:spacing w:line="240" w:lineRule="auto" w:before="85"/>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80"/>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160" w:left="1580" w:right="960"/>
          <w:cols w:num="2" w:equalWidth="0">
            <w:col w:w="5399" w:space="40"/>
            <w:col w:w="3931"/>
          </w:cols>
        </w:sectPr>
      </w:pP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13"/>
        <w:gridCol w:w="965"/>
        <w:gridCol w:w="1973"/>
        <w:gridCol w:w="1985"/>
      </w:tblGrid>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6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342,493,302.27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323,315,557.02</w:t>
            </w: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342,493,302.27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323,315,557.02</w:t>
            </w:r>
          </w:p>
        </w:tc>
      </w:tr>
      <w:tr>
        <w:trPr>
          <w:trHeight w:val="375"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314,456,047.01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245,418,350.94</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227,817,320.40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168,141,346.01</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2,594,034.83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4,473,916.58</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28,747,183.21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20,250,402.25</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56,141,280.76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54,363,666.97</w:t>
            </w: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-5,852,587.38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-4,579,023.24</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5,008,815.19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2,768,042.37</w:t>
            </w:r>
          </w:p>
        </w:tc>
      </w:tr>
      <w:tr>
        <w:trPr>
          <w:trHeight w:val="735"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00" w:right="98" w:firstLine="211"/>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925,642.47</w:t>
            </w:r>
          </w:p>
        </w:tc>
        <w:tc>
          <w:tcPr>
            <w:tcW w:w="198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580" w:right="9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213"/>
        <w:gridCol w:w="965"/>
        <w:gridCol w:w="1973"/>
        <w:gridCol w:w="1985"/>
      </w:tblGrid>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12,971,181.30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987,116.74</w:t>
            </w:r>
          </w:p>
        </w:tc>
      </w:tr>
      <w:tr>
        <w:trPr>
          <w:trHeight w:val="73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p>
          <w:p>
            <w:pPr>
              <w:pStyle w:val="TableParagraph"/>
              <w:spacing w:line="240" w:lineRule="auto" w:before="85"/>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-17,677.78</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41,934,079.03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78,884,322.82</w:t>
            </w: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26,587,069.23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21,363,704.69</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607,209.72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128,867.30</w:t>
            </w:r>
          </w:p>
        </w:tc>
      </w:tr>
      <w:tr>
        <w:trPr>
          <w:trHeight w:val="375"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72,267.30</w:t>
            </w: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67,913,938.54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100,119,160.21</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6,836,304.81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13,953,370.08</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61,077,633.73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86,165,790.13</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63,140,346.92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86,886,642.29</w:t>
            </w: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-2,062,713.19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-720,852.16</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r>
      <w:tr>
        <w:trPr>
          <w:trHeight w:val="73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8"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00" w:right="101" w:firstLine="419"/>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0.00</w:t>
            </w:r>
          </w:p>
        </w:tc>
      </w:tr>
      <w:tr>
        <w:trPr>
          <w:trHeight w:val="73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100" w:right="151" w:firstLine="63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0" w:right="151" w:firstLine="63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权益法下在被投资单位不能重分类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进损益的其他综合收益中享有的份额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01" w:firstLine="419"/>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0.00</w:t>
            </w:r>
          </w:p>
        </w:tc>
      </w:tr>
      <w:tr>
        <w:trPr>
          <w:trHeight w:val="735"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0" w:right="151" w:firstLine="63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73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w:t>
            </w:r>
          </w:p>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0" w:right="151" w:firstLine="63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8"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61,077,633.73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86,165,790.13</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974" w:top="1120" w:bottom="1160" w:left="1580" w:right="9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213"/>
        <w:gridCol w:w="965"/>
        <w:gridCol w:w="1973"/>
        <w:gridCol w:w="1985"/>
      </w:tblGrid>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63,140,346.92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86,886,642.29</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-2,062,713.19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-720,852.16</w:t>
            </w: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1.16</w:t>
            </w:r>
          </w:p>
        </w:tc>
      </w:tr>
      <w:tr>
        <w:trPr>
          <w:trHeight w:val="377" w:hRule="exact"/>
        </w:trPr>
        <w:tc>
          <w:tcPr>
            <w:tcW w:w="4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z w:val="21"/>
              </w:rPr>
              <w:t>0.63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z w:val="21"/>
              </w:rPr>
              <w:t>1.16</w:t>
            </w:r>
          </w:p>
        </w:tc>
      </w:tr>
    </w:tbl>
    <w:p>
      <w:pPr>
        <w:pStyle w:val="BodyText"/>
        <w:spacing w:line="314" w:lineRule="auto" w:before="42"/>
        <w:ind w:left="218" w:right="370"/>
        <w:jc w:val="left"/>
      </w:pPr>
      <w:r>
        <w:rPr>
          <w:spacing w:val="-2"/>
        </w:rPr>
        <w:t>本期发生同一控制下企业合并的，被合并方在合并前实现的净利润为：</w:t>
      </w:r>
      <w:r>
        <w:rPr>
          <w:rFonts w:ascii="宋体" w:hAnsi="宋体" w:cs="宋体" w:eastAsia="宋体" w:hint="default"/>
          <w:spacing w:val="-2"/>
        </w:rPr>
        <w:t>0</w:t>
      </w:r>
      <w:r>
        <w:rPr>
          <w:rFonts w:ascii="宋体" w:hAnsi="宋体" w:cs="宋体" w:eastAsia="宋体" w:hint="default"/>
        </w:rPr>
        <w:t> </w:t>
      </w:r>
      <w:r>
        <w:rPr>
          <w:spacing w:val="-2"/>
        </w:rPr>
        <w:t>元，上期被合并方实现</w:t>
      </w:r>
      <w:r>
        <w:rPr>
          <w:spacing w:val="-78"/>
        </w:rPr>
        <w:t> </w:t>
      </w:r>
      <w:r>
        <w:rPr>
          <w:spacing w:val="-78"/>
        </w:rPr>
      </w:r>
      <w:r>
        <w:rPr/>
        <w:t>的净利润为：</w:t>
      </w:r>
      <w:r>
        <w:rPr>
          <w:rFonts w:ascii="宋体" w:hAnsi="宋体" w:cs="宋体" w:eastAsia="宋体" w:hint="default"/>
        </w:rPr>
        <w:t>0</w:t>
      </w:r>
      <w:r>
        <w:rPr>
          <w:rFonts w:ascii="宋体" w:hAnsi="宋体" w:cs="宋体" w:eastAsia="宋体" w:hint="default"/>
          <w:spacing w:val="-38"/>
        </w:rPr>
        <w:t> </w:t>
      </w:r>
      <w:r>
        <w:rPr/>
        <w:t>元。</w:t>
      </w:r>
      <w:r>
        <w:rPr>
          <w:w w:val="100"/>
        </w:rPr>
        <w:t> </w:t>
      </w:r>
      <w:r>
        <w:rPr/>
        <w:t>法定代表人：吴志雄主管会计工作负责人：郑金聪会计机构负责人：黄丽珠</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974" w:top="1120" w:bottom="1160" w:left="1580" w:right="960"/>
        </w:sectPr>
      </w:pPr>
    </w:p>
    <w:p>
      <w:pPr>
        <w:pStyle w:val="Heading2"/>
        <w:spacing w:line="240" w:lineRule="auto" w:before="36"/>
        <w:ind w:left="0" w:right="129"/>
        <w:jc w:val="right"/>
        <w:rPr>
          <w:b w:val="0"/>
          <w:bCs w:val="0"/>
        </w:rPr>
      </w:pPr>
      <w:r>
        <w:rPr/>
        <w:t>母公司利润表</w:t>
      </w:r>
      <w:r>
        <w:rPr>
          <w:b w:val="0"/>
          <w:bCs w:val="0"/>
        </w:rPr>
      </w:r>
    </w:p>
    <w:p>
      <w:pPr>
        <w:pStyle w:val="BodyText"/>
        <w:spacing w:line="240" w:lineRule="auto" w:before="85"/>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80"/>
        <w:ind w:left="181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160" w:left="1580" w:right="960"/>
          <w:cols w:num="2" w:equalWidth="0">
            <w:col w:w="5399" w:space="40"/>
            <w:col w:w="3931"/>
          </w:cols>
        </w:sectPr>
      </w:pP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7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342,356,755.09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299,074,546.63</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240,377,303.10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152,576,325.78</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2,386,130.65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3,643,390.43</w:t>
            </w:r>
          </w:p>
        </w:tc>
      </w:tr>
      <w:tr>
        <w:trPr>
          <w:trHeight w:val="37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18,543,374.97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15,270,953.48</w:t>
            </w:r>
          </w:p>
        </w:tc>
      </w:tr>
      <w:tr>
        <w:trPr>
          <w:trHeight w:val="37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39,605,902.24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40,995,098.55</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-5,641,531.53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pacing w:val="-1"/>
                <w:sz w:val="21"/>
              </w:rPr>
              <w:t>-4,486,659.96</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4,599,484.67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2,509,091.02</w:t>
            </w:r>
          </w:p>
        </w:tc>
      </w:tr>
      <w:tr>
        <w:trPr>
          <w:trHeight w:val="73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925,642.47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12,968,438.84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987,116.74</w:t>
            </w:r>
          </w:p>
        </w:tc>
      </w:tr>
      <w:tr>
        <w:trPr>
          <w:trHeight w:val="73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85"/>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-17,677.78</w:t>
            </w:r>
          </w:p>
        </w:tc>
      </w:tr>
      <w:tr>
        <w:trPr>
          <w:trHeight w:val="37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56,380,172.30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89,553,464.07</w:t>
            </w:r>
          </w:p>
        </w:tc>
      </w:tr>
      <w:tr>
        <w:trPr>
          <w:trHeight w:val="37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26,513,406.51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21,109,542.84</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498,616.54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128,867.30</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72,267.30</w:t>
            </w:r>
          </w:p>
        </w:tc>
      </w:tr>
      <w:tr>
        <w:trPr>
          <w:trHeight w:val="37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82,394,962.27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110,534,139.61</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9,763,952.37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15,410,595.15</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72,631,009.90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95,123,544.46</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73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73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100" w:right="276"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73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43" w:right="125"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权益法下在被投资单位不能重分类进</w:t>
            </w:r>
            <w:r>
              <w:rPr>
                <w:rFonts w:ascii="宋体" w:hAnsi="宋体" w:cs="宋体" w:eastAsia="宋体" w:hint="default"/>
                <w:w w:val="100"/>
                <w:sz w:val="21"/>
                <w:szCs w:val="21"/>
              </w:rPr>
              <w:t> </w:t>
            </w: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73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73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0" w:right="276"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73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w:t>
            </w:r>
          </w:p>
          <w:p>
            <w:pPr>
              <w:pStyle w:val="TableParagraph"/>
              <w:spacing w:line="240" w:lineRule="auto" w:before="70"/>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73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0" w:right="276"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37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w w:val="100"/>
                <w:sz w:val="21"/>
              </w:rPr>
              <w:t>0</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72,631,009.90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95,123,544.46</w:t>
            </w:r>
          </w:p>
        </w:tc>
      </w:tr>
      <w:tr>
        <w:trPr>
          <w:trHeight w:val="3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1.27</w:t>
            </w:r>
          </w:p>
        </w:tc>
      </w:tr>
      <w:tr>
        <w:trPr>
          <w:trHeight w:val="37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0.73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5"/>
              <w:jc w:val="right"/>
              <w:rPr>
                <w:rFonts w:ascii="Times New Roman" w:hAnsi="Times New Roman" w:cs="Times New Roman" w:eastAsia="Times New Roman" w:hint="default"/>
                <w:sz w:val="21"/>
                <w:szCs w:val="21"/>
              </w:rPr>
            </w:pPr>
            <w:r>
              <w:rPr>
                <w:rFonts w:ascii="Times New Roman"/>
                <w:sz w:val="21"/>
              </w:rPr>
              <w:t>1.27</w:t>
            </w:r>
          </w:p>
        </w:tc>
      </w:tr>
    </w:tbl>
    <w:p>
      <w:pPr>
        <w:pStyle w:val="BodyText"/>
        <w:spacing w:line="240" w:lineRule="auto" w:before="42"/>
        <w:ind w:left="218" w:right="227"/>
        <w:jc w:val="left"/>
      </w:pPr>
      <w:r>
        <w:rPr/>
        <w:t>法定代表人：吴志雄主管会计工作负责人：郑金聪会计机构负责人：黄丽珠</w:t>
      </w: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974" w:top="1120" w:bottom="1160" w:left="1580" w:right="1040"/>
        </w:sectPr>
      </w:pPr>
    </w:p>
    <w:p>
      <w:pPr>
        <w:pStyle w:val="Heading2"/>
        <w:spacing w:line="240" w:lineRule="auto" w:before="36"/>
        <w:ind w:left="0" w:right="22"/>
        <w:jc w:val="right"/>
        <w:rPr>
          <w:b w:val="0"/>
          <w:bCs w:val="0"/>
        </w:rPr>
      </w:pPr>
      <w:r>
        <w:rPr/>
        <w:t>合并现金流量表</w:t>
      </w:r>
      <w:r>
        <w:rPr>
          <w:b w:val="0"/>
          <w:bCs w:val="0"/>
        </w:rPr>
      </w:r>
    </w:p>
    <w:p>
      <w:pPr>
        <w:pStyle w:val="BodyText"/>
        <w:spacing w:line="240" w:lineRule="auto" w:before="85"/>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1512" w:right="0"/>
        <w:jc w:val="left"/>
      </w:pPr>
      <w:r>
        <w:rPr/>
        <w:t>单位：元币种：人民币</w:t>
      </w:r>
    </w:p>
    <w:p>
      <w:pPr>
        <w:spacing w:after="0" w:line="240" w:lineRule="auto"/>
        <w:jc w:val="left"/>
        <w:sectPr>
          <w:type w:val="continuous"/>
          <w:pgSz w:w="11910" w:h="16840"/>
          <w:pgMar w:top="1120" w:bottom="1160" w:left="1580" w:right="1040"/>
          <w:cols w:num="2" w:equalWidth="0">
            <w:col w:w="5399" w:space="40"/>
            <w:col w:w="3851"/>
          </w:cols>
        </w:sectPr>
      </w:pPr>
    </w:p>
    <w:p>
      <w:pPr>
        <w:spacing w:line="240" w:lineRule="auto" w:before="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778"/>
        <w:gridCol w:w="982"/>
        <w:gridCol w:w="2215"/>
        <w:gridCol w:w="2038"/>
      </w:tblGrid>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7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8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787" w:right="0"/>
              <w:jc w:val="left"/>
              <w:rPr>
                <w:rFonts w:ascii="Times New Roman" w:hAnsi="Times New Roman" w:cs="Times New Roman" w:eastAsia="Times New Roman" w:hint="default"/>
                <w:sz w:val="21"/>
                <w:szCs w:val="21"/>
              </w:rPr>
            </w:pPr>
            <w:r>
              <w:rPr>
                <w:rFonts w:ascii="Times New Roman"/>
                <w:sz w:val="21"/>
              </w:rPr>
              <w:t>388,287,547.53</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612" w:right="0"/>
              <w:jc w:val="left"/>
              <w:rPr>
                <w:rFonts w:ascii="Times New Roman" w:hAnsi="Times New Roman" w:cs="Times New Roman" w:eastAsia="Times New Roman" w:hint="default"/>
                <w:sz w:val="21"/>
                <w:szCs w:val="21"/>
              </w:rPr>
            </w:pPr>
            <w:r>
              <w:rPr>
                <w:rFonts w:ascii="Times New Roman"/>
                <w:sz w:val="21"/>
              </w:rPr>
              <w:t>392,435,503.72</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5"/>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5"/>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295"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778"/>
        <w:gridCol w:w="982"/>
        <w:gridCol w:w="2215"/>
        <w:gridCol w:w="2038"/>
      </w:tblGrid>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8,235,465.79</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9,502,603.16</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96,718,752.67</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54,030,433.69</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493,241,765.99</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455,968,540.57</w:t>
            </w: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252,744,620.07</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190,392,214.14</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5"/>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5"/>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60,861,707.26</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52,686,812.44</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38,475,550.09</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42,807,670.49</w:t>
            </w: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110,661,907.90</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65,431,275.60</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462,743,785.32</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351,317,972.67</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5"/>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30,497,980.67</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104,650,567.90</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504,710,329.71</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46,004,794.52</w:t>
            </w:r>
          </w:p>
        </w:tc>
      </w:tr>
      <w:tr>
        <w:trPr>
          <w:trHeight w:val="375"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4"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w:t>
            </w:r>
            <w:r>
              <w:rPr>
                <w:rFonts w:ascii="宋体" w:hAnsi="宋体" w:cs="宋体" w:eastAsia="宋体" w:hint="default"/>
                <w:w w:val="100"/>
                <w:sz w:val="21"/>
                <w:szCs w:val="21"/>
              </w:rPr>
              <w:t> </w:t>
            </w:r>
            <w:r>
              <w:rPr>
                <w:rFonts w:ascii="宋体" w:hAnsi="宋体" w:cs="宋体" w:eastAsia="宋体" w:hint="default"/>
                <w:sz w:val="21"/>
                <w:szCs w:val="21"/>
              </w:rPr>
              <w:t>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103,982.28</w:t>
            </w:r>
          </w:p>
        </w:tc>
      </w:tr>
      <w:tr>
        <w:trPr>
          <w:trHeight w:val="73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295"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504,710,329.71</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46,108,776.80</w:t>
            </w:r>
          </w:p>
        </w:tc>
      </w:tr>
      <w:tr>
        <w:trPr>
          <w:trHeight w:val="73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4"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w:t>
            </w:r>
            <w:r>
              <w:rPr>
                <w:rFonts w:ascii="宋体" w:hAnsi="宋体" w:cs="宋体" w:eastAsia="宋体" w:hint="default"/>
                <w:w w:val="100"/>
                <w:sz w:val="21"/>
                <w:szCs w:val="21"/>
              </w:rPr>
              <w:t> </w:t>
            </w:r>
            <w:r>
              <w:rPr>
                <w:rFonts w:ascii="宋体" w:hAnsi="宋体" w:cs="宋体" w:eastAsia="宋体" w:hint="default"/>
                <w:sz w:val="21"/>
                <w:szCs w:val="21"/>
              </w:rPr>
              <w:t>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61,142,766.77</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53,189,983.37</w:t>
            </w:r>
          </w:p>
        </w:tc>
      </w:tr>
      <w:tr>
        <w:trPr>
          <w:trHeight w:val="375"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591,042,666.49</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295"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652,185,433.26</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73,189,983.37</w:t>
            </w: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5"/>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-147,475,103.55</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-27,081,206.57</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14,900,000.00</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363,792,423.30</w:t>
            </w:r>
          </w:p>
        </w:tc>
      </w:tr>
      <w:tr>
        <w:trPr>
          <w:trHeight w:val="73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00" w:right="94"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14,900,000.00</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6,992,423.30</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974" w:top="1120" w:bottom="1160" w:left="1580" w:right="10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778"/>
        <w:gridCol w:w="982"/>
        <w:gridCol w:w="2215"/>
        <w:gridCol w:w="2038"/>
      </w:tblGrid>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z w:val="21"/>
              </w:rPr>
              <w:t>0.00</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1,698,139.83</w:t>
            </w: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16,598,139.83</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373,792,423.30</w:t>
            </w: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z w:val="21"/>
              </w:rPr>
              <w:t>0.00</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73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4"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18,000,000.00</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82,333.34</w:t>
            </w:r>
          </w:p>
        </w:tc>
      </w:tr>
      <w:tr>
        <w:trPr>
          <w:trHeight w:val="735"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295"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r>
              <w:rPr>
                <w:rFonts w:ascii="宋体" w:hAnsi="宋体" w:cs="宋体" w:eastAsia="宋体" w:hint="default"/>
                <w:w w:val="100"/>
                <w:sz w:val="21"/>
                <w:szCs w:val="21"/>
              </w:rPr>
              <w:t> </w:t>
            </w: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6,894,740.49</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23,881,080.82</w:t>
            </w: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24,894,740.49</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33,963,414.16</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-8,296,600.66</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339,829,009.14</w:t>
            </w:r>
          </w:p>
        </w:tc>
      </w:tr>
      <w:tr>
        <w:trPr>
          <w:trHeight w:val="73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96"/>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四、汇率变动对现金及现金等价物的影</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1"/>
                <w:szCs w:val="21"/>
              </w:rPr>
              <w:t>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-125,273,723.54</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417,398,370.47</w:t>
            </w:r>
          </w:p>
        </w:tc>
      </w:tr>
      <w:tr>
        <w:trPr>
          <w:trHeight w:val="377"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576,577,893.01</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159,179,522.54</w:t>
            </w:r>
          </w:p>
        </w:tc>
      </w:tr>
      <w:tr>
        <w:trPr>
          <w:trHeight w:val="374"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451,304,169.47</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576,577,893.01</w:t>
            </w:r>
          </w:p>
        </w:tc>
      </w:tr>
    </w:tbl>
    <w:p>
      <w:pPr>
        <w:pStyle w:val="BodyText"/>
        <w:spacing w:line="240" w:lineRule="auto" w:before="43"/>
        <w:ind w:left="218" w:right="227"/>
        <w:jc w:val="left"/>
      </w:pPr>
      <w:r>
        <w:rPr/>
        <w:t>法定代表人：吴志雄主管会计工作负责人：郑金聪会计机构负责人：黄丽珠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974" w:top="1120" w:bottom="1160" w:left="1580" w:right="1040"/>
        </w:sectPr>
      </w:pPr>
    </w:p>
    <w:p>
      <w:pPr>
        <w:pStyle w:val="Heading2"/>
        <w:spacing w:line="240" w:lineRule="auto" w:before="36"/>
        <w:ind w:left="0" w:right="0"/>
        <w:jc w:val="right"/>
        <w:rPr>
          <w:b w:val="0"/>
          <w:bCs w:val="0"/>
        </w:rPr>
      </w:pPr>
      <w:r>
        <w:rPr/>
        <w:t>母公司现金流量表</w:t>
      </w:r>
      <w:r>
        <w:rPr>
          <w:b w:val="0"/>
          <w:bCs w:val="0"/>
        </w:rPr>
      </w:r>
    </w:p>
    <w:p>
      <w:pPr>
        <w:pStyle w:val="BodyText"/>
        <w:spacing w:line="240" w:lineRule="auto" w:before="85"/>
        <w:ind w:left="0" w:right="79"/>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80"/>
        <w:ind w:left="1733"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160" w:left="1580" w:right="1040"/>
          <w:cols w:num="2" w:equalWidth="0">
            <w:col w:w="5480" w:space="40"/>
            <w:col w:w="3770"/>
          </w:cols>
        </w:sectPr>
      </w:pPr>
    </w:p>
    <w:p>
      <w:pPr>
        <w:spacing w:line="240" w:lineRule="auto" w:before="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362,138,094.03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384,648,402.56</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8,235,465.79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9,502,603.16</w:t>
            </w: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152,016,700.19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80,238,954.61</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522,390,260.01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474,389,960.33</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244,653,380.35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208,305,337.44</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32,627,509.96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31,236,710.05</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36,855,634.32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40,691,840.92</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155,009,621.00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105,143,733.84</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469,146,145.63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385,377,622.25</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53,244,114.38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89,012,338.08</w:t>
            </w: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502,707,587.25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46,004,794.52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z w:val="21"/>
              </w:rPr>
              <w:t>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103,982.28</w:t>
            </w:r>
          </w:p>
        </w:tc>
      </w:tr>
      <w:tr>
        <w:trPr>
          <w:trHeight w:val="73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502,707,587.25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46,108,776.80</w:t>
            </w:r>
          </w:p>
        </w:tc>
      </w:tr>
      <w:tr>
        <w:trPr>
          <w:trHeight w:val="73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30,360,791.37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52,198,508.99</w:t>
            </w: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690,559,333.49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29,625,000.00</w:t>
            </w:r>
          </w:p>
        </w:tc>
      </w:tr>
      <w:tr>
        <w:trPr>
          <w:trHeight w:val="73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720,920,124.86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81,823,508.99</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-218,212,537.61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-35,714,732.19</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356,800,000</w:t>
            </w:r>
          </w:p>
        </w:tc>
      </w:tr>
      <w:tr>
        <w:trPr>
          <w:trHeight w:val="37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1,698,139.83</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1,698,139.83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366,800,000.00</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73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82,333.34</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15,485,658.62</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18,000,000.00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25,567,991.96</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-16,301,860.17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341,232,008.04</w:t>
            </w:r>
          </w:p>
        </w:tc>
      </w:tr>
      <w:tr>
        <w:trPr>
          <w:trHeight w:val="73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-181,270,283.40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394,529,613.93</w:t>
            </w:r>
          </w:p>
        </w:tc>
      </w:tr>
      <w:tr>
        <w:trPr>
          <w:trHeight w:val="37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546,693,882.02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152,164,268.09</w:t>
            </w:r>
          </w:p>
        </w:tc>
      </w:tr>
      <w:tr>
        <w:trPr>
          <w:trHeight w:val="37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365,423,598.62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546,693,882.02</w:t>
            </w:r>
          </w:p>
        </w:tc>
      </w:tr>
    </w:tbl>
    <w:p>
      <w:pPr>
        <w:pStyle w:val="BodyText"/>
        <w:spacing w:line="240" w:lineRule="auto" w:before="42"/>
        <w:ind w:left="218" w:right="227"/>
        <w:jc w:val="left"/>
      </w:pPr>
      <w:r>
        <w:rPr/>
        <w:t>法定代表人：吴志雄主管会计工作负责人：郑金聪会计机构负责人：黄丽珠</w:t>
      </w:r>
    </w:p>
    <w:p>
      <w:pPr>
        <w:spacing w:after="0" w:line="240" w:lineRule="auto"/>
        <w:jc w:val="left"/>
        <w:sectPr>
          <w:pgSz w:w="11910" w:h="16840"/>
          <w:pgMar w:header="882" w:footer="974" w:top="1120" w:bottom="1160" w:left="1580" w:right="1040"/>
        </w:sectPr>
      </w:pPr>
    </w:p>
    <w:p>
      <w:pPr>
        <w:pStyle w:val="Heading2"/>
        <w:spacing w:line="240" w:lineRule="auto" w:before="117"/>
        <w:ind w:left="0" w:right="0"/>
        <w:jc w:val="right"/>
        <w:rPr>
          <w:b w:val="0"/>
          <w:bCs w:val="0"/>
        </w:rPr>
      </w:pPr>
      <w:r>
        <w:rPr>
          <w:spacing w:val="-1"/>
        </w:rPr>
        <w:t>合并所有者权益变动表</w:t>
      </w:r>
      <w:r>
        <w:rPr>
          <w:b w:val="0"/>
          <w:bCs w:val="0"/>
          <w:spacing w:val="-1"/>
        </w:rPr>
      </w:r>
    </w:p>
    <w:p>
      <w:pPr>
        <w:pStyle w:val="BodyText"/>
        <w:spacing w:line="240" w:lineRule="auto" w:before="73"/>
        <w:ind w:left="0" w:right="29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9"/>
          <w:szCs w:val="19"/>
        </w:rPr>
      </w:pPr>
    </w:p>
    <w:p>
      <w:pPr>
        <w:pStyle w:val="BodyText"/>
        <w:spacing w:line="240" w:lineRule="auto"/>
        <w:ind w:left="0" w:right="215"/>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p>
      <w:pPr>
        <w:spacing w:after="0" w:line="240" w:lineRule="auto"/>
        <w:jc w:val="right"/>
        <w:sectPr>
          <w:headerReference w:type="default" r:id="rId38"/>
          <w:footerReference w:type="default" r:id="rId39"/>
          <w:pgSz w:w="16840" w:h="11910" w:orient="landscape"/>
          <w:pgMar w:header="882" w:footer="975" w:top="1120" w:bottom="1160" w:left="1120" w:right="1220"/>
          <w:pgNumType w:start="6"/>
          <w:cols w:num="2" w:equalWidth="0">
            <w:col w:w="8386" w:space="40"/>
            <w:col w:w="6074"/>
          </w:cols>
        </w:sectPr>
      </w:pPr>
    </w:p>
    <w:p>
      <w:pPr>
        <w:spacing w:line="240" w:lineRule="auto" w:before="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64"/>
        <w:gridCol w:w="1419"/>
        <w:gridCol w:w="569"/>
        <w:gridCol w:w="566"/>
        <w:gridCol w:w="425"/>
        <w:gridCol w:w="1416"/>
        <w:gridCol w:w="711"/>
        <w:gridCol w:w="566"/>
        <w:gridCol w:w="425"/>
        <w:gridCol w:w="1370"/>
        <w:gridCol w:w="425"/>
        <w:gridCol w:w="1421"/>
        <w:gridCol w:w="1274"/>
        <w:gridCol w:w="1414"/>
      </w:tblGrid>
      <w:tr>
        <w:trPr>
          <w:trHeight w:val="370"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9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64" w:type="dxa"/>
            <w:vMerge/>
            <w:tcBorders>
              <w:left w:val="single" w:sz="4" w:space="0" w:color="000000"/>
              <w:right w:val="single" w:sz="4" w:space="0" w:color="000000"/>
            </w:tcBorders>
          </w:tcPr>
          <w:p>
            <w:pPr/>
          </w:p>
        </w:tc>
        <w:tc>
          <w:tcPr>
            <w:tcW w:w="931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67" w:lineRule="auto"/>
              <w:ind w:left="453" w:right="26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67" w:lineRule="auto"/>
              <w:ind w:left="523" w:right="249"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72" w:hRule="exact"/>
        </w:trPr>
        <w:tc>
          <w:tcPr>
            <w:tcW w:w="2264" w:type="dxa"/>
            <w:vMerge/>
            <w:tcBorders>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70" w:right="101"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66" w:type="dxa"/>
            <w:vMerge w:val="restart"/>
            <w:tcBorders>
              <w:top w:val="single" w:sz="4" w:space="0" w:color="000000"/>
              <w:left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ind w:left="187" w:right="187"/>
              <w:jc w:val="both"/>
              <w:rPr>
                <w:rFonts w:ascii="宋体" w:hAnsi="宋体" w:cs="宋体" w:eastAsia="宋体" w:hint="default"/>
                <w:sz w:val="18"/>
                <w:szCs w:val="18"/>
              </w:rPr>
            </w:pPr>
            <w:r>
              <w:rPr>
                <w:rFonts w:ascii="宋体" w:hAnsi="宋体" w:cs="宋体" w:eastAsia="宋体" w:hint="default"/>
                <w:sz w:val="18"/>
                <w:szCs w:val="18"/>
              </w:rPr>
              <w:t>他 综 合 收 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06" w:lineRule="exact"/>
              <w:ind w:left="11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17" w:right="11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tcPr>
          <w:p>
            <w:pPr/>
          </w:p>
        </w:tc>
        <w:tc>
          <w:tcPr>
            <w:tcW w:w="1414" w:type="dxa"/>
            <w:vMerge/>
            <w:tcBorders>
              <w:left w:val="single" w:sz="4" w:space="0" w:color="000000"/>
              <w:right w:val="single" w:sz="4" w:space="0" w:color="000000"/>
            </w:tcBorders>
          </w:tcPr>
          <w:p>
            <w:pPr/>
          </w:p>
        </w:tc>
      </w:tr>
      <w:tr>
        <w:trPr>
          <w:trHeight w:val="1040" w:hRule="exact"/>
        </w:trPr>
        <w:tc>
          <w:tcPr>
            <w:tcW w:w="226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0"/>
              <w:ind w:left="189"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0"/>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9" w:right="0"/>
              <w:jc w:val="center"/>
              <w:rPr>
                <w:rFonts w:ascii="Times New Roman" w:hAnsi="Times New Roman" w:cs="Times New Roman" w:eastAsia="Times New Roman" w:hint="default"/>
                <w:sz w:val="18"/>
                <w:szCs w:val="18"/>
              </w:rPr>
            </w:pPr>
            <w:r>
              <w:rPr>
                <w:rFonts w:ascii="Times New Roman"/>
                <w:sz w:val="18"/>
              </w:rPr>
              <w:t>406,823,402.40</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31,603,309.37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265,548,006.81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10,376,799.98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6" w:right="0"/>
              <w:jc w:val="center"/>
              <w:rPr>
                <w:rFonts w:ascii="Times New Roman" w:hAnsi="Times New Roman" w:cs="Times New Roman" w:eastAsia="Times New Roman" w:hint="default"/>
                <w:sz w:val="18"/>
                <w:szCs w:val="18"/>
              </w:rPr>
            </w:pPr>
            <w:r>
              <w:rPr>
                <w:rFonts w:ascii="Times New Roman"/>
                <w:sz w:val="18"/>
              </w:rPr>
              <w:t>814,351,518.56</w:t>
            </w: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6"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9" w:right="0"/>
              <w:jc w:val="center"/>
              <w:rPr>
                <w:rFonts w:ascii="Times New Roman" w:hAnsi="Times New Roman" w:cs="Times New Roman" w:eastAsia="Times New Roman" w:hint="default"/>
                <w:sz w:val="18"/>
                <w:szCs w:val="18"/>
              </w:rPr>
            </w:pPr>
            <w:r>
              <w:rPr>
                <w:rFonts w:ascii="Times New Roman"/>
                <w:sz w:val="18"/>
              </w:rPr>
              <w:t>406,823,402.40</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31,603,309.37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265,548,006.81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10,376,799.98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6" w:right="0"/>
              <w:jc w:val="center"/>
              <w:rPr>
                <w:rFonts w:ascii="Times New Roman" w:hAnsi="Times New Roman" w:cs="Times New Roman" w:eastAsia="Times New Roman" w:hint="default"/>
                <w:sz w:val="18"/>
                <w:szCs w:val="18"/>
              </w:rPr>
            </w:pPr>
            <w:r>
              <w:rPr>
                <w:rFonts w:ascii="Times New Roman"/>
                <w:sz w:val="18"/>
              </w:rPr>
              <w:t>814,351,518.56</w:t>
            </w: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101"/>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少以“－”号填列）</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7,263,100.99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37,877,245.93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12,837,286.81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57,977,633.73</w:t>
            </w: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63,140,346.92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-2,062,713.19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67" w:right="0"/>
              <w:jc w:val="center"/>
              <w:rPr>
                <w:rFonts w:ascii="Times New Roman" w:hAnsi="Times New Roman" w:cs="Times New Roman" w:eastAsia="Times New Roman" w:hint="default"/>
                <w:sz w:val="18"/>
                <w:szCs w:val="18"/>
              </w:rPr>
            </w:pPr>
            <w:r>
              <w:rPr>
                <w:rFonts w:ascii="Times New Roman"/>
                <w:sz w:val="18"/>
              </w:rPr>
              <w:t>61,077,633.73</w:t>
            </w: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165"/>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14,900,000.00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14,900,000.00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67" w:right="0"/>
              <w:jc w:val="center"/>
              <w:rPr>
                <w:rFonts w:ascii="Times New Roman" w:hAnsi="Times New Roman" w:cs="Times New Roman" w:eastAsia="Times New Roman" w:hint="default"/>
                <w:sz w:val="18"/>
                <w:szCs w:val="18"/>
              </w:rPr>
            </w:pPr>
            <w:r>
              <w:rPr>
                <w:rFonts w:ascii="Times New Roman"/>
                <w:sz w:val="18"/>
              </w:rPr>
              <w:t>14,900,000.00</w:t>
            </w: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99"/>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．其他权益工具持有者投</w:t>
            </w:r>
            <w:r>
              <w:rPr>
                <w:rFonts w:ascii="宋体" w:hAnsi="宋体" w:cs="宋体" w:eastAsia="宋体" w:hint="default"/>
                <w:sz w:val="18"/>
                <w:szCs w:val="18"/>
              </w:rPr>
              <w:t> 入资本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12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264"/>
        <w:gridCol w:w="1419"/>
        <w:gridCol w:w="569"/>
        <w:gridCol w:w="566"/>
        <w:gridCol w:w="425"/>
        <w:gridCol w:w="1416"/>
        <w:gridCol w:w="711"/>
        <w:gridCol w:w="566"/>
        <w:gridCol w:w="425"/>
        <w:gridCol w:w="1370"/>
        <w:gridCol w:w="425"/>
        <w:gridCol w:w="1421"/>
        <w:gridCol w:w="1274"/>
        <w:gridCol w:w="1414"/>
      </w:tblGrid>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7"/>
              <w:ind w:left="105" w:right="9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．股份支付计入所有者权</w:t>
            </w:r>
            <w:r>
              <w:rPr>
                <w:rFonts w:ascii="宋体" w:hAnsi="宋体" w:cs="宋体" w:eastAsia="宋体" w:hint="default"/>
                <w:sz w:val="18"/>
                <w:szCs w:val="18"/>
              </w:rPr>
              <w:t> 益的金额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7,263,100.99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-25,263,100.99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7" w:right="0"/>
              <w:jc w:val="center"/>
              <w:rPr>
                <w:rFonts w:ascii="Times New Roman" w:hAnsi="Times New Roman" w:cs="Times New Roman" w:eastAsia="Times New Roman" w:hint="default"/>
                <w:sz w:val="18"/>
                <w:szCs w:val="18"/>
              </w:rPr>
            </w:pPr>
            <w:r>
              <w:rPr>
                <w:rFonts w:ascii="Times New Roman"/>
                <w:sz w:val="18"/>
              </w:rPr>
              <w:t>-18,000,000.00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7,263,100.99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-7,263,100.99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7"/>
              <w:ind w:left="105" w:right="9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．对所有者（或股东）的</w:t>
            </w:r>
            <w:r>
              <w:rPr>
                <w:rFonts w:ascii="宋体" w:hAnsi="宋体" w:cs="宋体" w:eastAsia="宋体" w:hint="default"/>
                <w:sz w:val="18"/>
                <w:szCs w:val="18"/>
              </w:rPr>
              <w:t> 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-18,000,000.00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165"/>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7"/>
              <w:ind w:left="105"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8"/>
              <w:ind w:left="105"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82" w:right="0"/>
              <w:jc w:val="left"/>
              <w:rPr>
                <w:rFonts w:ascii="Times New Roman" w:hAnsi="Times New Roman" w:cs="Times New Roman" w:eastAsia="Times New Roman" w:hint="default"/>
                <w:sz w:val="18"/>
                <w:szCs w:val="18"/>
              </w:rPr>
            </w:pPr>
            <w:r>
              <w:rPr>
                <w:rFonts w:ascii="Times New Roman"/>
                <w:sz w:val="18"/>
              </w:rPr>
              <w:t>100,000,000.00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80" w:right="0"/>
              <w:jc w:val="left"/>
              <w:rPr>
                <w:rFonts w:ascii="Times New Roman" w:hAnsi="Times New Roman" w:cs="Times New Roman" w:eastAsia="Times New Roman" w:hint="default"/>
                <w:sz w:val="18"/>
                <w:szCs w:val="18"/>
              </w:rPr>
            </w:pPr>
            <w:r>
              <w:rPr>
                <w:rFonts w:ascii="Times New Roman"/>
                <w:sz w:val="18"/>
              </w:rPr>
              <w:t>406,823,402.40</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38,866,410.36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303,425,252.74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9" w:right="0"/>
              <w:jc w:val="left"/>
              <w:rPr>
                <w:rFonts w:ascii="Times New Roman" w:hAnsi="Times New Roman" w:cs="Times New Roman" w:eastAsia="Times New Roman" w:hint="default"/>
                <w:sz w:val="18"/>
                <w:szCs w:val="18"/>
              </w:rPr>
            </w:pPr>
            <w:r>
              <w:rPr>
                <w:rFonts w:ascii="Times New Roman"/>
                <w:sz w:val="18"/>
              </w:rPr>
              <w:t>23,214,086.79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6" w:right="0"/>
              <w:jc w:val="center"/>
              <w:rPr>
                <w:rFonts w:ascii="Times New Roman" w:hAnsi="Times New Roman" w:cs="Times New Roman" w:eastAsia="Times New Roman" w:hint="default"/>
                <w:sz w:val="18"/>
                <w:szCs w:val="18"/>
              </w:rPr>
            </w:pPr>
            <w:r>
              <w:rPr>
                <w:rFonts w:ascii="Times New Roman"/>
                <w:sz w:val="18"/>
              </w:rPr>
              <w:t>872,329,152.29</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98"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82" w:footer="975" w:top="1120" w:bottom="1160" w:left="112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264"/>
        <w:gridCol w:w="1419"/>
        <w:gridCol w:w="569"/>
        <w:gridCol w:w="566"/>
        <w:gridCol w:w="425"/>
        <w:gridCol w:w="1416"/>
        <w:gridCol w:w="1277"/>
        <w:gridCol w:w="379"/>
        <w:gridCol w:w="329"/>
        <w:gridCol w:w="1277"/>
        <w:gridCol w:w="425"/>
        <w:gridCol w:w="1231"/>
        <w:gridCol w:w="190"/>
        <w:gridCol w:w="1085"/>
        <w:gridCol w:w="192"/>
        <w:gridCol w:w="1222"/>
        <w:gridCol w:w="204"/>
      </w:tblGrid>
      <w:tr>
        <w:trPr>
          <w:trHeight w:val="730" w:hRule="exact"/>
        </w:trPr>
        <w:tc>
          <w:tcPr>
            <w:tcW w:w="2264" w:type="dxa"/>
            <w:vMerge w:val="restart"/>
            <w:tcBorders>
              <w:top w:val="single" w:sz="4" w:space="0" w:color="000000"/>
              <w:left w:val="single" w:sz="4" w:space="0" w:color="000000"/>
              <w:right w:val="single" w:sz="4" w:space="0" w:color="000000"/>
            </w:tcBorders>
          </w:tcPr>
          <w:p>
            <w:pPr/>
          </w:p>
        </w:tc>
        <w:tc>
          <w:tcPr>
            <w:tcW w:w="931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4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542" w:right="18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614" w:right="159"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c>
          <w:tcPr>
            <w:tcW w:w="204" w:type="dxa"/>
            <w:tcBorders>
              <w:top w:val="nil" w:sz="6" w:space="0" w:color="auto"/>
              <w:left w:val="single" w:sz="4" w:space="0" w:color="000000"/>
              <w:bottom w:val="single" w:sz="4" w:space="0" w:color="000000"/>
              <w:right w:val="nil" w:sz="6" w:space="0" w:color="auto"/>
            </w:tcBorders>
          </w:tcPr>
          <w:p>
            <w:pPr/>
          </w:p>
        </w:tc>
      </w:tr>
      <w:tr>
        <w:trPr>
          <w:trHeight w:val="394" w:hRule="exact"/>
        </w:trPr>
        <w:tc>
          <w:tcPr>
            <w:tcW w:w="2264" w:type="dxa"/>
            <w:vMerge/>
            <w:tcBorders>
              <w:left w:val="single" w:sz="4" w:space="0" w:color="000000"/>
              <w:right w:val="single" w:sz="4" w:space="0" w:color="000000"/>
            </w:tcBorders>
          </w:tcPr>
          <w:p>
            <w:pP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79" w:type="dxa"/>
            <w:vMerge w:val="restart"/>
            <w:tcBorders>
              <w:top w:val="single" w:sz="4" w:space="0" w:color="000000"/>
              <w:left w:val="single" w:sz="4" w:space="0" w:color="000000"/>
              <w:right w:val="single" w:sz="4" w:space="0" w:color="000000"/>
            </w:tcBorders>
          </w:tcPr>
          <w:p>
            <w:pPr>
              <w:pStyle w:val="TableParagraph"/>
              <w:spacing w:line="237" w:lineRule="auto" w:before="8"/>
              <w:ind w:left="103" w:right="84"/>
              <w:jc w:val="both"/>
              <w:rPr>
                <w:rFonts w:ascii="宋体" w:hAnsi="宋体" w:cs="宋体" w:eastAsia="宋体" w:hint="default"/>
                <w:sz w:val="18"/>
                <w:szCs w:val="18"/>
              </w:rPr>
            </w:pPr>
            <w:r>
              <w:rPr>
                <w:rFonts w:ascii="宋体" w:hAnsi="宋体" w:cs="宋体" w:eastAsia="宋体" w:hint="default"/>
                <w:sz w:val="18"/>
                <w:szCs w:val="18"/>
              </w:rPr>
              <w:t>其 他 综 合 收 益</w:t>
            </w:r>
          </w:p>
        </w:tc>
        <w:tc>
          <w:tcPr>
            <w:tcW w:w="32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103" w:right="3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37" w:lineRule="auto" w:before="8"/>
              <w:ind w:left="117" w:right="116"/>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421"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gridSpan w:val="2"/>
            <w:vMerge w:val="restart"/>
            <w:tcBorders>
              <w:top w:val="single" w:sz="4" w:space="0" w:color="000000"/>
              <w:left w:val="single" w:sz="4" w:space="0" w:color="000000"/>
              <w:right w:val="single" w:sz="4" w:space="0" w:color="000000"/>
            </w:tcBorders>
          </w:tcPr>
          <w:p>
            <w:pPr/>
          </w:p>
        </w:tc>
        <w:tc>
          <w:tcPr>
            <w:tcW w:w="1426" w:type="dxa"/>
            <w:gridSpan w:val="2"/>
            <w:vMerge w:val="restart"/>
            <w:tcBorders>
              <w:top w:val="single" w:sz="4" w:space="0" w:color="000000"/>
              <w:left w:val="single" w:sz="4" w:space="0" w:color="000000"/>
              <w:right w:val="single" w:sz="4" w:space="0" w:color="000000"/>
            </w:tcBorders>
          </w:tcPr>
          <w:p>
            <w:pPr/>
          </w:p>
        </w:tc>
      </w:tr>
      <w:tr>
        <w:trPr>
          <w:trHeight w:val="1090" w:hRule="exact"/>
        </w:trPr>
        <w:tc>
          <w:tcPr>
            <w:tcW w:w="226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89" w:right="18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67" w:lineRule="auto"/>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79" w:type="dxa"/>
            <w:vMerge/>
            <w:tcBorders>
              <w:left w:val="single" w:sz="4" w:space="0" w:color="000000"/>
              <w:bottom w:val="single" w:sz="4" w:space="0" w:color="000000"/>
              <w:right w:val="single" w:sz="4" w:space="0" w:color="000000"/>
            </w:tcBorders>
          </w:tcPr>
          <w:p>
            <w:pPr/>
          </w:p>
        </w:tc>
        <w:tc>
          <w:tcPr>
            <w:tcW w:w="32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21" w:type="dxa"/>
            <w:gridSpan w:val="2"/>
            <w:vMerge/>
            <w:tcBorders>
              <w:left w:val="single" w:sz="4" w:space="0" w:color="000000"/>
              <w:bottom w:val="single" w:sz="4" w:space="0" w:color="000000"/>
              <w:right w:val="single" w:sz="4" w:space="0" w:color="000000"/>
            </w:tcBorders>
          </w:tcPr>
          <w:p>
            <w:pPr/>
          </w:p>
        </w:tc>
        <w:tc>
          <w:tcPr>
            <w:tcW w:w="1277" w:type="dxa"/>
            <w:gridSpan w:val="2"/>
            <w:vMerge/>
            <w:tcBorders>
              <w:left w:val="single" w:sz="4" w:space="0" w:color="000000"/>
              <w:bottom w:val="single" w:sz="4" w:space="0" w:color="000000"/>
              <w:right w:val="single" w:sz="4" w:space="0" w:color="000000"/>
            </w:tcBorders>
          </w:tcPr>
          <w:p>
            <w:pPr/>
          </w:p>
        </w:tc>
        <w:tc>
          <w:tcPr>
            <w:tcW w:w="1426" w:type="dxa"/>
            <w:gridSpan w:val="2"/>
            <w:vMerge/>
            <w:tcBorders>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75,000,000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0" w:right="0"/>
              <w:jc w:val="center"/>
              <w:rPr>
                <w:rFonts w:ascii="Times New Roman" w:hAnsi="Times New Roman" w:cs="Times New Roman" w:eastAsia="Times New Roman" w:hint="default"/>
                <w:sz w:val="18"/>
                <w:szCs w:val="18"/>
              </w:rPr>
            </w:pPr>
            <w:r>
              <w:rPr>
                <w:rFonts w:ascii="Times New Roman"/>
                <w:sz w:val="18"/>
              </w:rPr>
              <w:t>82,743,402.40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22,090,954.92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2" w:right="0"/>
              <w:jc w:val="left"/>
              <w:rPr>
                <w:rFonts w:ascii="Times New Roman" w:hAnsi="Times New Roman" w:cs="Times New Roman" w:eastAsia="Times New Roman" w:hint="default"/>
                <w:sz w:val="18"/>
                <w:szCs w:val="18"/>
              </w:rPr>
            </w:pPr>
            <w:r>
              <w:rPr>
                <w:rFonts w:ascii="Times New Roman"/>
                <w:sz w:val="18"/>
              </w:rPr>
              <w:t>188,173,718.97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18" w:right="0"/>
              <w:jc w:val="left"/>
              <w:rPr>
                <w:rFonts w:ascii="Times New Roman" w:hAnsi="Times New Roman" w:cs="Times New Roman" w:eastAsia="Times New Roman" w:hint="default"/>
                <w:sz w:val="18"/>
                <w:szCs w:val="18"/>
              </w:rPr>
            </w:pPr>
            <w:r>
              <w:rPr>
                <w:rFonts w:ascii="Times New Roman"/>
                <w:sz w:val="18"/>
              </w:rPr>
              <w:t>4,105,228.84</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9" w:right="0"/>
              <w:jc w:val="left"/>
              <w:rPr>
                <w:rFonts w:ascii="Times New Roman" w:hAnsi="Times New Roman" w:cs="Times New Roman" w:eastAsia="Times New Roman" w:hint="default"/>
                <w:sz w:val="18"/>
                <w:szCs w:val="18"/>
              </w:rPr>
            </w:pPr>
            <w:r>
              <w:rPr>
                <w:rFonts w:ascii="Times New Roman"/>
                <w:sz w:val="18"/>
              </w:rPr>
              <w:t>372,113,305.13</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426" w:type="dxa"/>
            <w:gridSpan w:val="2"/>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426" w:type="dxa"/>
            <w:gridSpan w:val="2"/>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6"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426" w:type="dxa"/>
            <w:gridSpan w:val="2"/>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426" w:type="dxa"/>
            <w:gridSpan w:val="2"/>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75,000,000.00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0" w:right="0"/>
              <w:jc w:val="center"/>
              <w:rPr>
                <w:rFonts w:ascii="Times New Roman" w:hAnsi="Times New Roman" w:cs="Times New Roman" w:eastAsia="Times New Roman" w:hint="default"/>
                <w:sz w:val="18"/>
                <w:szCs w:val="18"/>
              </w:rPr>
            </w:pPr>
            <w:r>
              <w:rPr>
                <w:rFonts w:ascii="Times New Roman"/>
                <w:sz w:val="18"/>
              </w:rPr>
              <w:t>82,743,402.40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22,090,954.92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2" w:right="0"/>
              <w:jc w:val="left"/>
              <w:rPr>
                <w:rFonts w:ascii="Times New Roman" w:hAnsi="Times New Roman" w:cs="Times New Roman" w:eastAsia="Times New Roman" w:hint="default"/>
                <w:sz w:val="18"/>
                <w:szCs w:val="18"/>
              </w:rPr>
            </w:pPr>
            <w:r>
              <w:rPr>
                <w:rFonts w:ascii="Times New Roman"/>
                <w:sz w:val="18"/>
              </w:rPr>
              <w:t>188,173,718.97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18" w:right="0"/>
              <w:jc w:val="left"/>
              <w:rPr>
                <w:rFonts w:ascii="Times New Roman" w:hAnsi="Times New Roman" w:cs="Times New Roman" w:eastAsia="Times New Roman" w:hint="default"/>
                <w:sz w:val="18"/>
                <w:szCs w:val="18"/>
              </w:rPr>
            </w:pPr>
            <w:r>
              <w:rPr>
                <w:rFonts w:ascii="Times New Roman"/>
                <w:sz w:val="18"/>
              </w:rPr>
              <w:t>4,105,228.84</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9" w:right="0"/>
              <w:jc w:val="left"/>
              <w:rPr>
                <w:rFonts w:ascii="Times New Roman" w:hAnsi="Times New Roman" w:cs="Times New Roman" w:eastAsia="Times New Roman" w:hint="default"/>
                <w:sz w:val="18"/>
                <w:szCs w:val="18"/>
              </w:rPr>
            </w:pPr>
            <w:r>
              <w:rPr>
                <w:rFonts w:ascii="Times New Roman"/>
                <w:sz w:val="18"/>
              </w:rPr>
              <w:t>372,113,305.13</w:t>
            </w: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w:t>
            </w: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25,000,000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9" w:right="0"/>
              <w:jc w:val="center"/>
              <w:rPr>
                <w:rFonts w:ascii="Times New Roman" w:hAnsi="Times New Roman" w:cs="Times New Roman" w:eastAsia="Times New Roman" w:hint="default"/>
                <w:sz w:val="18"/>
                <w:szCs w:val="18"/>
              </w:rPr>
            </w:pPr>
            <w:r>
              <w:rPr>
                <w:rFonts w:ascii="Times New Roman"/>
                <w:sz w:val="18"/>
              </w:rPr>
              <w:t>324,080,000.00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9,512,354.45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73" w:right="0"/>
              <w:jc w:val="left"/>
              <w:rPr>
                <w:rFonts w:ascii="Times New Roman" w:hAnsi="Times New Roman" w:cs="Times New Roman" w:eastAsia="Times New Roman" w:hint="default"/>
                <w:sz w:val="18"/>
                <w:szCs w:val="18"/>
              </w:rPr>
            </w:pPr>
            <w:r>
              <w:rPr>
                <w:rFonts w:ascii="Times New Roman"/>
                <w:sz w:val="18"/>
              </w:rPr>
              <w:t>77,374,287.84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18" w:right="0"/>
              <w:jc w:val="left"/>
              <w:rPr>
                <w:rFonts w:ascii="Times New Roman" w:hAnsi="Times New Roman" w:cs="Times New Roman" w:eastAsia="Times New Roman" w:hint="default"/>
                <w:sz w:val="18"/>
                <w:szCs w:val="18"/>
              </w:rPr>
            </w:pPr>
            <w:r>
              <w:rPr>
                <w:rFonts w:ascii="Times New Roman"/>
                <w:sz w:val="18"/>
              </w:rPr>
              <w:t>6,271,571.14</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9" w:right="0"/>
              <w:jc w:val="left"/>
              <w:rPr>
                <w:rFonts w:ascii="Times New Roman" w:hAnsi="Times New Roman" w:cs="Times New Roman" w:eastAsia="Times New Roman" w:hint="default"/>
                <w:sz w:val="18"/>
                <w:szCs w:val="18"/>
              </w:rPr>
            </w:pPr>
            <w:r>
              <w:rPr>
                <w:rFonts w:ascii="Times New Roman"/>
                <w:sz w:val="18"/>
              </w:rPr>
              <w:t>442,238,213.43</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73" w:right="0"/>
              <w:jc w:val="left"/>
              <w:rPr>
                <w:rFonts w:ascii="Times New Roman" w:hAnsi="Times New Roman" w:cs="Times New Roman" w:eastAsia="Times New Roman" w:hint="default"/>
                <w:sz w:val="18"/>
                <w:szCs w:val="18"/>
              </w:rPr>
            </w:pPr>
            <w:r>
              <w:rPr>
                <w:rFonts w:ascii="Times New Roman"/>
                <w:sz w:val="18"/>
              </w:rPr>
              <w:t>86,886,642.29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2" w:right="0"/>
              <w:jc w:val="left"/>
              <w:rPr>
                <w:rFonts w:ascii="Times New Roman" w:hAnsi="Times New Roman" w:cs="Times New Roman" w:eastAsia="Times New Roman" w:hint="default"/>
                <w:sz w:val="18"/>
                <w:szCs w:val="18"/>
              </w:rPr>
            </w:pPr>
            <w:r>
              <w:rPr>
                <w:rFonts w:ascii="Times New Roman"/>
                <w:sz w:val="18"/>
              </w:rPr>
              <w:t>-720,852.16</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0" w:right="0"/>
              <w:jc w:val="left"/>
              <w:rPr>
                <w:rFonts w:ascii="Times New Roman" w:hAnsi="Times New Roman" w:cs="Times New Roman" w:eastAsia="Times New Roman" w:hint="default"/>
                <w:sz w:val="18"/>
                <w:szCs w:val="18"/>
              </w:rPr>
            </w:pPr>
            <w:r>
              <w:rPr>
                <w:rFonts w:ascii="Times New Roman"/>
                <w:sz w:val="18"/>
              </w:rPr>
              <w:t>86,165,790.13</w:t>
            </w: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165"/>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25,000,000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9" w:right="0"/>
              <w:jc w:val="center"/>
              <w:rPr>
                <w:rFonts w:ascii="Times New Roman" w:hAnsi="Times New Roman" w:cs="Times New Roman" w:eastAsia="Times New Roman" w:hint="default"/>
                <w:sz w:val="18"/>
                <w:szCs w:val="18"/>
              </w:rPr>
            </w:pPr>
            <w:r>
              <w:rPr>
                <w:rFonts w:ascii="Times New Roman"/>
                <w:sz w:val="18"/>
              </w:rPr>
              <w:t>324,080,000.00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18" w:right="0"/>
              <w:jc w:val="left"/>
              <w:rPr>
                <w:rFonts w:ascii="Times New Roman" w:hAnsi="Times New Roman" w:cs="Times New Roman" w:eastAsia="Times New Roman" w:hint="default"/>
                <w:sz w:val="18"/>
                <w:szCs w:val="18"/>
              </w:rPr>
            </w:pPr>
            <w:r>
              <w:rPr>
                <w:rFonts w:ascii="Times New Roman"/>
                <w:sz w:val="18"/>
              </w:rPr>
              <w:t>6,992,423.30</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9" w:right="0"/>
              <w:jc w:val="left"/>
              <w:rPr>
                <w:rFonts w:ascii="Times New Roman" w:hAnsi="Times New Roman" w:cs="Times New Roman" w:eastAsia="Times New Roman" w:hint="default"/>
                <w:sz w:val="18"/>
                <w:szCs w:val="18"/>
              </w:rPr>
            </w:pPr>
            <w:r>
              <w:rPr>
                <w:rFonts w:ascii="Times New Roman"/>
                <w:sz w:val="18"/>
              </w:rPr>
              <w:t>356,072,423.30</w:t>
            </w: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25,000,000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9" w:right="0"/>
              <w:jc w:val="center"/>
              <w:rPr>
                <w:rFonts w:ascii="Times New Roman" w:hAnsi="Times New Roman" w:cs="Times New Roman" w:eastAsia="Times New Roman" w:hint="default"/>
                <w:sz w:val="18"/>
                <w:szCs w:val="18"/>
              </w:rPr>
            </w:pPr>
            <w:r>
              <w:rPr>
                <w:rFonts w:ascii="Times New Roman"/>
                <w:sz w:val="18"/>
              </w:rPr>
              <w:t>324,080,000.00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18" w:right="0"/>
              <w:jc w:val="left"/>
              <w:rPr>
                <w:rFonts w:ascii="Times New Roman" w:hAnsi="Times New Roman" w:cs="Times New Roman" w:eastAsia="Times New Roman" w:hint="default"/>
                <w:sz w:val="18"/>
                <w:szCs w:val="18"/>
              </w:rPr>
            </w:pPr>
            <w:r>
              <w:rPr>
                <w:rFonts w:ascii="Times New Roman"/>
                <w:sz w:val="18"/>
              </w:rPr>
              <w:t>6,992,423.30</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9" w:right="0"/>
              <w:jc w:val="left"/>
              <w:rPr>
                <w:rFonts w:ascii="Times New Roman" w:hAnsi="Times New Roman" w:cs="Times New Roman" w:eastAsia="Times New Roman" w:hint="default"/>
                <w:sz w:val="18"/>
                <w:szCs w:val="18"/>
              </w:rPr>
            </w:pPr>
            <w:r>
              <w:rPr>
                <w:rFonts w:ascii="Times New Roman"/>
                <w:sz w:val="18"/>
              </w:rPr>
              <w:t>356,072,423.30</w:t>
            </w:r>
          </w:p>
        </w:tc>
      </w:tr>
      <w:tr>
        <w:trPr>
          <w:trHeight w:val="73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80"/>
              <w:ind w:left="105" w:right="9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．其他权益工具持有者投</w:t>
            </w:r>
            <w:r>
              <w:rPr>
                <w:rFonts w:ascii="宋体" w:hAnsi="宋体" w:cs="宋体" w:eastAsia="宋体" w:hint="default"/>
                <w:sz w:val="18"/>
                <w:szCs w:val="18"/>
              </w:rPr>
              <w:t> 入资本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426" w:type="dxa"/>
            <w:gridSpan w:val="2"/>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8"/>
              <w:ind w:left="105" w:right="9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．股份支付计入所有者权</w:t>
            </w:r>
            <w:r>
              <w:rPr>
                <w:rFonts w:ascii="宋体" w:hAnsi="宋体" w:cs="宋体" w:eastAsia="宋体" w:hint="default"/>
                <w:sz w:val="18"/>
                <w:szCs w:val="18"/>
              </w:rPr>
              <w:t> 益的金额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426" w:type="dxa"/>
            <w:gridSpan w:val="2"/>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gridSpan w:val="2"/>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426"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0"/>
          <w:pgSz w:w="16840" w:h="11910" w:orient="landscape"/>
          <w:pgMar w:footer="975" w:header="882" w:top="1120" w:bottom="1160" w:left="1120" w:right="1020"/>
          <w:pgNumType w:start="71"/>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264"/>
        <w:gridCol w:w="1419"/>
        <w:gridCol w:w="569"/>
        <w:gridCol w:w="566"/>
        <w:gridCol w:w="425"/>
        <w:gridCol w:w="1416"/>
        <w:gridCol w:w="1277"/>
        <w:gridCol w:w="379"/>
        <w:gridCol w:w="329"/>
        <w:gridCol w:w="1277"/>
        <w:gridCol w:w="425"/>
        <w:gridCol w:w="1421"/>
        <w:gridCol w:w="1277"/>
        <w:gridCol w:w="1426"/>
      </w:tblGrid>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9,512,354.45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-9,512,354.45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9,512,354.45</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-9,512,354.45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7"/>
              <w:ind w:left="105" w:right="9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．对所有者（或股东）的</w:t>
            </w:r>
            <w:r>
              <w:rPr>
                <w:rFonts w:ascii="宋体" w:hAnsi="宋体" w:cs="宋体" w:eastAsia="宋体" w:hint="default"/>
                <w:sz w:val="18"/>
                <w:szCs w:val="18"/>
              </w:rPr>
              <w:t> 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7"/>
              <w:ind w:left="105"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7"/>
              <w:ind w:left="105"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2" w:right="0"/>
              <w:jc w:val="left"/>
              <w:rPr>
                <w:rFonts w:ascii="Times New Roman" w:hAnsi="Times New Roman" w:cs="Times New Roman" w:eastAsia="Times New Roman" w:hint="default"/>
                <w:sz w:val="18"/>
                <w:szCs w:val="18"/>
              </w:rPr>
            </w:pPr>
            <w:r>
              <w:rPr>
                <w:rFonts w:ascii="Times New Roman"/>
                <w:sz w:val="18"/>
              </w:rPr>
              <w:t>100,000,000.00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0" w:right="0"/>
              <w:jc w:val="left"/>
              <w:rPr>
                <w:rFonts w:ascii="Times New Roman" w:hAnsi="Times New Roman" w:cs="Times New Roman" w:eastAsia="Times New Roman" w:hint="default"/>
                <w:sz w:val="18"/>
                <w:szCs w:val="18"/>
              </w:rPr>
            </w:pPr>
            <w:r>
              <w:rPr>
                <w:rFonts w:ascii="Times New Roman"/>
                <w:sz w:val="18"/>
              </w:rPr>
              <w:t>406,823,402.40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31,603,309.37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pacing w:val="-1"/>
                <w:sz w:val="18"/>
              </w:rPr>
              <w:t>265,548,006.81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9" w:right="0"/>
              <w:jc w:val="left"/>
              <w:rPr>
                <w:rFonts w:ascii="Times New Roman" w:hAnsi="Times New Roman" w:cs="Times New Roman" w:eastAsia="Times New Roman" w:hint="default"/>
                <w:sz w:val="18"/>
                <w:szCs w:val="18"/>
              </w:rPr>
            </w:pPr>
            <w:r>
              <w:rPr>
                <w:rFonts w:ascii="Times New Roman"/>
                <w:sz w:val="18"/>
              </w:rPr>
              <w:t>10,376,799.98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9" w:right="0"/>
              <w:jc w:val="left"/>
              <w:rPr>
                <w:rFonts w:ascii="Times New Roman" w:hAnsi="Times New Roman" w:cs="Times New Roman" w:eastAsia="Times New Roman" w:hint="default"/>
                <w:sz w:val="18"/>
                <w:szCs w:val="18"/>
              </w:rPr>
            </w:pPr>
            <w:r>
              <w:rPr>
                <w:rFonts w:ascii="Times New Roman"/>
                <w:sz w:val="18"/>
              </w:rPr>
              <w:t>814,351,518.56</w:t>
            </w:r>
          </w:p>
        </w:tc>
      </w:tr>
    </w:tbl>
    <w:p>
      <w:pPr>
        <w:pStyle w:val="BodyText"/>
        <w:spacing w:line="240" w:lineRule="auto" w:before="42"/>
        <w:ind w:left="404" w:right="0"/>
        <w:jc w:val="left"/>
      </w:pPr>
      <w:r>
        <w:rPr/>
        <w:t>法定代表人：吴志雄主管会计工作负责人：郑金聪会计机构负责人：黄丽珠</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82" w:footer="975" w:top="1120" w:bottom="1160" w:left="1120" w:right="1020"/>
        </w:sectPr>
      </w:pPr>
    </w:p>
    <w:p>
      <w:pPr>
        <w:pStyle w:val="Heading2"/>
        <w:spacing w:line="240" w:lineRule="auto" w:before="36"/>
        <w:ind w:left="0" w:right="0"/>
        <w:jc w:val="right"/>
        <w:rPr>
          <w:b w:val="0"/>
          <w:bCs w:val="0"/>
        </w:rPr>
      </w:pPr>
      <w:r>
        <w:rPr>
          <w:spacing w:val="-1"/>
        </w:rPr>
        <w:t>母公司所有者权益变动表</w:t>
      </w:r>
      <w:r>
        <w:rPr>
          <w:b w:val="0"/>
          <w:bCs w:val="0"/>
          <w:spacing w:val="-1"/>
        </w:rPr>
      </w:r>
    </w:p>
    <w:p>
      <w:pPr>
        <w:pStyle w:val="BodyText"/>
        <w:spacing w:line="240" w:lineRule="auto" w:before="85"/>
        <w:ind w:left="0" w:right="396"/>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80"/>
        <w:ind w:left="3949"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160" w:left="1120" w:right="1020"/>
          <w:cols w:num="2" w:equalWidth="0">
            <w:col w:w="8491" w:space="40"/>
            <w:col w:w="6169"/>
          </w:cols>
        </w:sect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78"/>
        <w:gridCol w:w="1550"/>
        <w:gridCol w:w="860"/>
        <w:gridCol w:w="852"/>
        <w:gridCol w:w="708"/>
        <w:gridCol w:w="1560"/>
        <w:gridCol w:w="850"/>
        <w:gridCol w:w="991"/>
        <w:gridCol w:w="710"/>
        <w:gridCol w:w="1558"/>
        <w:gridCol w:w="1560"/>
        <w:gridCol w:w="1560"/>
      </w:tblGrid>
      <w:tr>
        <w:trPr>
          <w:trHeight w:val="374" w:hRule="exact"/>
        </w:trPr>
        <w:tc>
          <w:tcPr>
            <w:tcW w:w="19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6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372" w:hRule="exact"/>
        </w:trPr>
        <w:tc>
          <w:tcPr>
            <w:tcW w:w="1978" w:type="dxa"/>
            <w:vMerge/>
            <w:tcBorders>
              <w:left w:val="single" w:sz="6" w:space="0" w:color="000000"/>
              <w:right w:val="single" w:sz="6" w:space="0" w:color="000000"/>
            </w:tcBorders>
          </w:tcPr>
          <w:p>
            <w:pPr/>
          </w:p>
        </w:tc>
        <w:tc>
          <w:tcPr>
            <w:tcW w:w="1550" w:type="dxa"/>
            <w:vMerge w:val="restart"/>
            <w:tcBorders>
              <w:top w:val="single" w:sz="6" w:space="0" w:color="000000"/>
              <w:left w:val="single" w:sz="6"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4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2"/>
              <w:ind w:left="576"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0" w:type="dxa"/>
            <w:vMerge w:val="restart"/>
            <w:tcBorders>
              <w:top w:val="single" w:sz="6" w:space="0" w:color="000000"/>
              <w:left w:val="single" w:sz="6" w:space="0" w:color="000000"/>
              <w:right w:val="single" w:sz="6" w:space="0" w:color="000000"/>
            </w:tcBorders>
          </w:tcPr>
          <w:p>
            <w:pPr>
              <w:pStyle w:val="TableParagraph"/>
              <w:spacing w:line="314" w:lineRule="auto" w:before="50"/>
              <w:ind w:left="208" w:right="96"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991" w:type="dxa"/>
            <w:vMerge w:val="restart"/>
            <w:tcBorders>
              <w:top w:val="single" w:sz="6" w:space="0" w:color="000000"/>
              <w:left w:val="single" w:sz="6" w:space="0" w:color="000000"/>
              <w:right w:val="single" w:sz="6" w:space="0" w:color="000000"/>
            </w:tcBorders>
          </w:tcPr>
          <w:p>
            <w:pPr>
              <w:pStyle w:val="TableParagraph"/>
              <w:spacing w:line="314" w:lineRule="auto" w:before="50"/>
              <w:ind w:left="175" w:right="167"/>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710" w:type="dxa"/>
            <w:vMerge w:val="restart"/>
            <w:tcBorders>
              <w:top w:val="single" w:sz="6" w:space="0" w:color="000000"/>
              <w:left w:val="single" w:sz="6" w:space="0" w:color="000000"/>
              <w:right w:val="single" w:sz="6" w:space="0" w:color="000000"/>
            </w:tcBorders>
          </w:tcPr>
          <w:p>
            <w:pPr>
              <w:pStyle w:val="TableParagraph"/>
              <w:spacing w:line="314" w:lineRule="auto" w:before="50"/>
              <w:ind w:left="139" w:right="132"/>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60" w:type="dxa"/>
            <w:vMerge w:val="restart"/>
            <w:tcBorders>
              <w:top w:val="single" w:sz="6" w:space="0" w:color="000000"/>
              <w:left w:val="single" w:sz="6" w:space="0" w:color="000000"/>
              <w:right w:val="single" w:sz="6" w:space="0" w:color="000000"/>
            </w:tcBorders>
          </w:tcPr>
          <w:p>
            <w:pPr>
              <w:pStyle w:val="TableParagraph"/>
              <w:spacing w:line="314" w:lineRule="auto" w:before="50"/>
              <w:ind w:left="667" w:right="139" w:hanging="526"/>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377" w:hRule="exact"/>
        </w:trPr>
        <w:tc>
          <w:tcPr>
            <w:tcW w:w="1978" w:type="dxa"/>
            <w:vMerge/>
            <w:tcBorders>
              <w:left w:val="single" w:sz="6" w:space="0" w:color="000000"/>
              <w:bottom w:val="single" w:sz="6" w:space="0" w:color="000000"/>
              <w:right w:val="single" w:sz="6" w:space="0" w:color="000000"/>
            </w:tcBorders>
          </w:tcPr>
          <w:p>
            <w:pPr/>
          </w:p>
        </w:tc>
        <w:tc>
          <w:tcPr>
            <w:tcW w:w="1550" w:type="dxa"/>
            <w:vMerge/>
            <w:tcBorders>
              <w:left w:val="single" w:sz="6" w:space="0" w:color="000000"/>
              <w:bottom w:val="single" w:sz="6" w:space="0" w:color="000000"/>
              <w:right w:val="single" w:sz="4" w:space="0" w:color="000000"/>
            </w:tcBorders>
          </w:tcPr>
          <w:p>
            <w:pPr/>
          </w:p>
        </w:tc>
        <w:tc>
          <w:tcPr>
            <w:tcW w:w="86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85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7"/>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37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5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4"/>
              <w:ind w:left="26" w:right="0"/>
              <w:jc w:val="center"/>
              <w:rPr>
                <w:rFonts w:ascii="Times New Roman" w:hAnsi="Times New Roman" w:cs="Times New Roman" w:eastAsia="Times New Roman" w:hint="default"/>
                <w:sz w:val="21"/>
                <w:szCs w:val="21"/>
              </w:rPr>
            </w:pPr>
            <w:r>
              <w:rPr>
                <w:rFonts w:ascii="Times New Roman"/>
                <w:sz w:val="21"/>
              </w:rPr>
              <w:t>100,000,000.00</w:t>
            </w: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35" w:right="0"/>
              <w:jc w:val="center"/>
              <w:rPr>
                <w:rFonts w:ascii="Times New Roman" w:hAnsi="Times New Roman" w:cs="Times New Roman" w:eastAsia="Times New Roman" w:hint="default"/>
                <w:sz w:val="21"/>
                <w:szCs w:val="21"/>
              </w:rPr>
            </w:pPr>
            <w:r>
              <w:rPr>
                <w:rFonts w:ascii="Times New Roman"/>
                <w:sz w:val="21"/>
              </w:rPr>
              <w:t>406,823,402.40</w:t>
            </w: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31,603,309.37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284,429,784.23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822,856,496.00</w:t>
            </w: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55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4"/>
              <w:ind w:left="26" w:right="0"/>
              <w:jc w:val="center"/>
              <w:rPr>
                <w:rFonts w:ascii="Times New Roman" w:hAnsi="Times New Roman" w:cs="Times New Roman" w:eastAsia="Times New Roman" w:hint="default"/>
                <w:sz w:val="21"/>
                <w:szCs w:val="21"/>
              </w:rPr>
            </w:pPr>
            <w:r>
              <w:rPr>
                <w:rFonts w:ascii="Times New Roman"/>
                <w:sz w:val="21"/>
              </w:rPr>
              <w:t>100,000,000.00</w:t>
            </w: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left="35" w:right="0"/>
              <w:jc w:val="center"/>
              <w:rPr>
                <w:rFonts w:ascii="Times New Roman" w:hAnsi="Times New Roman" w:cs="Times New Roman" w:eastAsia="Times New Roman" w:hint="default"/>
                <w:sz w:val="21"/>
                <w:szCs w:val="21"/>
              </w:rPr>
            </w:pPr>
            <w:r>
              <w:rPr>
                <w:rFonts w:ascii="Times New Roman"/>
                <w:sz w:val="21"/>
              </w:rPr>
              <w:t>406,823,402.40</w:t>
            </w: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31,603,309.37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284,429,784.23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822,856,496.00</w:t>
            </w:r>
          </w:p>
        </w:tc>
      </w:tr>
      <w:tr>
        <w:trPr>
          <w:trHeight w:val="109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2"/>
              <w:ind w:left="103" w:right="175"/>
              <w:jc w:val="both"/>
              <w:rPr>
                <w:rFonts w:ascii="宋体" w:hAnsi="宋体" w:cs="宋体" w:eastAsia="宋体" w:hint="default"/>
                <w:sz w:val="21"/>
                <w:szCs w:val="21"/>
              </w:rPr>
            </w:pPr>
            <w:r>
              <w:rPr>
                <w:rFonts w:ascii="宋体" w:hAnsi="宋体" w:cs="宋体" w:eastAsia="宋体" w:hint="default"/>
                <w:sz w:val="21"/>
                <w:szCs w:val="21"/>
              </w:rPr>
              <w:t>三、本期增减变动</w:t>
            </w:r>
            <w:r>
              <w:rPr>
                <w:rFonts w:ascii="宋体" w:hAnsi="宋体" w:cs="宋体" w:eastAsia="宋体" w:hint="default"/>
                <w:w w:val="100"/>
                <w:sz w:val="21"/>
                <w:szCs w:val="21"/>
              </w:rPr>
              <w:t> </w:t>
            </w:r>
            <w:r>
              <w:rPr>
                <w:rFonts w:ascii="宋体" w:hAnsi="宋体" w:cs="宋体" w:eastAsia="宋体" w:hint="default"/>
                <w:sz w:val="21"/>
                <w:szCs w:val="21"/>
              </w:rPr>
              <w:t>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7,263,100.99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47,367,908.91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54,631,009.90</w:t>
            </w: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3" w:right="175"/>
              <w:jc w:val="left"/>
              <w:rPr>
                <w:rFonts w:ascii="宋体" w:hAnsi="宋体" w:cs="宋体" w:eastAsia="宋体" w:hint="default"/>
                <w:sz w:val="21"/>
                <w:szCs w:val="21"/>
              </w:rPr>
            </w:pPr>
            <w:r>
              <w:rPr>
                <w:rFonts w:ascii="宋体" w:hAnsi="宋体" w:cs="宋体" w:eastAsia="宋体" w:hint="default"/>
                <w:sz w:val="21"/>
                <w:szCs w:val="21"/>
              </w:rPr>
              <w:t>（一）综合收益总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72,631,009.90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72,631,009.90</w:t>
            </w:r>
          </w:p>
        </w:tc>
      </w:tr>
      <w:tr>
        <w:trPr>
          <w:trHeight w:val="735"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3"/>
              <w:ind w:left="103" w:right="175"/>
              <w:jc w:val="left"/>
              <w:rPr>
                <w:rFonts w:ascii="宋体" w:hAnsi="宋体" w:cs="宋体" w:eastAsia="宋体" w:hint="default"/>
                <w:sz w:val="21"/>
                <w:szCs w:val="21"/>
              </w:rPr>
            </w:pPr>
            <w:r>
              <w:rPr>
                <w:rFonts w:ascii="宋体" w:hAnsi="宋体" w:cs="宋体" w:eastAsia="宋体" w:hint="default"/>
                <w:sz w:val="21"/>
                <w:szCs w:val="21"/>
              </w:rPr>
              <w:t>（二）所有者投入</w:t>
            </w:r>
            <w:r>
              <w:rPr>
                <w:rFonts w:ascii="宋体" w:hAnsi="宋体" w:cs="宋体" w:eastAsia="宋体" w:hint="default"/>
                <w:w w:val="100"/>
                <w:sz w:val="21"/>
                <w:szCs w:val="21"/>
              </w:rPr>
              <w:t> </w:t>
            </w:r>
            <w:r>
              <w:rPr>
                <w:rFonts w:ascii="宋体" w:hAnsi="宋体" w:cs="宋体" w:eastAsia="宋体" w:hint="default"/>
                <w:sz w:val="21"/>
                <w:szCs w:val="21"/>
              </w:rPr>
              <w:t>和减少资本</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．股东投入的普通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．其他权益工具持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有者投入资本</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．股份支付计入所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有者权益的金额</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550" w:type="dxa"/>
            <w:tcBorders>
              <w:top w:val="single" w:sz="6" w:space="0" w:color="000000"/>
              <w:left w:val="single" w:sz="6" w:space="0" w:color="000000"/>
              <w:bottom w:val="single" w:sz="6" w:space="0" w:color="000000"/>
              <w:right w:val="single" w:sz="4" w:space="0" w:color="000000"/>
            </w:tcBorders>
          </w:tcPr>
          <w:p>
            <w:pPr/>
          </w:p>
        </w:tc>
        <w:tc>
          <w:tcPr>
            <w:tcW w:w="86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7,263,100.99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-25,263,100.99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pacing w:val="-1"/>
                <w:sz w:val="21"/>
              </w:rPr>
              <w:t>-18,000,000.00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975" w:top="1120" w:bottom="1160" w:left="980" w:right="880"/>
        </w:sect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78"/>
        <w:gridCol w:w="1555"/>
        <w:gridCol w:w="855"/>
        <w:gridCol w:w="852"/>
        <w:gridCol w:w="708"/>
        <w:gridCol w:w="1560"/>
        <w:gridCol w:w="850"/>
        <w:gridCol w:w="991"/>
        <w:gridCol w:w="710"/>
        <w:gridCol w:w="1558"/>
        <w:gridCol w:w="1560"/>
        <w:gridCol w:w="1560"/>
      </w:tblGrid>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7,263,100.99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pacing w:val="-1"/>
                <w:sz w:val="21"/>
              </w:rPr>
              <w:t>-7,263,100.99</w:t>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．对所有者（或股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东）的分配</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-18,000,000.00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-18,000,000.00</w:t>
            </w: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3" w:right="175"/>
              <w:jc w:val="left"/>
              <w:rPr>
                <w:rFonts w:ascii="宋体" w:hAnsi="宋体" w:cs="宋体" w:eastAsia="宋体" w:hint="default"/>
                <w:sz w:val="21"/>
                <w:szCs w:val="21"/>
              </w:rPr>
            </w:pPr>
            <w:r>
              <w:rPr>
                <w:rFonts w:ascii="宋体" w:hAnsi="宋体" w:cs="宋体" w:eastAsia="宋体" w:hint="default"/>
                <w:sz w:val="21"/>
                <w:szCs w:val="21"/>
              </w:rPr>
              <w:t>（四）所有者权益</w:t>
            </w:r>
            <w:r>
              <w:rPr>
                <w:rFonts w:ascii="宋体" w:hAnsi="宋体" w:cs="宋体" w:eastAsia="宋体" w:hint="default"/>
                <w:w w:val="100"/>
                <w:sz w:val="21"/>
                <w:szCs w:val="21"/>
              </w:rPr>
              <w:t> </w:t>
            </w:r>
            <w:r>
              <w:rPr>
                <w:rFonts w:ascii="宋体" w:hAnsi="宋体" w:cs="宋体" w:eastAsia="宋体" w:hint="default"/>
                <w:sz w:val="21"/>
                <w:szCs w:val="21"/>
              </w:rPr>
              <w:t>内部结转</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．资本公积转增资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本（或股本）</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．盈余公积转增资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本（或股本）</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．盈余公积弥补亏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100,000,000.00</w:t>
            </w: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406,823,402.40</w:t>
            </w: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38,866,410.36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331,797,693.14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877,487,505.90</w:t>
            </w:r>
          </w:p>
        </w:tc>
      </w:tr>
      <w:tr>
        <w:trPr>
          <w:trHeight w:val="374" w:hRule="exact"/>
        </w:trPr>
        <w:tc>
          <w:tcPr>
            <w:tcW w:w="197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6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72" w:hRule="exact"/>
        </w:trPr>
        <w:tc>
          <w:tcPr>
            <w:tcW w:w="1978" w:type="dxa"/>
            <w:vMerge/>
            <w:tcBorders>
              <w:left w:val="single" w:sz="6" w:space="0" w:color="000000"/>
              <w:right w:val="single" w:sz="6" w:space="0" w:color="000000"/>
            </w:tcBorders>
          </w:tcPr>
          <w:p>
            <w:pPr/>
          </w:p>
        </w:tc>
        <w:tc>
          <w:tcPr>
            <w:tcW w:w="1555" w:type="dxa"/>
            <w:vMerge w:val="restart"/>
            <w:tcBorders>
              <w:top w:val="single" w:sz="6" w:space="0" w:color="000000"/>
              <w:left w:val="single" w:sz="6"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41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2"/>
              <w:ind w:left="57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0" w:type="dxa"/>
            <w:vMerge w:val="restart"/>
            <w:tcBorders>
              <w:top w:val="single" w:sz="6" w:space="0" w:color="000000"/>
              <w:left w:val="single" w:sz="6" w:space="0" w:color="000000"/>
              <w:right w:val="single" w:sz="6" w:space="0" w:color="000000"/>
            </w:tcBorders>
          </w:tcPr>
          <w:p>
            <w:pPr>
              <w:pStyle w:val="TableParagraph"/>
              <w:spacing w:line="314" w:lineRule="auto" w:before="52"/>
              <w:ind w:left="208" w:right="96"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991" w:type="dxa"/>
            <w:vMerge w:val="restart"/>
            <w:tcBorders>
              <w:top w:val="single" w:sz="6" w:space="0" w:color="000000"/>
              <w:left w:val="single" w:sz="6" w:space="0" w:color="000000"/>
              <w:right w:val="single" w:sz="6" w:space="0" w:color="000000"/>
            </w:tcBorders>
          </w:tcPr>
          <w:p>
            <w:pPr>
              <w:pStyle w:val="TableParagraph"/>
              <w:spacing w:line="314" w:lineRule="auto" w:before="52"/>
              <w:ind w:left="175" w:right="167"/>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710" w:type="dxa"/>
            <w:vMerge w:val="restart"/>
            <w:tcBorders>
              <w:top w:val="single" w:sz="6" w:space="0" w:color="000000"/>
              <w:left w:val="single" w:sz="6" w:space="0" w:color="000000"/>
              <w:right w:val="single" w:sz="6" w:space="0" w:color="000000"/>
            </w:tcBorders>
          </w:tcPr>
          <w:p>
            <w:pPr>
              <w:pStyle w:val="TableParagraph"/>
              <w:spacing w:line="314" w:lineRule="auto" w:before="52"/>
              <w:ind w:left="139" w:right="132"/>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60" w:type="dxa"/>
            <w:vMerge w:val="restart"/>
            <w:tcBorders>
              <w:top w:val="single" w:sz="6" w:space="0" w:color="000000"/>
              <w:left w:val="single" w:sz="6" w:space="0" w:color="000000"/>
              <w:right w:val="single" w:sz="6" w:space="0" w:color="000000"/>
            </w:tcBorders>
          </w:tcPr>
          <w:p>
            <w:pPr>
              <w:pStyle w:val="TableParagraph"/>
              <w:spacing w:line="314" w:lineRule="auto" w:before="52"/>
              <w:ind w:left="667" w:right="139" w:hanging="526"/>
              <w:jc w:val="left"/>
              <w:rPr>
                <w:rFonts w:ascii="宋体" w:hAnsi="宋体" w:cs="宋体" w:eastAsia="宋体" w:hint="default"/>
                <w:sz w:val="21"/>
                <w:szCs w:val="21"/>
              </w:rPr>
            </w:pPr>
            <w:r>
              <w:rPr>
                <w:rFonts w:ascii="宋体" w:hAnsi="宋体" w:cs="宋体" w:eastAsia="宋体" w:hint="default"/>
                <w:sz w:val="21"/>
                <w:szCs w:val="21"/>
              </w:rPr>
              <w:t>所有者权益合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380" w:hRule="exact"/>
        </w:trPr>
        <w:tc>
          <w:tcPr>
            <w:tcW w:w="1978"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4" w:space="0" w:color="000000"/>
            </w:tcBorders>
          </w:tcPr>
          <w:p>
            <w:pPr/>
          </w:p>
        </w:tc>
        <w:tc>
          <w:tcPr>
            <w:tcW w:w="85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0"/>
              <w:ind w:left="110" w:right="0"/>
              <w:jc w:val="left"/>
              <w:rPr>
                <w:rFonts w:ascii="宋体" w:hAnsi="宋体" w:cs="宋体" w:eastAsia="宋体" w:hint="default"/>
                <w:sz w:val="21"/>
                <w:szCs w:val="21"/>
              </w:rPr>
            </w:pPr>
            <w:r>
              <w:rPr>
                <w:rFonts w:ascii="宋体" w:hAnsi="宋体" w:cs="宋体" w:eastAsia="宋体" w:hint="default"/>
                <w:sz w:val="21"/>
                <w:szCs w:val="21"/>
              </w:rPr>
              <w:t>优先股</w:t>
            </w:r>
          </w:p>
        </w:tc>
        <w:tc>
          <w:tcPr>
            <w:tcW w:w="85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70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0"/>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55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1"/>
              <w:jc w:val="right"/>
              <w:rPr>
                <w:rFonts w:ascii="Times New Roman" w:hAnsi="Times New Roman" w:cs="Times New Roman" w:eastAsia="Times New Roman" w:hint="default"/>
                <w:sz w:val="21"/>
                <w:szCs w:val="21"/>
              </w:rPr>
            </w:pPr>
            <w:r>
              <w:rPr>
                <w:rFonts w:ascii="Times New Roman"/>
                <w:spacing w:val="-1"/>
                <w:sz w:val="21"/>
              </w:rPr>
              <w:t>75,000,000</w:t>
            </w: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82,743,402.40</w:t>
            </w: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22,090,954.92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198,818,594.22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378,652,951.54</w:t>
            </w: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55" w:type="dxa"/>
            <w:tcBorders>
              <w:top w:val="single" w:sz="6" w:space="0" w:color="000000"/>
              <w:left w:val="single" w:sz="6" w:space="0" w:color="000000"/>
              <w:bottom w:val="single" w:sz="6" w:space="0" w:color="000000"/>
              <w:right w:val="single" w:sz="4" w:space="0" w:color="000000"/>
            </w:tcBorders>
          </w:tcPr>
          <w:p>
            <w:pPr/>
          </w:p>
        </w:tc>
        <w:tc>
          <w:tcPr>
            <w:tcW w:w="855"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975" w:top="1120" w:bottom="1160" w:left="980" w:right="880"/>
        </w:sect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78"/>
        <w:gridCol w:w="1560"/>
        <w:gridCol w:w="850"/>
        <w:gridCol w:w="852"/>
        <w:gridCol w:w="708"/>
        <w:gridCol w:w="1560"/>
        <w:gridCol w:w="850"/>
        <w:gridCol w:w="991"/>
        <w:gridCol w:w="710"/>
        <w:gridCol w:w="1558"/>
        <w:gridCol w:w="1560"/>
        <w:gridCol w:w="1560"/>
      </w:tblGrid>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75,000,000.00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82,743,402.40</w:t>
            </w: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22,090,954.92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198,818,594.22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378,652,951.54</w:t>
            </w:r>
          </w:p>
        </w:tc>
      </w:tr>
      <w:tr>
        <w:trPr>
          <w:trHeight w:val="109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03" w:right="175"/>
              <w:jc w:val="both"/>
              <w:rPr>
                <w:rFonts w:ascii="宋体" w:hAnsi="宋体" w:cs="宋体" w:eastAsia="宋体" w:hint="default"/>
                <w:sz w:val="21"/>
                <w:szCs w:val="21"/>
              </w:rPr>
            </w:pPr>
            <w:r>
              <w:rPr>
                <w:rFonts w:ascii="宋体" w:hAnsi="宋体" w:cs="宋体" w:eastAsia="宋体" w:hint="default"/>
                <w:sz w:val="21"/>
                <w:szCs w:val="21"/>
              </w:rPr>
              <w:t>三、本期增减变动</w:t>
            </w:r>
            <w:r>
              <w:rPr>
                <w:rFonts w:ascii="宋体" w:hAnsi="宋体" w:cs="宋体" w:eastAsia="宋体" w:hint="default"/>
                <w:w w:val="100"/>
                <w:sz w:val="21"/>
                <w:szCs w:val="21"/>
              </w:rPr>
              <w:t> </w:t>
            </w:r>
            <w:r>
              <w:rPr>
                <w:rFonts w:ascii="宋体" w:hAnsi="宋体" w:cs="宋体" w:eastAsia="宋体" w:hint="default"/>
                <w:sz w:val="21"/>
                <w:szCs w:val="21"/>
              </w:rPr>
              <w:t>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号填列）</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324,080,000.00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9,512,354.45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85,611,190.01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444,203,544.46</w:t>
            </w:r>
          </w:p>
        </w:tc>
      </w:tr>
      <w:tr>
        <w:trPr>
          <w:trHeight w:val="735"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3" w:right="175"/>
              <w:jc w:val="left"/>
              <w:rPr>
                <w:rFonts w:ascii="宋体" w:hAnsi="宋体" w:cs="宋体" w:eastAsia="宋体" w:hint="default"/>
                <w:sz w:val="21"/>
                <w:szCs w:val="21"/>
              </w:rPr>
            </w:pPr>
            <w:r>
              <w:rPr>
                <w:rFonts w:ascii="宋体" w:hAnsi="宋体" w:cs="宋体" w:eastAsia="宋体" w:hint="default"/>
                <w:sz w:val="21"/>
                <w:szCs w:val="21"/>
              </w:rPr>
              <w:t>（一）综合收益总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95,123,544.46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95,123,544.46</w:t>
            </w: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103" w:right="175"/>
              <w:jc w:val="left"/>
              <w:rPr>
                <w:rFonts w:ascii="宋体" w:hAnsi="宋体" w:cs="宋体" w:eastAsia="宋体" w:hint="default"/>
                <w:sz w:val="21"/>
                <w:szCs w:val="21"/>
              </w:rPr>
            </w:pPr>
            <w:r>
              <w:rPr>
                <w:rFonts w:ascii="宋体" w:hAnsi="宋体" w:cs="宋体" w:eastAsia="宋体" w:hint="default"/>
                <w:sz w:val="21"/>
                <w:szCs w:val="21"/>
              </w:rPr>
              <w:t>（二）所有者投入</w:t>
            </w:r>
            <w:r>
              <w:rPr>
                <w:rFonts w:ascii="宋体" w:hAnsi="宋体" w:cs="宋体" w:eastAsia="宋体" w:hint="default"/>
                <w:w w:val="100"/>
                <w:sz w:val="21"/>
                <w:szCs w:val="21"/>
              </w:rPr>
              <w:t> </w:t>
            </w:r>
            <w:r>
              <w:rPr>
                <w:rFonts w:ascii="宋体" w:hAnsi="宋体" w:cs="宋体" w:eastAsia="宋体" w:hint="default"/>
                <w:sz w:val="21"/>
                <w:szCs w:val="21"/>
              </w:rPr>
              <w:t>和减少资本</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324,080,000.00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349,080,000.00</w:t>
            </w: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．股东投入的普通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25,000,000</w:t>
            </w: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324,080,000.00</w:t>
            </w: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349,080,000.00</w:t>
            </w:r>
          </w:p>
        </w:tc>
      </w:tr>
      <w:tr>
        <w:trPr>
          <w:trHeight w:val="73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．其他权益工具持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有者投入资本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．股份支付计入所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有者权益的金额</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0.00</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9,512,354.45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pacing w:val="-1"/>
                <w:sz w:val="21"/>
              </w:rPr>
              <w:t>-9,512,354.45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r>
      <w:tr>
        <w:trPr>
          <w:trHeight w:val="37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3"/>
              <w:jc w:val="right"/>
              <w:rPr>
                <w:rFonts w:ascii="Times New Roman" w:hAnsi="Times New Roman" w:cs="Times New Roman" w:eastAsia="Times New Roman" w:hint="default"/>
                <w:sz w:val="21"/>
                <w:szCs w:val="21"/>
              </w:rPr>
            </w:pPr>
            <w:r>
              <w:rPr>
                <w:rFonts w:ascii="Times New Roman"/>
                <w:spacing w:val="-1"/>
                <w:sz w:val="21"/>
              </w:rPr>
              <w:t>9,512,354.45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5"/>
              <w:jc w:val="right"/>
              <w:rPr>
                <w:rFonts w:ascii="Times New Roman" w:hAnsi="Times New Roman" w:cs="Times New Roman" w:eastAsia="Times New Roman" w:hint="default"/>
                <w:sz w:val="21"/>
                <w:szCs w:val="21"/>
              </w:rPr>
            </w:pPr>
            <w:r>
              <w:rPr>
                <w:rFonts w:ascii="Times New Roman"/>
                <w:spacing w:val="-1"/>
                <w:sz w:val="21"/>
              </w:rPr>
              <w:t>-9,512,354.45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Times New Roman" w:hAnsi="Times New Roman" w:cs="Times New Roman" w:eastAsia="Times New Roman" w:hint="default"/>
                <w:sz w:val="21"/>
                <w:szCs w:val="21"/>
              </w:rPr>
            </w:pPr>
            <w:r>
              <w:rPr>
                <w:rFonts w:ascii="Times New Roman"/>
                <w:sz w:val="21"/>
              </w:rPr>
              <w:t>0.00</w:t>
            </w:r>
          </w:p>
        </w:tc>
      </w:tr>
      <w:tr>
        <w:trPr>
          <w:trHeight w:val="735"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．对所有者（或股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东）的分配</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（四）所有者权益</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0.00</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975" w:top="1120" w:bottom="1160" w:left="980" w:right="880"/>
        </w:sect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78"/>
        <w:gridCol w:w="1560"/>
        <w:gridCol w:w="850"/>
        <w:gridCol w:w="852"/>
        <w:gridCol w:w="708"/>
        <w:gridCol w:w="1560"/>
        <w:gridCol w:w="850"/>
        <w:gridCol w:w="991"/>
        <w:gridCol w:w="710"/>
        <w:gridCol w:w="1558"/>
        <w:gridCol w:w="1560"/>
        <w:gridCol w:w="1560"/>
      </w:tblGrid>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．资本公积转增资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．盈余公积转增资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本（或股本）</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73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103" w:right="94"/>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．盈余公积弥补亏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0.00</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60"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100,000,000.00</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0.00</w:t>
            </w:r>
          </w:p>
        </w:tc>
        <w:tc>
          <w:tcPr>
            <w:tcW w:w="7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406,823,402.40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5"/>
              <w:jc w:val="right"/>
              <w:rPr>
                <w:rFonts w:ascii="Times New Roman" w:hAnsi="Times New Roman" w:cs="Times New Roman" w:eastAsia="Times New Roman" w:hint="default"/>
                <w:sz w:val="21"/>
                <w:szCs w:val="21"/>
              </w:rPr>
            </w:pPr>
            <w:r>
              <w:rPr>
                <w:rFonts w:ascii="Times New Roman"/>
                <w:sz w:val="21"/>
              </w:rPr>
              <w:t>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31,603,309.37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pacing w:val="-1"/>
                <w:sz w:val="21"/>
              </w:rPr>
              <w:t>284,429,784.23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822,856,496.00</w:t>
            </w:r>
          </w:p>
        </w:tc>
      </w:tr>
    </w:tbl>
    <w:p>
      <w:pPr>
        <w:pStyle w:val="BodyText"/>
        <w:spacing w:line="240" w:lineRule="auto" w:before="43"/>
        <w:ind w:left="544" w:right="0"/>
        <w:jc w:val="left"/>
      </w:pPr>
      <w:r>
        <w:rPr/>
        <w:t>法定代表人：吴志雄主管会计工作负责人：郑金聪会计机构负责人：黄丽珠</w:t>
      </w:r>
    </w:p>
    <w:p>
      <w:pPr>
        <w:spacing w:after="0" w:line="240" w:lineRule="auto"/>
        <w:jc w:val="left"/>
        <w:sectPr>
          <w:pgSz w:w="16840" w:h="11910" w:orient="landscape"/>
          <w:pgMar w:header="882" w:footer="975" w:top="1120" w:bottom="1160" w:left="9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2"/>
        <w:spacing w:line="240" w:lineRule="auto" w:before="36"/>
        <w:ind w:left="138" w:right="0"/>
        <w:jc w:val="both"/>
        <w:rPr>
          <w:b w:val="0"/>
          <w:bCs w:val="0"/>
        </w:rPr>
      </w:pPr>
      <w:r>
        <w:rPr/>
        <w:t>三、公司基本情况</w:t>
      </w:r>
      <w:r>
        <w:rPr>
          <w:b w:val="0"/>
          <w:bCs w:val="0"/>
        </w:rPr>
      </w:r>
    </w:p>
    <w:p>
      <w:pPr>
        <w:pStyle w:val="Heading2"/>
        <w:spacing w:line="240" w:lineRule="auto" w:before="145"/>
        <w:ind w:left="138"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公司概况</w:t>
      </w:r>
      <w:r>
        <w:rPr>
          <w:b w:val="0"/>
          <w:bCs w:val="0"/>
        </w:rPr>
      </w:r>
    </w:p>
    <w:p>
      <w:pPr>
        <w:pStyle w:val="BodyText"/>
        <w:spacing w:line="240" w:lineRule="auto" w:before="129"/>
        <w:ind w:left="558" w:right="98"/>
        <w:jc w:val="left"/>
      </w:pPr>
      <w:r>
        <w:rPr/>
        <w:t>南威软件股份有限公司（以下简称“南威公司”或“公司”），于</w:t>
      </w:r>
      <w:r>
        <w:rPr>
          <w:spacing w:val="-26"/>
        </w:rPr>
        <w:t> </w:t>
      </w:r>
      <w:r>
        <w:rPr>
          <w:rFonts w:ascii="宋体" w:hAnsi="宋体" w:cs="宋体" w:eastAsia="宋体" w:hint="default"/>
        </w:rPr>
        <w:t>2011</w:t>
      </w:r>
      <w:r>
        <w:rPr>
          <w:rFonts w:ascii="宋体" w:hAnsi="宋体" w:cs="宋体" w:eastAsia="宋体" w:hint="default"/>
          <w:spacing w:val="-23"/>
        </w:rPr>
        <w:t> </w:t>
      </w:r>
      <w:r>
        <w:rPr/>
        <w:t>年</w:t>
      </w:r>
      <w:r>
        <w:rPr>
          <w:spacing w:val="-26"/>
        </w:rPr>
        <w:t>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月由吴志雄等</w:t>
      </w:r>
    </w:p>
    <w:p>
      <w:pPr>
        <w:pStyle w:val="BodyText"/>
        <w:spacing w:line="240" w:lineRule="auto" w:before="69"/>
        <w:ind w:right="0"/>
        <w:jc w:val="both"/>
      </w:pP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名自然人股东和天津市凯信金鹏股权投资基金合伙企业等</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4"/>
        </w:rPr>
        <w:t>名法人企业作为发起人，在福建南</w:t>
      </w:r>
    </w:p>
    <w:p>
      <w:pPr>
        <w:pStyle w:val="BodyText"/>
        <w:spacing w:line="240" w:lineRule="auto" w:before="69"/>
        <w:ind w:right="0"/>
        <w:jc w:val="both"/>
      </w:pPr>
      <w:r>
        <w:rPr>
          <w:w w:val="100"/>
        </w:rPr>
        <w:t>威软</w:t>
      </w:r>
      <w:r>
        <w:rPr>
          <w:spacing w:val="-3"/>
          <w:w w:val="100"/>
        </w:rPr>
        <w:t>件</w:t>
      </w:r>
      <w:r>
        <w:rPr>
          <w:w w:val="100"/>
        </w:rPr>
        <w:t>工</w:t>
      </w:r>
      <w:r>
        <w:rPr>
          <w:spacing w:val="-3"/>
          <w:w w:val="100"/>
        </w:rPr>
        <w:t>程</w:t>
      </w:r>
      <w:r>
        <w:rPr>
          <w:w w:val="100"/>
        </w:rPr>
        <w:t>发</w:t>
      </w:r>
      <w:r>
        <w:rPr>
          <w:spacing w:val="-3"/>
          <w:w w:val="100"/>
        </w:rPr>
        <w:t>展</w:t>
      </w:r>
      <w:r>
        <w:rPr>
          <w:w w:val="100"/>
        </w:rPr>
        <w:t>有</w:t>
      </w:r>
      <w:r>
        <w:rPr>
          <w:spacing w:val="-3"/>
          <w:w w:val="100"/>
        </w:rPr>
        <w:t>限</w:t>
      </w:r>
      <w:r>
        <w:rPr>
          <w:w w:val="100"/>
        </w:rPr>
        <w:t>公</w:t>
      </w:r>
      <w:r>
        <w:rPr>
          <w:spacing w:val="-3"/>
          <w:w w:val="100"/>
        </w:rPr>
        <w:t>司</w:t>
      </w:r>
      <w:r>
        <w:rPr>
          <w:w w:val="100"/>
        </w:rPr>
        <w:t>基础</w:t>
      </w:r>
      <w:r>
        <w:rPr>
          <w:spacing w:val="-3"/>
          <w:w w:val="100"/>
        </w:rPr>
        <w:t>上</w:t>
      </w:r>
      <w:r>
        <w:rPr>
          <w:w w:val="100"/>
        </w:rPr>
        <w:t>整</w:t>
      </w:r>
      <w:r>
        <w:rPr>
          <w:spacing w:val="-3"/>
          <w:w w:val="100"/>
        </w:rPr>
        <w:t>体</w:t>
      </w:r>
      <w:r>
        <w:rPr>
          <w:w w:val="100"/>
        </w:rPr>
        <w:t>变</w:t>
      </w:r>
      <w:r>
        <w:rPr>
          <w:spacing w:val="-3"/>
          <w:w w:val="100"/>
        </w:rPr>
        <w:t>更</w:t>
      </w:r>
      <w:r>
        <w:rPr>
          <w:w w:val="100"/>
        </w:rPr>
        <w:t>设</w:t>
      </w:r>
      <w:r>
        <w:rPr>
          <w:spacing w:val="-3"/>
          <w:w w:val="100"/>
        </w:rPr>
        <w:t>立</w:t>
      </w:r>
      <w:r>
        <w:rPr>
          <w:spacing w:val="-99"/>
          <w:w w:val="100"/>
        </w:rPr>
        <w:t>，</w:t>
      </w:r>
      <w:r>
        <w:rPr>
          <w:spacing w:val="-3"/>
          <w:w w:val="100"/>
        </w:rPr>
        <w:t>股份</w:t>
      </w:r>
      <w:r>
        <w:rPr>
          <w:w w:val="100"/>
        </w:rPr>
        <w:t>有限</w:t>
      </w:r>
      <w:r>
        <w:rPr>
          <w:spacing w:val="-3"/>
          <w:w w:val="100"/>
        </w:rPr>
        <w:t>公</w:t>
      </w:r>
      <w:r>
        <w:rPr>
          <w:w w:val="100"/>
        </w:rPr>
        <w:t>司</w:t>
      </w:r>
      <w:r>
        <w:rPr>
          <w:spacing w:val="-3"/>
          <w:w w:val="100"/>
        </w:rPr>
        <w:t>设</w:t>
      </w:r>
      <w:r>
        <w:rPr>
          <w:w w:val="100"/>
        </w:rPr>
        <w:t>立</w:t>
      </w:r>
      <w:r>
        <w:rPr>
          <w:spacing w:val="-3"/>
          <w:w w:val="100"/>
        </w:rPr>
        <w:t>时</w:t>
      </w:r>
      <w:r>
        <w:rPr>
          <w:w w:val="100"/>
        </w:rPr>
        <w:t>的</w:t>
      </w:r>
      <w:r>
        <w:rPr>
          <w:spacing w:val="-3"/>
          <w:w w:val="100"/>
        </w:rPr>
        <w:t>股</w:t>
      </w:r>
      <w:r>
        <w:rPr>
          <w:w w:val="100"/>
        </w:rPr>
        <w:t>本</w:t>
      </w:r>
      <w:r>
        <w:rPr>
          <w:spacing w:val="-3"/>
          <w:w w:val="100"/>
        </w:rPr>
        <w:t>总</w:t>
      </w:r>
      <w:r>
        <w:rPr>
          <w:w w:val="100"/>
        </w:rPr>
        <w:t>数</w:t>
      </w:r>
      <w:r>
        <w:rPr>
          <w:spacing w:val="-52"/>
        </w:rPr>
        <w:t> </w:t>
      </w:r>
      <w:r>
        <w:rPr>
          <w:rFonts w:ascii="Times New Roman" w:hAnsi="Times New Roman" w:cs="Times New Roman" w:eastAsia="Times New Roman" w:hint="default"/>
          <w:w w:val="100"/>
        </w:rPr>
        <w:t>7,5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rPr>
        <w:t> </w:t>
      </w:r>
      <w:r>
        <w:rPr>
          <w:w w:val="100"/>
        </w:rPr>
        <w:t>万</w:t>
      </w:r>
      <w:r>
        <w:rPr>
          <w:spacing w:val="-101"/>
          <w:w w:val="100"/>
        </w:rPr>
        <w:t>股</w:t>
      </w:r>
      <w:r>
        <w:rPr>
          <w:spacing w:val="-3"/>
          <w:w w:val="100"/>
        </w:rPr>
        <w:t>（</w:t>
      </w:r>
      <w:r>
        <w:rPr>
          <w:w w:val="100"/>
        </w:rPr>
        <w:t>每</w:t>
      </w:r>
    </w:p>
    <w:p>
      <w:pPr>
        <w:pStyle w:val="BodyText"/>
        <w:spacing w:line="240" w:lineRule="auto" w:before="69"/>
        <w:ind w:right="0"/>
        <w:jc w:val="both"/>
      </w:pPr>
      <w:r>
        <w:rPr/>
        <w:t>股面值人民币</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元），公司实际控制人为吴志雄。</w:t>
      </w:r>
    </w:p>
    <w:p>
      <w:pPr>
        <w:pStyle w:val="BodyText"/>
        <w:spacing w:line="240" w:lineRule="auto" w:before="69"/>
        <w:ind w:left="558" w:right="9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spacing w:val="-4"/>
        </w:rPr>
        <w:t>日经中国证券监督管理委员会证监许可〔</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1332</w:t>
      </w:r>
      <w:r>
        <w:rPr>
          <w:rFonts w:ascii="Times New Roman" w:hAnsi="Times New Roman" w:cs="Times New Roman" w:eastAsia="Times New Roman" w:hint="default"/>
          <w:spacing w:val="10"/>
        </w:rPr>
        <w:t> </w:t>
      </w:r>
      <w:r>
        <w:rPr>
          <w:spacing w:val="-5"/>
        </w:rPr>
        <w:t>号文核准，公司公开发</w:t>
      </w:r>
    </w:p>
    <w:p>
      <w:pPr>
        <w:pStyle w:val="BodyText"/>
        <w:spacing w:line="240" w:lineRule="auto" w:before="69"/>
        <w:ind w:right="0"/>
        <w:jc w:val="both"/>
      </w:pPr>
      <w:r>
        <w:rPr/>
        <w:t>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股）数量为</w:t>
      </w:r>
      <w:r>
        <w:rPr>
          <w:spacing w:val="-50"/>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2"/>
        </w:rPr>
        <w:t> </w:t>
      </w:r>
      <w:r>
        <w:rPr/>
        <w:t>万股，增加注册资本人民币</w:t>
      </w:r>
      <w:r>
        <w:rPr>
          <w:spacing w:val="-53"/>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3"/>
        </w:rPr>
        <w:t> </w:t>
      </w:r>
      <w:r>
        <w:rPr/>
        <w:t>万元，增加后的注</w:t>
      </w:r>
    </w:p>
    <w:p>
      <w:pPr>
        <w:pStyle w:val="BodyText"/>
        <w:spacing w:line="240" w:lineRule="auto" w:before="69"/>
        <w:ind w:right="0"/>
        <w:jc w:val="both"/>
      </w:pPr>
      <w:r>
        <w:rPr/>
        <w:t>册资本为人民币</w:t>
      </w:r>
      <w:r>
        <w:rPr>
          <w:spacing w:val="-53"/>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2"/>
        </w:rPr>
        <w:t> </w:t>
      </w:r>
      <w:r>
        <w:rPr/>
        <w:t>万元。</w:t>
      </w:r>
    </w:p>
    <w:p>
      <w:pPr>
        <w:pStyle w:val="BodyText"/>
        <w:spacing w:line="297" w:lineRule="auto" w:before="70"/>
        <w:ind w:right="98" w:firstLine="419"/>
        <w:jc w:val="left"/>
      </w:pPr>
      <w:r>
        <w:rPr/>
        <w:t>公司于</w:t>
      </w:r>
      <w:r>
        <w:rPr>
          <w:spacing w:val="-53"/>
        </w:rPr>
        <w:t> </w:t>
      </w:r>
      <w:r>
        <w:rPr>
          <w:rFonts w:ascii="Times New Roman" w:hAnsi="Times New Roman" w:cs="Times New Roman" w:eastAsia="Times New Roman" w:hint="default"/>
        </w:rPr>
        <w:t>2014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30 </w:t>
      </w:r>
      <w:r>
        <w:rPr/>
        <w:t>日在上海证券交易所挂牌上市，</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股交易代码：</w:t>
      </w:r>
      <w:r>
        <w:rPr>
          <w:rFonts w:ascii="Times New Roman" w:hAnsi="Times New Roman" w:cs="Times New Roman" w:eastAsia="Times New Roman" w:hint="default"/>
        </w:rPr>
        <w:t>603636</w:t>
      </w:r>
      <w:r>
        <w:rPr/>
        <w:t>，股票简称：</w:t>
      </w:r>
      <w:r>
        <w:rPr>
          <w:w w:val="100"/>
        </w:rPr>
        <w:t> </w:t>
      </w:r>
      <w:r>
        <w:rPr/>
        <w:t>南威软件。</w:t>
      </w:r>
    </w:p>
    <w:p>
      <w:pPr>
        <w:pStyle w:val="BodyText"/>
        <w:spacing w:line="297" w:lineRule="auto" w:before="34"/>
        <w:ind w:right="98" w:firstLine="419"/>
        <w:jc w:val="left"/>
      </w:pPr>
      <w:r>
        <w:rPr>
          <w:spacing w:val="-2"/>
        </w:rPr>
        <w:t>公司营业执照记载的统一社会信用代码为：</w:t>
      </w:r>
      <w:r>
        <w:rPr>
          <w:rFonts w:ascii="Times New Roman" w:hAnsi="Times New Roman" w:cs="Times New Roman" w:eastAsia="Times New Roman" w:hint="default"/>
          <w:spacing w:val="-2"/>
        </w:rPr>
        <w:t>91350000743817927G</w:t>
      </w:r>
      <w:r>
        <w:rPr>
          <w:spacing w:val="-2"/>
        </w:rPr>
        <w:t>，注册地址：福建省泉州市</w:t>
      </w:r>
      <w:r>
        <w:rPr>
          <w:w w:val="100"/>
        </w:rPr>
        <w:t> </w:t>
      </w:r>
      <w:r>
        <w:rPr/>
        <w:t>丰泽区丰海路南威大厦</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号楼，法定代表人：吴志雄。</w:t>
      </w:r>
    </w:p>
    <w:p>
      <w:pPr>
        <w:pStyle w:val="BodyText"/>
        <w:spacing w:line="314" w:lineRule="auto" w:before="13"/>
        <w:ind w:left="558" w:right="98"/>
        <w:jc w:val="left"/>
      </w:pPr>
      <w:r>
        <w:rPr/>
        <w:t>公司行业性质：计算机应用服务业。</w:t>
      </w:r>
      <w:r>
        <w:rPr>
          <w:w w:val="100"/>
        </w:rPr>
        <w:t> </w:t>
      </w:r>
      <w:r>
        <w:rPr>
          <w:spacing w:val="-1"/>
        </w:rPr>
        <w:t>公司经营范围：计算机软件开发服务；互联网技术开发与服务；网络安全产品开发与服务；</w:t>
      </w:r>
    </w:p>
    <w:p>
      <w:pPr>
        <w:pStyle w:val="BodyText"/>
        <w:spacing w:line="314" w:lineRule="auto" w:before="20"/>
        <w:ind w:right="208"/>
        <w:jc w:val="both"/>
      </w:pPr>
      <w:r>
        <w:rPr>
          <w:spacing w:val="-1"/>
        </w:rPr>
        <w:t>计算机信息系统集成服务；智能化系统集成服务；安防工程的设计与施工服务；技术咨询与运维</w:t>
      </w:r>
      <w:r>
        <w:rPr>
          <w:spacing w:val="-55"/>
        </w:rPr>
        <w:t> </w:t>
      </w:r>
      <w:r>
        <w:rPr>
          <w:spacing w:val="-55"/>
        </w:rPr>
      </w:r>
      <w:r>
        <w:rPr>
          <w:spacing w:val="-1"/>
        </w:rPr>
        <w:t>服务；经营本企业生产所需的机械设备、零配件、原辅材料及技术的进口业务；法律、法规及国</w:t>
      </w:r>
      <w:r>
        <w:rPr>
          <w:spacing w:val="-55"/>
        </w:rPr>
        <w:t> </w:t>
      </w:r>
      <w:r>
        <w:rPr>
          <w:spacing w:val="-55"/>
        </w:rPr>
      </w:r>
      <w:r>
        <w:rPr>
          <w:spacing w:val="-1"/>
        </w:rPr>
        <w:t>务院决定未禁止且未规定许可的项目自主选择；应经许可的，凭有效许可证件或批准证书经营。</w:t>
      </w:r>
    </w:p>
    <w:p>
      <w:pPr>
        <w:pStyle w:val="BodyText"/>
        <w:spacing w:line="314" w:lineRule="auto" w:before="20"/>
        <w:ind w:left="558" w:right="202" w:hanging="420"/>
        <w:jc w:val="left"/>
      </w:pPr>
      <w:r>
        <w:rPr/>
        <w:t>（依法须经批准的项目，经相关部门批准后方可开展经营活动）</w:t>
      </w:r>
      <w:r>
        <w:rPr>
          <w:w w:val="100"/>
        </w:rPr>
        <w:t> </w:t>
      </w:r>
      <w:r>
        <w:rPr/>
        <w:t>财务报告批准报出日：公司财务报告于</w:t>
      </w:r>
      <w:r>
        <w:rPr>
          <w:spacing w:val="-50"/>
        </w:rPr>
        <w:t> </w:t>
      </w:r>
      <w:r>
        <w:rPr>
          <w:rFonts w:ascii="Times New Roman" w:hAnsi="Times New Roman" w:cs="Times New Roman" w:eastAsia="Times New Roman" w:hint="default"/>
        </w:rPr>
        <w:t>2016 </w:t>
      </w:r>
      <w:r>
        <w:rPr/>
        <w:t>年</w:t>
      </w:r>
      <w:r>
        <w:rPr>
          <w:spacing w:val="-52"/>
        </w:rPr>
        <w:t> </w:t>
      </w:r>
      <w:r>
        <w:rPr>
          <w:rFonts w:ascii="Times New Roman" w:hAnsi="Times New Roman" w:cs="Times New Roman" w:eastAsia="Times New Roman" w:hint="default"/>
        </w:rPr>
        <w:t>3 </w:t>
      </w:r>
      <w:r>
        <w:rPr/>
        <w:t>月</w:t>
      </w:r>
      <w:r>
        <w:rPr>
          <w:spacing w:val="-50"/>
        </w:rPr>
        <w:t> </w:t>
      </w:r>
      <w:r>
        <w:rPr>
          <w:rFonts w:ascii="Times New Roman" w:hAnsi="Times New Roman" w:cs="Times New Roman" w:eastAsia="Times New Roman" w:hint="default"/>
        </w:rPr>
        <w:t>29 </w:t>
      </w:r>
      <w:r>
        <w:rPr/>
        <w:t>日经公司第二届董事会第二十一次会</w:t>
      </w:r>
    </w:p>
    <w:p>
      <w:pPr>
        <w:pStyle w:val="BodyText"/>
        <w:spacing w:line="272" w:lineRule="exact"/>
        <w:ind w:right="0"/>
        <w:jc w:val="both"/>
      </w:pPr>
      <w:r>
        <w:rPr/>
        <w:t>议批准通过。</w:t>
      </w:r>
    </w:p>
    <w:p>
      <w:pPr>
        <w:spacing w:line="240" w:lineRule="auto" w:before="0"/>
        <w:rPr>
          <w:rFonts w:ascii="宋体" w:hAnsi="宋体" w:cs="宋体" w:eastAsia="宋体" w:hint="default"/>
          <w:sz w:val="20"/>
          <w:szCs w:val="20"/>
        </w:rPr>
      </w:pPr>
    </w:p>
    <w:p>
      <w:pPr>
        <w:pStyle w:val="Heading2"/>
        <w:spacing w:line="240" w:lineRule="auto" w:before="157"/>
        <w:ind w:left="138" w:right="0"/>
        <w:jc w:val="both"/>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合并财务报表范围</w:t>
      </w:r>
      <w:r>
        <w:rPr>
          <w:b w:val="0"/>
          <w:bCs w:val="0"/>
        </w:rPr>
      </w:r>
    </w:p>
    <w:p>
      <w:pPr>
        <w:pStyle w:val="BodyText"/>
        <w:spacing w:line="312" w:lineRule="auto" w:before="129"/>
        <w:ind w:right="208" w:firstLine="419"/>
        <w:jc w:val="both"/>
      </w:pPr>
      <w:r>
        <w:rPr/>
        <w:t>截至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日止，本公司合并财务报表范围内子公司共</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家，分别为北京南威科</w:t>
      </w:r>
      <w:r>
        <w:rPr>
          <w:w w:val="100"/>
        </w:rPr>
        <w:t> </w:t>
      </w:r>
      <w:r>
        <w:rPr>
          <w:spacing w:val="-1"/>
        </w:rPr>
        <w:t>技有限公司、宁德南威软件有限公司、厦门市南威软件科技有限公司、福建南威软件有限公司、</w:t>
      </w:r>
      <w:r>
        <w:rPr>
          <w:spacing w:val="-55"/>
        </w:rPr>
        <w:t> </w:t>
      </w:r>
      <w:r>
        <w:rPr>
          <w:spacing w:val="-55"/>
        </w:rPr>
      </w:r>
      <w:r>
        <w:rPr>
          <w:spacing w:val="-1"/>
        </w:rPr>
        <w:t>西安南威信息科技有限责任公司、成都南威软件有限公司、福建神威系统集成有限责任公司、昌</w:t>
      </w:r>
      <w:r>
        <w:rPr>
          <w:spacing w:val="-55"/>
        </w:rPr>
        <w:t> </w:t>
      </w:r>
      <w:r>
        <w:rPr>
          <w:spacing w:val="-55"/>
        </w:rPr>
      </w:r>
      <w:r>
        <w:rPr>
          <w:spacing w:val="-1"/>
        </w:rPr>
        <w:t>吉州南威软件有限公司、江西南威软件有限公司、南平南威软件有限公司、海南科特尔科技有限</w:t>
      </w:r>
      <w:r>
        <w:rPr>
          <w:spacing w:val="-55"/>
        </w:rPr>
        <w:t> </w:t>
      </w:r>
      <w:r>
        <w:rPr>
          <w:spacing w:val="-55"/>
        </w:rPr>
      </w:r>
      <w:r>
        <w:rPr>
          <w:spacing w:val="-1"/>
        </w:rPr>
        <w:t>公司、上海南信信息科技有限公司、重庆南威信息技术有限公司、北京万创聚力科技有限公司、</w:t>
      </w:r>
      <w:r>
        <w:rPr>
          <w:spacing w:val="-55"/>
        </w:rPr>
        <w:t> </w:t>
      </w:r>
      <w:r>
        <w:rPr>
          <w:spacing w:val="-55"/>
        </w:rPr>
      </w:r>
      <w:r>
        <w:rPr>
          <w:spacing w:val="-1"/>
        </w:rPr>
        <w:t>平潭力信软件有限公司、福建网链科技有限公司、安徽国正信息科技有限公司、浙江易政信息技</w:t>
      </w:r>
      <w:r>
        <w:rPr>
          <w:spacing w:val="-55"/>
        </w:rPr>
        <w:t> </w:t>
      </w:r>
      <w:r>
        <w:rPr>
          <w:spacing w:val="-55"/>
        </w:rPr>
      </w:r>
      <w:r>
        <w:rPr/>
        <w:t>术有限公司；本年度合并范围比上年度增加</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户，详见附注“八、合并范围的变更”。</w:t>
      </w:r>
    </w:p>
    <w:p>
      <w:pPr>
        <w:spacing w:line="240" w:lineRule="auto" w:before="4"/>
        <w:rPr>
          <w:rFonts w:ascii="宋体" w:hAnsi="宋体" w:cs="宋体" w:eastAsia="宋体" w:hint="default"/>
          <w:sz w:val="25"/>
          <w:szCs w:val="25"/>
        </w:rPr>
      </w:pPr>
    </w:p>
    <w:p>
      <w:pPr>
        <w:pStyle w:val="Heading2"/>
        <w:spacing w:line="240" w:lineRule="auto"/>
        <w:ind w:left="138" w:right="0"/>
        <w:jc w:val="both"/>
        <w:rPr>
          <w:b w:val="0"/>
          <w:bCs w:val="0"/>
        </w:rPr>
      </w:pPr>
      <w:r>
        <w:rPr/>
        <w:t>四、财务报表的编制基础</w:t>
      </w:r>
      <w:r>
        <w:rPr>
          <w:b w:val="0"/>
          <w:bCs w:val="0"/>
        </w:rPr>
      </w:r>
    </w:p>
    <w:p>
      <w:pPr>
        <w:pStyle w:val="BodyText"/>
        <w:tabs>
          <w:tab w:pos="562" w:val="left" w:leader="none"/>
        </w:tabs>
        <w:spacing w:line="345" w:lineRule="auto" w:before="145"/>
        <w:ind w:left="558" w:right="210" w:hanging="420"/>
        <w:jc w:val="left"/>
      </w:pPr>
      <w:r>
        <w:rPr>
          <w:rFonts w:ascii="Times New Roman" w:hAnsi="Times New Roman" w:cs="Times New Roman" w:eastAsia="Times New Roman" w:hint="default"/>
          <w:b/>
          <w:bCs/>
        </w:rPr>
        <w:t>1.</w:t>
        <w:tab/>
        <w:tab/>
      </w:r>
      <w:r>
        <w:rPr>
          <w:rFonts w:ascii="宋体" w:hAnsi="宋体" w:cs="宋体" w:eastAsia="宋体" w:hint="default"/>
          <w:b/>
          <w:bCs/>
        </w:rPr>
        <w:t>编制基础</w:t>
      </w:r>
      <w:r>
        <w:rPr>
          <w:rFonts w:ascii="宋体" w:hAnsi="宋体" w:cs="宋体" w:eastAsia="宋体" w:hint="default"/>
          <w:b/>
          <w:bCs/>
          <w:w w:val="100"/>
        </w:rPr>
        <w:t> </w:t>
      </w:r>
      <w:r>
        <w:rPr>
          <w:spacing w:val="-1"/>
        </w:rPr>
        <w:t>公司财务报表以持续经营为编制基础。根据实际发生的交易和事项，按照《企业会计准则—</w:t>
      </w:r>
    </w:p>
    <w:p>
      <w:pPr>
        <w:pStyle w:val="BodyText"/>
        <w:spacing w:line="314" w:lineRule="auto"/>
        <w:ind w:right="208"/>
        <w:jc w:val="both"/>
      </w:pPr>
      <w:r>
        <w:rPr>
          <w:spacing w:val="-1"/>
        </w:rPr>
        <w:t>—基本准则》和其他各项具体会计准则、应用指南、准则解释及其他相关规定（以下合称“企业</w:t>
      </w:r>
      <w:r>
        <w:rPr>
          <w:spacing w:val="-55"/>
        </w:rPr>
        <w:t> </w:t>
      </w:r>
      <w:r>
        <w:rPr>
          <w:spacing w:val="-55"/>
        </w:rPr>
      </w:r>
      <w:r>
        <w:rPr>
          <w:spacing w:val="-1"/>
        </w:rPr>
        <w:t>会计准则”）进行确认和计量，在此基础上结合中国证券监督管理委员会《公开发行证券的公司</w:t>
      </w:r>
      <w:r>
        <w:rPr>
          <w:spacing w:val="-55"/>
        </w:rPr>
        <w:t> </w:t>
      </w:r>
      <w:r>
        <w:rPr>
          <w:spacing w:val="-55"/>
        </w:rPr>
      </w:r>
      <w:r>
        <w:rPr/>
        <w:t>信息披露编报规则第</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号——财务报告的一般规定》（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年修订）的规定编制财务报表。</w:t>
      </w:r>
    </w:p>
    <w:p>
      <w:pPr>
        <w:spacing w:after="0" w:line="314" w:lineRule="auto"/>
        <w:jc w:val="both"/>
        <w:sectPr>
          <w:headerReference w:type="default" r:id="rId41"/>
          <w:footerReference w:type="default" r:id="rId42"/>
          <w:pgSz w:w="11910" w:h="16840"/>
          <w:pgMar w:header="882" w:footer="974" w:top="1120" w:bottom="1160" w:left="1660" w:right="1060"/>
          <w:pgNumType w:start="7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tabs>
          <w:tab w:pos="562" w:val="left" w:leader="none"/>
        </w:tabs>
        <w:spacing w:line="240" w:lineRule="auto" w:before="36"/>
        <w:ind w:left="138" w:right="0"/>
        <w:jc w:val="left"/>
        <w:rPr>
          <w:b w:val="0"/>
          <w:bCs w:val="0"/>
        </w:rPr>
      </w:pPr>
      <w:r>
        <w:rPr>
          <w:rFonts w:ascii="Times New Roman" w:hAnsi="Times New Roman" w:cs="Times New Roman" w:eastAsia="Times New Roman" w:hint="default"/>
        </w:rPr>
        <w:t>2.</w:t>
        <w:tab/>
      </w:r>
      <w:r>
        <w:rPr/>
        <w:t>持续经营</w:t>
      </w:r>
      <w:r>
        <w:rPr>
          <w:b w:val="0"/>
          <w:bCs w:val="0"/>
        </w:rPr>
      </w:r>
    </w:p>
    <w:p>
      <w:pPr>
        <w:pStyle w:val="BodyText"/>
        <w:spacing w:line="240" w:lineRule="auto" w:before="129"/>
        <w:ind w:left="558" w:right="0"/>
        <w:jc w:val="left"/>
      </w:pPr>
      <w:r>
        <w:rPr/>
        <w:t>公司自本报告期末起至少</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个月内具备持续经营能力，无影响持续经营能力的重大事项。</w:t>
      </w:r>
    </w:p>
    <w:p>
      <w:pPr>
        <w:spacing w:line="240" w:lineRule="auto" w:before="12"/>
        <w:rPr>
          <w:rFonts w:ascii="宋体" w:hAnsi="宋体" w:cs="宋体" w:eastAsia="宋体" w:hint="default"/>
          <w:sz w:val="24"/>
          <w:szCs w:val="24"/>
        </w:rPr>
      </w:pP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1"/>
          <w:sz w:val="21"/>
          <w:szCs w:val="21"/>
        </w:rPr>
        <w:t>具体会计政策和会计估计提示：以下披露内容已涵盖本公司实际生产经营特点制定的具体会</w:t>
      </w:r>
    </w:p>
    <w:p>
      <w:pPr>
        <w:pStyle w:val="BodyText"/>
        <w:spacing w:line="259" w:lineRule="exact"/>
        <w:ind w:right="0"/>
        <w:jc w:val="left"/>
      </w:pPr>
      <w:r>
        <w:rPr/>
        <w:t>计政策及会计估计。</w:t>
      </w:r>
    </w:p>
    <w:p>
      <w:pPr>
        <w:spacing w:line="240" w:lineRule="auto" w:before="0"/>
        <w:rPr>
          <w:rFonts w:ascii="宋体" w:hAnsi="宋体" w:cs="宋体" w:eastAsia="宋体" w:hint="default"/>
          <w:sz w:val="20"/>
          <w:szCs w:val="20"/>
        </w:rPr>
      </w:pPr>
    </w:p>
    <w:p>
      <w:pPr>
        <w:tabs>
          <w:tab w:pos="562" w:val="left" w:leader="none"/>
        </w:tabs>
        <w:spacing w:line="348" w:lineRule="auto" w:before="157"/>
        <w:ind w:left="558" w:right="13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65" w:lineRule="exact"/>
        <w:ind w:right="0"/>
        <w:jc w:val="left"/>
      </w:pPr>
      <w:r>
        <w:rPr/>
        <w:t>经营成果和现金流量等有关信息。</w:t>
      </w: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54"/>
        <w:ind w:left="138" w:right="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118"/>
        <w:ind w:left="558" w:right="0"/>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10"/>
        <w:rPr>
          <w:rFonts w:ascii="宋体" w:hAnsi="宋体" w:cs="宋体" w:eastAsia="宋体" w:hint="default"/>
          <w:sz w:val="30"/>
          <w:szCs w:val="30"/>
        </w:rPr>
      </w:pPr>
    </w:p>
    <w:p>
      <w:pPr>
        <w:pStyle w:val="Heading2"/>
        <w:tabs>
          <w:tab w:pos="562" w:val="left" w:leader="none"/>
        </w:tabs>
        <w:spacing w:line="240" w:lineRule="auto"/>
        <w:ind w:left="138" w:right="0"/>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118"/>
        <w:ind w:left="558" w:right="0"/>
        <w:jc w:val="left"/>
      </w:pPr>
      <w:r>
        <w:rPr/>
        <w:t>公司以</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个月作为一个营业周期。</w:t>
      </w:r>
    </w:p>
    <w:p>
      <w:pPr>
        <w:spacing w:line="240" w:lineRule="auto" w:before="8"/>
        <w:rPr>
          <w:rFonts w:ascii="宋体" w:hAnsi="宋体" w:cs="宋体" w:eastAsia="宋体" w:hint="default"/>
          <w:sz w:val="30"/>
          <w:szCs w:val="30"/>
        </w:rPr>
      </w:pPr>
    </w:p>
    <w:p>
      <w:pPr>
        <w:tabs>
          <w:tab w:pos="562" w:val="left" w:leader="none"/>
        </w:tabs>
        <w:spacing w:line="333" w:lineRule="auto" w:before="0"/>
        <w:ind w:left="558" w:right="5601" w:hanging="420"/>
        <w:jc w:val="left"/>
        <w:rPr>
          <w:rFonts w:ascii="宋体" w:hAnsi="宋体" w:cs="宋体" w:eastAsia="宋体" w:hint="default"/>
          <w:sz w:val="21"/>
          <w:szCs w:val="21"/>
        </w:rPr>
      </w:pPr>
      <w:r>
        <w:rPr>
          <w:rFonts w:ascii="Calibri" w:hAnsi="Calibri" w:cs="Calibri" w:eastAsia="Calibri" w:hint="default"/>
          <w:b/>
          <w:bCs/>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0"/>
        <w:rPr>
          <w:rFonts w:ascii="宋体" w:hAnsi="宋体" w:cs="宋体" w:eastAsia="宋体" w:hint="default"/>
          <w:sz w:val="25"/>
          <w:szCs w:val="25"/>
        </w:rPr>
      </w:pPr>
    </w:p>
    <w:p>
      <w:pPr>
        <w:pStyle w:val="Heading2"/>
        <w:tabs>
          <w:tab w:pos="562" w:val="left" w:leader="none"/>
        </w:tabs>
        <w:spacing w:line="240" w:lineRule="auto"/>
        <w:ind w:left="138" w:right="0"/>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297" w:lineRule="auto" w:before="118"/>
        <w:ind w:left="558" w:right="0"/>
        <w:jc w:val="left"/>
      </w:pPr>
      <w:r>
        <w:rPr/>
        <w:t>（</w:t>
      </w:r>
      <w:r>
        <w:rPr>
          <w:rFonts w:ascii="Times New Roman" w:hAnsi="Times New Roman" w:cs="Times New Roman" w:eastAsia="Times New Roman" w:hint="default"/>
        </w:rPr>
        <w:t>B</w:t>
      </w:r>
      <w:r>
        <w:rPr/>
        <w:t>）</w:t>
      </w:r>
      <w:r>
        <w:rPr>
          <w:spacing w:val="53"/>
        </w:rPr>
        <w:t> </w:t>
      </w:r>
      <w:r>
        <w:rPr>
          <w:rFonts w:ascii="宋体" w:hAnsi="宋体" w:cs="宋体" w:eastAsia="宋体" w:hint="default"/>
          <w:b/>
          <w:bCs/>
        </w:rPr>
        <w:t>同一控制下企业合并</w:t>
      </w:r>
      <w:r>
        <w:rPr>
          <w:rFonts w:ascii="宋体" w:hAnsi="宋体" w:cs="宋体" w:eastAsia="宋体" w:hint="default"/>
          <w:b/>
          <w:bCs/>
          <w:spacing w:val="-102"/>
        </w:rPr>
        <w:t> </w:t>
      </w:r>
      <w:r>
        <w:rPr>
          <w:spacing w:val="-2"/>
        </w:rPr>
        <w:t>本公司在企业合并中取得的资产和负债，按照合并日在被合并方的账面价值计量。在合并中</w:t>
      </w:r>
    </w:p>
    <w:p>
      <w:pPr>
        <w:pStyle w:val="BodyText"/>
        <w:spacing w:line="314" w:lineRule="auto" w:before="34"/>
        <w:ind w:right="0"/>
        <w:jc w:val="left"/>
      </w:pPr>
      <w:r>
        <w:rPr>
          <w:spacing w:val="-1"/>
        </w:rPr>
        <w:t>取得的净资产账面价值与支付的合并对价账面价值（或发行股份面值总额）的差额，调整资本公</w:t>
      </w:r>
      <w:r>
        <w:rPr>
          <w:spacing w:val="-55"/>
        </w:rPr>
        <w:t> </w:t>
      </w:r>
      <w:r>
        <w:rPr>
          <w:spacing w:val="-55"/>
        </w:rPr>
      </w:r>
      <w:r>
        <w:rPr/>
        <w:t>积中的股本溢价，资本公积中的股本溢价不足冲减的，调整留存收益。</w:t>
      </w:r>
    </w:p>
    <w:p>
      <w:pPr>
        <w:spacing w:line="297" w:lineRule="auto" w:before="2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本公司在购买日对作为企业合并对价付出的资产、发生或承担的负债以及发行的权益性证券</w:t>
      </w:r>
    </w:p>
    <w:p>
      <w:pPr>
        <w:pStyle w:val="BodyText"/>
        <w:spacing w:line="314" w:lineRule="auto" w:before="34"/>
        <w:ind w:right="128"/>
        <w:jc w:val="both"/>
      </w:pPr>
      <w:r>
        <w:rPr>
          <w:spacing w:val="-1"/>
        </w:rPr>
        <w:t>按照公允价值计量，公允价值与其账面价值的差额，计入当期损益。本公司对合并成本大于合并</w:t>
      </w:r>
      <w:r>
        <w:rPr>
          <w:spacing w:val="-55"/>
        </w:rPr>
        <w:t> </w:t>
      </w:r>
      <w:r>
        <w:rPr>
          <w:spacing w:val="-55"/>
        </w:rPr>
      </w:r>
      <w:r>
        <w:rPr>
          <w:spacing w:val="-1"/>
        </w:rPr>
        <w:t>中取得的被购买方可辨认净资产公允价值份额的差额，确认为商誉；如果合并成本小于合并中取</w:t>
      </w:r>
      <w:r>
        <w:rPr>
          <w:spacing w:val="-55"/>
        </w:rPr>
        <w:t> </w:t>
      </w:r>
      <w:r>
        <w:rPr>
          <w:spacing w:val="-55"/>
        </w:rPr>
      </w:r>
      <w:r>
        <w:rPr>
          <w:spacing w:val="-1"/>
        </w:rPr>
        <w:t>得的被购买方可辨认净资产公允价值份额的，本公司对合并中取得的资产、负债的公允价值、作</w:t>
      </w:r>
      <w:r>
        <w:rPr>
          <w:spacing w:val="-55"/>
        </w:rPr>
        <w:t> </w:t>
      </w:r>
      <w:r>
        <w:rPr>
          <w:spacing w:val="-55"/>
        </w:rPr>
      </w:r>
      <w:r>
        <w:rPr>
          <w:spacing w:val="-1"/>
        </w:rPr>
        <w:t>为合并对价的非现金资产或发行的权益性证券等的公允价值进行复核，复核结果表明所确定的被</w:t>
      </w:r>
      <w:r>
        <w:rPr>
          <w:spacing w:val="-55"/>
        </w:rPr>
        <w:t> </w:t>
      </w:r>
      <w:r>
        <w:rPr>
          <w:spacing w:val="-55"/>
        </w:rPr>
      </w:r>
      <w:r>
        <w:rPr>
          <w:spacing w:val="-1"/>
        </w:rPr>
        <w:t>购买方各项可辨认资产和负债的公允价值确定是恰当的，将企业合并成本低于取得的被购买方可</w:t>
      </w:r>
      <w:r>
        <w:rPr>
          <w:spacing w:val="-55"/>
        </w:rPr>
        <w:t> </w:t>
      </w:r>
      <w:r>
        <w:rPr>
          <w:spacing w:val="-55"/>
        </w:rPr>
      </w:r>
      <w:r>
        <w:rPr/>
        <w:t>辨认净资产公允价值份额之间的差额，计入合并当期的营业外收入。</w:t>
      </w:r>
    </w:p>
    <w:p>
      <w:pPr>
        <w:pStyle w:val="BodyText"/>
        <w:spacing w:line="314" w:lineRule="auto" w:before="20"/>
        <w:ind w:right="128" w:firstLine="419"/>
        <w:jc w:val="both"/>
      </w:pPr>
      <w:r>
        <w:rPr>
          <w:spacing w:val="-2"/>
        </w:rPr>
        <w:t>通过多次交易分步实现非同一控制下的企业合并：①在个别财务报表中，以购买日之前所持</w:t>
      </w:r>
      <w:r>
        <w:rPr>
          <w:w w:val="100"/>
        </w:rPr>
        <w:t> </w:t>
      </w:r>
      <w:r>
        <w:rPr>
          <w:spacing w:val="-1"/>
        </w:rPr>
        <w:t>被购买方的股权投资的账面价值与购买日新增投资成本之和，作为该项投资的初始投资成本。购</w:t>
      </w:r>
      <w:r>
        <w:rPr>
          <w:spacing w:val="-55"/>
        </w:rPr>
        <w:t> </w:t>
      </w:r>
      <w:r>
        <w:rPr>
          <w:spacing w:val="-55"/>
        </w:rPr>
      </w:r>
      <w:r>
        <w:rPr>
          <w:spacing w:val="-1"/>
        </w:rPr>
        <w:t>买日之前持有的股权投资因采用权益法核算而确认的其他综合收益，在处置该项投资时采用与被</w:t>
      </w:r>
    </w:p>
    <w:p>
      <w:pPr>
        <w:spacing w:after="0" w:line="314" w:lineRule="auto"/>
        <w:jc w:val="both"/>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pStyle w:val="BodyText"/>
        <w:spacing w:line="312" w:lineRule="auto" w:before="180"/>
        <w:ind w:right="97"/>
        <w:jc w:val="left"/>
      </w:pPr>
      <w:r>
        <w:rPr/>
        <w:t>投资单位直接处置相关资产或负债相同的基础进行会计处理；因被投资方除净损益、其他综合收</w:t>
      </w:r>
      <w:r>
        <w:rPr>
          <w:spacing w:val="-97"/>
        </w:rPr>
        <w:t> </w:t>
      </w:r>
      <w:r>
        <w:rPr>
          <w:spacing w:val="-97"/>
        </w:rPr>
      </w:r>
      <w:r>
        <w:rPr/>
        <w:t>益和利润分配以外的其他所有者权益变动而确认的所有者权益，在处置该项投资时转入处置期间</w:t>
      </w:r>
      <w:r>
        <w:rPr>
          <w:spacing w:val="-97"/>
        </w:rPr>
        <w:t> </w:t>
      </w:r>
      <w:r>
        <w:rPr>
          <w:spacing w:val="-97"/>
        </w:rPr>
      </w:r>
      <w:r>
        <w:rPr/>
        <w:t>的当期损益。购买日之前持有的股权投资按照《企业会计准则第</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金融工具确认和计量》</w:t>
      </w:r>
      <w:r>
        <w:rPr>
          <w:w w:val="100"/>
        </w:rPr>
        <w:t> </w:t>
      </w:r>
      <w:r>
        <w:rPr/>
        <w:t>的有关规定进行会计处理的，原计入其他综合收益的累计公允价值变动在改按成本法核算时转入</w:t>
      </w:r>
      <w:r>
        <w:rPr>
          <w:spacing w:val="-98"/>
        </w:rPr>
        <w:t> </w:t>
      </w:r>
      <w:r>
        <w:rPr>
          <w:spacing w:val="-98"/>
        </w:rPr>
      </w:r>
      <w:r>
        <w:rPr/>
        <w:t>当期损益。②在合并财务报表中，合并成本为购买日支付的对价与购买日之前已经持有的被购买</w:t>
      </w:r>
      <w:r>
        <w:rPr>
          <w:spacing w:val="-97"/>
        </w:rPr>
        <w:t> </w:t>
      </w:r>
      <w:r>
        <w:rPr>
          <w:spacing w:val="-97"/>
        </w:rPr>
      </w:r>
      <w:r>
        <w:rPr/>
        <w:t>方的股权在购买日的公允价值之和；对于购买日之前已经持有的被购买方的股权，按照该股权在</w:t>
      </w:r>
      <w:r>
        <w:rPr>
          <w:spacing w:val="-97"/>
        </w:rPr>
        <w:t> </w:t>
      </w:r>
      <w:r>
        <w:rPr>
          <w:spacing w:val="-97"/>
        </w:rPr>
      </w:r>
      <w:r>
        <w:rPr/>
        <w:t>购买日的公允价值进行重新计量，公允价值与其账面价值之间的差额计入当期投资收益；购买日</w:t>
      </w:r>
      <w:r>
        <w:rPr>
          <w:spacing w:val="-97"/>
        </w:rPr>
        <w:t> </w:t>
      </w:r>
      <w:r>
        <w:rPr>
          <w:spacing w:val="-97"/>
        </w:rPr>
      </w:r>
      <w:r>
        <w:rPr/>
        <w:t>之前已经持有的被购买方的股权涉及其他综合收益、其他所有者权益变动转为购买日所属当期投</w:t>
      </w:r>
      <w:r>
        <w:rPr>
          <w:spacing w:val="-97"/>
        </w:rPr>
        <w:t> </w:t>
      </w:r>
      <w:r>
        <w:rPr>
          <w:spacing w:val="-97"/>
        </w:rPr>
      </w:r>
      <w:r>
        <w:rPr/>
        <w:t>资收益，由于被投资方重新计量设定收益计划净负债或净资产变动而产生的其他综合收益除外。</w:t>
      </w:r>
    </w:p>
    <w:p>
      <w:pPr>
        <w:spacing w:line="297" w:lineRule="auto" w:before="22"/>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）企业合并中有关交易费用的处理</w:t>
      </w:r>
      <w:r>
        <w:rPr>
          <w:rFonts w:ascii="宋体" w:hAnsi="宋体" w:cs="宋体" w:eastAsia="宋体" w:hint="default"/>
          <w:b/>
          <w:bCs/>
          <w:w w:val="100"/>
          <w:sz w:val="21"/>
          <w:szCs w:val="21"/>
        </w:rPr>
        <w:t> </w:t>
      </w:r>
      <w:r>
        <w:rPr>
          <w:rFonts w:ascii="宋体" w:hAnsi="宋体" w:cs="宋体" w:eastAsia="宋体" w:hint="default"/>
          <w:spacing w:val="-2"/>
          <w:sz w:val="21"/>
          <w:szCs w:val="21"/>
        </w:rPr>
        <w:t>为企业合并发生的审计、法律服务、评估咨询等中介费用以及其他直接相关费用，于发生时</w:t>
      </w:r>
    </w:p>
    <w:p>
      <w:pPr>
        <w:pStyle w:val="BodyText"/>
        <w:spacing w:line="314" w:lineRule="auto" w:before="34"/>
        <w:ind w:right="208"/>
        <w:jc w:val="both"/>
      </w:pPr>
      <w:r>
        <w:rPr>
          <w:spacing w:val="-1"/>
        </w:rPr>
        <w:t>计入当期损益；企业合并发行的债券或承担其他债务支付的手续费、佣金等，计入所发行债券及</w:t>
      </w:r>
      <w:r>
        <w:rPr>
          <w:spacing w:val="-55"/>
        </w:rPr>
        <w:t> </w:t>
      </w:r>
      <w:r>
        <w:rPr>
          <w:spacing w:val="-55"/>
        </w:rPr>
      </w:r>
      <w:r>
        <w:rPr>
          <w:spacing w:val="-6"/>
          <w:w w:val="100"/>
        </w:rPr>
        <w:t>其他债务的初始计量金额；为企业合并而发行权益性证券的交易费用，抵减权益性证券溢价收入，</w:t>
      </w:r>
      <w:r>
        <w:rPr>
          <w:w w:val="100"/>
        </w:rPr>
        <w:t> </w:t>
      </w:r>
      <w:r>
        <w:rPr/>
        <w:t>溢价收入不足冲减的，冲减留存收益。</w:t>
      </w:r>
    </w:p>
    <w:p>
      <w:pPr>
        <w:spacing w:line="240" w:lineRule="auto" w:before="0"/>
        <w:rPr>
          <w:rFonts w:ascii="宋体" w:hAnsi="宋体" w:cs="宋体" w:eastAsia="宋体" w:hint="default"/>
          <w:sz w:val="27"/>
          <w:szCs w:val="27"/>
        </w:rPr>
      </w:pPr>
    </w:p>
    <w:p>
      <w:pPr>
        <w:pStyle w:val="Heading2"/>
        <w:spacing w:line="240" w:lineRule="auto"/>
        <w:ind w:left="138" w:right="0"/>
        <w:jc w:val="both"/>
        <w:rPr>
          <w:b w:val="0"/>
          <w:bCs w:val="0"/>
        </w:rPr>
      </w:pPr>
      <w:r>
        <w:rPr>
          <w:rFonts w:ascii="Calibri" w:hAnsi="Calibri" w:cs="Calibri" w:eastAsia="Calibri" w:hint="default"/>
        </w:rPr>
        <w:t>6.    </w:t>
      </w:r>
      <w:r>
        <w:rPr>
          <w:rFonts w:ascii="Calibri" w:hAnsi="Calibri" w:cs="Calibri" w:eastAsia="Calibri" w:hint="default"/>
          <w:spacing w:val="24"/>
        </w:rPr>
        <w:t> </w:t>
      </w:r>
      <w:r>
        <w:rPr/>
        <w:t>合并财务报表的编制方法</w:t>
      </w:r>
      <w:r>
        <w:rPr>
          <w:b w:val="0"/>
          <w:bCs w:val="0"/>
        </w:rPr>
      </w:r>
    </w:p>
    <w:p>
      <w:pPr>
        <w:pStyle w:val="BodyText"/>
        <w:spacing w:line="297" w:lineRule="auto" w:before="118"/>
        <w:ind w:left="558" w:right="98"/>
        <w:jc w:val="left"/>
      </w:pPr>
      <w:r>
        <w:rPr/>
        <w:t>（</w:t>
      </w:r>
      <w:r>
        <w:rPr>
          <w:rFonts w:ascii="Times New Roman" w:hAnsi="Times New Roman" w:cs="Times New Roman" w:eastAsia="Times New Roman" w:hint="default"/>
        </w:rPr>
        <w:t>B</w:t>
      </w:r>
      <w:r>
        <w:rPr/>
        <w:t>）</w:t>
      </w:r>
      <w:r>
        <w:rPr>
          <w:spacing w:val="53"/>
        </w:rPr>
        <w:t> </w:t>
      </w:r>
      <w:r>
        <w:rPr>
          <w:rFonts w:ascii="宋体" w:hAnsi="宋体" w:cs="宋体" w:eastAsia="宋体" w:hint="default"/>
          <w:b/>
          <w:bCs/>
        </w:rPr>
        <w:t>合并报表编制范围</w:t>
      </w:r>
      <w:r>
        <w:rPr>
          <w:rFonts w:ascii="宋体" w:hAnsi="宋体" w:cs="宋体" w:eastAsia="宋体" w:hint="default"/>
          <w:b/>
          <w:bCs/>
          <w:spacing w:val="-102"/>
        </w:rPr>
        <w:t> </w:t>
      </w:r>
      <w:r>
        <w:rPr>
          <w:spacing w:val="-2"/>
        </w:rPr>
        <w:t>合并财务报表的合并范围以控制为基础予以确定，不仅包括根据表决权（或类似权利）本身</w:t>
      </w:r>
    </w:p>
    <w:p>
      <w:pPr>
        <w:pStyle w:val="BodyText"/>
        <w:spacing w:line="314" w:lineRule="auto" w:before="35"/>
        <w:ind w:right="208"/>
        <w:jc w:val="both"/>
      </w:pPr>
      <w:r>
        <w:rPr>
          <w:spacing w:val="-1"/>
        </w:rPr>
        <w:t>或者结合其他安排确定的子公司，也包括基于一项或多项合同安排决定的结构化主体。控制，是</w:t>
      </w:r>
      <w:r>
        <w:rPr>
          <w:spacing w:val="-55"/>
        </w:rPr>
        <w:t> </w:t>
      </w:r>
      <w:r>
        <w:rPr>
          <w:spacing w:val="-55"/>
        </w:rPr>
      </w:r>
      <w:r>
        <w:rPr>
          <w:spacing w:val="-1"/>
        </w:rPr>
        <w:t>指投资方拥有对被投资方的权力，通过参与被投资方的相关活动而享有可变回报，并且有能力运</w:t>
      </w:r>
      <w:r>
        <w:rPr>
          <w:spacing w:val="-55"/>
        </w:rPr>
        <w:t> </w:t>
      </w:r>
      <w:r>
        <w:rPr>
          <w:spacing w:val="-55"/>
        </w:rPr>
      </w:r>
      <w:r>
        <w:rPr/>
        <w:t>用对被投资方的权力影响其回报金额。</w:t>
      </w:r>
    </w:p>
    <w:p>
      <w:pPr>
        <w:pStyle w:val="BodyText"/>
        <w:spacing w:line="314" w:lineRule="auto" w:before="20"/>
        <w:ind w:left="558" w:right="98"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7"/>
          <w:w w:val="100"/>
        </w:rPr>
        <w:t>合并财务报表以公司和其子公司的财务报表为基础，根据其他有关资料，编制合并财务报表。</w:t>
      </w:r>
      <w:r>
        <w:rPr>
          <w:spacing w:val="-75"/>
          <w:w w:val="100"/>
        </w:rPr>
        <w:t> </w:t>
      </w:r>
      <w:r>
        <w:rPr>
          <w:spacing w:val="-75"/>
          <w:w w:val="100"/>
        </w:rPr>
      </w:r>
      <w:r>
        <w:rPr>
          <w:spacing w:val="-2"/>
        </w:rPr>
        <w:t>公司统一子公司所采用的会计政策及会计期间，使子公司采用的会计政策、会计期间与公司</w:t>
      </w:r>
    </w:p>
    <w:p>
      <w:pPr>
        <w:pStyle w:val="BodyText"/>
        <w:spacing w:line="314" w:lineRule="auto" w:before="20"/>
        <w:ind w:right="208"/>
        <w:jc w:val="both"/>
      </w:pPr>
      <w:r>
        <w:rPr>
          <w:spacing w:val="-1"/>
        </w:rPr>
        <w:t>保持一致。在编制合并会计报表时，遵循重要性原则，抵销母公司与子公司、子公司与子公司之</w:t>
      </w:r>
      <w:r>
        <w:rPr>
          <w:spacing w:val="-55"/>
        </w:rPr>
        <w:t> </w:t>
      </w:r>
      <w:r>
        <w:rPr>
          <w:spacing w:val="-55"/>
        </w:rPr>
      </w:r>
      <w:r>
        <w:rPr/>
        <w:t>间的内部往来、内部交易及权益性投资项目。</w:t>
      </w:r>
    </w:p>
    <w:p>
      <w:pPr>
        <w:pStyle w:val="BodyText"/>
        <w:spacing w:line="314" w:lineRule="auto" w:before="20"/>
        <w:ind w:right="208" w:firstLine="419"/>
        <w:jc w:val="both"/>
      </w:pPr>
      <w:r>
        <w:rPr>
          <w:spacing w:val="-2"/>
        </w:rPr>
        <w:t>子公司少数股东应占的权益和损益分别在合并资产负债表中所有者权益项目下和合并利润表</w:t>
      </w:r>
      <w:r>
        <w:rPr>
          <w:w w:val="100"/>
        </w:rPr>
        <w:t> </w:t>
      </w:r>
      <w:r>
        <w:rPr>
          <w:spacing w:val="-1"/>
        </w:rPr>
        <w:t>中净利润项目下单独列示。子公司少数股东分担的当期亏损超过了少数股东在该子公司期初所有</w:t>
      </w:r>
      <w:r>
        <w:rPr>
          <w:spacing w:val="-55"/>
        </w:rPr>
        <w:t> </w:t>
      </w:r>
      <w:r>
        <w:rPr>
          <w:spacing w:val="-55"/>
        </w:rPr>
      </w:r>
      <w:r>
        <w:rPr/>
        <w:t>者权益中所享有份额而形成的余额，冲减少数股东权益。</w:t>
      </w:r>
    </w:p>
    <w:p>
      <w:pPr>
        <w:pStyle w:val="BodyText"/>
        <w:tabs>
          <w:tab w:pos="917" w:val="left" w:leader="none"/>
        </w:tabs>
        <w:spacing w:line="297" w:lineRule="auto" w:before="20"/>
        <w:ind w:left="558" w:right="210"/>
        <w:jc w:val="left"/>
      </w:pPr>
      <w:r>
        <w:rPr>
          <w:rFonts w:ascii="Times New Roman" w:hAnsi="Times New Roman" w:cs="Times New Roman" w:eastAsia="Times New Roman" w:hint="default"/>
        </w:rPr>
        <w:t>B</w:t>
        <w:tab/>
      </w:r>
      <w:r>
        <w:rPr/>
        <w:t>增加子公司以及业务</w:t>
      </w:r>
      <w:r>
        <w:rPr>
          <w:w w:val="100"/>
        </w:rPr>
        <w:t> </w:t>
      </w:r>
      <w:r>
        <w:rPr>
          <w:spacing w:val="-2"/>
        </w:rPr>
        <w:t>在报告期内因同一控制下企业合并增加的子公司以及业务，编制合并资产负债表时，调整合</w:t>
      </w:r>
    </w:p>
    <w:p>
      <w:pPr>
        <w:pStyle w:val="BodyText"/>
        <w:spacing w:line="314" w:lineRule="auto" w:before="34"/>
        <w:ind w:right="207"/>
        <w:jc w:val="both"/>
      </w:pPr>
      <w:r>
        <w:rPr>
          <w:spacing w:val="-1"/>
        </w:rPr>
        <w:t>并资产负债表的期初数；编制利润表时，将该子公司以及业务合并当期期初至报告期末的收入、</w:t>
      </w:r>
      <w:r>
        <w:rPr>
          <w:spacing w:val="-55"/>
        </w:rPr>
        <w:t> </w:t>
      </w:r>
      <w:r>
        <w:rPr>
          <w:spacing w:val="-55"/>
        </w:rPr>
      </w:r>
      <w:r>
        <w:rPr>
          <w:spacing w:val="-1"/>
        </w:rPr>
        <w:t>费用、利润纳入合并利润表；合并现金流量表时，将该子公司以及业务合并当期期初至报告期末</w:t>
      </w:r>
      <w:r>
        <w:rPr>
          <w:spacing w:val="-55"/>
        </w:rPr>
        <w:t> </w:t>
      </w:r>
      <w:r>
        <w:rPr>
          <w:spacing w:val="-55"/>
        </w:rPr>
      </w:r>
      <w:r>
        <w:rPr>
          <w:spacing w:val="-1"/>
        </w:rPr>
        <w:t>的现金流量纳入合并现金流量表；同时应当对比较报表的相关项目进行调整，视同合并后的报告</w:t>
      </w:r>
      <w:r>
        <w:rPr>
          <w:spacing w:val="-55"/>
        </w:rPr>
        <w:t> </w:t>
      </w:r>
      <w:r>
        <w:rPr>
          <w:spacing w:val="-55"/>
        </w:rPr>
      </w:r>
      <w:r>
        <w:rPr/>
        <w:t>主体自最终控制方开始控制时点起一直存在。</w:t>
      </w:r>
    </w:p>
    <w:p>
      <w:pPr>
        <w:pStyle w:val="BodyText"/>
        <w:spacing w:line="314" w:lineRule="auto" w:before="20"/>
        <w:ind w:right="208" w:firstLine="419"/>
        <w:jc w:val="both"/>
      </w:pPr>
      <w:r>
        <w:rPr>
          <w:spacing w:val="-2"/>
        </w:rPr>
        <w:t>在报告期内因非同一控制下企业合并或其他方式增加的子公司以及业务，编制合并资产负债</w:t>
      </w:r>
      <w:r>
        <w:rPr>
          <w:w w:val="100"/>
        </w:rPr>
        <w:t> </w:t>
      </w:r>
      <w:r>
        <w:rPr>
          <w:spacing w:val="-1"/>
        </w:rPr>
        <w:t>表时，不调整合并资产负债表的期初数。编制利润表时，将该子公司以及业务购买日至报告期末</w:t>
      </w:r>
    </w:p>
    <w:p>
      <w:pPr>
        <w:spacing w:after="0" w:line="314" w:lineRule="auto"/>
        <w:jc w:val="both"/>
        <w:sectPr>
          <w:pgSz w:w="11910" w:h="16840"/>
          <w:pgMar w:header="882" w:footer="974" w:top="1120" w:bottom="116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right="208"/>
        <w:jc w:val="both"/>
      </w:pPr>
      <w:r>
        <w:rPr>
          <w:spacing w:val="-1"/>
        </w:rPr>
        <w:t>的收入、费用、利润纳入合并利润表。编制现金流表时，将该子公司购买日至报告期末的现金流</w:t>
      </w:r>
      <w:r>
        <w:rPr>
          <w:spacing w:val="-55"/>
        </w:rPr>
        <w:t> </w:t>
      </w:r>
      <w:r>
        <w:rPr>
          <w:spacing w:val="-55"/>
        </w:rPr>
      </w:r>
      <w:r>
        <w:rPr/>
        <w:t>量纳入合并现金流量表。</w:t>
      </w:r>
    </w:p>
    <w:p>
      <w:pPr>
        <w:pStyle w:val="BodyText"/>
        <w:spacing w:line="314" w:lineRule="auto" w:before="20"/>
        <w:ind w:right="208" w:firstLine="419"/>
        <w:jc w:val="both"/>
      </w:pPr>
      <w:r>
        <w:rPr>
          <w:spacing w:val="-1"/>
        </w:rPr>
        <w:t>公司以子公司的个别财务报表反映为在购买日公允价值基础上确定的可辨认资产、负债及或</w:t>
      </w:r>
      <w:r>
        <w:rPr>
          <w:w w:val="100"/>
        </w:rPr>
        <w:t> </w:t>
      </w:r>
      <w:r>
        <w:rPr>
          <w:spacing w:val="-1"/>
        </w:rPr>
        <w:t>有负债在本期资产负债表日的金额进行编制合并报表。对合并成本大于合并中取得的被购买方可</w:t>
      </w:r>
      <w:r>
        <w:rPr>
          <w:spacing w:val="-55"/>
        </w:rPr>
        <w:t> </w:t>
      </w:r>
      <w:r>
        <w:rPr>
          <w:spacing w:val="-55"/>
        </w:rPr>
      </w:r>
      <w:r>
        <w:rPr>
          <w:spacing w:val="-1"/>
        </w:rPr>
        <w:t>辨认净资产公允价值份额的差额，确认为商誉。合并成本小于合并中取得的被购买方可辨认净资</w:t>
      </w:r>
      <w:r>
        <w:rPr>
          <w:spacing w:val="-55"/>
        </w:rPr>
        <w:t> </w:t>
      </w:r>
      <w:r>
        <w:rPr>
          <w:spacing w:val="-55"/>
        </w:rPr>
      </w:r>
      <w:r>
        <w:rPr/>
        <w:t>产公允价值份额的差额，经复核后，计入当期损益。</w:t>
      </w:r>
    </w:p>
    <w:p>
      <w:pPr>
        <w:pStyle w:val="BodyText"/>
        <w:spacing w:line="314" w:lineRule="auto" w:before="20"/>
        <w:ind w:right="98" w:firstLine="419"/>
        <w:jc w:val="left"/>
      </w:pPr>
      <w:r>
        <w:rPr/>
        <w:t>通过多次交易分步实现非同一控制下企业合并的，在合并财务报表中，对于购买日之前持有</w:t>
      </w:r>
      <w:r>
        <w:rPr>
          <w:w w:val="100"/>
        </w:rPr>
        <w:t> </w:t>
      </w:r>
      <w:r>
        <w:rPr/>
        <w:t>的被购买方的股权，应当按照该股权在购买日的公允价值进行重新计量，公允价值与其账面价值</w:t>
      </w:r>
      <w:r>
        <w:rPr>
          <w:spacing w:val="-97"/>
        </w:rPr>
        <w:t> </w:t>
      </w:r>
      <w:r>
        <w:rPr>
          <w:spacing w:val="-97"/>
        </w:rPr>
      </w:r>
      <w:r>
        <w:rPr>
          <w:spacing w:val="-4"/>
          <w:w w:val="100"/>
        </w:rPr>
        <w:t>的差额计入当期投资收益；购买日之前持有的被购买方的股权涉及权益法核算下的其他综合收益、</w:t>
      </w:r>
      <w:r>
        <w:rPr>
          <w:spacing w:val="-85"/>
          <w:w w:val="100"/>
        </w:rPr>
        <w:t> </w:t>
      </w:r>
      <w:r>
        <w:rPr>
          <w:spacing w:val="-85"/>
          <w:w w:val="100"/>
        </w:rPr>
      </w:r>
      <w:r>
        <w:rPr/>
        <w:t>其他所有者权益变动的，应当转为购买日所属当期投资收益，由于被投资方重新计量设定受益计</w:t>
      </w:r>
      <w:r>
        <w:rPr>
          <w:spacing w:val="-97"/>
        </w:rPr>
        <w:t> </w:t>
      </w:r>
      <w:r>
        <w:rPr>
          <w:spacing w:val="-97"/>
        </w:rPr>
      </w:r>
      <w:r>
        <w:rPr/>
        <w:t>划净负债或净资产变动而产生的其他综合收益除外。</w:t>
      </w:r>
    </w:p>
    <w:p>
      <w:pPr>
        <w:pStyle w:val="BodyText"/>
        <w:spacing w:line="240" w:lineRule="auto" w:before="20"/>
        <w:ind w:left="558" w:right="2926"/>
        <w:jc w:val="left"/>
      </w:pPr>
      <w:r>
        <w:rPr/>
        <w:t>②处置子公司以及业务</w:t>
      </w:r>
    </w:p>
    <w:p>
      <w:pPr>
        <w:pStyle w:val="BodyText"/>
        <w:spacing w:line="297" w:lineRule="auto" w:before="85"/>
        <w:ind w:left="558" w:right="98"/>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8"/>
        </w:rPr>
        <w:t> </w:t>
      </w:r>
      <w:r>
        <w:rPr/>
        <w:t>一般处理方法</w:t>
      </w:r>
      <w:r>
        <w:rPr>
          <w:spacing w:val="-103"/>
        </w:rPr>
        <w:t> </w:t>
      </w:r>
      <w:r>
        <w:rPr>
          <w:spacing w:val="-103"/>
        </w:rPr>
      </w:r>
      <w:r>
        <w:rPr>
          <w:spacing w:val="-7"/>
        </w:rPr>
        <w:t>在报告期内，本公司处置子公司以及业务，则该子公司以及业务期初至处置日的收入、费用、</w:t>
      </w:r>
    </w:p>
    <w:p>
      <w:pPr>
        <w:pStyle w:val="BodyText"/>
        <w:spacing w:line="314" w:lineRule="auto" w:before="34"/>
        <w:ind w:left="558" w:right="98" w:hanging="420"/>
        <w:jc w:val="left"/>
      </w:pPr>
      <w:r>
        <w:rPr/>
        <w:t>利润纳入合并利润表；该子公司以及业务期初至处置日的现金流量纳入合并现金流量表。</w:t>
      </w:r>
      <w:r>
        <w:rPr>
          <w:w w:val="100"/>
        </w:rPr>
        <w:t> </w:t>
      </w:r>
      <w:r>
        <w:rPr>
          <w:spacing w:val="-2"/>
        </w:rPr>
        <w:t>公司因处置部分股权投资等原因丧失了对原有子公司控制权的，在合并财务报表中，对于剩</w:t>
      </w:r>
    </w:p>
    <w:p>
      <w:pPr>
        <w:pStyle w:val="BodyText"/>
        <w:spacing w:line="314" w:lineRule="auto" w:before="20"/>
        <w:ind w:right="208"/>
        <w:jc w:val="both"/>
      </w:pPr>
      <w:r>
        <w:rPr>
          <w:spacing w:val="-1"/>
        </w:rPr>
        <w:t>余股权，按照其在丧失控制权日的公允价值进行重新计量。处置股权取得的对价和剩余股权公允</w:t>
      </w:r>
      <w:r>
        <w:rPr>
          <w:spacing w:val="-55"/>
        </w:rPr>
        <w:t> </w:t>
      </w:r>
      <w:r>
        <w:rPr>
          <w:spacing w:val="-55"/>
        </w:rPr>
      </w:r>
      <w:r>
        <w:rPr>
          <w:spacing w:val="-1"/>
        </w:rPr>
        <w:t>价值之和，减去按原持股比例计算应享有原有子公司自购买日或合并日开始持续计算的净资产的</w:t>
      </w:r>
      <w:r>
        <w:rPr>
          <w:spacing w:val="-55"/>
        </w:rPr>
        <w:t> </w:t>
      </w:r>
      <w:r>
        <w:rPr>
          <w:spacing w:val="-55"/>
        </w:rPr>
      </w:r>
      <w:r>
        <w:rPr>
          <w:spacing w:val="-1"/>
        </w:rPr>
        <w:t>份额之间的差额，计入丧失控制权当期的投资收益，同时冲减商誉。与原有子公司股权投资相关</w:t>
      </w:r>
      <w:r>
        <w:rPr>
          <w:spacing w:val="-55"/>
        </w:rPr>
        <w:t> </w:t>
      </w:r>
      <w:r>
        <w:rPr>
          <w:spacing w:val="-55"/>
        </w:rPr>
      </w:r>
      <w:r>
        <w:rPr>
          <w:spacing w:val="-1"/>
        </w:rPr>
        <w:t>的其他综合收益、其他所有者权益变动，在丧失控制权时转为当期投资收益，由于被投资方重新</w:t>
      </w:r>
      <w:r>
        <w:rPr>
          <w:spacing w:val="-55"/>
        </w:rPr>
        <w:t> </w:t>
      </w:r>
      <w:r>
        <w:rPr>
          <w:spacing w:val="-55"/>
        </w:rPr>
      </w:r>
      <w:r>
        <w:rPr/>
        <w:t>计量设定受益计划净负债或净资产变动而产生的其他综合收益除外。</w:t>
      </w:r>
    </w:p>
    <w:p>
      <w:pPr>
        <w:pStyle w:val="BodyText"/>
        <w:spacing w:line="297" w:lineRule="auto" w:before="20"/>
        <w:ind w:left="558" w:right="98"/>
        <w:jc w:val="left"/>
      </w:pPr>
      <w:r>
        <w:rPr>
          <w:rFonts w:ascii="Times New Roman" w:hAnsi="Times New Roman" w:cs="Times New Roman" w:eastAsia="Times New Roman" w:hint="default"/>
        </w:rPr>
        <w:t>B.</w:t>
      </w:r>
      <w:r>
        <w:rPr/>
        <w:t>分步处置股权至丧失控制权</w:t>
      </w:r>
      <w:r>
        <w:rPr>
          <w:w w:val="100"/>
        </w:rPr>
        <w:t> </w:t>
      </w:r>
      <w:r>
        <w:rPr>
          <w:spacing w:val="-2"/>
        </w:rPr>
        <w:t>企业通过多次交易分步处置对子公司股权投资直至丧失控制权的，如果处置对子公司股权投</w:t>
      </w:r>
    </w:p>
    <w:p>
      <w:pPr>
        <w:pStyle w:val="BodyText"/>
        <w:spacing w:line="314" w:lineRule="auto" w:before="34"/>
        <w:ind w:right="208"/>
        <w:jc w:val="both"/>
      </w:pPr>
      <w:r>
        <w:rPr>
          <w:spacing w:val="-1"/>
        </w:rPr>
        <w:t>资直至丧失控制权的各项交易属于一揽子交易的，应当将各项交易作为一项处置子公司并丧失控</w:t>
      </w:r>
      <w:r>
        <w:rPr>
          <w:spacing w:val="-55"/>
        </w:rPr>
        <w:t> </w:t>
      </w:r>
      <w:r>
        <w:rPr>
          <w:spacing w:val="-55"/>
        </w:rPr>
      </w:r>
      <w:r>
        <w:rPr>
          <w:spacing w:val="-1"/>
        </w:rPr>
        <w:t>制权的交易进行会计处理；但是，在丧失控制权之前每一次处置价款与处置投资对应的享有该子</w:t>
      </w:r>
      <w:r>
        <w:rPr>
          <w:spacing w:val="-55"/>
        </w:rPr>
        <w:t> </w:t>
      </w:r>
      <w:r>
        <w:rPr>
          <w:spacing w:val="-55"/>
        </w:rPr>
      </w:r>
      <w:r>
        <w:rPr>
          <w:spacing w:val="-1"/>
        </w:rPr>
        <w:t>公司净资产份额的差额，在合并财务报表中确认为其他综合收益，在丧失控制权时一并转入丧失</w:t>
      </w:r>
      <w:r>
        <w:rPr>
          <w:spacing w:val="-55"/>
        </w:rPr>
        <w:t> </w:t>
      </w:r>
      <w:r>
        <w:rPr>
          <w:spacing w:val="-55"/>
        </w:rPr>
      </w:r>
      <w:r>
        <w:rPr/>
        <w:t>控制权当期的损益。</w:t>
      </w:r>
    </w:p>
    <w:p>
      <w:pPr>
        <w:pStyle w:val="BodyText"/>
        <w:spacing w:line="314" w:lineRule="auto" w:before="20"/>
        <w:ind w:right="98" w:firstLine="419"/>
        <w:jc w:val="left"/>
      </w:pPr>
      <w:r>
        <w:rPr>
          <w:spacing w:val="-2"/>
        </w:rPr>
        <w:t>处置对子公司股权投资的各项交易的条款、条件以及经济影响符合下列一种或多种情况，通</w:t>
      </w:r>
      <w:r>
        <w:rPr>
          <w:w w:val="100"/>
        </w:rPr>
        <w:t> </w:t>
      </w:r>
      <w:r>
        <w:rPr/>
        <w:t>常表明应将多次交易事项作为一揽子交易进行会计处理：</w:t>
      </w:r>
    </w:p>
    <w:p>
      <w:pPr>
        <w:pStyle w:val="BodyText"/>
        <w:spacing w:line="240" w:lineRule="auto" w:before="20"/>
        <w:ind w:left="558" w:right="98"/>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9"/>
        <w:ind w:left="558" w:right="2926"/>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9"/>
        <w:ind w:left="558" w:right="2926"/>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240" w:lineRule="auto" w:before="69"/>
        <w:ind w:left="558" w:right="98"/>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pStyle w:val="BodyText"/>
        <w:spacing w:line="314" w:lineRule="auto" w:before="69"/>
        <w:ind w:left="558" w:right="98"/>
        <w:jc w:val="left"/>
      </w:pPr>
      <w:r>
        <w:rPr/>
        <w:t>③购买子公司少数股权</w:t>
      </w:r>
      <w:r>
        <w:rPr>
          <w:w w:val="100"/>
        </w:rPr>
        <w:t> </w:t>
      </w:r>
      <w:r>
        <w:rPr>
          <w:spacing w:val="-2"/>
        </w:rPr>
        <w:t>本公司因购买子公司的少数股权新取得的长期股权投资与按照新增持股比例计算应享有子公</w:t>
      </w:r>
    </w:p>
    <w:p>
      <w:pPr>
        <w:pStyle w:val="BodyText"/>
        <w:spacing w:line="314" w:lineRule="auto" w:before="20"/>
        <w:ind w:right="208"/>
        <w:jc w:val="both"/>
      </w:pPr>
      <w:r>
        <w:rPr>
          <w:spacing w:val="-1"/>
        </w:rPr>
        <w:t>司自购买日（或合并日）开始持续计算的可辨认净资产份额之间的差额，调整合并资产负债表中</w:t>
      </w:r>
      <w:r>
        <w:rPr>
          <w:spacing w:val="-55"/>
        </w:rPr>
        <w:t> </w:t>
      </w:r>
      <w:r>
        <w:rPr>
          <w:spacing w:val="-55"/>
        </w:rPr>
      </w:r>
      <w:r>
        <w:rPr>
          <w:spacing w:val="-1"/>
        </w:rPr>
        <w:t>的资本公积中的资本溢价或股本溢价，资本公积中的资本溢价或股本溢价不足冲减的，调整留存</w:t>
      </w:r>
      <w:r>
        <w:rPr>
          <w:spacing w:val="-55"/>
        </w:rPr>
        <w:t> </w:t>
      </w:r>
      <w:r>
        <w:rPr>
          <w:spacing w:val="-55"/>
        </w:rPr>
      </w:r>
      <w:r>
        <w:rPr/>
        <w:t>收益。</w:t>
      </w:r>
    </w:p>
    <w:p>
      <w:pPr>
        <w:spacing w:after="0" w:line="314" w:lineRule="auto"/>
        <w:jc w:val="both"/>
        <w:sectPr>
          <w:footerReference w:type="default" r:id="rId43"/>
          <w:pgSz w:w="11910" w:h="16840"/>
          <w:pgMar w:footer="974" w:header="882" w:top="1120" w:bottom="116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558" w:right="227"/>
        <w:jc w:val="left"/>
      </w:pPr>
      <w:r>
        <w:rPr/>
        <w:t>④不丧失控制权的情况下部分处置对子公司的股权投资</w:t>
      </w:r>
      <w:r>
        <w:rPr>
          <w:w w:val="100"/>
        </w:rPr>
        <w:t> </w:t>
      </w:r>
      <w:r>
        <w:rPr>
          <w:spacing w:val="-2"/>
        </w:rPr>
        <w:t>在不丧失控制权的情况下因部分处置对子公司的长期股权投资而取得的处置价款与处置长期</w:t>
      </w:r>
    </w:p>
    <w:p>
      <w:pPr>
        <w:pStyle w:val="BodyText"/>
        <w:spacing w:line="314" w:lineRule="auto" w:before="20"/>
        <w:ind w:right="308"/>
        <w:jc w:val="both"/>
      </w:pPr>
      <w:r>
        <w:rPr>
          <w:spacing w:val="-1"/>
        </w:rPr>
        <w:t>股权投资相对应享有子公司自购买日或合并日开始持续计算的净资产份额之间的差额，调整合并</w:t>
      </w:r>
      <w:r>
        <w:rPr>
          <w:spacing w:val="-55"/>
        </w:rPr>
        <w:t> </w:t>
      </w:r>
      <w:r>
        <w:rPr>
          <w:spacing w:val="-55"/>
        </w:rPr>
      </w:r>
      <w:r>
        <w:rPr/>
        <w:t>资产负债表中的资本公积中的股本溢价，资本公积中的股本溢价不足冲减的，调整留存收益。</w:t>
      </w:r>
    </w:p>
    <w:p>
      <w:pPr>
        <w:spacing w:line="240" w:lineRule="auto" w:before="0"/>
        <w:rPr>
          <w:rFonts w:ascii="宋体" w:hAnsi="宋体" w:cs="宋体" w:eastAsia="宋体" w:hint="default"/>
          <w:sz w:val="27"/>
          <w:szCs w:val="27"/>
        </w:rPr>
      </w:pPr>
    </w:p>
    <w:p>
      <w:pPr>
        <w:tabs>
          <w:tab w:pos="562" w:val="left" w:leader="none"/>
        </w:tabs>
        <w:spacing w:line="345" w:lineRule="auto" w:before="0"/>
        <w:ind w:left="558" w:right="31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合营安排是指一项由两个或两个以上的参与方共同控制的安排。合营安排分为共同经营和合</w:t>
      </w:r>
    </w:p>
    <w:p>
      <w:pPr>
        <w:pStyle w:val="BodyText"/>
        <w:spacing w:line="268" w:lineRule="exact"/>
        <w:ind w:right="227"/>
        <w:jc w:val="left"/>
      </w:pPr>
      <w:r>
        <w:rPr/>
        <w:t>营企业。</w:t>
      </w:r>
    </w:p>
    <w:p>
      <w:pPr>
        <w:pStyle w:val="BodyText"/>
        <w:spacing w:line="307" w:lineRule="auto" w:before="85"/>
        <w:ind w:left="1278" w:right="308" w:hanging="720"/>
        <w:jc w:val="both"/>
      </w:pPr>
      <w:r>
        <w:rPr/>
        <w:t>（</w:t>
      </w:r>
      <w:r>
        <w:rPr>
          <w:rFonts w:ascii="Times New Roman" w:hAnsi="Times New Roman" w:cs="Times New Roman" w:eastAsia="Times New Roman" w:hint="default"/>
        </w:rPr>
        <w:t>B</w:t>
      </w:r>
      <w:r>
        <w:rPr/>
        <w:t>） </w:t>
      </w:r>
      <w:r>
        <w:rPr>
          <w:spacing w:val="-4"/>
        </w:rPr>
        <w:t>共同经营是指本公司享有该安排相关资产且承担该安排相关负债的合营安排。本公司</w:t>
      </w:r>
      <w:r>
        <w:rPr>
          <w:spacing w:val="-92"/>
        </w:rPr>
        <w:t> </w:t>
      </w:r>
      <w:r>
        <w:rPr>
          <w:spacing w:val="-92"/>
        </w:rPr>
      </w:r>
      <w:r>
        <w:rPr>
          <w:spacing w:val="-4"/>
        </w:rPr>
        <w:t>确认与共同经营中利益份额相关的下列项目，并按照相关企业会计准则的规定进行会</w:t>
      </w:r>
      <w:r>
        <w:rPr>
          <w:w w:val="100"/>
        </w:rPr>
        <w:t> </w:t>
      </w:r>
      <w:r>
        <w:rPr/>
        <w:t>计处理：</w:t>
      </w:r>
    </w:p>
    <w:p>
      <w:pPr>
        <w:pStyle w:val="BodyText"/>
        <w:spacing w:line="240" w:lineRule="auto" w:before="26"/>
        <w:ind w:left="558" w:right="227"/>
        <w:jc w:val="left"/>
      </w:pPr>
      <w:r>
        <w:rPr/>
        <w:t>①确认单独所持有的资产，以及按其份额确认共同持有的资产；</w:t>
      </w:r>
    </w:p>
    <w:p>
      <w:pPr>
        <w:pStyle w:val="BodyText"/>
        <w:spacing w:line="240" w:lineRule="auto" w:before="85"/>
        <w:ind w:left="558" w:right="227"/>
        <w:jc w:val="left"/>
      </w:pPr>
      <w:r>
        <w:rPr/>
        <w:t>②确认单独所承担的负债，以及按其份额确认共同承担的负债；</w:t>
      </w:r>
    </w:p>
    <w:p>
      <w:pPr>
        <w:pStyle w:val="BodyText"/>
        <w:spacing w:line="240" w:lineRule="auto" w:before="85"/>
        <w:ind w:left="558" w:right="227"/>
        <w:jc w:val="left"/>
      </w:pPr>
      <w:r>
        <w:rPr/>
        <w:t>③确认出售其享有的共同经营产出份额所产生的收入；</w:t>
      </w:r>
    </w:p>
    <w:p>
      <w:pPr>
        <w:pStyle w:val="BodyText"/>
        <w:spacing w:line="240" w:lineRule="auto" w:before="85"/>
        <w:ind w:left="558" w:right="227"/>
        <w:jc w:val="left"/>
      </w:pPr>
      <w:r>
        <w:rPr/>
        <w:t>④按其份额确认共同经营因出售产出所产生的收入；</w:t>
      </w:r>
    </w:p>
    <w:p>
      <w:pPr>
        <w:pStyle w:val="BodyText"/>
        <w:spacing w:line="240" w:lineRule="auto" w:before="85"/>
        <w:ind w:left="558" w:right="227"/>
        <w:jc w:val="left"/>
      </w:pPr>
      <w:r>
        <w:rPr/>
        <w:t>⑤确认单独所发生的费用，以及按其份额确认共同经营发生的费用。</w:t>
      </w:r>
    </w:p>
    <w:p>
      <w:pPr>
        <w:pStyle w:val="BodyText"/>
        <w:spacing w:line="297" w:lineRule="auto" w:before="85"/>
        <w:ind w:right="227" w:firstLine="419"/>
        <w:jc w:val="left"/>
      </w:pPr>
      <w:r>
        <w:rPr>
          <w:spacing w:val="-4"/>
        </w:rPr>
        <w:t>（</w:t>
      </w:r>
      <w:r>
        <w:rPr>
          <w:rFonts w:ascii="Times New Roman" w:hAnsi="Times New Roman" w:cs="Times New Roman" w:eastAsia="Times New Roman" w:hint="default"/>
          <w:spacing w:val="-4"/>
        </w:rPr>
        <w:t>2</w:t>
      </w:r>
      <w:r>
        <w:rPr>
          <w:spacing w:val="-4"/>
        </w:rPr>
        <w:t>）合营企业是指本公司仅对该安排的净资产享有权利的合营安排。本公司按照长期股权投</w:t>
      </w:r>
      <w:r>
        <w:rPr>
          <w:w w:val="100"/>
        </w:rPr>
        <w:t> </w:t>
      </w:r>
      <w:r>
        <w:rPr/>
        <w:t>资有关权益法核算的规定对合营企业的投资进行会计处理。</w:t>
      </w:r>
    </w:p>
    <w:p>
      <w:pPr>
        <w:spacing w:line="240" w:lineRule="auto" w:before="13"/>
        <w:rPr>
          <w:rFonts w:ascii="宋体" w:hAnsi="宋体" w:cs="宋体" w:eastAsia="宋体" w:hint="default"/>
          <w:sz w:val="27"/>
          <w:szCs w:val="27"/>
        </w:rPr>
      </w:pPr>
    </w:p>
    <w:p>
      <w:pPr>
        <w:tabs>
          <w:tab w:pos="562" w:val="left" w:leader="none"/>
        </w:tabs>
        <w:spacing w:line="345" w:lineRule="auto" w:before="0"/>
        <w:ind w:left="558" w:right="31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公司在编制现金流量表时，将本公司库存现金以及可以随时用于支付的存款确认为现金。公</w:t>
      </w:r>
    </w:p>
    <w:p>
      <w:pPr>
        <w:pStyle w:val="BodyText"/>
        <w:spacing w:line="314" w:lineRule="auto"/>
        <w:ind w:right="308"/>
        <w:jc w:val="both"/>
      </w:pPr>
      <w:r>
        <w:rPr>
          <w:spacing w:val="-1"/>
        </w:rPr>
        <w:t>司将持有的期限短（从购买日起三个月内到期）、流动性强、易于转换为已知金额现金、价值变</w:t>
      </w:r>
      <w:r>
        <w:rPr>
          <w:spacing w:val="-55"/>
        </w:rPr>
        <w:t> </w:t>
      </w:r>
      <w:r>
        <w:rPr>
          <w:spacing w:val="-55"/>
        </w:rPr>
      </w:r>
      <w:r>
        <w:rPr>
          <w:spacing w:val="-1"/>
        </w:rPr>
        <w:t>动风险很小的投资，确定为现金等价物。受到限制的银行存款，不作为现金流量表中的现金及现</w:t>
      </w:r>
      <w:r>
        <w:rPr>
          <w:spacing w:val="-55"/>
        </w:rPr>
        <w:t> </w:t>
      </w:r>
      <w:r>
        <w:rPr>
          <w:spacing w:val="-55"/>
        </w:rPr>
      </w:r>
      <w:r>
        <w:rPr/>
        <w:t>金等价物。</w:t>
      </w: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78"/>
        <w:ind w:left="138" w:right="227"/>
        <w:jc w:val="left"/>
        <w:rPr>
          <w:b w:val="0"/>
          <w:bCs w:val="0"/>
        </w:rPr>
      </w:pPr>
      <w:r>
        <w:rPr>
          <w:rFonts w:ascii="Times New Roman" w:hAnsi="Times New Roman" w:cs="Times New Roman" w:eastAsia="Times New Roman" w:hint="default"/>
        </w:rPr>
        <w:t>9.</w:t>
        <w:tab/>
      </w:r>
      <w:r>
        <w:rPr/>
        <w:t>外币业务和外币报表折算</w:t>
      </w:r>
      <w:r>
        <w:rPr>
          <w:b w:val="0"/>
          <w:bCs w:val="0"/>
        </w:rPr>
      </w:r>
    </w:p>
    <w:p>
      <w:pPr>
        <w:pStyle w:val="BodyText"/>
        <w:spacing w:line="297" w:lineRule="auto" w:before="129"/>
        <w:ind w:left="558" w:right="227"/>
        <w:jc w:val="left"/>
      </w:pPr>
      <w:r>
        <w:rPr/>
        <w:t>（</w:t>
      </w:r>
      <w:r>
        <w:rPr>
          <w:rFonts w:ascii="Times New Roman" w:hAnsi="Times New Roman" w:cs="Times New Roman" w:eastAsia="Times New Roman" w:hint="default"/>
        </w:rPr>
        <w:t>B</w:t>
      </w:r>
      <w:r>
        <w:rPr/>
        <w:t>）</w:t>
      </w:r>
      <w:r>
        <w:rPr>
          <w:spacing w:val="53"/>
        </w:rPr>
        <w:t> </w:t>
      </w:r>
      <w:r>
        <w:rPr>
          <w:rFonts w:ascii="宋体" w:hAnsi="宋体" w:cs="宋体" w:eastAsia="宋体" w:hint="default"/>
          <w:b/>
          <w:bCs/>
        </w:rPr>
        <w:t>外币业务</w:t>
      </w:r>
      <w:r>
        <w:rPr>
          <w:rFonts w:ascii="宋体" w:hAnsi="宋体" w:cs="宋体" w:eastAsia="宋体" w:hint="default"/>
          <w:b/>
          <w:bCs/>
          <w:spacing w:val="-104"/>
        </w:rPr>
        <w:t> </w:t>
      </w:r>
      <w:r>
        <w:rPr>
          <w:spacing w:val="-2"/>
        </w:rPr>
        <w:t>发生外币业务时，外币金额按交易发生日的即期汇率折算为人民币入账，期末按照下列方法</w:t>
      </w:r>
    </w:p>
    <w:p>
      <w:pPr>
        <w:pStyle w:val="BodyText"/>
        <w:spacing w:line="240" w:lineRule="auto" w:before="34"/>
        <w:ind w:right="227"/>
        <w:jc w:val="left"/>
      </w:pPr>
      <w:r>
        <w:rPr/>
        <w:t>对外币货币性项目和外币非货币性项目进行处理：</w:t>
      </w:r>
    </w:p>
    <w:p>
      <w:pPr>
        <w:pStyle w:val="BodyText"/>
        <w:spacing w:line="314" w:lineRule="auto" w:before="85"/>
        <w:ind w:right="227" w:firstLine="419"/>
        <w:jc w:val="left"/>
      </w:pPr>
      <w:r>
        <w:rPr>
          <w:spacing w:val="-2"/>
        </w:rPr>
        <w:t>①外币货币性项目，采用资产负债表日即期汇率折算。因资产负债表日即期汇率与初始确认</w:t>
      </w:r>
      <w:r>
        <w:rPr>
          <w:w w:val="100"/>
        </w:rPr>
        <w:t> </w:t>
      </w:r>
      <w:r>
        <w:rPr/>
        <w:t>或者前一资产负债表日即期汇率不同而产生的汇兑差额，计入当期损益。</w:t>
      </w:r>
    </w:p>
    <w:p>
      <w:pPr>
        <w:pStyle w:val="BodyText"/>
        <w:spacing w:line="314" w:lineRule="auto" w:before="20"/>
        <w:ind w:right="227" w:firstLine="419"/>
        <w:jc w:val="left"/>
      </w:pPr>
      <w:r>
        <w:rPr>
          <w:spacing w:val="-2"/>
        </w:rPr>
        <w:t>②以历史成本计量的外币非货币性项目，仍采用交易发生日的即期汇率折算，不改变其记账</w:t>
      </w:r>
      <w:r>
        <w:rPr>
          <w:w w:val="100"/>
        </w:rPr>
        <w:t> </w:t>
      </w:r>
      <w:r>
        <w:rPr/>
        <w:t>本位币金额。</w:t>
      </w:r>
    </w:p>
    <w:p>
      <w:pPr>
        <w:pStyle w:val="BodyText"/>
        <w:spacing w:line="314" w:lineRule="auto" w:before="20"/>
        <w:ind w:right="227" w:firstLine="419"/>
        <w:jc w:val="left"/>
      </w:pPr>
      <w:r>
        <w:rPr>
          <w:spacing w:val="-2"/>
        </w:rPr>
        <w:t>③对以公允价值计量的外币非货币性项目，按公允价值确定日即期汇率折算，由此产生的汇</w:t>
      </w:r>
      <w:r>
        <w:rPr>
          <w:w w:val="100"/>
        </w:rPr>
        <w:t> </w:t>
      </w:r>
      <w:r>
        <w:rPr/>
        <w:t>兑损益计入当期损益或其他综合收益。</w:t>
      </w:r>
    </w:p>
    <w:p>
      <w:pPr>
        <w:pStyle w:val="BodyText"/>
        <w:spacing w:line="314" w:lineRule="auto" w:before="20"/>
        <w:ind w:right="0" w:firstLine="419"/>
        <w:jc w:val="left"/>
      </w:pPr>
      <w:r>
        <w:rPr>
          <w:spacing w:val="-1"/>
        </w:rPr>
        <w:t>外币汇兑损益除与购建或者生产符合资本化条件的资产有关的外币专门借款产生的汇兑损益，</w:t>
      </w:r>
      <w:r>
        <w:rPr>
          <w:w w:val="100"/>
        </w:rPr>
        <w:t> </w:t>
      </w:r>
      <w:r>
        <w:rPr/>
        <w:t>在资产达到预定可使用或者可销售状态前计入符合资本化条件的资产的成本，其余均计入当期损</w:t>
      </w:r>
      <w:r>
        <w:rPr>
          <w:spacing w:val="-97"/>
        </w:rPr>
        <w:t> </w:t>
      </w:r>
      <w:r>
        <w:rPr>
          <w:spacing w:val="-97"/>
        </w:rPr>
      </w:r>
      <w:r>
        <w:rPr/>
        <w:t>益。</w:t>
      </w:r>
    </w:p>
    <w:p>
      <w:pPr>
        <w:spacing w:after="0" w:line="314" w:lineRule="auto"/>
        <w:jc w:val="left"/>
        <w:sectPr>
          <w:footerReference w:type="default" r:id="rId44"/>
          <w:pgSz w:w="11910" w:h="16840"/>
          <w:pgMar w:footer="974" w:header="882" w:top="1120" w:bottom="1160" w:left="1660" w:right="960"/>
          <w:pgNumType w:start="81"/>
        </w:sectPr>
      </w:pPr>
    </w:p>
    <w:p>
      <w:pPr>
        <w:spacing w:line="240" w:lineRule="auto" w:before="0"/>
        <w:rPr>
          <w:rFonts w:ascii="宋体" w:hAnsi="宋体" w:cs="宋体" w:eastAsia="宋体" w:hint="default"/>
          <w:sz w:val="20"/>
          <w:szCs w:val="20"/>
        </w:rPr>
      </w:pPr>
    </w:p>
    <w:p>
      <w:pPr>
        <w:spacing w:line="297" w:lineRule="auto" w:before="180"/>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本公司对合并范围内境外经营实体的财务报表，折算为人民币财务报表进行编报。</w:t>
      </w:r>
    </w:p>
    <w:p>
      <w:pPr>
        <w:pStyle w:val="BodyText"/>
        <w:spacing w:line="314" w:lineRule="auto" w:before="34"/>
        <w:ind w:right="210" w:firstLine="419"/>
        <w:jc w:val="both"/>
      </w:pPr>
      <w:r>
        <w:rPr>
          <w:spacing w:val="-2"/>
        </w:rPr>
        <w:t>①资产负债表中的资产和负债项目，采用资产负债表日的即期汇率折算；所有者权益项目除</w:t>
      </w:r>
      <w:r>
        <w:rPr>
          <w:w w:val="100"/>
        </w:rPr>
        <w:t> </w:t>
      </w:r>
      <w:r>
        <w:rPr/>
        <w:t>“未分配利润”项目外，其他项目采用发生时的即期汇率折算。</w:t>
      </w:r>
    </w:p>
    <w:p>
      <w:pPr>
        <w:pStyle w:val="BodyText"/>
        <w:spacing w:line="240" w:lineRule="auto" w:before="20"/>
        <w:ind w:left="558" w:right="98"/>
        <w:jc w:val="left"/>
      </w:pPr>
      <w:r>
        <w:rPr/>
        <w:t>②利润表中的收入和费用项目，采用交易发生日的即期汇率折算。</w:t>
      </w:r>
    </w:p>
    <w:p>
      <w:pPr>
        <w:pStyle w:val="BodyText"/>
        <w:spacing w:line="314" w:lineRule="auto" w:before="85"/>
        <w:ind w:right="98" w:firstLine="419"/>
        <w:jc w:val="left"/>
      </w:pPr>
      <w:r>
        <w:rPr>
          <w:spacing w:val="-4"/>
          <w:w w:val="100"/>
        </w:rPr>
        <w:t>③现金流量表采用现金流量发生日的即期汇率折算。汇率变动对现金的影响额作为调节项目，</w:t>
      </w:r>
      <w:r>
        <w:rPr>
          <w:w w:val="100"/>
        </w:rPr>
        <w:t> </w:t>
      </w:r>
      <w:r>
        <w:rPr/>
        <w:t>在现金流量表中单独列示“汇率变动对现金及现金等价物的影响”项目予以反映。</w:t>
      </w:r>
    </w:p>
    <w:p>
      <w:pPr>
        <w:pStyle w:val="BodyText"/>
        <w:spacing w:line="314" w:lineRule="auto" w:before="20"/>
        <w:ind w:right="208" w:firstLine="419"/>
        <w:jc w:val="both"/>
      </w:pPr>
      <w:r>
        <w:rPr>
          <w:spacing w:val="-2"/>
        </w:rPr>
        <w:t>④按照上述折算产生的外币财务报表折算差额，在资产负债表所有者权益项目下的“其他综</w:t>
      </w:r>
      <w:r>
        <w:rPr>
          <w:w w:val="100"/>
        </w:rPr>
        <w:t> </w:t>
      </w:r>
      <w:r>
        <w:rPr>
          <w:spacing w:val="-1"/>
        </w:rPr>
        <w:t>合收益”项目反映。处置境外经营时，将与该境外经营相关的外币财务报表折算差额，自所有者</w:t>
      </w:r>
      <w:r>
        <w:rPr>
          <w:spacing w:val="-55"/>
        </w:rPr>
        <w:t> </w:t>
      </w:r>
      <w:r>
        <w:rPr>
          <w:spacing w:val="-55"/>
        </w:rPr>
      </w:r>
      <w:r>
        <w:rPr/>
        <w:t>权益项目下的“其他综合收益”全部或按处置该境外经营的比例转入处置当期损益。</w:t>
      </w:r>
    </w:p>
    <w:p>
      <w:pPr>
        <w:spacing w:line="240" w:lineRule="auto" w:before="0"/>
        <w:rPr>
          <w:rFonts w:ascii="宋体" w:hAnsi="宋体" w:cs="宋体" w:eastAsia="宋体" w:hint="default"/>
          <w:sz w:val="20"/>
          <w:szCs w:val="20"/>
        </w:rPr>
      </w:pPr>
    </w:p>
    <w:p>
      <w:pPr>
        <w:pStyle w:val="Heading2"/>
        <w:spacing w:line="240" w:lineRule="auto" w:before="178"/>
        <w:ind w:left="138" w:right="2926"/>
        <w:jc w:val="left"/>
        <w:rPr>
          <w:b w:val="0"/>
          <w:bCs w:val="0"/>
        </w:rPr>
      </w:pPr>
      <w:r>
        <w:rPr>
          <w:rFonts w:ascii="Times New Roman" w:hAnsi="Times New Roman" w:cs="Times New Roman" w:eastAsia="Times New Roman" w:hint="default"/>
        </w:rPr>
        <w:t>10.  </w:t>
      </w:r>
      <w:r>
        <w:rPr>
          <w:rFonts w:ascii="Times New Roman" w:hAnsi="Times New Roman" w:cs="Times New Roman" w:eastAsia="Times New Roman" w:hint="default"/>
          <w:spacing w:val="6"/>
        </w:rPr>
        <w:t> </w:t>
      </w:r>
      <w:r>
        <w:rPr/>
        <w:t>金融工具</w:t>
      </w:r>
      <w:r>
        <w:rPr>
          <w:b w:val="0"/>
          <w:bCs w:val="0"/>
        </w:rPr>
      </w:r>
    </w:p>
    <w:p>
      <w:pPr>
        <w:spacing w:before="129"/>
        <w:ind w:left="558" w:right="29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r>
        <w:rPr>
          <w:rFonts w:ascii="宋体" w:hAnsi="宋体" w:cs="宋体" w:eastAsia="宋体" w:hint="default"/>
          <w:spacing w:val="55"/>
          <w:sz w:val="21"/>
          <w:szCs w:val="21"/>
        </w:rPr>
        <w:t> </w:t>
      </w:r>
      <w:r>
        <w:rPr>
          <w:rFonts w:ascii="宋体" w:hAnsi="宋体" w:cs="宋体" w:eastAsia="宋体" w:hint="default"/>
          <w:b/>
          <w:bCs/>
          <w:sz w:val="21"/>
          <w:szCs w:val="21"/>
        </w:rPr>
        <w:t>金融工具分为下列五类</w:t>
      </w:r>
      <w:r>
        <w:rPr>
          <w:rFonts w:ascii="宋体" w:hAnsi="宋体" w:cs="宋体" w:eastAsia="宋体" w:hint="default"/>
          <w:sz w:val="21"/>
          <w:szCs w:val="21"/>
        </w:rPr>
      </w:r>
    </w:p>
    <w:p>
      <w:pPr>
        <w:pStyle w:val="BodyText"/>
        <w:spacing w:line="314" w:lineRule="auto" w:before="69"/>
        <w:ind w:right="210" w:firstLine="419"/>
        <w:jc w:val="both"/>
      </w:pPr>
      <w:r>
        <w:rPr>
          <w:spacing w:val="-2"/>
        </w:rPr>
        <w:t>①以公允价值计量且其变动计入当期损益的金融资产或金融负债，包括交易性金融资产或金</w:t>
      </w:r>
      <w:r>
        <w:rPr>
          <w:w w:val="100"/>
        </w:rPr>
        <w:t> </w:t>
      </w:r>
      <w:r>
        <w:rPr/>
        <w:t>融负债和直接指定为以公允价值计量且其变动计入当期损益的金融资产或金融负债；</w:t>
      </w:r>
    </w:p>
    <w:p>
      <w:pPr>
        <w:pStyle w:val="BodyText"/>
        <w:spacing w:line="240" w:lineRule="auto" w:before="20"/>
        <w:ind w:left="558" w:right="2926"/>
        <w:jc w:val="left"/>
      </w:pPr>
      <w:r>
        <w:rPr/>
        <w:t>②持有至到期投资；</w:t>
      </w:r>
    </w:p>
    <w:p>
      <w:pPr>
        <w:pStyle w:val="BodyText"/>
        <w:spacing w:line="240" w:lineRule="auto" w:before="85"/>
        <w:ind w:left="558" w:right="2926"/>
        <w:jc w:val="left"/>
      </w:pPr>
      <w:r>
        <w:rPr/>
        <w:t>③贷款和应收款项；</w:t>
      </w:r>
    </w:p>
    <w:p>
      <w:pPr>
        <w:pStyle w:val="BodyText"/>
        <w:spacing w:line="240" w:lineRule="auto" w:before="85"/>
        <w:ind w:left="558" w:right="2926"/>
        <w:jc w:val="left"/>
      </w:pPr>
      <w:r>
        <w:rPr/>
        <w:t>④可供出售金融资产；</w:t>
      </w:r>
    </w:p>
    <w:p>
      <w:pPr>
        <w:pStyle w:val="BodyText"/>
        <w:spacing w:line="240" w:lineRule="auto" w:before="85"/>
        <w:ind w:left="558" w:right="2926"/>
        <w:jc w:val="left"/>
      </w:pPr>
      <w:r>
        <w:rPr/>
        <w:t>⑤其他金融负债。</w:t>
      </w:r>
    </w:p>
    <w:p>
      <w:pPr>
        <w:spacing w:line="297" w:lineRule="auto" w:before="85"/>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金融工具的确认依据：当公司成为金融工具合同的一方时，确认与之相关的金融资产或金融</w:t>
      </w:r>
    </w:p>
    <w:p>
      <w:pPr>
        <w:pStyle w:val="BodyText"/>
        <w:spacing w:line="240" w:lineRule="auto" w:before="34"/>
        <w:ind w:right="2926"/>
        <w:jc w:val="left"/>
      </w:pPr>
      <w:r>
        <w:rPr/>
        <w:t>负债。</w:t>
      </w:r>
    </w:p>
    <w:p>
      <w:pPr>
        <w:pStyle w:val="BodyText"/>
        <w:spacing w:line="240" w:lineRule="auto" w:before="85"/>
        <w:ind w:left="558" w:right="2926"/>
        <w:jc w:val="left"/>
      </w:pPr>
      <w:r>
        <w:rPr/>
        <w:t>金融工具的计量方法：</w:t>
      </w:r>
    </w:p>
    <w:p>
      <w:pPr>
        <w:pStyle w:val="BodyText"/>
        <w:spacing w:line="314" w:lineRule="auto" w:before="85"/>
        <w:ind w:right="208" w:firstLine="419"/>
        <w:jc w:val="both"/>
      </w:pPr>
      <w:r>
        <w:rPr>
          <w:spacing w:val="-2"/>
        </w:rPr>
        <w:t>①以公允价值计量且其变动计入当期损益的金融资产或金融负债：按照取得时的公允价值作</w:t>
      </w:r>
      <w:r>
        <w:rPr>
          <w:w w:val="100"/>
        </w:rPr>
        <w:t> </w:t>
      </w:r>
      <w:r>
        <w:rPr>
          <w:spacing w:val="-1"/>
        </w:rPr>
        <w:t>为初始确认金额，相关的交易费用在发生时计入当期损益。支付的价款中包含已宣告发放的现金</w:t>
      </w:r>
      <w:r>
        <w:rPr>
          <w:spacing w:val="-55"/>
        </w:rPr>
        <w:t> </w:t>
      </w:r>
      <w:r>
        <w:rPr>
          <w:spacing w:val="-55"/>
        </w:rPr>
      </w:r>
      <w:r>
        <w:rPr>
          <w:spacing w:val="-1"/>
        </w:rPr>
        <w:t>股利或债券利息，单独确认为应收项目。持有期间取得的利息或现金股利，确认为投资收益。资</w:t>
      </w:r>
      <w:r>
        <w:rPr>
          <w:spacing w:val="-55"/>
        </w:rPr>
        <w:t> </w:t>
      </w:r>
      <w:r>
        <w:rPr>
          <w:spacing w:val="-55"/>
        </w:rPr>
      </w:r>
      <w:r>
        <w:rPr>
          <w:spacing w:val="-1"/>
        </w:rPr>
        <w:t>产负债表日，将其公允价值变动计入当期损益。处置时，其公允价值与初始入账金额之间的差额</w:t>
      </w:r>
      <w:r>
        <w:rPr>
          <w:spacing w:val="-55"/>
        </w:rPr>
        <w:t> </w:t>
      </w:r>
      <w:r>
        <w:rPr>
          <w:spacing w:val="-55"/>
        </w:rPr>
      </w:r>
      <w:r>
        <w:rPr/>
        <w:t>确认为投资收益，同时调整公允价值变动损益。</w:t>
      </w:r>
    </w:p>
    <w:p>
      <w:pPr>
        <w:pStyle w:val="BodyText"/>
        <w:spacing w:line="314" w:lineRule="auto" w:before="20"/>
        <w:ind w:right="208" w:firstLine="419"/>
        <w:jc w:val="both"/>
      </w:pPr>
      <w:r>
        <w:rPr>
          <w:spacing w:val="-2"/>
        </w:rPr>
        <w:t>②持有至到期投资：按取得时的公允价值和相关交易费用之和作为初始确认金额。支付的价</w:t>
      </w:r>
      <w:r>
        <w:rPr>
          <w:w w:val="100"/>
        </w:rPr>
        <w:t> </w:t>
      </w:r>
      <w:r>
        <w:rPr>
          <w:spacing w:val="-6"/>
          <w:w w:val="100"/>
        </w:rPr>
        <w:t>款中包含已宣告发放债券利息的，单独确认为应收项目。持有期间按照实际利率法确认利息收入，</w:t>
      </w:r>
      <w:r>
        <w:rPr>
          <w:w w:val="100"/>
        </w:rPr>
        <w:t> </w:t>
      </w:r>
      <w:r>
        <w:rPr>
          <w:spacing w:val="-1"/>
        </w:rPr>
        <w:t>计入投资收益。实际利率与票面利率差别很小的，可按票面利率计算利息收入，计入投资收益。</w:t>
      </w:r>
      <w:r>
        <w:rPr>
          <w:spacing w:val="-55"/>
        </w:rPr>
        <w:t> </w:t>
      </w:r>
      <w:r>
        <w:rPr>
          <w:spacing w:val="-55"/>
        </w:rPr>
      </w:r>
      <w:r>
        <w:rPr/>
        <w:t>处置持有至到期投资时，将所取得价款与该投资账面价值之间的差额计入投资收益。</w:t>
      </w:r>
    </w:p>
    <w:p>
      <w:pPr>
        <w:pStyle w:val="BodyText"/>
        <w:spacing w:line="314" w:lineRule="auto" w:before="20"/>
        <w:ind w:right="210" w:firstLine="419"/>
        <w:jc w:val="both"/>
      </w:pPr>
      <w:r>
        <w:rPr>
          <w:spacing w:val="-2"/>
        </w:rPr>
        <w:t>③应收款项：按从购货方应收的合同或协议价款作为初始入账金额。单项金额重大的应收款</w:t>
      </w:r>
      <w:r>
        <w:rPr>
          <w:w w:val="100"/>
        </w:rPr>
        <w:t> </w:t>
      </w:r>
      <w:r>
        <w:rPr/>
        <w:t>项持有期间采用实际利率法，按摊余成本进行后续计量。</w:t>
      </w:r>
    </w:p>
    <w:p>
      <w:pPr>
        <w:pStyle w:val="BodyText"/>
        <w:spacing w:line="314" w:lineRule="auto" w:before="20"/>
        <w:ind w:right="208" w:firstLine="419"/>
        <w:jc w:val="both"/>
      </w:pPr>
      <w:r>
        <w:rPr>
          <w:spacing w:val="-2"/>
        </w:rPr>
        <w:t>④可供出售金融资产：按取得该金融资产的公允价值和相关费用之和作为初始确认金额。支</w:t>
      </w:r>
      <w:r>
        <w:rPr>
          <w:w w:val="100"/>
        </w:rPr>
        <w:t> </w:t>
      </w:r>
      <w:r>
        <w:rPr>
          <w:spacing w:val="-1"/>
        </w:rPr>
        <w:t>付的价款中包含了已宣告发放的债券利息或现金股利的，单独确认为应收项目。持有期间取得的</w:t>
      </w:r>
      <w:r>
        <w:rPr>
          <w:spacing w:val="-55"/>
        </w:rPr>
        <w:t> </w:t>
      </w:r>
      <w:r>
        <w:rPr>
          <w:spacing w:val="-55"/>
        </w:rPr>
      </w:r>
      <w:r>
        <w:rPr>
          <w:spacing w:val="-1"/>
        </w:rPr>
        <w:t>利息或现金股利，计入投资收益。期末，可供出售金融资产以公允价值计量，且公允价值变动计</w:t>
      </w:r>
      <w:r>
        <w:rPr>
          <w:spacing w:val="-55"/>
        </w:rPr>
        <w:t> </w:t>
      </w:r>
      <w:r>
        <w:rPr>
          <w:spacing w:val="-55"/>
        </w:rPr>
      </w:r>
      <w:r>
        <w:rPr/>
        <w:t>入其他综合收益。</w:t>
      </w:r>
    </w:p>
    <w:p>
      <w:pPr>
        <w:spacing w:after="0" w:line="314" w:lineRule="auto"/>
        <w:jc w:val="both"/>
        <w:sectPr>
          <w:footerReference w:type="default" r:id="rId45"/>
          <w:pgSz w:w="11910" w:h="16840"/>
          <w:pgMar w:footer="974" w:header="882" w:top="1120" w:bottom="1160" w:left="1660" w:right="1060"/>
          <w:pgNumType w:start="82"/>
        </w:sectPr>
      </w:pPr>
    </w:p>
    <w:p>
      <w:pPr>
        <w:spacing w:line="240" w:lineRule="auto" w:before="0"/>
        <w:rPr>
          <w:rFonts w:ascii="宋体" w:hAnsi="宋体" w:cs="宋体" w:eastAsia="宋体" w:hint="default"/>
          <w:sz w:val="20"/>
          <w:szCs w:val="20"/>
        </w:rPr>
      </w:pPr>
    </w:p>
    <w:p>
      <w:pPr>
        <w:pStyle w:val="BodyText"/>
        <w:spacing w:line="314" w:lineRule="auto" w:before="180"/>
        <w:ind w:right="230" w:firstLine="419"/>
        <w:jc w:val="both"/>
      </w:pPr>
      <w:r>
        <w:rPr>
          <w:spacing w:val="-2"/>
        </w:rPr>
        <w:t>对于在活跃市场中没有报价且其公允价值不能可靠计量的权益工具投资，以及与该权益工具</w:t>
      </w:r>
      <w:r>
        <w:rPr>
          <w:w w:val="100"/>
        </w:rPr>
        <w:t> </w:t>
      </w:r>
      <w:r>
        <w:rPr/>
        <w:t>挂钩并须通过交付该权益工具结算的衍生金融资产，按成本计量。</w:t>
      </w:r>
    </w:p>
    <w:p>
      <w:pPr>
        <w:pStyle w:val="BodyText"/>
        <w:spacing w:line="314" w:lineRule="auto" w:before="20"/>
        <w:ind w:right="228" w:firstLine="419"/>
        <w:jc w:val="both"/>
      </w:pPr>
      <w:r>
        <w:rPr>
          <w:spacing w:val="-7"/>
          <w:w w:val="100"/>
        </w:rPr>
        <w:t>处置可供出售金融资产时，将取得的价款与该金融资产账面价值之间的差额，计入当期损益；</w:t>
      </w:r>
      <w:r>
        <w:rPr>
          <w:w w:val="100"/>
        </w:rPr>
        <w:t> </w:t>
      </w:r>
      <w:r>
        <w:rPr>
          <w:spacing w:val="-1"/>
        </w:rPr>
        <w:t>同时，将原直接计入其他综合收益的公允价值变动累计额对应处置部分的金额转出，计入当期损</w:t>
      </w:r>
      <w:r>
        <w:rPr>
          <w:spacing w:val="-55"/>
        </w:rPr>
        <w:t> </w:t>
      </w:r>
      <w:r>
        <w:rPr>
          <w:spacing w:val="-55"/>
        </w:rPr>
      </w:r>
      <w:r>
        <w:rPr/>
        <w:t>益。</w:t>
      </w:r>
    </w:p>
    <w:p>
      <w:pPr>
        <w:pStyle w:val="BodyText"/>
        <w:spacing w:line="304" w:lineRule="auto" w:before="20"/>
        <w:ind w:right="228" w:firstLine="419"/>
        <w:jc w:val="both"/>
      </w:pPr>
      <w:r>
        <w:rPr>
          <w:spacing w:val="-2"/>
        </w:rPr>
        <w:t>⑤其他金融负债：按其公允价值和相关交易费用之和作为初始入账金额，除《企业会计准则</w:t>
      </w:r>
      <w:r>
        <w:rPr>
          <w:w w:val="100"/>
        </w:rPr>
        <w:t> </w:t>
      </w:r>
      <w:r>
        <w:rPr/>
        <w:t>第 </w:t>
      </w:r>
      <w:r>
        <w:rPr>
          <w:rFonts w:ascii="Times New Roman" w:hAnsi="Times New Roman" w:cs="Times New Roman" w:eastAsia="Times New Roman" w:hint="default"/>
        </w:rPr>
        <w:t>22 </w:t>
      </w:r>
      <w:r>
        <w:rPr>
          <w:spacing w:val="-4"/>
        </w:rPr>
        <w:t>号</w:t>
      </w:r>
      <w:r>
        <w:rPr>
          <w:rFonts w:ascii="Times New Roman" w:hAnsi="Times New Roman" w:cs="Times New Roman" w:eastAsia="Times New Roman" w:hint="default"/>
          <w:spacing w:val="-4"/>
        </w:rPr>
        <w:t>——</w:t>
      </w:r>
      <w:r>
        <w:rPr>
          <w:spacing w:val="-4"/>
        </w:rPr>
        <w:t>金融工具确认与计量》第三十三条规定的三种情况外，采用实际利率法，按摊余成本</w:t>
      </w:r>
      <w:r>
        <w:rPr>
          <w:spacing w:val="-100"/>
        </w:rPr>
        <w:t> </w:t>
      </w:r>
      <w:r>
        <w:rPr>
          <w:spacing w:val="-100"/>
        </w:rPr>
      </w:r>
      <w:r>
        <w:rPr/>
        <w:t>进行后续计量。</w:t>
      </w:r>
    </w:p>
    <w:p>
      <w:pPr>
        <w:spacing w:line="297" w:lineRule="auto" w:before="28"/>
        <w:ind w:left="558" w:right="2895"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）金融资产转移的确认依据和计量方法</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金融资产转移的确认</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05"/>
        <w:gridCol w:w="2554"/>
        <w:gridCol w:w="3685"/>
      </w:tblGrid>
      <w:tr>
        <w:trPr>
          <w:trHeight w:val="475" w:hRule="exact"/>
        </w:trPr>
        <w:tc>
          <w:tcPr>
            <w:tcW w:w="52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情形</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确认结果</w:t>
            </w:r>
          </w:p>
        </w:tc>
      </w:tr>
      <w:tr>
        <w:trPr>
          <w:trHeight w:val="473" w:hRule="exact"/>
        </w:trPr>
        <w:tc>
          <w:tcPr>
            <w:tcW w:w="52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left="412" w:right="0"/>
              <w:jc w:val="left"/>
              <w:rPr>
                <w:rFonts w:ascii="宋体" w:hAnsi="宋体" w:cs="宋体" w:eastAsia="宋体" w:hint="default"/>
                <w:sz w:val="21"/>
                <w:szCs w:val="21"/>
              </w:rPr>
            </w:pPr>
            <w:r>
              <w:rPr>
                <w:rFonts w:ascii="宋体" w:hAnsi="宋体" w:cs="宋体" w:eastAsia="宋体" w:hint="default"/>
                <w:sz w:val="21"/>
                <w:szCs w:val="21"/>
              </w:rPr>
              <w:t>已转移金融资产所有权上几乎所有的风险和报酬</w:t>
            </w:r>
          </w:p>
        </w:tc>
        <w:tc>
          <w:tcPr>
            <w:tcW w:w="3685"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宋体" w:hAnsi="宋体" w:cs="宋体" w:eastAsia="宋体" w:hint="default"/>
                <w:spacing w:val="-18"/>
                <w:sz w:val="21"/>
                <w:szCs w:val="21"/>
              </w:rPr>
              <w:t>终止确认该金融资产</w:t>
            </w:r>
            <w:r>
              <w:rPr>
                <w:rFonts w:ascii="Times New Roman" w:hAnsi="Times New Roman" w:cs="Times New Roman" w:eastAsia="Times New Roman" w:hint="default"/>
                <w:spacing w:val="-18"/>
                <w:sz w:val="21"/>
                <w:szCs w:val="21"/>
              </w:rPr>
              <w:t>(</w:t>
            </w:r>
            <w:r>
              <w:rPr>
                <w:rFonts w:ascii="宋体" w:hAnsi="宋体" w:cs="宋体" w:eastAsia="宋体" w:hint="default"/>
                <w:spacing w:val="-18"/>
                <w:sz w:val="21"/>
                <w:szCs w:val="21"/>
              </w:rPr>
              <w:t>确认新资产</w:t>
            </w:r>
            <w:r>
              <w:rPr>
                <w:rFonts w:ascii="Times New Roman" w:hAnsi="Times New Roman" w:cs="Times New Roman" w:eastAsia="Times New Roman" w:hint="default"/>
                <w:spacing w:val="-18"/>
                <w:sz w:val="21"/>
                <w:szCs w:val="21"/>
              </w:rPr>
              <w:t>/</w:t>
            </w:r>
            <w:r>
              <w:rPr>
                <w:rFonts w:ascii="宋体" w:hAnsi="宋体" w:cs="宋体" w:eastAsia="宋体" w:hint="default"/>
                <w:spacing w:val="-18"/>
                <w:sz w:val="21"/>
                <w:szCs w:val="21"/>
              </w:rPr>
              <w:t>负债</w:t>
            </w:r>
            <w:r>
              <w:rPr>
                <w:rFonts w:ascii="Times New Roman" w:hAnsi="Times New Roman" w:cs="Times New Roman" w:eastAsia="Times New Roman" w:hint="default"/>
                <w:spacing w:val="-18"/>
                <w:sz w:val="21"/>
                <w:szCs w:val="21"/>
              </w:rPr>
              <w:t>)</w:t>
            </w:r>
          </w:p>
        </w:tc>
      </w:tr>
      <w:tr>
        <w:trPr>
          <w:trHeight w:val="475" w:hRule="exact"/>
        </w:trPr>
        <w:tc>
          <w:tcPr>
            <w:tcW w:w="2705" w:type="dxa"/>
            <w:vMerge w:val="restart"/>
            <w:tcBorders>
              <w:top w:val="single" w:sz="8" w:space="0" w:color="000000"/>
              <w:left w:val="single" w:sz="8" w:space="0" w:color="000000"/>
              <w:right w:val="single" w:sz="8" w:space="0" w:color="000000"/>
            </w:tcBorders>
          </w:tcPr>
          <w:p>
            <w:pPr>
              <w:pStyle w:val="TableParagraph"/>
              <w:spacing w:line="314" w:lineRule="auto" w:before="100"/>
              <w:ind w:right="0"/>
              <w:jc w:val="both"/>
              <w:rPr>
                <w:rFonts w:ascii="宋体" w:hAnsi="宋体" w:cs="宋体" w:eastAsia="宋体" w:hint="default"/>
                <w:sz w:val="21"/>
                <w:szCs w:val="21"/>
              </w:rPr>
            </w:pPr>
            <w:r>
              <w:rPr>
                <w:rFonts w:ascii="宋体" w:hAnsi="宋体" w:cs="宋体" w:eastAsia="宋体" w:hint="default"/>
                <w:spacing w:val="11"/>
                <w:sz w:val="21"/>
                <w:szCs w:val="21"/>
              </w:rPr>
              <w:t>既没有转移也没有保留金融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1"/>
                <w:sz w:val="21"/>
                <w:szCs w:val="21"/>
              </w:rPr>
              <w:t>资产所有权上几乎所有的风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险和报酬</w:t>
            </w: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108"/>
              <w:jc w:val="right"/>
              <w:rPr>
                <w:rFonts w:ascii="宋体" w:hAnsi="宋体" w:cs="宋体" w:eastAsia="宋体" w:hint="default"/>
                <w:sz w:val="21"/>
                <w:szCs w:val="21"/>
              </w:rPr>
            </w:pPr>
            <w:r>
              <w:rPr>
                <w:rFonts w:ascii="宋体" w:hAnsi="宋体" w:cs="宋体" w:eastAsia="宋体" w:hint="default"/>
                <w:spacing w:val="-2"/>
                <w:sz w:val="21"/>
                <w:szCs w:val="21"/>
              </w:rPr>
              <w:t>放弃了对该金融资产控制</w:t>
            </w:r>
          </w:p>
        </w:tc>
        <w:tc>
          <w:tcPr>
            <w:tcW w:w="3685" w:type="dxa"/>
            <w:vMerge/>
            <w:tcBorders>
              <w:left w:val="single" w:sz="8" w:space="0" w:color="000000"/>
              <w:bottom w:val="single" w:sz="8" w:space="0" w:color="000000"/>
              <w:right w:val="single" w:sz="8" w:space="0" w:color="000000"/>
            </w:tcBorders>
          </w:tcPr>
          <w:p>
            <w:pPr/>
          </w:p>
        </w:tc>
      </w:tr>
      <w:tr>
        <w:trPr>
          <w:trHeight w:val="739" w:hRule="exact"/>
        </w:trPr>
        <w:tc>
          <w:tcPr>
            <w:tcW w:w="2705" w:type="dxa"/>
            <w:vMerge/>
            <w:tcBorders>
              <w:left w:val="single" w:sz="8" w:space="0" w:color="000000"/>
              <w:bottom w:val="single" w:sz="8" w:space="0" w:color="000000"/>
              <w:right w:val="single" w:sz="8" w:space="0" w:color="000000"/>
            </w:tcBorders>
          </w:tcPr>
          <w:p>
            <w:pPr/>
          </w:p>
        </w:tc>
        <w:tc>
          <w:tcPr>
            <w:tcW w:w="2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2"/>
                <w:sz w:val="21"/>
                <w:szCs w:val="21"/>
              </w:rPr>
              <w:t>未放弃对该金融资产控制</w:t>
            </w:r>
          </w:p>
        </w:tc>
        <w:tc>
          <w:tcPr>
            <w:tcW w:w="3685"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42"/>
              <w:ind w:right="-7"/>
              <w:jc w:val="left"/>
              <w:rPr>
                <w:rFonts w:ascii="宋体" w:hAnsi="宋体" w:cs="宋体" w:eastAsia="宋体" w:hint="default"/>
                <w:sz w:val="21"/>
                <w:szCs w:val="21"/>
              </w:rPr>
            </w:pPr>
            <w:r>
              <w:rPr>
                <w:rFonts w:ascii="宋体" w:hAnsi="宋体" w:cs="宋体" w:eastAsia="宋体" w:hint="default"/>
                <w:spacing w:val="3"/>
                <w:sz w:val="21"/>
                <w:szCs w:val="21"/>
              </w:rPr>
              <w:t>按照继续涉入所转移金融资产的程度确</w:t>
            </w:r>
            <w:r>
              <w:rPr>
                <w:rFonts w:ascii="宋体" w:hAnsi="宋体" w:cs="宋体" w:eastAsia="宋体" w:hint="default"/>
                <w:spacing w:val="-68"/>
                <w:sz w:val="21"/>
                <w:szCs w:val="21"/>
              </w:rPr>
              <w:t> </w:t>
            </w:r>
            <w:r>
              <w:rPr>
                <w:rFonts w:ascii="宋体" w:hAnsi="宋体" w:cs="宋体" w:eastAsia="宋体" w:hint="default"/>
                <w:sz w:val="21"/>
                <w:szCs w:val="21"/>
              </w:rPr>
              <w:t>认有关资产和负债及任何保留权益</w:t>
            </w:r>
          </w:p>
        </w:tc>
      </w:tr>
      <w:tr>
        <w:trPr>
          <w:trHeight w:val="864" w:hRule="exact"/>
        </w:trPr>
        <w:tc>
          <w:tcPr>
            <w:tcW w:w="2705"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105"/>
              <w:ind w:right="0"/>
              <w:jc w:val="left"/>
              <w:rPr>
                <w:rFonts w:ascii="宋体" w:hAnsi="宋体" w:cs="宋体" w:eastAsia="宋体" w:hint="default"/>
                <w:sz w:val="21"/>
                <w:szCs w:val="21"/>
              </w:rPr>
            </w:pPr>
            <w:r>
              <w:rPr>
                <w:rFonts w:ascii="宋体" w:hAnsi="宋体" w:cs="宋体" w:eastAsia="宋体" w:hint="default"/>
                <w:spacing w:val="11"/>
                <w:sz w:val="21"/>
                <w:szCs w:val="21"/>
              </w:rPr>
              <w:t>保留了金融资产所有权上几</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乎所有的风险和报酬</w:t>
            </w:r>
          </w:p>
        </w:tc>
        <w:tc>
          <w:tcPr>
            <w:tcW w:w="623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11" w:right="0"/>
              <w:jc w:val="left"/>
              <w:rPr>
                <w:rFonts w:ascii="宋体" w:hAnsi="宋体" w:cs="宋体" w:eastAsia="宋体" w:hint="default"/>
                <w:sz w:val="21"/>
                <w:szCs w:val="21"/>
              </w:rPr>
            </w:pPr>
            <w:r>
              <w:rPr>
                <w:rFonts w:ascii="宋体" w:hAnsi="宋体" w:cs="宋体" w:eastAsia="宋体" w:hint="default"/>
                <w:sz w:val="21"/>
                <w:szCs w:val="21"/>
              </w:rPr>
              <w:t>继续确认该金融资产，并将收益确认为负债</w:t>
            </w:r>
          </w:p>
        </w:tc>
      </w:tr>
    </w:tbl>
    <w:p>
      <w:pPr>
        <w:pStyle w:val="BodyText"/>
        <w:spacing w:line="240" w:lineRule="auto" w:before="42"/>
        <w:ind w:left="558" w:right="2895"/>
        <w:jc w:val="left"/>
      </w:pPr>
      <w:r>
        <w:rPr/>
        <w:t>公司将金融资产转移区分为金融资产整体转移和部分转移。</w:t>
      </w:r>
    </w:p>
    <w:p>
      <w:pPr>
        <w:pStyle w:val="BodyText"/>
        <w:spacing w:line="314" w:lineRule="auto" w:before="85"/>
        <w:ind w:right="230" w:firstLine="419"/>
        <w:jc w:val="both"/>
      </w:pPr>
      <w:r>
        <w:rPr>
          <w:spacing w:val="-2"/>
        </w:rPr>
        <w:t>①金融资产整体转移满足终止确认条件的，将下列两项金额的差额计入当期损益：所转移金</w:t>
      </w:r>
      <w:r>
        <w:rPr>
          <w:w w:val="100"/>
        </w:rPr>
        <w:t> </w:t>
      </w:r>
      <w:r>
        <w:rPr>
          <w:spacing w:val="-6"/>
          <w:w w:val="100"/>
        </w:rPr>
        <w:t>融资产的账面价值；因转移而收到的对价，与原直接计入所有者权益的公允价值变动累计额之和。</w:t>
      </w:r>
    </w:p>
    <w:p>
      <w:pPr>
        <w:pStyle w:val="BodyText"/>
        <w:spacing w:line="314" w:lineRule="auto" w:before="20"/>
        <w:ind w:right="228" w:firstLine="419"/>
        <w:jc w:val="both"/>
      </w:pPr>
      <w:r>
        <w:rPr>
          <w:spacing w:val="-2"/>
        </w:rPr>
        <w:t>②金融资产部分转移满足终止确认条件的，将所转移金融资产整体的账面价值，在终止确认</w:t>
      </w:r>
      <w:r>
        <w:rPr>
          <w:w w:val="100"/>
        </w:rPr>
        <w:t> </w:t>
      </w:r>
      <w:r>
        <w:rPr>
          <w:spacing w:val="-1"/>
        </w:rPr>
        <w:t>部分和未终止确认部分之间，按照各自的相对公允价值进行分摊，并将下列两项金额的差额计入</w:t>
      </w:r>
      <w:r>
        <w:rPr>
          <w:spacing w:val="-55"/>
        </w:rPr>
        <w:t> </w:t>
      </w:r>
      <w:r>
        <w:rPr>
          <w:spacing w:val="-55"/>
        </w:rPr>
      </w:r>
      <w:r>
        <w:rPr>
          <w:spacing w:val="-1"/>
        </w:rPr>
        <w:t>当期损益：终止确认部分的账面价值；终止确认部分的对价，与原直接计入所有者权益的公允价</w:t>
      </w:r>
      <w:r>
        <w:rPr>
          <w:spacing w:val="-55"/>
        </w:rPr>
        <w:t> </w:t>
      </w:r>
      <w:r>
        <w:rPr>
          <w:spacing w:val="-55"/>
        </w:rPr>
      </w:r>
      <w:r>
        <w:rPr/>
        <w:t>值变动累计额中对应终止确认部分的金额之和。</w:t>
      </w:r>
    </w:p>
    <w:p>
      <w:pPr>
        <w:pStyle w:val="BodyText"/>
        <w:spacing w:line="314" w:lineRule="auto" w:before="20"/>
        <w:ind w:right="230" w:firstLine="419"/>
        <w:jc w:val="both"/>
      </w:pPr>
      <w:r>
        <w:rPr>
          <w:spacing w:val="-2"/>
        </w:rPr>
        <w:t>金融资产转移不满足终止确认条件的，继续确认所转移的金融资产整体，并将收到的对价确</w:t>
      </w:r>
      <w:r>
        <w:rPr>
          <w:w w:val="100"/>
        </w:rPr>
        <w:t> </w:t>
      </w:r>
      <w:r>
        <w:rPr/>
        <w:t>认为一项金融负债。</w:t>
      </w:r>
    </w:p>
    <w:p>
      <w:pPr>
        <w:pStyle w:val="BodyText"/>
        <w:spacing w:line="304" w:lineRule="auto" w:before="20"/>
        <w:ind w:left="558" w:right="0"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）金融负债的终止确认条件</w:t>
      </w:r>
      <w:r>
        <w:rPr>
          <w:rFonts w:ascii="宋体" w:hAnsi="宋体" w:cs="宋体" w:eastAsia="宋体" w:hint="default"/>
          <w:b/>
          <w:bCs/>
          <w:w w:val="100"/>
        </w:rPr>
        <w:t> </w:t>
      </w:r>
      <w:r>
        <w:rPr/>
        <w:t>金融负债的现时义务全部或部分已经解除的，才能终止确认该金融负债或其一部分。</w:t>
      </w:r>
      <w:r>
        <w:rPr>
          <w:w w:val="100"/>
        </w:rPr>
        <w:t> </w:t>
      </w:r>
      <w:r>
        <w:rPr>
          <w:spacing w:val="-2"/>
        </w:rPr>
        <w:t>公司将用于偿付金融负债的资产转入某个机构或设立信托，偿付债务的现时义务仍存在的，</w:t>
      </w:r>
    </w:p>
    <w:p>
      <w:pPr>
        <w:pStyle w:val="BodyText"/>
        <w:spacing w:line="314" w:lineRule="auto" w:before="28"/>
        <w:ind w:left="558" w:right="0" w:hanging="420"/>
        <w:jc w:val="left"/>
      </w:pPr>
      <w:r>
        <w:rPr/>
        <w:t>不终止确认该金融负债，也不能终止确认转出的资产。</w:t>
      </w:r>
      <w:r>
        <w:rPr>
          <w:w w:val="100"/>
        </w:rPr>
        <w:t> </w:t>
      </w:r>
      <w:r>
        <w:rPr/>
        <w:t>公司与债权人之间签订协议</w:t>
      </w:r>
      <w:r>
        <w:rPr>
          <w:rFonts w:ascii="Times New Roman" w:hAnsi="Times New Roman" w:cs="Times New Roman" w:eastAsia="Times New Roman" w:hint="default"/>
        </w:rPr>
        <w:t>(</w:t>
      </w:r>
      <w:r>
        <w:rPr/>
        <w:t>不涉及债务重组所指情形</w:t>
      </w:r>
      <w:r>
        <w:rPr>
          <w:rFonts w:ascii="Times New Roman" w:hAnsi="Times New Roman" w:cs="Times New Roman" w:eastAsia="Times New Roman" w:hint="default"/>
        </w:rPr>
        <w:t>)</w:t>
      </w:r>
      <w:r>
        <w:rPr/>
        <w:t>，以承担新金融负债方式替换现存金</w:t>
      </w:r>
    </w:p>
    <w:p>
      <w:pPr>
        <w:pStyle w:val="BodyText"/>
        <w:spacing w:line="314" w:lineRule="auto"/>
        <w:ind w:right="228"/>
        <w:jc w:val="both"/>
      </w:pPr>
      <w:r>
        <w:rPr>
          <w:spacing w:val="-1"/>
        </w:rPr>
        <w:t>融负债，且新金融负债与现存金融负债的合同条款实质上不同的，终止确认现存金融负债，并同</w:t>
      </w:r>
      <w:r>
        <w:rPr>
          <w:spacing w:val="-55"/>
        </w:rPr>
        <w:t> </w:t>
      </w:r>
      <w:r>
        <w:rPr>
          <w:spacing w:val="-55"/>
        </w:rPr>
      </w:r>
      <w:r>
        <w:rPr>
          <w:spacing w:val="-1"/>
        </w:rPr>
        <w:t>时确认新金融负债。公司对现存金融负债全部或部分的合同条款作出实质性修改的，终止确认现</w:t>
      </w:r>
      <w:r>
        <w:rPr>
          <w:spacing w:val="-55"/>
        </w:rPr>
        <w:t> </w:t>
      </w:r>
      <w:r>
        <w:rPr>
          <w:spacing w:val="-55"/>
        </w:rPr>
      </w:r>
      <w:r>
        <w:rPr/>
        <w:t>存金融负债或其一部分，同时将修改条款后的金融负债确认为一项新金融负债。</w:t>
      </w:r>
    </w:p>
    <w:p>
      <w:pPr>
        <w:pStyle w:val="Heading2"/>
        <w:spacing w:line="240" w:lineRule="auto" w:before="20"/>
        <w:ind w:left="560" w:right="2895"/>
        <w:jc w:val="left"/>
        <w:rPr>
          <w:b w:val="0"/>
          <w:bCs w:val="0"/>
        </w:rPr>
      </w:pPr>
      <w:r>
        <w:rPr/>
        <w:t>（</w:t>
      </w:r>
      <w:r>
        <w:rPr>
          <w:rFonts w:ascii="Times New Roman" w:hAnsi="Times New Roman" w:cs="Times New Roman" w:eastAsia="Times New Roman" w:hint="default"/>
        </w:rPr>
        <w:t>5</w:t>
      </w:r>
      <w:r>
        <w:rPr/>
        <w:t>）金融资产和金融负债的公允价值确定方法</w:t>
      </w:r>
      <w:r>
        <w:rPr>
          <w:b w:val="0"/>
          <w:bCs w:val="0"/>
        </w:rPr>
      </w:r>
    </w:p>
    <w:p>
      <w:pPr>
        <w:spacing w:after="0" w:line="240" w:lineRule="auto"/>
        <w:jc w:val="left"/>
        <w:sectPr>
          <w:pgSz w:w="11910" w:h="16840"/>
          <w:pgMar w:header="882" w:footer="974" w:top="1120" w:bottom="1160" w:left="1660" w:right="1040"/>
        </w:sectPr>
      </w:pPr>
    </w:p>
    <w:p>
      <w:pPr>
        <w:spacing w:line="240" w:lineRule="auto" w:before="0"/>
        <w:rPr>
          <w:rFonts w:ascii="宋体" w:hAnsi="宋体" w:cs="宋体" w:eastAsia="宋体" w:hint="default"/>
          <w:b/>
          <w:bCs/>
          <w:sz w:val="20"/>
          <w:szCs w:val="20"/>
        </w:rPr>
      </w:pPr>
    </w:p>
    <w:p>
      <w:pPr>
        <w:pStyle w:val="BodyText"/>
        <w:spacing w:line="314" w:lineRule="auto" w:before="180"/>
        <w:ind w:left="218" w:right="228" w:firstLine="419"/>
        <w:jc w:val="both"/>
      </w:pPr>
      <w:r>
        <w:rPr>
          <w:spacing w:val="-2"/>
        </w:rPr>
        <w:t>存在活跃市场的金融工具，公司以活跃市场中的报价确定其公允价值。不存在活跃市场的金</w:t>
      </w:r>
      <w:r>
        <w:rPr>
          <w:w w:val="100"/>
        </w:rPr>
        <w:t> </w:t>
      </w:r>
      <w:r>
        <w:rPr>
          <w:spacing w:val="-1"/>
        </w:rPr>
        <w:t>融工具，公司采用估值技术确定其公允价值。在估值时，本公司采用在当前情况下适用并且有足</w:t>
      </w:r>
      <w:r>
        <w:rPr>
          <w:spacing w:val="-55"/>
        </w:rPr>
        <w:t> </w:t>
      </w:r>
      <w:r>
        <w:rPr>
          <w:spacing w:val="-55"/>
        </w:rPr>
      </w:r>
      <w:r>
        <w:rPr>
          <w:spacing w:val="-1"/>
        </w:rPr>
        <w:t>够可利用数据和其他信息支持的估值技术，选择与市场参与者在相关资产或负债的交易中所考虑</w:t>
      </w:r>
      <w:r>
        <w:rPr>
          <w:spacing w:val="-55"/>
        </w:rPr>
        <w:t> </w:t>
      </w:r>
      <w:r>
        <w:rPr>
          <w:spacing w:val="-55"/>
        </w:rPr>
      </w:r>
      <w:r>
        <w:rPr>
          <w:spacing w:val="-1"/>
        </w:rPr>
        <w:t>的资产或负债特征相一致的输入值，并优先使用相关可观察输入值。只有在相关可观察输入值无</w:t>
      </w:r>
      <w:r>
        <w:rPr>
          <w:spacing w:val="-55"/>
        </w:rPr>
        <w:t> </w:t>
      </w:r>
      <w:r>
        <w:rPr>
          <w:spacing w:val="-55"/>
        </w:rPr>
      </w:r>
      <w:r>
        <w:rPr/>
        <w:t>法取得或取得不切实可行的情况下，才使用不可观察输入值。</w:t>
      </w:r>
    </w:p>
    <w:p>
      <w:pPr>
        <w:spacing w:line="304" w:lineRule="auto" w:before="20"/>
        <w:ind w:left="638" w:right="2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）金融资产（不含应收款项）减值测试方法及会计处理方法</w:t>
      </w:r>
      <w:r>
        <w:rPr>
          <w:rFonts w:ascii="宋体" w:hAnsi="宋体" w:cs="宋体" w:eastAsia="宋体" w:hint="default"/>
          <w:b/>
          <w:bCs/>
          <w:w w:val="100"/>
          <w:sz w:val="21"/>
          <w:szCs w:val="21"/>
        </w:rPr>
        <w:t> </w:t>
      </w:r>
      <w:r>
        <w:rPr>
          <w:rFonts w:ascii="宋体" w:hAnsi="宋体" w:cs="宋体" w:eastAsia="宋体" w:hint="default"/>
          <w:sz w:val="21"/>
          <w:szCs w:val="21"/>
        </w:rPr>
        <w:t>以公允价值计量且其变动计入当期损益的金融资产不需要进行减值测试。</w:t>
      </w:r>
      <w:r>
        <w:rPr>
          <w:rFonts w:ascii="宋体" w:hAnsi="宋体" w:cs="宋体" w:eastAsia="宋体" w:hint="default"/>
          <w:w w:val="100"/>
          <w:sz w:val="21"/>
          <w:szCs w:val="21"/>
        </w:rPr>
        <w:t> </w:t>
      </w:r>
      <w:r>
        <w:rPr>
          <w:rFonts w:ascii="宋体" w:hAnsi="宋体" w:cs="宋体" w:eastAsia="宋体" w:hint="default"/>
          <w:spacing w:val="-2"/>
          <w:sz w:val="21"/>
          <w:szCs w:val="21"/>
        </w:rPr>
        <w:t>公司于资产负债表日对持有至到期投资的账面价值进行检查，有客观证据表明其发生了减值</w:t>
      </w:r>
    </w:p>
    <w:p>
      <w:pPr>
        <w:pStyle w:val="BodyText"/>
        <w:spacing w:line="314" w:lineRule="auto" w:before="28"/>
        <w:ind w:left="218" w:right="124"/>
        <w:jc w:val="both"/>
      </w:pPr>
      <w:r>
        <w:rPr/>
        <w:t>的，根据其账面价值与预计未来现金流量现值之间差额计提减值准备；计提后如有客观证据表明</w:t>
      </w:r>
      <w:r>
        <w:rPr>
          <w:spacing w:val="-97"/>
        </w:rPr>
        <w:t> </w:t>
      </w:r>
      <w:r>
        <w:rPr>
          <w:spacing w:val="-97"/>
        </w:rPr>
      </w:r>
      <w:r>
        <w:rPr/>
        <w:t>其价值已恢复且客观上与确认该损失后发生的事项有关，原确认的减值损失予以转回，计入当期</w:t>
      </w:r>
      <w:r>
        <w:rPr>
          <w:spacing w:val="-97"/>
        </w:rPr>
        <w:t> </w:t>
      </w:r>
      <w:r>
        <w:rPr>
          <w:spacing w:val="-97"/>
        </w:rPr>
      </w:r>
      <w:r>
        <w:rPr>
          <w:spacing w:val="-4"/>
          <w:w w:val="100"/>
        </w:rPr>
        <w:t>损益，但该转回后的账面价值不超过假定不计提减值准备情况下该金融资产在转回日的摊余成本。</w:t>
      </w:r>
    </w:p>
    <w:p>
      <w:pPr>
        <w:pStyle w:val="BodyText"/>
        <w:spacing w:line="314" w:lineRule="auto" w:before="20"/>
        <w:ind w:left="218" w:right="228" w:firstLine="419"/>
        <w:jc w:val="both"/>
      </w:pPr>
      <w:r>
        <w:rPr>
          <w:spacing w:val="-2"/>
        </w:rPr>
        <w:t>于资产负债表日，如果可供出售金融资产的公允价值发生严重下降，或在综合考虑各种相关</w:t>
      </w:r>
      <w:r>
        <w:rPr>
          <w:w w:val="100"/>
        </w:rPr>
        <w:t> </w:t>
      </w:r>
      <w:r>
        <w:rPr>
          <w:spacing w:val="-1"/>
        </w:rPr>
        <w:t>因素后，预期这种下降趋势属于非暂时性的，认定该可供出售金融资产已发生减值，并确认减值</w:t>
      </w:r>
      <w:r>
        <w:rPr>
          <w:spacing w:val="-55"/>
        </w:rPr>
        <w:t> </w:t>
      </w:r>
      <w:r>
        <w:rPr>
          <w:spacing w:val="-55"/>
        </w:rPr>
      </w:r>
      <w:r>
        <w:rPr>
          <w:spacing w:val="-1"/>
        </w:rPr>
        <w:t>损失。在确认减值损失时，将原直接计入其他综合收益的因公允价值下降形成的累计损失一并转</w:t>
      </w:r>
      <w:r>
        <w:rPr>
          <w:spacing w:val="-55"/>
        </w:rPr>
        <w:t> </w:t>
      </w:r>
      <w:r>
        <w:rPr>
          <w:spacing w:val="-55"/>
        </w:rPr>
      </w:r>
      <w:r>
        <w:rPr>
          <w:spacing w:val="-1"/>
        </w:rPr>
        <w:t>出，计入当期损益。该转出的累计损失，为可供出售金融资产的初始取得成本扣除已收回本金和</w:t>
      </w:r>
      <w:r>
        <w:rPr>
          <w:spacing w:val="-55"/>
        </w:rPr>
        <w:t> </w:t>
      </w:r>
      <w:r>
        <w:rPr>
          <w:spacing w:val="-55"/>
        </w:rPr>
      </w:r>
      <w:r>
        <w:rPr>
          <w:spacing w:val="-1"/>
        </w:rPr>
        <w:t>已摊销金额、当前公允价值和原已计入损益的减值损失后的余额。对于已确认减值损失的可供出</w:t>
      </w:r>
      <w:r>
        <w:rPr>
          <w:spacing w:val="-55"/>
        </w:rPr>
        <w:t> </w:t>
      </w:r>
      <w:r>
        <w:rPr>
          <w:spacing w:val="-55"/>
        </w:rPr>
      </w:r>
      <w:r>
        <w:rPr>
          <w:spacing w:val="-1"/>
        </w:rPr>
        <w:t>售债务工具，在随后的会计期间公允价值已上升且客观上与确认原减值损失确认后发生的事项有</w:t>
      </w:r>
      <w:r>
        <w:rPr>
          <w:spacing w:val="-55"/>
        </w:rPr>
        <w:t> </w:t>
      </w:r>
      <w:r>
        <w:rPr>
          <w:spacing w:val="-55"/>
        </w:rPr>
      </w:r>
      <w:r>
        <w:rPr>
          <w:spacing w:val="-1"/>
        </w:rPr>
        <w:t>关的，原确认的减值损失予以转回，计入当期损益。可供出售权益工具投资发生的减值损失，不</w:t>
      </w:r>
      <w:r>
        <w:rPr>
          <w:spacing w:val="-55"/>
        </w:rPr>
        <w:t> </w:t>
      </w:r>
      <w:r>
        <w:rPr>
          <w:spacing w:val="-55"/>
        </w:rPr>
      </w:r>
      <w:r>
        <w:rPr>
          <w:spacing w:val="-1"/>
        </w:rPr>
        <w:t>通过损益转回。同时，在活跃市场中没有报价且其公允价值不能可靠计量的权益工具投资或与该</w:t>
      </w:r>
      <w:r>
        <w:rPr>
          <w:spacing w:val="-55"/>
        </w:rPr>
        <w:t> </w:t>
      </w:r>
      <w:r>
        <w:rPr>
          <w:spacing w:val="-55"/>
        </w:rPr>
      </w:r>
      <w:r>
        <w:rPr/>
        <w:t>权益工具挂钩并须通过交付该权益工具结算的衍生金融资产发生的减值损失，不予转回。</w:t>
      </w:r>
    </w:p>
    <w:p>
      <w:pPr>
        <w:pStyle w:val="BodyText"/>
        <w:spacing w:line="304" w:lineRule="auto" w:before="20"/>
        <w:ind w:left="218" w:right="227" w:firstLine="419"/>
        <w:jc w:val="both"/>
      </w:pPr>
      <w:r>
        <w:rPr>
          <w:spacing w:val="-2"/>
        </w:rPr>
        <w:t>权益工具投资的公允价值下跌“严重”的标准为：权益工具投资于资产负债表日的公允价值</w:t>
      </w:r>
      <w:r>
        <w:rPr>
          <w:w w:val="100"/>
        </w:rPr>
        <w:t> </w:t>
      </w:r>
      <w:r>
        <w:rPr/>
        <w:t>低于其初始投资成本累计超过</w:t>
      </w:r>
      <w:r>
        <w:rPr>
          <w:spacing w:val="-28"/>
        </w:rPr>
        <w:t> </w:t>
      </w:r>
      <w:r>
        <w:rPr>
          <w:rFonts w:ascii="Times New Roman" w:hAnsi="Times New Roman" w:cs="Times New Roman" w:eastAsia="Times New Roman" w:hint="default"/>
          <w:spacing w:val="-3"/>
        </w:rPr>
        <w:t>50%</w:t>
      </w:r>
      <w:r>
        <w:rPr>
          <w:spacing w:val="-3"/>
        </w:rPr>
        <w:t>（含</w:t>
      </w:r>
      <w:r>
        <w:rPr>
          <w:spacing w:val="-28"/>
        </w:rPr>
        <w:t> </w:t>
      </w:r>
      <w:r>
        <w:rPr>
          <w:rFonts w:ascii="Times New Roman" w:hAnsi="Times New Roman" w:cs="Times New Roman" w:eastAsia="Times New Roman" w:hint="default"/>
          <w:spacing w:val="-3"/>
        </w:rPr>
        <w:t>50%</w:t>
      </w:r>
      <w:r>
        <w:rPr>
          <w:spacing w:val="-3"/>
        </w:rPr>
        <w:t>）。公允价值下跌“非暂时性”的标准为：权益工具</w:t>
      </w:r>
      <w:r>
        <w:rPr>
          <w:spacing w:val="-94"/>
        </w:rPr>
        <w:t> </w:t>
      </w:r>
      <w:r>
        <w:rPr>
          <w:spacing w:val="-94"/>
        </w:rPr>
      </w:r>
      <w:r>
        <w:rPr/>
        <w:t>投资的公允价值月度均值低于其初始投资成本持续时间超过</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个月（含</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w:t>
      </w:r>
    </w:p>
    <w:p>
      <w:pPr>
        <w:spacing w:line="240" w:lineRule="auto" w:before="2"/>
        <w:rPr>
          <w:rFonts w:ascii="宋体" w:hAnsi="宋体" w:cs="宋体" w:eastAsia="宋体" w:hint="default"/>
          <w:sz w:val="20"/>
          <w:szCs w:val="20"/>
        </w:rPr>
      </w:pPr>
    </w:p>
    <w:p>
      <w:pPr>
        <w:pStyle w:val="Heading2"/>
        <w:spacing w:line="264" w:lineRule="auto"/>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单项金额重大的应收款项指单项金额超过</w:t>
            </w:r>
            <w:r>
              <w:rPr>
                <w:rFonts w:ascii="宋体" w:hAnsi="宋体" w:cs="宋体" w:eastAsia="宋体" w:hint="default"/>
                <w:spacing w:val="53"/>
                <w:sz w:val="21"/>
                <w:szCs w:val="21"/>
              </w:rPr>
              <w:t> </w:t>
            </w:r>
            <w:r>
              <w:rPr>
                <w:rFonts w:ascii="宋体" w:hAnsi="宋体" w:cs="宋体" w:eastAsia="宋体" w:hint="default"/>
                <w:sz w:val="21"/>
                <w:szCs w:val="21"/>
              </w:rPr>
              <w:t>300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万元人民币。</w:t>
            </w:r>
          </w:p>
        </w:tc>
      </w:tr>
      <w:tr>
        <w:trPr>
          <w:trHeight w:val="164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单独进行减值测试，有客观证据表明其发生了</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减值的，应当根据其未来现金流量现值低于其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账面价值的差额确认减值损失，个别认定计提</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坏账准备，经减值测试后不存在减值的，应当</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包括在具有类似风险组合特征的应收款项中计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提坏账准备。</w:t>
            </w:r>
          </w:p>
        </w:tc>
      </w:tr>
    </w:tbl>
    <w:p>
      <w:pPr>
        <w:spacing w:line="240" w:lineRule="auto" w:before="2"/>
        <w:rPr>
          <w:rFonts w:ascii="宋体" w:hAnsi="宋体" w:cs="宋体" w:eastAsia="宋体" w:hint="default"/>
          <w:b/>
          <w:bCs/>
          <w:sz w:val="20"/>
          <w:szCs w:val="20"/>
        </w:rPr>
      </w:pPr>
    </w:p>
    <w:p>
      <w:pPr>
        <w:pStyle w:val="Heading2"/>
        <w:spacing w:line="240" w:lineRule="auto" w:before="36"/>
        <w:ind w:right="227"/>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579"/>
        <w:gridCol w:w="3012"/>
        <w:gridCol w:w="2458"/>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按组合计提坏账准备的</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468"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账龄状态</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关联方组合</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并表子公司</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公司对关联方的应收款</w:t>
            </w:r>
          </w:p>
        </w:tc>
      </w:tr>
    </w:tbl>
    <w:p>
      <w:pPr>
        <w:spacing w:after="0" w:line="241" w:lineRule="exact"/>
        <w:jc w:val="center"/>
        <w:rPr>
          <w:rFonts w:ascii="宋体" w:hAnsi="宋体" w:cs="宋体" w:eastAsia="宋体" w:hint="default"/>
          <w:sz w:val="21"/>
          <w:szCs w:val="21"/>
        </w:rPr>
        <w:sectPr>
          <w:pgSz w:w="11910" w:h="16840"/>
          <w:pgMar w:header="882" w:footer="974" w:top="1120" w:bottom="116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579"/>
        <w:gridCol w:w="3012"/>
        <w:gridCol w:w="2458"/>
      </w:tblGrid>
      <w:tr>
        <w:trPr>
          <w:trHeight w:val="284" w:hRule="exact"/>
        </w:trPr>
        <w:tc>
          <w:tcPr>
            <w:tcW w:w="357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83" w:right="0"/>
              <w:jc w:val="left"/>
              <w:rPr>
                <w:rFonts w:ascii="宋体" w:hAnsi="宋体" w:cs="宋体" w:eastAsia="宋体" w:hint="default"/>
                <w:sz w:val="21"/>
                <w:szCs w:val="21"/>
              </w:rPr>
            </w:pPr>
            <w:r>
              <w:rPr>
                <w:rFonts w:ascii="宋体" w:hAnsi="宋体" w:cs="宋体" w:eastAsia="宋体" w:hint="default"/>
                <w:sz w:val="21"/>
                <w:szCs w:val="21"/>
              </w:rPr>
              <w:t>项不计提坏账准备</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227"/>
        <w:jc w:val="left"/>
      </w:pPr>
      <w:r>
        <w:rPr/>
        <w:t>组合中，采用账龄分析法计提坏账准备的</w:t>
      </w:r>
    </w:p>
    <w:p>
      <w:pPr>
        <w:pStyle w:val="BodyText"/>
        <w:spacing w:line="273" w:lineRule="exact"/>
        <w:ind w:left="218" w:right="22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15"/>
          <w:szCs w:val="15"/>
        </w:rPr>
      </w:pPr>
    </w:p>
    <w:p>
      <w:pPr>
        <w:pStyle w:val="BodyText"/>
        <w:spacing w:line="274" w:lineRule="exact" w:before="36"/>
        <w:ind w:left="218" w:right="227"/>
        <w:jc w:val="left"/>
      </w:pPr>
      <w:r>
        <w:rPr/>
        <w:t>组合中，采用余额百分比法计提坏账准备的</w:t>
      </w:r>
    </w:p>
    <w:p>
      <w:pPr>
        <w:pStyle w:val="BodyText"/>
        <w:spacing w:line="274" w:lineRule="exact"/>
        <w:ind w:left="218" w:right="227"/>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227"/>
        <w:jc w:val="left"/>
      </w:pPr>
      <w:r>
        <w:rPr/>
        <w:t>组合中，采用其他方法计提坏账准备的</w:t>
      </w:r>
    </w:p>
    <w:p>
      <w:pPr>
        <w:spacing w:line="528" w:lineRule="auto" w:before="0"/>
        <w:ind w:left="218" w:right="3404" w:firstLine="0"/>
        <w:jc w:val="left"/>
        <w:rPr>
          <w:rFonts w:ascii="宋体" w:hAnsi="宋体" w:cs="宋体" w:eastAsia="宋体" w:hint="default"/>
          <w:sz w:val="21"/>
          <w:szCs w:val="21"/>
        </w:rPr>
      </w:pPr>
      <w:r>
        <w:rPr/>
        <w:pict>
          <v:shape style="position:absolute;margin-left:84.264pt;margin-top:48.503704pt;width:453.2pt;height:69.650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40"/>
                    <w:gridCol w:w="4710"/>
                  </w:tblGrid>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应收款项的未来现金流量现值与以账龄为信用风</w:t>
                        </w:r>
                      </w:p>
                      <w:p>
                        <w:pPr>
                          <w:pStyle w:val="TableParagraph"/>
                          <w:spacing w:line="240" w:lineRule="auto"/>
                          <w:ind w:left="100" w:right="104"/>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显著差异</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2"/>
        <w:spacing w:line="240" w:lineRule="auto" w:before="36"/>
        <w:ind w:right="227"/>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297" w:lineRule="auto" w:before="118"/>
        <w:ind w:left="638" w:right="227"/>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2"/>
        </w:rPr>
        <w:t>公司存货是指在生产经营过程中持有以备销售，或者仍然处在生产过程，或者在生产或提供</w:t>
      </w:r>
    </w:p>
    <w:p>
      <w:pPr>
        <w:pStyle w:val="BodyText"/>
        <w:spacing w:line="314" w:lineRule="auto" w:before="34"/>
        <w:ind w:left="218" w:right="227"/>
        <w:jc w:val="left"/>
      </w:pPr>
      <w:r>
        <w:rPr>
          <w:spacing w:val="-6"/>
        </w:rPr>
        <w:t>劳务过程中将消耗的材料或物资等，包括各类原材料、包装物、低值易耗品、在产品、产成品（库</w:t>
      </w:r>
      <w:r>
        <w:rPr>
          <w:spacing w:val="-51"/>
        </w:rPr>
        <w:t> </w:t>
      </w:r>
      <w:r>
        <w:rPr>
          <w:spacing w:val="-51"/>
        </w:rPr>
      </w:r>
      <w:r>
        <w:rPr/>
        <w:t>存商品）等。</w:t>
      </w:r>
    </w:p>
    <w:p>
      <w:pPr>
        <w:spacing w:line="297" w:lineRule="auto" w:before="20"/>
        <w:ind w:left="638" w:right="22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）存货取得和发出的计价方法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存货按照成本进行初始计量。存货成本包括采购成本、加工成本和其他成本。应计入存货成</w:t>
      </w:r>
    </w:p>
    <w:p>
      <w:pPr>
        <w:pStyle w:val="BodyText"/>
        <w:spacing w:line="297" w:lineRule="auto" w:before="34"/>
        <w:ind w:left="218" w:right="227"/>
        <w:jc w:val="left"/>
      </w:pPr>
      <w:r>
        <w:rPr>
          <w:spacing w:val="-4"/>
        </w:rPr>
        <w:t>本的借款费用，按照《企业会计准则第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借款费用》处理。投资者投入存货的成本，应当</w:t>
      </w:r>
      <w:r>
        <w:rPr>
          <w:spacing w:val="-95"/>
        </w:rPr>
        <w:t> </w:t>
      </w:r>
      <w:r>
        <w:rPr>
          <w:spacing w:val="-95"/>
        </w:rPr>
      </w:r>
      <w:r>
        <w:rPr/>
        <w:t>按照投资合同或协议约定的价值确定，但合同或协议约定价值不公允的除外。</w:t>
      </w:r>
    </w:p>
    <w:p>
      <w:pPr>
        <w:pStyle w:val="BodyText"/>
        <w:spacing w:line="240" w:lineRule="auto" w:before="34"/>
        <w:ind w:left="638" w:right="227"/>
        <w:jc w:val="left"/>
      </w:pPr>
      <w:r>
        <w:rPr/>
        <w:t>发出存货的计价方法：零售采用先进先出法，其余采用个别认定法核算。</w:t>
      </w:r>
    </w:p>
    <w:p>
      <w:pPr>
        <w:pStyle w:val="BodyText"/>
        <w:spacing w:line="314" w:lineRule="auto" w:before="85"/>
        <w:ind w:left="638" w:right="5890"/>
        <w:jc w:val="left"/>
      </w:pPr>
      <w:r>
        <w:rPr>
          <w:spacing w:val="-2"/>
        </w:rPr>
        <w:t>①存货的盘存制度</w:t>
      </w:r>
      <w:r>
        <w:rPr>
          <w:spacing w:val="-89"/>
        </w:rPr>
        <w:t> </w:t>
      </w:r>
      <w:r>
        <w:rPr>
          <w:spacing w:val="-89"/>
        </w:rPr>
      </w:r>
      <w:r>
        <w:rPr>
          <w:spacing w:val="-2"/>
        </w:rPr>
        <w:t>采用永续盘存制。</w:t>
      </w:r>
    </w:p>
    <w:p>
      <w:pPr>
        <w:pStyle w:val="BodyText"/>
        <w:spacing w:line="314" w:lineRule="auto" w:before="20"/>
        <w:ind w:left="638" w:right="5055"/>
        <w:jc w:val="left"/>
      </w:pPr>
      <w:r>
        <w:rPr>
          <w:spacing w:val="-2"/>
        </w:rPr>
        <w:t>②低值易耗品及包装物的摊销方法</w:t>
      </w:r>
      <w:r>
        <w:rPr>
          <w:spacing w:val="-75"/>
        </w:rPr>
        <w:t> </w:t>
      </w:r>
      <w:r>
        <w:rPr>
          <w:spacing w:val="-75"/>
        </w:rPr>
      </w:r>
      <w:r>
        <w:rPr/>
        <w:t>采用“一次摊销法”核算。</w:t>
      </w:r>
    </w:p>
    <w:p>
      <w:pPr>
        <w:pStyle w:val="BodyText"/>
        <w:spacing w:line="314" w:lineRule="auto" w:before="20"/>
        <w:ind w:left="638" w:right="227"/>
        <w:jc w:val="left"/>
      </w:pPr>
      <w:r>
        <w:rPr/>
        <w:t>③存货可变现净值的确定依据及存货跌价准备计提方法</w:t>
      </w:r>
      <w:r>
        <w:rPr>
          <w:w w:val="100"/>
        </w:rPr>
        <w:t> </w:t>
      </w:r>
      <w:r>
        <w:rPr>
          <w:spacing w:val="-2"/>
        </w:rPr>
        <w:t>期末存货按成本与可变现净值孰低计价，存货期末可变现净值低于账面成本的，按差额计提</w:t>
      </w:r>
    </w:p>
    <w:p>
      <w:pPr>
        <w:pStyle w:val="BodyText"/>
        <w:spacing w:line="240" w:lineRule="auto" w:before="20"/>
        <w:ind w:left="218" w:right="0"/>
        <w:jc w:val="left"/>
      </w:pPr>
      <w:r>
        <w:rPr/>
        <w:t>存货跌价准备。可变现净值，是指在日常活动中，存货的估计售价减去至完工时估计将要发生的</w:t>
      </w:r>
    </w:p>
    <w:p>
      <w:pPr>
        <w:spacing w:after="0" w:line="240" w:lineRule="auto"/>
        <w:jc w:val="left"/>
        <w:sectPr>
          <w:pgSz w:w="11910" w:h="16840"/>
          <w:pgMar w:header="882" w:footer="974" w:top="1120" w:bottom="1160" w:left="1580" w:right="1040"/>
        </w:sectPr>
      </w:pPr>
    </w:p>
    <w:p>
      <w:pPr>
        <w:spacing w:line="240" w:lineRule="auto" w:before="0"/>
        <w:rPr>
          <w:rFonts w:ascii="宋体" w:hAnsi="宋体" w:cs="宋体" w:eastAsia="宋体" w:hint="default"/>
          <w:sz w:val="20"/>
          <w:szCs w:val="20"/>
        </w:rPr>
      </w:pPr>
    </w:p>
    <w:p>
      <w:pPr>
        <w:pStyle w:val="BodyText"/>
        <w:spacing w:line="240" w:lineRule="auto" w:before="180"/>
        <w:ind w:right="0"/>
        <w:jc w:val="both"/>
      </w:pPr>
      <w:r>
        <w:rPr/>
        <w:t>成本、估计的销售费用以及相关税费后的金额。</w:t>
      </w:r>
    </w:p>
    <w:p>
      <w:pPr>
        <w:pStyle w:val="BodyText"/>
        <w:spacing w:line="314" w:lineRule="auto" w:before="85"/>
        <w:ind w:right="208" w:firstLine="419"/>
        <w:jc w:val="both"/>
      </w:pPr>
      <w:r>
        <w:rPr>
          <w:spacing w:val="-2"/>
        </w:rPr>
        <w:t>④存货可变现净值的确定依据：为生产而持有的材料等，用其生产的产成品的可变现净值高</w:t>
      </w:r>
      <w:r>
        <w:rPr>
          <w:w w:val="100"/>
        </w:rPr>
        <w:t> </w:t>
      </w:r>
      <w:r>
        <w:rPr>
          <w:spacing w:val="-1"/>
        </w:rPr>
        <w:t>于成本的，该材料仍然按照成本计量；材料价格的下降表明产成品的可变现净值低于成本的，该</w:t>
      </w:r>
      <w:r>
        <w:rPr>
          <w:spacing w:val="-55"/>
        </w:rPr>
        <w:t> </w:t>
      </w:r>
      <w:r>
        <w:rPr>
          <w:spacing w:val="-55"/>
        </w:rPr>
      </w:r>
      <w:r>
        <w:rPr/>
        <w:t>材料按照可变现净值计量。</w:t>
      </w:r>
    </w:p>
    <w:p>
      <w:pPr>
        <w:pStyle w:val="BodyText"/>
        <w:spacing w:line="314" w:lineRule="auto" w:before="20"/>
        <w:ind w:right="208" w:firstLine="419"/>
        <w:jc w:val="both"/>
      </w:pPr>
      <w:r>
        <w:rPr>
          <w:spacing w:val="-2"/>
        </w:rPr>
        <w:t>为执行销售合同或者劳务合同而持有的存货，其可变现净值以合同价格为基础计算。企业持</w:t>
      </w:r>
      <w:r>
        <w:rPr>
          <w:w w:val="100"/>
        </w:rPr>
        <w:t> </w:t>
      </w:r>
      <w:r>
        <w:rPr>
          <w:spacing w:val="-1"/>
        </w:rPr>
        <w:t>有存货的数量多于销售合同订购数量的，超出部分的存货的可变现净值以一般销售价格为基础计</w:t>
      </w:r>
      <w:r>
        <w:rPr>
          <w:spacing w:val="-55"/>
        </w:rPr>
        <w:t> </w:t>
      </w:r>
      <w:r>
        <w:rPr>
          <w:spacing w:val="-55"/>
        </w:rPr>
      </w:r>
      <w:r>
        <w:rPr/>
        <w:t>算。</w:t>
      </w:r>
    </w:p>
    <w:p>
      <w:pPr>
        <w:pStyle w:val="BodyText"/>
        <w:spacing w:line="314" w:lineRule="auto" w:before="20"/>
        <w:ind w:right="98" w:firstLine="419"/>
        <w:jc w:val="left"/>
      </w:pPr>
      <w:r>
        <w:rPr>
          <w:spacing w:val="-4"/>
          <w:w w:val="100"/>
        </w:rPr>
        <w:t>⑤存货跌价准备的计提方法：按单个存货项目的成本与可变现净值孰低法计提存货跌价准备；</w:t>
      </w:r>
      <w:r>
        <w:rPr>
          <w:w w:val="100"/>
        </w:rPr>
        <w:t> </w:t>
      </w:r>
      <w:r>
        <w:rPr/>
        <w:t>但对于数量繁多、单价较低的存货，则按存货类别计提存货跌价准备。</w:t>
      </w:r>
    </w:p>
    <w:p>
      <w:pPr>
        <w:spacing w:line="240" w:lineRule="auto" w:before="3"/>
        <w:rPr>
          <w:rFonts w:ascii="宋体" w:hAnsi="宋体" w:cs="宋体" w:eastAsia="宋体" w:hint="default"/>
          <w:sz w:val="21"/>
          <w:szCs w:val="21"/>
        </w:rPr>
      </w:pPr>
    </w:p>
    <w:p>
      <w:pPr>
        <w:spacing w:line="324" w:lineRule="auto" w:before="0"/>
        <w:ind w:left="558" w:right="98"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本公司将同时满足下列条件的组成部分（或非流动资产）确认为持有待售组成部分：</w:t>
      </w:r>
    </w:p>
    <w:p>
      <w:pPr>
        <w:pStyle w:val="BodyText"/>
        <w:spacing w:line="240" w:lineRule="auto" w:before="11"/>
        <w:ind w:left="558" w:right="98"/>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97" w:lineRule="auto" w:before="69"/>
        <w:ind w:right="98" w:firstLine="419"/>
        <w:jc w:val="left"/>
      </w:pPr>
      <w:r>
        <w:rPr>
          <w:spacing w:val="-4"/>
        </w:rPr>
        <w:t>（</w:t>
      </w:r>
      <w:r>
        <w:rPr>
          <w:rFonts w:ascii="Times New Roman" w:hAnsi="Times New Roman" w:cs="Times New Roman" w:eastAsia="Times New Roman" w:hint="default"/>
          <w:spacing w:val="-4"/>
        </w:rPr>
        <w:t>2</w:t>
      </w:r>
      <w:r>
        <w:rPr>
          <w:spacing w:val="-4"/>
        </w:rPr>
        <w:t>）公司已经就处置该组成部分作出决议，如按规定需得到股东批准的，已经取得股东大会</w:t>
      </w:r>
      <w:r>
        <w:rPr>
          <w:w w:val="100"/>
        </w:rPr>
        <w:t> </w:t>
      </w:r>
      <w:r>
        <w:rPr/>
        <w:t>或相应权力机构的批准；</w:t>
      </w:r>
    </w:p>
    <w:p>
      <w:pPr>
        <w:pStyle w:val="BodyText"/>
        <w:spacing w:line="240" w:lineRule="auto" w:before="34"/>
        <w:ind w:left="558" w:right="2926"/>
        <w:jc w:val="left"/>
      </w:pPr>
      <w:r>
        <w:rPr/>
        <w:t>（</w:t>
      </w:r>
      <w:r>
        <w:rPr>
          <w:rFonts w:ascii="Times New Roman" w:hAnsi="Times New Roman" w:cs="Times New Roman" w:eastAsia="Times New Roman" w:hint="default"/>
        </w:rPr>
        <w:t>3</w:t>
      </w:r>
      <w:r>
        <w:rPr/>
        <w:t>）公司已经与受让方签订了不可撤销的转让协议；</w:t>
      </w:r>
    </w:p>
    <w:p>
      <w:pPr>
        <w:pStyle w:val="BodyText"/>
        <w:spacing w:line="240" w:lineRule="auto" w:before="69"/>
        <w:ind w:left="558" w:right="2926"/>
        <w:jc w:val="left"/>
      </w:pPr>
      <w:r>
        <w:rPr/>
        <w:t>（</w:t>
      </w:r>
      <w:r>
        <w:rPr>
          <w:rFonts w:ascii="Times New Roman" w:hAnsi="Times New Roman" w:cs="Times New Roman" w:eastAsia="Times New Roman" w:hint="default"/>
        </w:rPr>
        <w:t>4</w:t>
      </w:r>
      <w:r>
        <w:rPr/>
        <w:t>）该项转让将在一年内完成。</w:t>
      </w:r>
    </w:p>
    <w:p>
      <w:pPr>
        <w:spacing w:line="240" w:lineRule="auto" w:before="12"/>
        <w:rPr>
          <w:rFonts w:ascii="宋体" w:hAnsi="宋体" w:cs="宋体" w:eastAsia="宋体" w:hint="default"/>
          <w:sz w:val="24"/>
          <w:szCs w:val="24"/>
        </w:rPr>
      </w:pPr>
    </w:p>
    <w:p>
      <w:pPr>
        <w:pStyle w:val="Heading2"/>
        <w:spacing w:line="240" w:lineRule="auto"/>
        <w:ind w:left="138" w:right="0"/>
        <w:jc w:val="both"/>
        <w:rPr>
          <w:b w:val="0"/>
          <w:bCs w:val="0"/>
        </w:rPr>
      </w:pPr>
      <w:r>
        <w:rPr>
          <w:rFonts w:ascii="Calibri" w:hAnsi="Calibri" w:cs="Calibri" w:eastAsia="Calibri" w:hint="default"/>
        </w:rPr>
        <w:t>14.  </w:t>
      </w:r>
      <w:r>
        <w:rPr>
          <w:rFonts w:ascii="Calibri" w:hAnsi="Calibri" w:cs="Calibri" w:eastAsia="Calibri" w:hint="default"/>
          <w:spacing w:val="13"/>
        </w:rPr>
        <w:t> </w:t>
      </w:r>
      <w:r>
        <w:rPr/>
        <w:t>长期股权投资</w:t>
      </w:r>
      <w:r>
        <w:rPr>
          <w:b w:val="0"/>
          <w:bCs w:val="0"/>
        </w:rPr>
      </w:r>
    </w:p>
    <w:p>
      <w:pPr>
        <w:pStyle w:val="BodyText"/>
        <w:spacing w:line="314" w:lineRule="auto" w:before="106"/>
        <w:ind w:left="558" w:right="98"/>
        <w:jc w:val="left"/>
      </w:pPr>
      <w:r>
        <w:rPr/>
        <w:t>（</w:t>
      </w:r>
      <w:r>
        <w:rPr>
          <w:rFonts w:ascii="宋体" w:hAnsi="宋体" w:cs="宋体" w:eastAsia="宋体" w:hint="default"/>
        </w:rPr>
        <w:t>1</w:t>
      </w:r>
      <w:r>
        <w:rPr/>
        <w:t>）确定对被投资单位具有共同控制、重大影响的依据</w:t>
      </w:r>
      <w:r>
        <w:rPr>
          <w:w w:val="100"/>
        </w:rPr>
        <w:t> </w:t>
      </w:r>
      <w:r>
        <w:rPr>
          <w:spacing w:val="-2"/>
        </w:rPr>
        <w:t>共同控制是指按照相关约定对某项安排所共有的控制，并且该安排的相关活动必须经过分享</w:t>
      </w:r>
    </w:p>
    <w:p>
      <w:pPr>
        <w:pStyle w:val="BodyText"/>
        <w:spacing w:line="314" w:lineRule="auto" w:before="20"/>
        <w:ind w:right="208"/>
        <w:jc w:val="both"/>
      </w:pPr>
      <w:r>
        <w:rPr>
          <w:spacing w:val="-1"/>
        </w:rPr>
        <w:t>控制权的参与方一致同意后才能决策。在判断是否存在共同控制时，首先判断所有参与方或参与</w:t>
      </w:r>
      <w:r>
        <w:rPr>
          <w:spacing w:val="-55"/>
        </w:rPr>
        <w:t> </w:t>
      </w:r>
      <w:r>
        <w:rPr>
          <w:spacing w:val="-55"/>
        </w:rPr>
      </w:r>
      <w:r>
        <w:rPr>
          <w:spacing w:val="-1"/>
        </w:rPr>
        <w:t>方组合是否集体控制该安排，如果所有参与方或一组参与方必须一致行动才能决定某项安排的相</w:t>
      </w:r>
      <w:r>
        <w:rPr>
          <w:spacing w:val="-55"/>
        </w:rPr>
        <w:t> </w:t>
      </w:r>
      <w:r>
        <w:rPr>
          <w:spacing w:val="-55"/>
        </w:rPr>
      </w:r>
      <w:r>
        <w:rPr>
          <w:spacing w:val="-1"/>
        </w:rPr>
        <w:t>关活动，则认为所有参与方或一组参与方集体控制该安排。其次再判断该安排相关活动的决策是</w:t>
      </w:r>
      <w:r>
        <w:rPr>
          <w:spacing w:val="-55"/>
        </w:rPr>
        <w:t> </w:t>
      </w:r>
      <w:r>
        <w:rPr>
          <w:spacing w:val="-55"/>
        </w:rPr>
      </w:r>
      <w:r>
        <w:rPr>
          <w:spacing w:val="-1"/>
        </w:rPr>
        <w:t>否必须经过这些集体控制该安排的参与方一致同意，当且仅当相关活动的决策要求集体控制该安</w:t>
      </w:r>
      <w:r>
        <w:rPr>
          <w:spacing w:val="-55"/>
        </w:rPr>
        <w:t> </w:t>
      </w:r>
      <w:r>
        <w:rPr>
          <w:spacing w:val="-55"/>
        </w:rPr>
      </w:r>
      <w:r>
        <w:rPr>
          <w:spacing w:val="-1"/>
        </w:rPr>
        <w:t>排的参与方一致同意时，才形成共同控制。如果存在两个或两个以上的参与方组合能够集体控制</w:t>
      </w:r>
      <w:r>
        <w:rPr>
          <w:spacing w:val="-55"/>
        </w:rPr>
        <w:t> </w:t>
      </w:r>
      <w:r>
        <w:rPr>
          <w:spacing w:val="-55"/>
        </w:rPr>
      </w:r>
      <w:r>
        <w:rPr/>
        <w:t>某项安排的，不构成共同控制。判断是否存在共同控制时，不考虑享有的保护性权利。</w:t>
      </w:r>
    </w:p>
    <w:p>
      <w:pPr>
        <w:pStyle w:val="BodyText"/>
        <w:spacing w:line="312" w:lineRule="auto" w:before="20"/>
        <w:ind w:right="98" w:firstLine="419"/>
        <w:jc w:val="left"/>
      </w:pPr>
      <w:r>
        <w:rPr/>
        <w:t>重大影响是指投资方对被投资单位的财务和经营政策有参与决策的权力，但并不能够控制或</w:t>
      </w:r>
      <w:r>
        <w:rPr>
          <w:w w:val="100"/>
        </w:rPr>
        <w:t> </w:t>
      </w:r>
      <w:r>
        <w:rPr/>
        <w:t>者与其他方一起共同控制这些政策的制定。在确定能否对被投资单位施加重大影响时，考虑投资</w:t>
      </w:r>
      <w:r>
        <w:rPr>
          <w:spacing w:val="-97"/>
        </w:rPr>
        <w:t> </w:t>
      </w:r>
      <w:r>
        <w:rPr>
          <w:spacing w:val="-97"/>
        </w:rPr>
      </w:r>
      <w:r>
        <w:rPr/>
        <w:t>方直接或间接持有被投资单位的表决权股份以及投资方及其他方持有的当期可执行潜在表决权在</w:t>
      </w:r>
      <w:r>
        <w:rPr>
          <w:spacing w:val="-97"/>
        </w:rPr>
        <w:t> </w:t>
      </w:r>
      <w:r>
        <w:rPr>
          <w:spacing w:val="-97"/>
        </w:rPr>
      </w:r>
      <w:r>
        <w:rPr>
          <w:spacing w:val="-4"/>
          <w:w w:val="100"/>
        </w:rPr>
        <w:t>假定转换为对被投资方单位的股权后产生的影响，包括被投资单位发行的当期可转换的认股权证、</w:t>
      </w:r>
      <w:r>
        <w:rPr>
          <w:spacing w:val="-86"/>
          <w:w w:val="100"/>
        </w:rPr>
        <w:t> </w:t>
      </w:r>
      <w:r>
        <w:rPr>
          <w:spacing w:val="-86"/>
          <w:w w:val="100"/>
        </w:rPr>
      </w:r>
      <w:r>
        <w:rPr/>
        <w:t>股份期权及可转换公司债券等的影响。对外投资符合下列情况时，一般确定为对投资单位具有重</w:t>
      </w:r>
      <w:r>
        <w:rPr>
          <w:spacing w:val="-97"/>
        </w:rPr>
        <w:t> </w:t>
      </w:r>
      <w:r>
        <w:rPr>
          <w:spacing w:val="-97"/>
        </w:rPr>
      </w:r>
      <w:r>
        <w:rPr/>
        <w:t>大影响：①在被投资单位的董事会或类似权力机构中派有代表；②参与被投资单位财务和经营政</w:t>
      </w:r>
      <w:r>
        <w:rPr>
          <w:spacing w:val="-97"/>
        </w:rPr>
        <w:t> </w:t>
      </w:r>
      <w:r>
        <w:rPr>
          <w:spacing w:val="-97"/>
        </w:rPr>
      </w:r>
      <w:r>
        <w:rPr/>
        <w:t>策的制定过程；③与被投资单位之间发生重要交易；④向被投资单位派出管理人员；⑤向被投资</w:t>
      </w:r>
      <w:r>
        <w:rPr>
          <w:spacing w:val="-97"/>
        </w:rPr>
        <w:t> </w:t>
      </w:r>
      <w:r>
        <w:rPr>
          <w:spacing w:val="-97"/>
        </w:rPr>
      </w:r>
      <w:r>
        <w:rPr>
          <w:spacing w:val="-3"/>
        </w:rPr>
        <w:t>单位提供关键技术资料。直接或通过子公司间接拥有被投资企业</w:t>
      </w:r>
      <w:r>
        <w:rPr>
          <w:spacing w:val="-41"/>
        </w:rPr>
        <w:t> </w:t>
      </w:r>
      <w:r>
        <w:rPr>
          <w:rFonts w:ascii="Times New Roman" w:hAnsi="Times New Roman" w:cs="Times New Roman" w:eastAsia="Times New Roman" w:hint="default"/>
        </w:rPr>
        <w:t>20%</w:t>
      </w:r>
      <w:r>
        <w:rPr/>
        <w:t>以上但低于</w:t>
      </w:r>
      <w:r>
        <w:rPr>
          <w:spacing w:val="-40"/>
        </w:rPr>
        <w:t> </w:t>
      </w:r>
      <w:r>
        <w:rPr>
          <w:rFonts w:ascii="Times New Roman" w:hAnsi="Times New Roman" w:cs="Times New Roman" w:eastAsia="Times New Roman" w:hint="default"/>
        </w:rPr>
        <w:t>50%</w:t>
      </w:r>
      <w:r>
        <w:rPr/>
        <w:t>的表决权股</w:t>
      </w:r>
      <w:r>
        <w:rPr>
          <w:spacing w:val="-76"/>
        </w:rPr>
        <w:t> </w:t>
      </w:r>
      <w:r>
        <w:rPr>
          <w:spacing w:val="-76"/>
        </w:rPr>
      </w:r>
      <w:r>
        <w:rPr/>
        <w:t>份时，一般认为对被投资单位具有重大影响。</w:t>
      </w:r>
    </w:p>
    <w:p>
      <w:pPr>
        <w:pStyle w:val="BodyText"/>
        <w:spacing w:line="240" w:lineRule="auto" w:before="22"/>
        <w:ind w:left="558" w:right="2926"/>
        <w:jc w:val="left"/>
      </w:pPr>
      <w:r>
        <w:rPr/>
        <w:t>（</w:t>
      </w:r>
      <w:r>
        <w:rPr>
          <w:rFonts w:ascii="Times New Roman" w:hAnsi="Times New Roman" w:cs="Times New Roman" w:eastAsia="Times New Roman" w:hint="default"/>
        </w:rPr>
        <w:t>2</w:t>
      </w:r>
      <w:r>
        <w:rPr/>
        <w:t>）初始投资成本确定</w:t>
      </w:r>
    </w:p>
    <w:p>
      <w:pPr>
        <w:pStyle w:val="BodyText"/>
        <w:spacing w:line="240" w:lineRule="auto" w:before="69"/>
        <w:ind w:left="558" w:right="2926"/>
        <w:jc w:val="left"/>
      </w:pPr>
      <w:r>
        <w:rPr/>
        <w:t>①企业合并形成的长期股权投资</w:t>
      </w:r>
    </w:p>
    <w:p>
      <w:pPr>
        <w:spacing w:after="0" w:line="240" w:lineRule="auto"/>
        <w:jc w:val="left"/>
        <w:sectPr>
          <w:pgSz w:w="11910" w:h="16840"/>
          <w:pgMar w:header="882" w:footer="974" w:top="1120" w:bottom="1160" w:left="1660" w:right="1060"/>
        </w:sectPr>
      </w:pPr>
    </w:p>
    <w:p>
      <w:pPr>
        <w:spacing w:line="240" w:lineRule="auto" w:before="0"/>
        <w:rPr>
          <w:rFonts w:ascii="宋体" w:hAnsi="宋体" w:cs="宋体" w:eastAsia="宋体" w:hint="default"/>
          <w:sz w:val="20"/>
          <w:szCs w:val="20"/>
        </w:rPr>
      </w:pPr>
    </w:p>
    <w:p>
      <w:pPr>
        <w:pStyle w:val="BodyText"/>
        <w:spacing w:line="312" w:lineRule="auto" w:before="180"/>
        <w:ind w:right="0" w:firstLine="419"/>
        <w:jc w:val="left"/>
      </w:pPr>
      <w:r>
        <w:rPr>
          <w:rFonts w:ascii="Times New Roman" w:hAnsi="Times New Roman" w:cs="Times New Roman" w:eastAsia="Times New Roman" w:hint="default"/>
        </w:rPr>
        <w:t>A.</w:t>
      </w:r>
      <w:r>
        <w:rPr/>
        <w:t>同一控制下的企业合并，以支付现金、转让非现金资产或承担债务方式以及以发行权益性</w:t>
      </w:r>
      <w:r>
        <w:rPr>
          <w:w w:val="100"/>
        </w:rPr>
        <w:t> </w:t>
      </w:r>
      <w:r>
        <w:rPr/>
        <w:t>证券作为合并对价的，在合并日按照取得被合并方所有者权益在最终控制方合并财务报表中的账</w:t>
      </w:r>
      <w:r>
        <w:rPr>
          <w:spacing w:val="-97"/>
        </w:rPr>
        <w:t> </w:t>
      </w:r>
      <w:r>
        <w:rPr>
          <w:spacing w:val="-97"/>
        </w:rPr>
      </w:r>
      <w:r>
        <w:rPr/>
        <w:t>面价值的份额作为长期股权投资的初始投资成本。因追加投资等原因能够对同一控制下的被投资</w:t>
      </w:r>
      <w:r>
        <w:rPr>
          <w:spacing w:val="-97"/>
        </w:rPr>
        <w:t> </w:t>
      </w:r>
      <w:r>
        <w:rPr>
          <w:spacing w:val="-97"/>
        </w:rPr>
      </w:r>
      <w:r>
        <w:rPr/>
        <w:t>单位实施控制的，在合并日根据合并后应享有被合并方净资产在最终控制方合并财务报表中的账</w:t>
      </w:r>
      <w:r>
        <w:rPr>
          <w:spacing w:val="-97"/>
        </w:rPr>
        <w:t> </w:t>
      </w:r>
      <w:r>
        <w:rPr>
          <w:spacing w:val="-97"/>
        </w:rPr>
      </w:r>
      <w:r>
        <w:rPr/>
        <w:t>面价值的份额，确定长期股权投资的初始投资成本。合并日长期股权投资的初始投资成本，与达</w:t>
      </w:r>
      <w:r>
        <w:rPr>
          <w:spacing w:val="-97"/>
        </w:rPr>
        <w:t> </w:t>
      </w:r>
      <w:r>
        <w:rPr>
          <w:spacing w:val="-97"/>
        </w:rPr>
      </w:r>
      <w:r>
        <w:rPr>
          <w:spacing w:val="-2"/>
        </w:rPr>
        <w:t>到合并前的长期股权投资账面价值加上合并日进一步取得股份新支付对价的账面价值之和的差额，</w:t>
      </w:r>
      <w:r>
        <w:rPr>
          <w:spacing w:val="-13"/>
        </w:rPr>
        <w:t> </w:t>
      </w:r>
      <w:r>
        <w:rPr>
          <w:spacing w:val="-13"/>
        </w:rPr>
      </w:r>
      <w:r>
        <w:rPr/>
        <w:t>调整股本溢价，股本溢价不足冲减的，冲减留存收益。</w:t>
      </w:r>
    </w:p>
    <w:p>
      <w:pPr>
        <w:pStyle w:val="BodyText"/>
        <w:spacing w:line="309" w:lineRule="auto" w:before="22"/>
        <w:ind w:right="308" w:firstLine="419"/>
        <w:jc w:val="both"/>
      </w:pPr>
      <w:r>
        <w:rPr>
          <w:rFonts w:ascii="Times New Roman" w:hAnsi="Times New Roman" w:cs="Times New Roman" w:eastAsia="Times New Roman" w:hint="default"/>
          <w:spacing w:val="-4"/>
        </w:rPr>
        <w:t>B.</w:t>
      </w:r>
      <w:r>
        <w:rPr>
          <w:spacing w:val="-4"/>
        </w:rPr>
        <w:t>非同一控制下的企业合并，在购买日按照《企业会计准则第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4"/>
        </w:rPr>
        <w:t>号</w:t>
      </w:r>
      <w:r>
        <w:rPr>
          <w:rFonts w:ascii="Times New Roman" w:hAnsi="Times New Roman" w:cs="Times New Roman" w:eastAsia="Times New Roman" w:hint="default"/>
          <w:spacing w:val="-4"/>
        </w:rPr>
        <w:t>——</w:t>
      </w:r>
      <w:r>
        <w:rPr>
          <w:spacing w:val="-4"/>
        </w:rPr>
        <w:t>企业合并》的相关规</w:t>
      </w:r>
      <w:r>
        <w:rPr>
          <w:w w:val="100"/>
        </w:rPr>
        <w:t> </w:t>
      </w:r>
      <w:r>
        <w:rPr>
          <w:spacing w:val="-1"/>
        </w:rPr>
        <w:t>定确定的合并成本作为长期股权投资的初始投资成本。因追加投资等原因能够对非同一控制下的</w:t>
      </w:r>
      <w:r>
        <w:rPr>
          <w:spacing w:val="-55"/>
        </w:rPr>
        <w:t> </w:t>
      </w:r>
      <w:r>
        <w:rPr>
          <w:spacing w:val="-55"/>
        </w:rPr>
      </w:r>
      <w:r>
        <w:rPr>
          <w:spacing w:val="-1"/>
        </w:rPr>
        <w:t>被投资单位实施控制的，按照原持有的股权投资账面价值加上新增投资成本之和，作为改按成本</w:t>
      </w:r>
      <w:r>
        <w:rPr>
          <w:spacing w:val="-55"/>
        </w:rPr>
        <w:t> </w:t>
      </w:r>
      <w:r>
        <w:rPr>
          <w:spacing w:val="-55"/>
        </w:rPr>
      </w:r>
      <w:r>
        <w:rPr/>
        <w:t>法核算的初始投资成本。</w:t>
      </w:r>
    </w:p>
    <w:p>
      <w:pPr>
        <w:pStyle w:val="BodyText"/>
        <w:spacing w:line="314" w:lineRule="auto" w:before="24"/>
        <w:ind w:right="310" w:firstLine="419"/>
        <w:jc w:val="both"/>
      </w:pPr>
      <w:r>
        <w:rPr>
          <w:spacing w:val="-2"/>
        </w:rPr>
        <w:t>②除企业合并形成的长期股权投资以外，其他方式取得的长期股权投资，按照下列规定确定</w:t>
      </w:r>
      <w:r>
        <w:rPr>
          <w:w w:val="100"/>
        </w:rPr>
        <w:t> </w:t>
      </w:r>
      <w:r>
        <w:rPr/>
        <w:t>其初始投资成本：</w:t>
      </w:r>
    </w:p>
    <w:p>
      <w:pPr>
        <w:pStyle w:val="BodyText"/>
        <w:spacing w:line="297" w:lineRule="auto" w:before="20"/>
        <w:ind w:right="308" w:firstLine="419"/>
        <w:jc w:val="both"/>
      </w:pPr>
      <w:r>
        <w:rPr>
          <w:rFonts w:ascii="Times New Roman" w:hAnsi="Times New Roman" w:cs="Times New Roman" w:eastAsia="Times New Roman" w:hint="default"/>
          <w:spacing w:val="-1"/>
        </w:rPr>
        <w:t>A.</w:t>
      </w:r>
      <w:r>
        <w:rPr>
          <w:spacing w:val="-1"/>
        </w:rPr>
        <w:t>以支付现金方式取得的长期股权投资，以实际支付的购买价款作为初始投资成本。初始投</w:t>
      </w:r>
      <w:r>
        <w:rPr>
          <w:w w:val="100"/>
        </w:rPr>
        <w:t> </w:t>
      </w:r>
      <w:r>
        <w:rPr/>
        <w:t>资成本包括与取得长期股权投资直接相关的费用、税金及其他必要支出。</w:t>
      </w:r>
    </w:p>
    <w:p>
      <w:pPr>
        <w:pStyle w:val="BodyText"/>
        <w:spacing w:line="297" w:lineRule="auto" w:before="34"/>
        <w:ind w:right="311" w:firstLine="419"/>
        <w:jc w:val="both"/>
      </w:pPr>
      <w:r>
        <w:rPr>
          <w:rFonts w:ascii="Times New Roman" w:hAnsi="Times New Roman" w:cs="Times New Roman" w:eastAsia="Times New Roman" w:hint="default"/>
          <w:spacing w:val="-1"/>
        </w:rPr>
        <w:t>B.</w:t>
      </w:r>
      <w:r>
        <w:rPr>
          <w:spacing w:val="-1"/>
        </w:rPr>
        <w:t>以发行权益性证券方式取得的长期股权投资，以发行权益性证券的公允价值作为初始投资</w:t>
      </w:r>
      <w:r>
        <w:rPr>
          <w:w w:val="100"/>
        </w:rPr>
        <w:t> </w:t>
      </w:r>
      <w:r>
        <w:rPr/>
        <w:t>成本。</w:t>
      </w:r>
    </w:p>
    <w:p>
      <w:pPr>
        <w:pStyle w:val="BodyText"/>
        <w:spacing w:line="240" w:lineRule="auto" w:before="34"/>
        <w:ind w:left="558" w:right="227"/>
        <w:jc w:val="left"/>
      </w:pPr>
      <w:r>
        <w:rPr>
          <w:rFonts w:ascii="Times New Roman" w:hAnsi="Times New Roman" w:cs="Times New Roman" w:eastAsia="Times New Roman" w:hint="default"/>
        </w:rPr>
        <w:t>C.</w:t>
      </w:r>
      <w:r>
        <w:rPr/>
        <w:t>通过非货币性资产交换取得的长期股权投资，其初始投资成本按照《企业会计准则第 </w:t>
      </w: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t>号</w:t>
      </w:r>
    </w:p>
    <w:p>
      <w:pPr>
        <w:pStyle w:val="BodyText"/>
        <w:spacing w:line="297" w:lineRule="auto" w:before="69"/>
        <w:ind w:left="558" w:right="307" w:hanging="420"/>
        <w:jc w:val="left"/>
      </w:pPr>
      <w:r>
        <w:rPr>
          <w:rFonts w:ascii="Times New Roman" w:hAnsi="Times New Roman" w:cs="Times New Roman" w:eastAsia="Times New Roman" w:hint="default"/>
        </w:rPr>
        <w:t>——</w:t>
      </w:r>
      <w:r>
        <w:rPr/>
        <w:t>非货币性资产交换》确定。</w:t>
      </w:r>
      <w:r>
        <w:rPr>
          <w:w w:val="100"/>
        </w:rPr>
        <w:t> </w:t>
      </w:r>
      <w:r>
        <w:rPr>
          <w:rFonts w:ascii="Times New Roman" w:hAnsi="Times New Roman" w:cs="Times New Roman" w:eastAsia="Times New Roman" w:hint="default"/>
          <w:spacing w:val="-4"/>
        </w:rPr>
        <w:t>D.</w:t>
      </w:r>
      <w:r>
        <w:rPr>
          <w:spacing w:val="-4"/>
        </w:rPr>
        <w:t>通过债务重组取得的长期股权投资，其初始投资成本按照《企业会计准则第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债务</w:t>
      </w:r>
    </w:p>
    <w:p>
      <w:pPr>
        <w:pStyle w:val="BodyText"/>
        <w:spacing w:line="240" w:lineRule="auto" w:before="13"/>
        <w:ind w:right="227"/>
        <w:jc w:val="left"/>
      </w:pPr>
      <w:r>
        <w:rPr/>
        <w:t>重组》确定。</w:t>
      </w:r>
    </w:p>
    <w:p>
      <w:pPr>
        <w:pStyle w:val="BodyText"/>
        <w:spacing w:line="240" w:lineRule="auto" w:before="85"/>
        <w:ind w:left="558" w:right="227"/>
        <w:jc w:val="left"/>
      </w:pPr>
      <w:r>
        <w:rPr/>
        <w:t>（</w:t>
      </w:r>
      <w:r>
        <w:rPr>
          <w:rFonts w:ascii="Times New Roman" w:hAnsi="Times New Roman" w:cs="Times New Roman" w:eastAsia="Times New Roman" w:hint="default"/>
        </w:rPr>
        <w:t>3</w:t>
      </w:r>
      <w:r>
        <w:rPr/>
        <w:t>）后续计量和损益确认方法</w:t>
      </w:r>
    </w:p>
    <w:p>
      <w:pPr>
        <w:pStyle w:val="BodyText"/>
        <w:spacing w:line="314" w:lineRule="auto" w:before="69"/>
        <w:ind w:right="308" w:firstLine="419"/>
        <w:jc w:val="both"/>
      </w:pPr>
      <w:r>
        <w:rPr>
          <w:spacing w:val="-2"/>
        </w:rPr>
        <w:t>①成本法核算：本公司能够对被投资单位实施控制的长期股权投资，采用成本法核算。采用</w:t>
      </w:r>
      <w:r>
        <w:rPr>
          <w:w w:val="100"/>
        </w:rPr>
        <w:t> </w:t>
      </w:r>
      <w:r>
        <w:rPr>
          <w:spacing w:val="-1"/>
        </w:rPr>
        <w:t>成本法核算时，追加或收回投资调整长期股权投资的成本。采用成本法核算的长期股权投资，除</w:t>
      </w:r>
      <w:r>
        <w:rPr>
          <w:spacing w:val="-55"/>
        </w:rPr>
        <w:t> </w:t>
      </w:r>
      <w:r>
        <w:rPr>
          <w:spacing w:val="-55"/>
        </w:rPr>
      </w:r>
      <w:r>
        <w:rPr>
          <w:spacing w:val="-1"/>
        </w:rPr>
        <w:t>取得投资时实际支付的价款或对价中包含的已宣告但尚未发放的现金股利或利润外，公司按照享</w:t>
      </w:r>
      <w:r>
        <w:rPr>
          <w:spacing w:val="-55"/>
        </w:rPr>
        <w:t> </w:t>
      </w:r>
      <w:r>
        <w:rPr>
          <w:spacing w:val="-55"/>
        </w:rPr>
      </w:r>
      <w:r>
        <w:rPr>
          <w:spacing w:val="-1"/>
        </w:rPr>
        <w:t>有被投资单位宣告发放的现金股利或利润确认投资收益，不再划分是否属于投资前和投资后被投</w:t>
      </w:r>
      <w:r>
        <w:rPr>
          <w:spacing w:val="-55"/>
        </w:rPr>
        <w:t> </w:t>
      </w:r>
      <w:r>
        <w:rPr>
          <w:spacing w:val="-55"/>
        </w:rPr>
      </w:r>
      <w:r>
        <w:rPr/>
        <w:t>资单位实现的净利润。</w:t>
      </w:r>
    </w:p>
    <w:p>
      <w:pPr>
        <w:pStyle w:val="BodyText"/>
        <w:spacing w:line="312" w:lineRule="auto" w:before="20"/>
        <w:ind w:right="308" w:firstLine="419"/>
        <w:jc w:val="both"/>
      </w:pPr>
      <w:r>
        <w:rPr>
          <w:spacing w:val="-2"/>
        </w:rPr>
        <w:t>②权益法核算：本公司对被投资单位共同控制或重大影响的长期股权投资，除“对联营企业</w:t>
      </w:r>
      <w:r>
        <w:rPr>
          <w:w w:val="100"/>
        </w:rPr>
        <w:t> </w:t>
      </w:r>
      <w:r>
        <w:rPr>
          <w:spacing w:val="-1"/>
        </w:rPr>
        <w:t>的权益性投资，其中一部分通过风险投资机构、共同基金、信托公司或包括投连险基金在内的类</w:t>
      </w:r>
      <w:r>
        <w:rPr>
          <w:spacing w:val="-55"/>
        </w:rPr>
        <w:t> </w:t>
      </w:r>
      <w:r>
        <w:rPr>
          <w:spacing w:val="-55"/>
        </w:rPr>
      </w:r>
      <w:r>
        <w:rPr>
          <w:spacing w:val="-1"/>
        </w:rPr>
        <w:t>似主体间接持有的，无论以上主体是否对这部分投资具有重大影响，公司按照《企业会计准则第</w:t>
      </w:r>
      <w:r>
        <w:rPr>
          <w:spacing w:val="-55"/>
        </w:rPr>
        <w:t> </w:t>
      </w:r>
      <w:r>
        <w:rPr>
          <w:spacing w:val="-55"/>
        </w:rPr>
      </w:r>
      <w:r>
        <w:rPr>
          <w:rFonts w:ascii="Times New Roman" w:hAnsi="Times New Roman" w:cs="Times New Roman" w:eastAsia="Times New Roman" w:hint="default"/>
        </w:rPr>
        <w:t>22 </w:t>
      </w:r>
      <w:r>
        <w:rPr>
          <w:spacing w:val="-3"/>
        </w:rPr>
        <w:t>号</w:t>
      </w:r>
      <w:r>
        <w:rPr>
          <w:rFonts w:ascii="Times New Roman" w:hAnsi="Times New Roman" w:cs="Times New Roman" w:eastAsia="Times New Roman" w:hint="default"/>
          <w:spacing w:val="-3"/>
        </w:rPr>
        <w:t>——</w:t>
      </w:r>
      <w:r>
        <w:rPr>
          <w:spacing w:val="-3"/>
        </w:rPr>
        <w:t>金融工具确认和计量》的有关规定，对间接持有的该部分投资选择以公允价值计量且其</w:t>
      </w:r>
      <w:r>
        <w:rPr>
          <w:spacing w:val="-84"/>
        </w:rPr>
        <w:t> </w:t>
      </w:r>
      <w:r>
        <w:rPr>
          <w:spacing w:val="-84"/>
        </w:rPr>
      </w:r>
      <w:r>
        <w:rPr>
          <w:spacing w:val="-1"/>
        </w:rPr>
        <w:t>变动计入损益。除上述情形外，本公司对被投资单位具有共同控制或重大影响的长期股权投资，</w:t>
      </w:r>
      <w:r>
        <w:rPr>
          <w:spacing w:val="-55"/>
        </w:rPr>
        <w:t> </w:t>
      </w:r>
      <w:r>
        <w:rPr>
          <w:spacing w:val="-55"/>
        </w:rPr>
      </w:r>
      <w:r>
        <w:rPr>
          <w:spacing w:val="-1"/>
        </w:rPr>
        <w:t>采用权益法核算。采用权益法核算时，公司取得长期股权投资后，按照应享有或应分担的被投资</w:t>
      </w:r>
      <w:r>
        <w:rPr>
          <w:spacing w:val="-55"/>
        </w:rPr>
        <w:t> </w:t>
      </w:r>
      <w:r>
        <w:rPr>
          <w:spacing w:val="-55"/>
        </w:rPr>
      </w:r>
      <w:r>
        <w:rPr>
          <w:spacing w:val="-1"/>
        </w:rPr>
        <w:t>单位实现的净损益和其他综合收益的份额，分别确认投资收益和其他综合收益，同时调整长期股</w:t>
      </w:r>
      <w:r>
        <w:rPr>
          <w:spacing w:val="-55"/>
        </w:rPr>
        <w:t> </w:t>
      </w:r>
      <w:r>
        <w:rPr>
          <w:spacing w:val="-55"/>
        </w:rPr>
      </w:r>
      <w:r>
        <w:rPr>
          <w:spacing w:val="-1"/>
        </w:rPr>
        <w:t>权投资的账面价值；公司按照被投资单位宣告分派的利润或现金股利计算应享有的部分，相应减</w:t>
      </w:r>
      <w:r>
        <w:rPr>
          <w:spacing w:val="-55"/>
        </w:rPr>
        <w:t> </w:t>
      </w:r>
      <w:r>
        <w:rPr>
          <w:spacing w:val="-55"/>
        </w:rPr>
      </w:r>
      <w:r>
        <w:rPr>
          <w:spacing w:val="-1"/>
        </w:rPr>
        <w:t>少长期股权投资的账面价值；公司对于被投资单位除净损益、其他综合收益和利润分配以外所有</w:t>
      </w:r>
      <w:r>
        <w:rPr>
          <w:spacing w:val="-55"/>
        </w:rPr>
        <w:t> </w:t>
      </w:r>
      <w:r>
        <w:rPr>
          <w:spacing w:val="-55"/>
        </w:rPr>
      </w:r>
      <w:r>
        <w:rPr/>
        <w:t>者权益的其他变动，调整长期股权投资的账面价值并计入所有者权益。</w:t>
      </w:r>
    </w:p>
    <w:p>
      <w:pPr>
        <w:pStyle w:val="BodyText"/>
        <w:spacing w:line="240" w:lineRule="auto" w:before="22"/>
        <w:ind w:left="558" w:right="227"/>
        <w:jc w:val="left"/>
      </w:pPr>
      <w:r>
        <w:rPr/>
        <w:t>公司确认被投资单位发生的净亏损，以长期股权投资的账面价值以及其他实质上构成对被投</w:t>
      </w:r>
    </w:p>
    <w:p>
      <w:pPr>
        <w:spacing w:after="0" w:line="240" w:lineRule="auto"/>
        <w:jc w:val="left"/>
        <w:sectPr>
          <w:pgSz w:w="11910" w:h="16840"/>
          <w:pgMar w:header="882" w:footer="974" w:top="1120" w:bottom="1160" w:left="1660" w:right="960"/>
        </w:sectPr>
      </w:pPr>
    </w:p>
    <w:p>
      <w:pPr>
        <w:spacing w:line="240" w:lineRule="auto" w:before="0"/>
        <w:rPr>
          <w:rFonts w:ascii="宋体" w:hAnsi="宋体" w:cs="宋体" w:eastAsia="宋体" w:hint="default"/>
          <w:sz w:val="20"/>
          <w:szCs w:val="20"/>
        </w:rPr>
      </w:pPr>
    </w:p>
    <w:p>
      <w:pPr>
        <w:pStyle w:val="BodyText"/>
        <w:spacing w:line="314" w:lineRule="auto" w:before="180"/>
        <w:ind w:right="98"/>
        <w:jc w:val="left"/>
      </w:pPr>
      <w:r>
        <w:rPr>
          <w:spacing w:val="-1"/>
        </w:rPr>
        <w:t>资单位净投资的长期权益减记至零为限，公司负有承担额外损失义务的除外。被投资单位以后实</w:t>
      </w:r>
      <w:r>
        <w:rPr>
          <w:spacing w:val="-55"/>
        </w:rPr>
        <w:t> </w:t>
      </w:r>
      <w:r>
        <w:rPr>
          <w:spacing w:val="-55"/>
        </w:rPr>
      </w:r>
      <w:r>
        <w:rPr/>
        <w:t>现净利润的，公司在其收益分享额弥补未确认的亏损分担额后，恢复确认收益分享额。</w:t>
      </w:r>
    </w:p>
    <w:p>
      <w:pPr>
        <w:pStyle w:val="BodyText"/>
        <w:spacing w:line="312" w:lineRule="auto" w:before="20"/>
        <w:ind w:right="98" w:firstLine="419"/>
        <w:jc w:val="left"/>
      </w:pPr>
      <w:r>
        <w:rPr/>
        <w:t>公司在确认应享有被投资单位净损益的份额时，以取得投资时被投资单位可辨认净资产的公</w:t>
      </w:r>
      <w:r>
        <w:rPr>
          <w:w w:val="100"/>
        </w:rPr>
        <w:t> </w:t>
      </w:r>
      <w:r>
        <w:rPr/>
        <w:t>允价值为基础，对被投资单位的净利润进行调整，并且将公司与联营企业及合营企业之间发生的</w:t>
      </w:r>
      <w:r>
        <w:rPr>
          <w:spacing w:val="-97"/>
        </w:rPr>
        <w:t> </w:t>
      </w:r>
      <w:r>
        <w:rPr>
          <w:spacing w:val="-97"/>
        </w:rPr>
      </w:r>
      <w:r>
        <w:rPr>
          <w:spacing w:val="-4"/>
          <w:w w:val="100"/>
        </w:rPr>
        <w:t>未实现内部交易损益按照持股比例计算归属于公司的部分并予以抵销，在此基础上确认投资损益。</w:t>
      </w:r>
      <w:r>
        <w:rPr>
          <w:spacing w:val="-86"/>
          <w:w w:val="100"/>
        </w:rPr>
        <w:t> </w:t>
      </w:r>
      <w:r>
        <w:rPr>
          <w:spacing w:val="-86"/>
          <w:w w:val="100"/>
        </w:rPr>
      </w:r>
      <w:r>
        <w:rPr/>
        <w:t>公司与被投资单位发生的未实现内部交易损失，按照《企业会计准则第</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资产减值》等规</w:t>
      </w:r>
      <w:r>
        <w:rPr>
          <w:w w:val="100"/>
        </w:rPr>
        <w:t> </w:t>
      </w:r>
      <w:r>
        <w:rPr>
          <w:spacing w:val="-6"/>
          <w:w w:val="100"/>
        </w:rPr>
        <w:t>定属于资产减值损失的，全额确认。如果被投资单位采用的会计政策及会计期间与公司不一致的，</w:t>
      </w:r>
      <w:r>
        <w:rPr>
          <w:spacing w:val="-104"/>
          <w:w w:val="100"/>
        </w:rPr>
        <w:t> </w:t>
      </w:r>
      <w:r>
        <w:rPr>
          <w:spacing w:val="-104"/>
          <w:w w:val="100"/>
        </w:rPr>
      </w:r>
      <w:r>
        <w:rPr/>
        <w:t>按照公司的会计政策及会计期间对被投资单位的财务报表进行调整，并据以确认投资损益和其他</w:t>
      </w:r>
      <w:r>
        <w:rPr>
          <w:spacing w:val="-97"/>
        </w:rPr>
        <w:t> </w:t>
      </w:r>
      <w:r>
        <w:rPr>
          <w:spacing w:val="-97"/>
        </w:rPr>
      </w:r>
      <w:r>
        <w:rPr/>
        <w:t>综合收益等。</w:t>
      </w:r>
    </w:p>
    <w:p>
      <w:pPr>
        <w:pStyle w:val="BodyText"/>
        <w:spacing w:line="314" w:lineRule="auto" w:before="22"/>
        <w:ind w:right="210" w:firstLine="419"/>
        <w:jc w:val="both"/>
      </w:pPr>
      <w:r>
        <w:rPr>
          <w:spacing w:val="-2"/>
        </w:rPr>
        <w:t>对于首次执行日之前已经持有的对联营企业和合营企业的长期股权投资，如存在与该投资相</w:t>
      </w:r>
      <w:r>
        <w:rPr>
          <w:w w:val="100"/>
        </w:rPr>
        <w:t> </w:t>
      </w:r>
      <w:r>
        <w:rPr/>
        <w:t>关的股权投资借方差额，按原剩余期限直线法摊销，摊销金额计入当期损益。</w:t>
      </w:r>
    </w:p>
    <w:p>
      <w:pPr>
        <w:pStyle w:val="BodyText"/>
        <w:spacing w:line="309" w:lineRule="auto" w:before="20"/>
        <w:ind w:right="204" w:firstLine="419"/>
        <w:jc w:val="both"/>
      </w:pPr>
      <w:r>
        <w:rPr>
          <w:spacing w:val="-7"/>
        </w:rPr>
        <w:t>③处置长期股权投资：公司因处置部分股权投资等原因丧失了对被投资单位的共同控制或重大</w:t>
      </w:r>
      <w:r>
        <w:rPr>
          <w:w w:val="100"/>
        </w:rPr>
        <w:t> </w:t>
      </w:r>
      <w:r>
        <w:rPr>
          <w:spacing w:val="-6"/>
        </w:rPr>
        <w:t>影响的，处置后的剩余股权改按《企业会计准则第</w:t>
      </w:r>
      <w:r>
        <w:rPr>
          <w:spacing w:val="7"/>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spacing w:val="-5"/>
        </w:rPr>
        <w:t>号</w:t>
      </w:r>
      <w:r>
        <w:rPr>
          <w:rFonts w:ascii="Times New Roman" w:hAnsi="Times New Roman" w:cs="Times New Roman" w:eastAsia="Times New Roman" w:hint="default"/>
          <w:spacing w:val="-5"/>
        </w:rPr>
        <w:t>——</w:t>
      </w:r>
      <w:r>
        <w:rPr>
          <w:spacing w:val="-5"/>
        </w:rPr>
        <w:t>金融工具确认和计量》核算，在丧失</w:t>
      </w:r>
      <w:r>
        <w:rPr>
          <w:spacing w:val="-99"/>
        </w:rPr>
        <w:t> </w:t>
      </w:r>
      <w:r>
        <w:rPr>
          <w:spacing w:val="-99"/>
        </w:rPr>
      </w:r>
      <w:r>
        <w:rPr>
          <w:spacing w:val="-6"/>
        </w:rPr>
        <w:t>共同控制或重大影响之日的公允价值与账面价值之间的差额计入当期损益。原股权投资因采用权益</w:t>
      </w:r>
      <w:r>
        <w:rPr>
          <w:spacing w:val="-53"/>
        </w:rPr>
        <w:t> </w:t>
      </w:r>
      <w:r>
        <w:rPr>
          <w:spacing w:val="-53"/>
        </w:rPr>
      </w:r>
      <w:r>
        <w:rPr>
          <w:spacing w:val="-6"/>
        </w:rPr>
        <w:t>法核算而确认的其他综合收益，在终止采用权益法核算时采用与被投资单位直接处置相关资产或负</w:t>
      </w:r>
      <w:r>
        <w:rPr>
          <w:spacing w:val="-52"/>
        </w:rPr>
        <w:t> </w:t>
      </w:r>
      <w:r>
        <w:rPr>
          <w:spacing w:val="-52"/>
        </w:rPr>
      </w:r>
      <w:r>
        <w:rPr>
          <w:spacing w:val="-6"/>
        </w:rPr>
        <w:t>债相同的基础进行会计处理；原股权投资相关的其他所有者权益变动转入当期损益。</w:t>
      </w:r>
      <w:r>
        <w:rPr/>
      </w:r>
    </w:p>
    <w:p>
      <w:pPr>
        <w:pStyle w:val="BodyText"/>
        <w:spacing w:line="312" w:lineRule="auto" w:before="24"/>
        <w:ind w:right="206" w:firstLine="412"/>
        <w:jc w:val="both"/>
      </w:pPr>
      <w:r>
        <w:rPr>
          <w:spacing w:val="-7"/>
        </w:rPr>
        <w:t>公司因处置部分股权投资等原因丧失了对被投资单位的控制的，在编制个别财务报表时，处置</w:t>
      </w:r>
      <w:r>
        <w:rPr>
          <w:spacing w:val="-5"/>
          <w:w w:val="100"/>
        </w:rPr>
        <w:t> </w:t>
      </w:r>
      <w:r>
        <w:rPr>
          <w:spacing w:val="-7"/>
        </w:rPr>
        <w:t>后的剩余股权能够对被投资单位实施共同控制或施加重大影响的，改按权益法核算，并对该剩余股</w:t>
      </w:r>
      <w:r>
        <w:rPr>
          <w:spacing w:val="-13"/>
        </w:rPr>
        <w:t> </w:t>
      </w:r>
      <w:r>
        <w:rPr>
          <w:spacing w:val="-13"/>
        </w:rPr>
      </w:r>
      <w:r>
        <w:rPr>
          <w:spacing w:val="-6"/>
        </w:rPr>
        <w:t>权视同自取得时即采用权益法核算进行调整；处置后的剩余股权不能对被投资单位实施共同控制或</w:t>
      </w:r>
      <w:r>
        <w:rPr>
          <w:spacing w:val="-53"/>
        </w:rPr>
        <w:t> </w:t>
      </w:r>
      <w:r>
        <w:rPr>
          <w:spacing w:val="-53"/>
        </w:rPr>
      </w:r>
      <w:r>
        <w:rPr>
          <w:spacing w:val="-6"/>
        </w:rPr>
        <w:t>施加重大影响的，改按《企业会计准则第</w:t>
      </w:r>
      <w:r>
        <w:rPr>
          <w:spacing w:val="16"/>
        </w:rPr>
        <w:t> </w:t>
      </w:r>
      <w:r>
        <w:rPr>
          <w:rFonts w:ascii="Times New Roman" w:hAnsi="Times New Roman" w:cs="Times New Roman" w:eastAsia="Times New Roman" w:hint="default"/>
        </w:rPr>
        <w:t>22</w:t>
      </w:r>
      <w:r>
        <w:rPr>
          <w:rFonts w:ascii="Times New Roman" w:hAnsi="Times New Roman" w:cs="Times New Roman" w:eastAsia="Times New Roman" w:hint="default"/>
          <w:spacing w:val="16"/>
        </w:rPr>
        <w:t> </w:t>
      </w:r>
      <w:r>
        <w:rPr>
          <w:spacing w:val="-6"/>
        </w:rPr>
        <w:t>号</w:t>
      </w:r>
      <w:r>
        <w:rPr>
          <w:rFonts w:ascii="Times New Roman" w:hAnsi="Times New Roman" w:cs="Times New Roman" w:eastAsia="Times New Roman" w:hint="default"/>
          <w:spacing w:val="-6"/>
        </w:rPr>
        <w:t>——</w:t>
      </w:r>
      <w:r>
        <w:rPr>
          <w:spacing w:val="-6"/>
        </w:rPr>
        <w:t>金融工具确认和计量》的有关规定进行会计处</w:t>
      </w:r>
      <w:r>
        <w:rPr>
          <w:spacing w:val="-96"/>
        </w:rPr>
        <w:t> </w:t>
      </w:r>
      <w:r>
        <w:rPr>
          <w:spacing w:val="-96"/>
        </w:rPr>
      </w:r>
      <w:r>
        <w:rPr>
          <w:spacing w:val="-6"/>
        </w:rPr>
        <w:t>理，其在丧失控制之日的公允价值与账面价值间的差额计入当期损益。在编制合并财务报表时，按</w:t>
      </w:r>
      <w:r>
        <w:rPr>
          <w:spacing w:val="-51"/>
        </w:rPr>
        <w:t> </w:t>
      </w:r>
      <w:r>
        <w:rPr>
          <w:spacing w:val="-51"/>
        </w:rPr>
      </w:r>
      <w:r>
        <w:rPr>
          <w:spacing w:val="-5"/>
        </w:rPr>
        <w:t>照《企业会计准则第 </w:t>
      </w:r>
      <w:r>
        <w:rPr>
          <w:rFonts w:ascii="Times New Roman" w:hAnsi="Times New Roman" w:cs="Times New Roman" w:eastAsia="Times New Roman" w:hint="default"/>
        </w:rPr>
        <w:t>33 </w:t>
      </w:r>
      <w:r>
        <w:rPr>
          <w:spacing w:val="-6"/>
        </w:rPr>
        <w:t>号</w:t>
      </w:r>
      <w:r>
        <w:rPr>
          <w:rFonts w:ascii="Times New Roman" w:hAnsi="Times New Roman" w:cs="Times New Roman" w:eastAsia="Times New Roman" w:hint="default"/>
          <w:spacing w:val="-6"/>
        </w:rPr>
        <w:t>——</w:t>
      </w:r>
      <w:r>
        <w:rPr>
          <w:spacing w:val="-6"/>
        </w:rPr>
        <w:t>合并财务报表》的有关规定进行会计处理。</w:t>
      </w:r>
    </w:p>
    <w:p>
      <w:pPr>
        <w:pStyle w:val="BodyText"/>
        <w:spacing w:line="309" w:lineRule="auto"/>
        <w:ind w:right="206" w:firstLine="412"/>
        <w:jc w:val="both"/>
      </w:pPr>
      <w:r>
        <w:rPr>
          <w:spacing w:val="-6"/>
        </w:rPr>
        <w:t>公司将对联营企业或合营企业的权益性投资全部或部分分类为持有待售资产的，按照《企业会</w:t>
      </w:r>
      <w:r>
        <w:rPr>
          <w:w w:val="100"/>
        </w:rPr>
        <w:t> </w:t>
      </w:r>
      <w:r>
        <w:rPr>
          <w:spacing w:val="-4"/>
        </w:rPr>
        <w:t>计准则第</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spacing w:val="-6"/>
        </w:rPr>
        <w:t>号</w:t>
      </w:r>
      <w:r>
        <w:rPr>
          <w:rFonts w:ascii="Times New Roman" w:hAnsi="Times New Roman" w:cs="Times New Roman" w:eastAsia="Times New Roman" w:hint="default"/>
          <w:spacing w:val="-6"/>
        </w:rPr>
        <w:t>——</w:t>
      </w:r>
      <w:r>
        <w:rPr>
          <w:spacing w:val="-6"/>
        </w:rPr>
        <w:t>固定资产》的有关规定处理，对于未划分为持有待售资产的剩余权益性投资，采</w:t>
      </w:r>
      <w:r>
        <w:rPr>
          <w:spacing w:val="-96"/>
        </w:rPr>
        <w:t> </w:t>
      </w:r>
      <w:r>
        <w:rPr>
          <w:spacing w:val="-96"/>
        </w:rPr>
      </w:r>
      <w:r>
        <w:rPr>
          <w:spacing w:val="-7"/>
        </w:rPr>
        <w:t>用权益法进行会计处理。已划分为持有待售的对联营企业或合营企业的权益性投资，不再符合持有</w:t>
      </w:r>
      <w:r>
        <w:rPr>
          <w:spacing w:val="-13"/>
        </w:rPr>
        <w:t> </w:t>
      </w:r>
      <w:r>
        <w:rPr>
          <w:spacing w:val="-13"/>
        </w:rPr>
      </w:r>
      <w:r>
        <w:rPr>
          <w:spacing w:val="-7"/>
        </w:rPr>
        <w:t>待售资产分类条件的，从被分类为持有待售资产之日起采用权益法进行追溯调整。分类为持有待售</w:t>
      </w:r>
      <w:r>
        <w:rPr>
          <w:spacing w:val="-13"/>
        </w:rPr>
        <w:t> </w:t>
      </w:r>
      <w:r>
        <w:rPr>
          <w:spacing w:val="-13"/>
        </w:rPr>
      </w:r>
      <w:r>
        <w:rPr>
          <w:spacing w:val="-6"/>
        </w:rPr>
        <w:t>期间的财务报表作相应调整。</w:t>
      </w:r>
      <w:r>
        <w:rPr/>
      </w:r>
    </w:p>
    <w:p>
      <w:pPr>
        <w:pStyle w:val="BodyText"/>
        <w:spacing w:line="314" w:lineRule="auto" w:before="25"/>
        <w:ind w:right="98" w:firstLine="412"/>
        <w:jc w:val="left"/>
      </w:pPr>
      <w:r>
        <w:rPr>
          <w:spacing w:val="-6"/>
        </w:rPr>
        <w:t>公司处置长期股权投资，其账面价值与实际取得价款之间的差额，计入当期损益。采用权益法</w:t>
      </w:r>
      <w:r>
        <w:rPr>
          <w:w w:val="100"/>
        </w:rPr>
        <w:t> </w:t>
      </w:r>
      <w:r>
        <w:rPr>
          <w:spacing w:val="-9"/>
        </w:rPr>
        <w:t>核算的长期股权投资，在处置该项投资时，采用与被投资单位直接处置相关资产或负债相同的基础，</w:t>
      </w:r>
      <w:r>
        <w:rPr>
          <w:spacing w:val="-25"/>
        </w:rPr>
        <w:t> </w:t>
      </w:r>
      <w:r>
        <w:rPr>
          <w:spacing w:val="-25"/>
        </w:rPr>
      </w:r>
      <w:r>
        <w:rPr>
          <w:spacing w:val="-7"/>
        </w:rPr>
        <w:t>按相应比例对原计入其他综合收益的部分进行会计处理。因被投资单位除净损益、其他综合收益和</w:t>
      </w:r>
      <w:r>
        <w:rPr>
          <w:spacing w:val="-13"/>
        </w:rPr>
        <w:t> </w:t>
      </w:r>
      <w:r>
        <w:rPr>
          <w:spacing w:val="-13"/>
        </w:rPr>
      </w:r>
      <w:r>
        <w:rPr>
          <w:spacing w:val="-6"/>
        </w:rPr>
        <w:t>利润分配以外的其他所有者权益变动而计入所有者权益的，处置该项投资时将原计入所有者权益的</w:t>
      </w:r>
      <w:r>
        <w:rPr>
          <w:spacing w:val="-53"/>
        </w:rPr>
        <w:t> </w:t>
      </w:r>
      <w:r>
        <w:rPr>
          <w:spacing w:val="-53"/>
        </w:rPr>
      </w:r>
      <w:r>
        <w:rPr>
          <w:spacing w:val="-6"/>
        </w:rPr>
        <w:t>部分按相应比例转入当期损益，由于被投资方重新计量设定受益计划净负债或净资产变动而产生的</w:t>
      </w:r>
      <w:r>
        <w:rPr>
          <w:spacing w:val="-53"/>
        </w:rPr>
        <w:t> </w:t>
      </w:r>
      <w:r>
        <w:rPr>
          <w:spacing w:val="-53"/>
        </w:rPr>
      </w:r>
      <w:r>
        <w:rPr>
          <w:spacing w:val="-5"/>
        </w:rPr>
        <w:t>其他综合收益除外。</w:t>
      </w:r>
    </w:p>
    <w:p>
      <w:pPr>
        <w:spacing w:line="240" w:lineRule="auto" w:before="2"/>
        <w:rPr>
          <w:rFonts w:ascii="宋体" w:hAnsi="宋体" w:cs="宋体" w:eastAsia="宋体" w:hint="default"/>
          <w:sz w:val="21"/>
          <w:szCs w:val="21"/>
        </w:rPr>
      </w:pPr>
    </w:p>
    <w:p>
      <w:pPr>
        <w:pStyle w:val="Heading2"/>
        <w:spacing w:line="264" w:lineRule="auto"/>
        <w:ind w:left="138" w:right="6075"/>
        <w:jc w:val="left"/>
        <w:rPr>
          <w:b w:val="0"/>
          <w:bCs w:val="0"/>
        </w:rPr>
      </w:pPr>
      <w:r>
        <w:rPr>
          <w:rFonts w:ascii="Calibri" w:hAnsi="Calibri" w:cs="Calibri" w:eastAsia="Calibri" w:hint="default"/>
        </w:rPr>
        <w:t>15.</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b w:val="0"/>
          <w:bCs w:val="0"/>
        </w:rPr>
      </w:r>
    </w:p>
    <w:p>
      <w:pPr>
        <w:pStyle w:val="BodyText"/>
        <w:spacing w:line="314" w:lineRule="auto" w:before="115"/>
        <w:ind w:left="558" w:right="98"/>
        <w:jc w:val="left"/>
      </w:pPr>
      <w:r>
        <w:rPr/>
        <w:t>折旧或摊销方法</w:t>
      </w:r>
      <w:r>
        <w:rPr>
          <w:spacing w:val="-103"/>
        </w:rPr>
        <w:t> </w:t>
      </w:r>
      <w:r>
        <w:rPr>
          <w:spacing w:val="-103"/>
        </w:rPr>
      </w:r>
      <w:r>
        <w:rPr>
          <w:spacing w:val="-2"/>
        </w:rPr>
        <w:t>投资性房地产是指为赚取租金或资本增值，或两者兼有而持有的房地产。主要包括已出租的</w:t>
      </w:r>
    </w:p>
    <w:p>
      <w:pPr>
        <w:spacing w:after="0" w:line="314" w:lineRule="auto"/>
        <w:jc w:val="left"/>
        <w:sectPr>
          <w:pgSz w:w="11910" w:h="16840"/>
          <w:pgMar w:header="882" w:footer="974" w:top="1120" w:bottom="116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218" w:right="328"/>
        <w:jc w:val="both"/>
      </w:pPr>
      <w:r>
        <w:rPr>
          <w:spacing w:val="-1"/>
        </w:rPr>
        <w:t>土地使用权、持有并准备增值后转让的土地使用权以及已出租的建筑物。当公司能够取得与投资</w:t>
      </w:r>
      <w:r>
        <w:rPr>
          <w:spacing w:val="-55"/>
        </w:rPr>
        <w:t> </w:t>
      </w:r>
      <w:r>
        <w:rPr>
          <w:spacing w:val="-55"/>
        </w:rPr>
      </w:r>
      <w:r>
        <w:rPr>
          <w:spacing w:val="-1"/>
        </w:rPr>
        <w:t>性房地产相关的租金收入或增值收益以及投资性房地产的成本能够可靠计量时，公司按购置或建</w:t>
      </w:r>
      <w:r>
        <w:rPr>
          <w:spacing w:val="-55"/>
        </w:rPr>
        <w:t> </w:t>
      </w:r>
      <w:r>
        <w:rPr>
          <w:spacing w:val="-55"/>
        </w:rPr>
      </w:r>
      <w:r>
        <w:rPr/>
        <w:t>造的实际支出对其进行初始计量。</w:t>
      </w:r>
    </w:p>
    <w:p>
      <w:pPr>
        <w:pStyle w:val="BodyText"/>
        <w:spacing w:line="314" w:lineRule="auto" w:before="20"/>
        <w:ind w:left="218" w:right="327" w:firstLine="419"/>
        <w:jc w:val="both"/>
      </w:pPr>
      <w:r>
        <w:rPr>
          <w:spacing w:val="-2"/>
        </w:rPr>
        <w:t>公司在资产负债表日采用成本模式对投资性房地产进行后续计量。在成本模式下，公司按照</w:t>
      </w:r>
      <w:r>
        <w:rPr>
          <w:w w:val="100"/>
        </w:rPr>
        <w:t> </w:t>
      </w:r>
      <w:r>
        <w:rPr>
          <w:spacing w:val="-1"/>
        </w:rPr>
        <w:t>本会计政策之第（十六）项固定资产及折旧和第（十九）项无形资产的规定，对投资性房地产进</w:t>
      </w:r>
      <w:r>
        <w:rPr>
          <w:spacing w:val="-55"/>
        </w:rPr>
        <w:t> </w:t>
      </w:r>
      <w:r>
        <w:rPr>
          <w:spacing w:val="-55"/>
        </w:rPr>
      </w:r>
      <w:r>
        <w:rPr>
          <w:spacing w:val="-1"/>
        </w:rPr>
        <w:t>行计量，计提折旧或摊销。当投资性房地产被处置，或者永久退出使用且预计不能从其处置中取</w:t>
      </w:r>
      <w:r>
        <w:rPr>
          <w:spacing w:val="-55"/>
        </w:rPr>
        <w:t> </w:t>
      </w:r>
      <w:r>
        <w:rPr>
          <w:spacing w:val="-55"/>
        </w:rPr>
      </w:r>
      <w:r>
        <w:rPr>
          <w:spacing w:val="-1"/>
        </w:rPr>
        <w:t>得经济利益时，应当终止确认该项投资性房地产。公司出售、转让、报废投资性房地产或者发生</w:t>
      </w:r>
      <w:r>
        <w:rPr>
          <w:spacing w:val="-55"/>
        </w:rPr>
        <w:t> </w:t>
      </w:r>
      <w:r>
        <w:rPr>
          <w:spacing w:val="-55"/>
        </w:rPr>
      </w:r>
      <w:r>
        <w:rPr/>
        <w:t>投资性房地产毁损，应当将处置收入扣除其账面价值和相关税费后的金额计入当期损益。</w:t>
      </w:r>
    </w:p>
    <w:p>
      <w:pPr>
        <w:spacing w:line="240" w:lineRule="auto" w:before="1"/>
        <w:rPr>
          <w:rFonts w:ascii="宋体" w:hAnsi="宋体" w:cs="宋体" w:eastAsia="宋体" w:hint="default"/>
          <w:sz w:val="27"/>
          <w:szCs w:val="27"/>
        </w:rPr>
      </w:pPr>
    </w:p>
    <w:p>
      <w:pPr>
        <w:spacing w:line="367" w:lineRule="auto" w:before="0"/>
        <w:ind w:left="218" w:right="619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如果采用成本计量模式的：</w:t>
      </w:r>
      <w:r>
        <w:rPr>
          <w:rFonts w:ascii="宋体" w:hAnsi="宋体" w:cs="宋体" w:eastAsia="宋体" w:hint="default"/>
          <w:b/>
          <w:bCs/>
          <w:w w:val="100"/>
          <w:sz w:val="21"/>
          <w:szCs w:val="21"/>
        </w:rPr>
        <w:t> </w:t>
      </w:r>
      <w:r>
        <w:rPr>
          <w:rFonts w:ascii="宋体" w:hAnsi="宋体" w:cs="宋体" w:eastAsia="宋体" w:hint="default"/>
          <w:sz w:val="21"/>
          <w:szCs w:val="21"/>
        </w:rPr>
        <w:t>折旧或摊销方法</w:t>
      </w:r>
    </w:p>
    <w:p>
      <w:pPr>
        <w:spacing w:line="240" w:lineRule="auto" w:before="6"/>
        <w:rPr>
          <w:rFonts w:ascii="宋体" w:hAnsi="宋体" w:cs="宋体" w:eastAsia="宋体" w:hint="default"/>
          <w:sz w:val="17"/>
          <w:szCs w:val="17"/>
        </w:rPr>
      </w:pPr>
    </w:p>
    <w:p>
      <w:pPr>
        <w:pStyle w:val="Heading2"/>
        <w:spacing w:line="266" w:lineRule="auto"/>
        <w:ind w:right="788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14" w:lineRule="auto" w:before="110"/>
        <w:ind w:left="218" w:right="330" w:firstLine="419"/>
        <w:jc w:val="both"/>
      </w:pPr>
      <w:r>
        <w:rPr>
          <w:spacing w:val="-2"/>
        </w:rPr>
        <w:t>固定资产系使用寿命超过一个会计年度，为生产商品、提供劳务、出租或经营管理所持有的</w:t>
      </w:r>
      <w:r>
        <w:rPr>
          <w:w w:val="100"/>
        </w:rPr>
        <w:t> </w:t>
      </w:r>
      <w:r>
        <w:rPr/>
        <w:t>有形资产。</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180"/>
        <w:gridCol w:w="1745"/>
        <w:gridCol w:w="1743"/>
        <w:gridCol w:w="1834"/>
        <w:gridCol w:w="1654"/>
      </w:tblGrid>
      <w:tr>
        <w:trPr>
          <w:trHeight w:val="37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0"/>
              <w:jc w:val="right"/>
              <w:rPr>
                <w:rFonts w:ascii="宋体" w:hAnsi="宋体" w:cs="宋体" w:eastAsia="宋体" w:hint="default"/>
                <w:sz w:val="21"/>
                <w:szCs w:val="21"/>
              </w:rPr>
            </w:pPr>
            <w:r>
              <w:rPr>
                <w:rFonts w:ascii="宋体" w:hAnsi="宋体" w:cs="宋体" w:eastAsia="宋体" w:hint="default"/>
                <w:spacing w:val="-1"/>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7"/>
              <w:jc w:val="right"/>
              <w:rPr>
                <w:rFonts w:ascii="宋体" w:hAnsi="宋体" w:cs="宋体" w:eastAsia="宋体" w:hint="default"/>
                <w:sz w:val="21"/>
                <w:szCs w:val="21"/>
              </w:rPr>
            </w:pPr>
            <w:r>
              <w:rPr>
                <w:rFonts w:ascii="宋体" w:hAnsi="宋体" w:cs="宋体" w:eastAsia="宋体" w:hint="default"/>
                <w:spacing w:val="-1"/>
                <w:sz w:val="21"/>
                <w:szCs w:val="21"/>
              </w:rPr>
              <w:t>年折旧率（</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7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21"/>
                <w:szCs w:val="21"/>
              </w:rPr>
            </w:pPr>
            <w:r>
              <w:rPr>
                <w:rFonts w:ascii="宋体"/>
                <w:sz w:val="21"/>
              </w:rPr>
              <w:t>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21"/>
                <w:szCs w:val="21"/>
              </w:rPr>
            </w:pPr>
            <w:r>
              <w:rPr>
                <w:rFonts w:ascii="宋体"/>
                <w:w w:val="100"/>
                <w:sz w:val="21"/>
              </w:rPr>
              <w:t>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宋体" w:hAnsi="宋体" w:cs="宋体" w:eastAsia="宋体" w:hint="default"/>
                <w:sz w:val="21"/>
                <w:szCs w:val="21"/>
              </w:rPr>
            </w:pPr>
            <w:r>
              <w:rPr>
                <w:rFonts w:ascii="宋体"/>
                <w:sz w:val="21"/>
              </w:rPr>
              <w:t>2.375</w:t>
            </w:r>
          </w:p>
        </w:tc>
      </w:tr>
      <w:tr>
        <w:trPr>
          <w:trHeight w:val="37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道路及绿化建设工程</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w w:val="100"/>
                <w:sz w:val="21"/>
              </w:rPr>
              <w:t>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2.375</w:t>
            </w:r>
          </w:p>
        </w:tc>
      </w:tr>
      <w:tr>
        <w:trPr>
          <w:trHeight w:val="37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w w:val="100"/>
                <w:sz w:val="21"/>
              </w:rPr>
              <w:t>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w w:val="100"/>
                <w:sz w:val="21"/>
              </w:rPr>
              <w:t>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11.880</w:t>
            </w:r>
          </w:p>
        </w:tc>
      </w:tr>
      <w:tr>
        <w:trPr>
          <w:trHeight w:val="37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软件开发设备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w w:val="100"/>
                <w:sz w:val="21"/>
              </w:rPr>
              <w:t>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19.000</w:t>
            </w:r>
          </w:p>
        </w:tc>
      </w:tr>
      <w:tr>
        <w:trPr>
          <w:trHeight w:val="37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平均年限法</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w w:val="100"/>
                <w:sz w:val="21"/>
              </w:rPr>
              <w:t>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19.000</w:t>
            </w:r>
          </w:p>
        </w:tc>
      </w:tr>
    </w:tbl>
    <w:p>
      <w:pPr>
        <w:pStyle w:val="BodyText"/>
        <w:spacing w:line="240" w:lineRule="auto" w:before="42"/>
        <w:ind w:left="638" w:right="0"/>
        <w:jc w:val="left"/>
      </w:pPr>
      <w:r>
        <w:rPr/>
        <w:t>公司于每年年度终了，对固定资产的使用寿命、预计净残值和折旧方法进行复核。</w:t>
      </w:r>
    </w:p>
    <w:p>
      <w:pPr>
        <w:spacing w:line="240" w:lineRule="auto" w:before="2"/>
        <w:rPr>
          <w:rFonts w:ascii="宋体" w:hAnsi="宋体" w:cs="宋体" w:eastAsia="宋体" w:hint="default"/>
          <w:sz w:val="26"/>
          <w:szCs w:val="26"/>
        </w:rPr>
      </w:pPr>
    </w:p>
    <w:p>
      <w:pPr>
        <w:spacing w:line="357" w:lineRule="auto" w:before="0"/>
        <w:ind w:left="638" w:right="125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公司租赁资产符合下列一项或数项标准的，认定为融资租赁固定资产：</w:t>
      </w:r>
    </w:p>
    <w:p>
      <w:pPr>
        <w:pStyle w:val="BodyText"/>
        <w:spacing w:line="257" w:lineRule="exact"/>
        <w:ind w:left="638" w:right="1258"/>
        <w:jc w:val="left"/>
      </w:pPr>
      <w:r>
        <w:rPr/>
        <w:t>①在租赁期届满时，租赁资产的所有权转移给承租人；</w:t>
      </w:r>
    </w:p>
    <w:p>
      <w:pPr>
        <w:pStyle w:val="BodyText"/>
        <w:spacing w:line="314" w:lineRule="auto" w:before="85"/>
        <w:ind w:left="218" w:right="0" w:firstLine="419"/>
        <w:jc w:val="left"/>
      </w:pPr>
      <w:r>
        <w:rPr>
          <w:spacing w:val="-2"/>
        </w:rPr>
        <w:t>②承租人有购买租赁资产的选择权，所订立的购买价款预计将远低于行使选择权时租赁资产</w:t>
      </w:r>
      <w:r>
        <w:rPr>
          <w:w w:val="100"/>
        </w:rPr>
        <w:t> </w:t>
      </w:r>
      <w:r>
        <w:rPr/>
        <w:t>的公允价值，因而在租赁开始日就可以合理确定承租人将会行使这种选择权；</w:t>
      </w:r>
    </w:p>
    <w:p>
      <w:pPr>
        <w:pStyle w:val="BodyText"/>
        <w:spacing w:line="240" w:lineRule="auto" w:before="20"/>
        <w:ind w:left="638" w:right="1258"/>
        <w:jc w:val="left"/>
      </w:pPr>
      <w:r>
        <w:rPr>
          <w:spacing w:val="-2"/>
        </w:rPr>
        <w:t>③即使资产的所有权不转移，但租赁期占租赁资产使用寿命的</w:t>
      </w:r>
      <w:r>
        <w:rPr>
          <w:spacing w:val="8"/>
        </w:rPr>
        <w:t> </w:t>
      </w:r>
      <w:r>
        <w:rPr>
          <w:rFonts w:ascii="Times New Roman" w:hAnsi="Times New Roman" w:cs="Times New Roman" w:eastAsia="Times New Roman" w:hint="default"/>
          <w:spacing w:val="-2"/>
        </w:rPr>
        <w:t>75%</w:t>
      </w:r>
      <w:r>
        <w:rPr>
          <w:spacing w:val="-2"/>
        </w:rPr>
        <w:t>以上；</w:t>
      </w:r>
    </w:p>
    <w:p>
      <w:pPr>
        <w:pStyle w:val="BodyText"/>
        <w:spacing w:line="314" w:lineRule="auto" w:before="69"/>
        <w:ind w:left="218" w:right="0" w:firstLine="419"/>
        <w:jc w:val="left"/>
      </w:pPr>
      <w:r>
        <w:rPr>
          <w:spacing w:val="-2"/>
        </w:rPr>
        <w:t>④承租人在租赁开始日的最低租赁付款额现值，几乎相当于租赁开始日租赁资产公允价值；</w:t>
      </w:r>
      <w:r>
        <w:rPr>
          <w:w w:val="100"/>
        </w:rPr>
        <w:t> </w:t>
      </w:r>
      <w:r>
        <w:rPr/>
        <w:t>出租人在租赁开始日的最低租赁收款额现值，几乎相当于租赁开始日租赁资产公允价值；</w:t>
      </w:r>
    </w:p>
    <w:p>
      <w:pPr>
        <w:pStyle w:val="BodyText"/>
        <w:spacing w:line="314" w:lineRule="auto" w:before="20"/>
        <w:ind w:left="638" w:right="0"/>
        <w:jc w:val="left"/>
      </w:pPr>
      <w:r>
        <w:rPr/>
        <w:t>⑤租赁资产性质特殊，如果不作较大改造，只有承租人才能使用。</w:t>
      </w:r>
      <w:r>
        <w:rPr>
          <w:w w:val="100"/>
        </w:rPr>
        <w:t> </w:t>
      </w:r>
      <w:r>
        <w:rPr>
          <w:spacing w:val="-2"/>
        </w:rPr>
        <w:t>在租赁开始日，公司将租赁开始日租赁资产公允价值与最低租赁付款额现值两者中较低者作</w:t>
      </w:r>
    </w:p>
    <w:p>
      <w:pPr>
        <w:pStyle w:val="BodyText"/>
        <w:spacing w:line="314" w:lineRule="auto" w:before="20"/>
        <w:ind w:left="218" w:right="0"/>
        <w:jc w:val="left"/>
      </w:pPr>
      <w:r>
        <w:rPr>
          <w:spacing w:val="-1"/>
        </w:rPr>
        <w:t>为租入资产的入账价值，将最低租赁付款额作为长期应付款的入账价值，其差额作为未确认融资</w:t>
      </w:r>
      <w:r>
        <w:rPr>
          <w:spacing w:val="-55"/>
        </w:rPr>
        <w:t> </w:t>
      </w:r>
      <w:r>
        <w:rPr>
          <w:spacing w:val="-55"/>
        </w:rPr>
      </w:r>
      <w:r>
        <w:rPr/>
        <w:t>费用，融资租入固定资产的折旧政策与自有固定资产一致。</w:t>
      </w:r>
    </w:p>
    <w:p>
      <w:pPr>
        <w:spacing w:after="0" w:line="314" w:lineRule="auto"/>
        <w:jc w:val="left"/>
        <w:sectPr>
          <w:pgSz w:w="11910" w:h="16840"/>
          <w:pgMar w:header="882" w:footer="974" w:top="1120" w:bottom="1160" w:left="1580" w:right="9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b w:val="0"/>
          <w:bCs w:val="0"/>
        </w:rPr>
      </w:pPr>
      <w:r>
        <w:rPr>
          <w:rFonts w:ascii="Calibri" w:hAnsi="Calibri" w:cs="Calibri" w:eastAsia="Calibri" w:hint="default"/>
        </w:rPr>
        <w:t>17.  </w:t>
      </w:r>
      <w:r>
        <w:rPr>
          <w:rFonts w:ascii="Calibri" w:hAnsi="Calibri" w:cs="Calibri" w:eastAsia="Calibri" w:hint="default"/>
          <w:spacing w:val="13"/>
        </w:rPr>
        <w:t> </w:t>
      </w:r>
      <w:r>
        <w:rPr/>
        <w:t>在建工程</w:t>
      </w:r>
      <w:r>
        <w:rPr>
          <w:b w:val="0"/>
          <w:bCs w:val="0"/>
        </w:rPr>
      </w:r>
    </w:p>
    <w:p>
      <w:pPr>
        <w:pStyle w:val="BodyText"/>
        <w:spacing w:line="312" w:lineRule="auto" w:before="108"/>
        <w:ind w:right="128" w:firstLine="419"/>
        <w:jc w:val="both"/>
      </w:pPr>
      <w:r>
        <w:rPr>
          <w:spacing w:val="-2"/>
        </w:rPr>
        <w:t>公司的在建工程以实际成本计价。实际成本由建造该项资产达到预定可使用状态前所发生的</w:t>
      </w:r>
      <w:r>
        <w:rPr>
          <w:w w:val="100"/>
        </w:rPr>
        <w:t> </w:t>
      </w:r>
      <w:r>
        <w:rPr>
          <w:spacing w:val="-1"/>
        </w:rPr>
        <w:t>必要支出构成。其中为工程建设项目而发生的借款利息支出和外币折算差额按照《企业会计准则</w:t>
      </w:r>
      <w:r>
        <w:rPr>
          <w:spacing w:val="-55"/>
        </w:rPr>
        <w:t> </w:t>
      </w:r>
      <w:r>
        <w:rPr>
          <w:spacing w:val="-55"/>
        </w:rPr>
      </w:r>
      <w:r>
        <w:rPr/>
        <w:t>第 </w:t>
      </w:r>
      <w:r>
        <w:rPr>
          <w:rFonts w:ascii="Times New Roman" w:hAnsi="Times New Roman" w:cs="Times New Roman" w:eastAsia="Times New Roman" w:hint="default"/>
        </w:rPr>
        <w:t>17 </w:t>
      </w:r>
      <w:r>
        <w:rPr>
          <w:spacing w:val="-4"/>
        </w:rPr>
        <w:t>号</w:t>
      </w:r>
      <w:r>
        <w:rPr>
          <w:rFonts w:ascii="Times New Roman" w:hAnsi="Times New Roman" w:cs="Times New Roman" w:eastAsia="Times New Roman" w:hint="default"/>
          <w:spacing w:val="-4"/>
        </w:rPr>
        <w:t>——</w:t>
      </w:r>
      <w:r>
        <w:rPr>
          <w:spacing w:val="-4"/>
        </w:rPr>
        <w:t>借款费用》的有关规定资本化或计入当期损益。在建工程在达到预定可使用状态之日</w:t>
      </w:r>
      <w:r>
        <w:rPr>
          <w:spacing w:val="-98"/>
        </w:rPr>
        <w:t> </w:t>
      </w:r>
      <w:r>
        <w:rPr>
          <w:spacing w:val="-98"/>
        </w:rPr>
      </w:r>
      <w:r>
        <w:rPr>
          <w:spacing w:val="-1"/>
        </w:rPr>
        <w:t>起不论工程是否办理竣工决算均转入固定资产，按照估计价值确定其成本，并计提折旧；对于未</w:t>
      </w:r>
      <w:r>
        <w:rPr>
          <w:spacing w:val="-55"/>
        </w:rPr>
        <w:t> </w:t>
      </w:r>
      <w:r>
        <w:rPr>
          <w:spacing w:val="-55"/>
        </w:rPr>
      </w:r>
      <w:r>
        <w:rPr>
          <w:spacing w:val="-1"/>
        </w:rPr>
        <w:t>办理竣工决算手续的，待办理完毕后再按实际成本调整原来的暂估价值，但不调整原已计提的折</w:t>
      </w:r>
      <w:r>
        <w:rPr>
          <w:spacing w:val="-55"/>
        </w:rPr>
        <w:t> </w:t>
      </w:r>
      <w:r>
        <w:rPr>
          <w:spacing w:val="-55"/>
        </w:rPr>
      </w:r>
      <w:r>
        <w:rPr/>
        <w:t>旧额。</w:t>
      </w:r>
    </w:p>
    <w:p>
      <w:pPr>
        <w:spacing w:line="240" w:lineRule="auto" w:before="2"/>
        <w:rPr>
          <w:rFonts w:ascii="宋体" w:hAnsi="宋体" w:cs="宋体" w:eastAsia="宋体" w:hint="default"/>
          <w:sz w:val="21"/>
          <w:szCs w:val="21"/>
        </w:rPr>
      </w:pPr>
    </w:p>
    <w:p>
      <w:pPr>
        <w:pStyle w:val="Heading2"/>
        <w:spacing w:line="240" w:lineRule="auto"/>
        <w:ind w:left="138" w:right="0"/>
        <w:jc w:val="both"/>
        <w:rPr>
          <w:b w:val="0"/>
          <w:bCs w:val="0"/>
        </w:rPr>
      </w:pPr>
      <w:r>
        <w:rPr>
          <w:rFonts w:ascii="Calibri" w:hAnsi="Calibri" w:cs="Calibri" w:eastAsia="Calibri" w:hint="default"/>
        </w:rPr>
        <w:t>18.  </w:t>
      </w:r>
      <w:r>
        <w:rPr>
          <w:rFonts w:ascii="Calibri" w:hAnsi="Calibri" w:cs="Calibri" w:eastAsia="Calibri" w:hint="default"/>
          <w:spacing w:val="13"/>
        </w:rPr>
        <w:t> </w:t>
      </w:r>
      <w:r>
        <w:rPr/>
        <w:t>借款费用</w:t>
      </w:r>
      <w:r>
        <w:rPr>
          <w:b w:val="0"/>
          <w:bCs w:val="0"/>
        </w:rPr>
      </w:r>
    </w:p>
    <w:p>
      <w:pPr>
        <w:spacing w:line="297" w:lineRule="auto" w:before="109"/>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借款费用包括因借款发生的利息、折价或溢价的摊销和辅助费用，以及因外币借款而发生的</w:t>
      </w:r>
    </w:p>
    <w:p>
      <w:pPr>
        <w:pStyle w:val="BodyText"/>
        <w:spacing w:line="314" w:lineRule="auto" w:before="34"/>
        <w:ind w:right="128"/>
        <w:jc w:val="both"/>
      </w:pPr>
      <w:r>
        <w:rPr>
          <w:spacing w:val="-1"/>
        </w:rPr>
        <w:t>汇兑差额。公司发生的借款费用，可直接归属于符合资本化条件的资产的购建或者生产的，应予</w:t>
      </w:r>
      <w:r>
        <w:rPr>
          <w:spacing w:val="-55"/>
        </w:rPr>
        <w:t> </w:t>
      </w:r>
      <w:r>
        <w:rPr>
          <w:spacing w:val="-55"/>
        </w:rPr>
      </w:r>
      <w:r>
        <w:rPr>
          <w:spacing w:val="-1"/>
        </w:rPr>
        <w:t>以资本化，计入相关资产成本；其他借款费用，在发生时根据其发生额确认为费用，计入当期损</w:t>
      </w:r>
      <w:r>
        <w:rPr>
          <w:spacing w:val="-55"/>
        </w:rPr>
        <w:t> </w:t>
      </w:r>
      <w:r>
        <w:rPr>
          <w:spacing w:val="-55"/>
        </w:rPr>
      </w:r>
      <w:r>
        <w:rPr/>
        <w:t>益。</w:t>
      </w:r>
    </w:p>
    <w:p>
      <w:pPr>
        <w:pStyle w:val="BodyText"/>
        <w:spacing w:line="314" w:lineRule="auto" w:before="20"/>
        <w:ind w:right="130" w:firstLine="419"/>
        <w:jc w:val="both"/>
      </w:pPr>
      <w:r>
        <w:rPr>
          <w:spacing w:val="-2"/>
        </w:rPr>
        <w:t>符合资本化条件的资产，包括需要经过相当长时间的购建或者生产活动才能达到预定可使用</w:t>
      </w:r>
      <w:r>
        <w:rPr>
          <w:w w:val="100"/>
        </w:rPr>
        <w:t> </w:t>
      </w:r>
      <w:r>
        <w:rPr/>
        <w:t>或者可销售状态的固定资产、投资性房地产和存货等资产。</w:t>
      </w:r>
    </w:p>
    <w:p>
      <w:pPr>
        <w:pStyle w:val="BodyText"/>
        <w:spacing w:line="240" w:lineRule="auto" w:before="20"/>
        <w:ind w:left="558" w:right="0"/>
        <w:jc w:val="left"/>
      </w:pPr>
      <w:r>
        <w:rPr/>
        <w:t>借款费用同时满足下列条件，开始资本化：</w:t>
      </w:r>
    </w:p>
    <w:p>
      <w:pPr>
        <w:pStyle w:val="BodyText"/>
        <w:spacing w:line="314" w:lineRule="auto" w:before="85"/>
        <w:ind w:right="130" w:firstLine="419"/>
        <w:jc w:val="both"/>
      </w:pPr>
      <w:r>
        <w:rPr>
          <w:spacing w:val="-2"/>
        </w:rPr>
        <w:t>①资产支出已经发生，资产支出包括为购建或者生产符合资本化条件的资产而以支付现金、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20"/>
        <w:ind w:left="558" w:right="0"/>
        <w:jc w:val="left"/>
      </w:pPr>
      <w:r>
        <w:rPr/>
        <w:t>②借款费用已发生；</w:t>
      </w:r>
    </w:p>
    <w:p>
      <w:pPr>
        <w:pStyle w:val="BodyText"/>
        <w:spacing w:line="240" w:lineRule="auto" w:before="85"/>
        <w:ind w:left="558" w:right="0"/>
        <w:jc w:val="left"/>
      </w:pPr>
      <w:r>
        <w:rPr/>
        <w:t>③为使资产达到预计可使用或者可销售状态所必要的购建或者生产活动已经开始。</w:t>
      </w:r>
    </w:p>
    <w:p>
      <w:pPr>
        <w:spacing w:line="297" w:lineRule="auto" w:before="8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）借款费用资本化的期间</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为购建或者生产符合资本化条件的资产发生的借款费用，满足上述资本化条件的，在该资产</w:t>
      </w:r>
    </w:p>
    <w:p>
      <w:pPr>
        <w:pStyle w:val="BodyText"/>
        <w:spacing w:line="312" w:lineRule="auto" w:before="34"/>
        <w:ind w:right="129"/>
        <w:jc w:val="both"/>
      </w:pPr>
      <w:r>
        <w:rPr>
          <w:spacing w:val="-1"/>
        </w:rPr>
        <w:t>达到预定可使用或者可销售状态前所发生的，计入该资产的成本，若符合资本化条件的资产的购</w:t>
      </w:r>
      <w:r>
        <w:rPr>
          <w:spacing w:val="-55"/>
        </w:rPr>
        <w:t> </w:t>
      </w:r>
      <w:r>
        <w:rPr>
          <w:spacing w:val="-55"/>
        </w:rPr>
      </w:r>
      <w:r>
        <w:rPr/>
        <w:t>建或者生产活动发生非正常中断，并且中断时间连续超过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个月，则暂停借款费用的资本化，将</w:t>
      </w:r>
      <w:r>
        <w:rPr>
          <w:w w:val="100"/>
        </w:rPr>
        <w:t> </w:t>
      </w:r>
      <w:r>
        <w:rPr>
          <w:spacing w:val="-1"/>
        </w:rPr>
        <w:t>其确认为当期费用，直至资产的购建或者生产活动重新开始。如果中断是所购建或者生产的符合</w:t>
      </w:r>
      <w:r>
        <w:rPr>
          <w:spacing w:val="-55"/>
        </w:rPr>
        <w:t> </w:t>
      </w:r>
      <w:r>
        <w:rPr>
          <w:spacing w:val="-55"/>
        </w:rPr>
      </w:r>
      <w:r>
        <w:rPr>
          <w:spacing w:val="-1"/>
        </w:rPr>
        <w:t>资本化条件的资产达到预定可使用或可销售状态必要的程序，借款费用继续资本化。当所购建或</w:t>
      </w:r>
      <w:r>
        <w:rPr>
          <w:spacing w:val="-55"/>
        </w:rPr>
        <w:t> </w:t>
      </w:r>
      <w:r>
        <w:rPr>
          <w:spacing w:val="-55"/>
        </w:rPr>
      </w:r>
      <w:r>
        <w:rPr>
          <w:spacing w:val="-1"/>
        </w:rPr>
        <w:t>生产的资产达到预定可使用或者可销售状态时，停止其借款费用的资本化。在达到预定可使用或</w:t>
      </w:r>
      <w:r>
        <w:rPr>
          <w:spacing w:val="-55"/>
        </w:rPr>
        <w:t> </w:t>
      </w:r>
      <w:r>
        <w:rPr>
          <w:spacing w:val="-55"/>
        </w:rPr>
      </w:r>
      <w:r>
        <w:rPr/>
        <w:t>者可销售状态后所发生的借款费用，于发生当期直接计入财务费用。</w:t>
      </w:r>
    </w:p>
    <w:p>
      <w:pPr>
        <w:spacing w:line="297" w:lineRule="auto" w:before="2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在资本化期间内，每一会计期间的利息（包括折价或溢价的摊销）资本化金额，按照下列规</w:t>
      </w:r>
    </w:p>
    <w:p>
      <w:pPr>
        <w:pStyle w:val="BodyText"/>
        <w:spacing w:line="240" w:lineRule="auto" w:before="34"/>
        <w:ind w:right="0"/>
        <w:jc w:val="both"/>
      </w:pPr>
      <w:r>
        <w:rPr/>
        <w:t>定确定：</w:t>
      </w:r>
    </w:p>
    <w:p>
      <w:pPr>
        <w:pStyle w:val="BodyText"/>
        <w:spacing w:line="314" w:lineRule="auto" w:before="85"/>
        <w:ind w:right="128" w:firstLine="419"/>
        <w:jc w:val="both"/>
      </w:pPr>
      <w:r>
        <w:rPr>
          <w:spacing w:val="-1"/>
        </w:rPr>
        <w:t>①为购建或者生产符合资本化条件的资产而借入专门借款的，以专门借款当期实际发生的利</w:t>
      </w:r>
      <w:r>
        <w:rPr>
          <w:w w:val="100"/>
        </w:rPr>
        <w:t> </w:t>
      </w:r>
      <w:r>
        <w:rPr>
          <w:spacing w:val="-1"/>
        </w:rPr>
        <w:t>息费用，减去将尚未动用的借款资金存入银行取得的利息收入或进行暂时性投资取得的投资收益</w:t>
      </w:r>
      <w:r>
        <w:rPr>
          <w:spacing w:val="-55"/>
        </w:rPr>
        <w:t> </w:t>
      </w:r>
      <w:r>
        <w:rPr>
          <w:spacing w:val="-55"/>
        </w:rPr>
      </w:r>
      <w:r>
        <w:rPr/>
        <w:t>后的金额确定。</w:t>
      </w:r>
    </w:p>
    <w:p>
      <w:pPr>
        <w:pStyle w:val="BodyText"/>
        <w:spacing w:line="314" w:lineRule="auto" w:before="20"/>
        <w:ind w:right="128" w:firstLine="419"/>
        <w:jc w:val="both"/>
      </w:pPr>
      <w:r>
        <w:rPr>
          <w:spacing w:val="-2"/>
        </w:rPr>
        <w:t>②为购建或者生产符合资本化条件的资产而占用了一般借款的，根据累计资产支出超过专门</w:t>
      </w:r>
      <w:r>
        <w:rPr>
          <w:w w:val="100"/>
        </w:rPr>
        <w:t> </w:t>
      </w:r>
      <w:r>
        <w:rPr>
          <w:spacing w:val="-1"/>
        </w:rPr>
        <w:t>借款部分的资产支出加权平均数乘以所占用一般借款的资本化率，计算确定一般借款应予资本化</w:t>
      </w:r>
      <w:r>
        <w:rPr>
          <w:spacing w:val="-55"/>
        </w:rPr>
        <w:t> </w:t>
      </w:r>
      <w:r>
        <w:rPr>
          <w:spacing w:val="-55"/>
        </w:rPr>
      </w:r>
      <w:r>
        <w:rPr>
          <w:spacing w:val="-1"/>
        </w:rPr>
        <w:t>的利息金额。资本化率根据一般借款加权平均利率计算确定。利息资本化金额，不超过当期相关</w:t>
      </w:r>
    </w:p>
    <w:p>
      <w:pPr>
        <w:spacing w:after="0" w:line="314" w:lineRule="auto"/>
        <w:jc w:val="both"/>
        <w:sectPr>
          <w:footerReference w:type="default" r:id="rId46"/>
          <w:pgSz w:w="11910" w:h="16840"/>
          <w:pgMar w:footer="974" w:header="882" w:top="1120" w:bottom="1160" w:left="1660" w:right="1140"/>
        </w:sectPr>
      </w:pPr>
    </w:p>
    <w:p>
      <w:pPr>
        <w:spacing w:line="240" w:lineRule="auto" w:before="0"/>
        <w:rPr>
          <w:rFonts w:ascii="宋体" w:hAnsi="宋体" w:cs="宋体" w:eastAsia="宋体" w:hint="default"/>
          <w:sz w:val="20"/>
          <w:szCs w:val="20"/>
        </w:rPr>
      </w:pPr>
    </w:p>
    <w:p>
      <w:pPr>
        <w:pStyle w:val="BodyText"/>
        <w:spacing w:line="240" w:lineRule="auto" w:before="180"/>
        <w:ind w:right="0"/>
        <w:jc w:val="left"/>
      </w:pPr>
      <w:r>
        <w:rPr/>
        <w:t>借款实际发生的利息金额。</w:t>
      </w:r>
    </w:p>
    <w:p>
      <w:pPr>
        <w:spacing w:line="240" w:lineRule="auto" w:before="2"/>
        <w:rPr>
          <w:rFonts w:ascii="宋体" w:hAnsi="宋体" w:cs="宋体" w:eastAsia="宋体" w:hint="default"/>
          <w:sz w:val="26"/>
          <w:szCs w:val="26"/>
        </w:rPr>
      </w:pPr>
    </w:p>
    <w:p>
      <w:pPr>
        <w:pStyle w:val="Heading2"/>
        <w:spacing w:line="240" w:lineRule="auto"/>
        <w:ind w:left="138" w:right="0"/>
        <w:jc w:val="left"/>
        <w:rPr>
          <w:b w:val="0"/>
          <w:bCs w:val="0"/>
        </w:rPr>
      </w:pPr>
      <w:r>
        <w:rPr>
          <w:rFonts w:ascii="Calibri" w:hAnsi="Calibri" w:cs="Calibri" w:eastAsia="Calibri" w:hint="default"/>
        </w:rPr>
        <w:t>19.  </w:t>
      </w:r>
      <w:r>
        <w:rPr>
          <w:rFonts w:ascii="Calibri" w:hAnsi="Calibri" w:cs="Calibri" w:eastAsia="Calibri" w:hint="default"/>
          <w:spacing w:val="13"/>
        </w:rPr>
        <w:t> </w:t>
      </w:r>
      <w:r>
        <w:rPr/>
        <w:t>无形资产</w:t>
      </w:r>
      <w:r>
        <w:rPr>
          <w:b w:val="0"/>
          <w:bCs w:val="0"/>
        </w:rPr>
      </w:r>
    </w:p>
    <w:p>
      <w:pPr>
        <w:spacing w:line="357" w:lineRule="auto" w:before="29"/>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0"/>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无形资产按成本进行初始计量。外购的无形资产，其成本包括购买价款、相关税费以及直接</w:t>
      </w:r>
    </w:p>
    <w:p>
      <w:pPr>
        <w:pStyle w:val="BodyText"/>
        <w:spacing w:line="257" w:lineRule="exact"/>
        <w:ind w:right="0"/>
        <w:jc w:val="left"/>
      </w:pPr>
      <w:r>
        <w:rPr/>
        <w:t>归属于使该项资产达到预定用途所发生的其他支出。</w:t>
      </w:r>
    </w:p>
    <w:p>
      <w:pPr>
        <w:pStyle w:val="BodyText"/>
        <w:spacing w:line="314" w:lineRule="auto" w:before="85"/>
        <w:ind w:right="128" w:firstLine="419"/>
        <w:jc w:val="both"/>
      </w:pPr>
      <w:r>
        <w:rPr>
          <w:spacing w:val="-2"/>
        </w:rPr>
        <w:t>购买无形资产的价款超过正常信用条件延期支付，实际上具有融资性质的，无形资产的成本</w:t>
      </w:r>
      <w:r>
        <w:rPr>
          <w:w w:val="100"/>
        </w:rPr>
        <w:t> </w:t>
      </w:r>
      <w:r>
        <w:rPr>
          <w:spacing w:val="-1"/>
        </w:rPr>
        <w:t>以购买价款的现值为基础确定。实际支付的价款与购买价款的现值之间的差额，除按照《企业会</w:t>
      </w:r>
      <w:r>
        <w:rPr>
          <w:spacing w:val="-55"/>
        </w:rPr>
        <w:t> </w:t>
      </w:r>
      <w:r>
        <w:rPr>
          <w:spacing w:val="-55"/>
        </w:rPr>
      </w:r>
      <w:r>
        <w:rPr/>
        <w:t>计准则第</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借款费用》应予资本化的以外，在信用期间内计入当期损益。</w:t>
      </w:r>
    </w:p>
    <w:p>
      <w:pPr>
        <w:pStyle w:val="BodyText"/>
        <w:spacing w:line="314" w:lineRule="auto"/>
        <w:ind w:right="128" w:firstLine="419"/>
        <w:jc w:val="both"/>
      </w:pPr>
      <w:r>
        <w:rPr>
          <w:spacing w:val="-2"/>
        </w:rPr>
        <w:t>投资者投入的无形资产的成本，按照投资合同或协议约定的价值确定，在投资合同或协议约</w:t>
      </w:r>
      <w:r>
        <w:rPr>
          <w:w w:val="100"/>
        </w:rPr>
        <w:t> </w:t>
      </w:r>
      <w:r>
        <w:rPr>
          <w:spacing w:val="-6"/>
          <w:w w:val="100"/>
        </w:rPr>
        <w:t>定价值不公允的情况下，应按无形资产的公允价值入账。通过非货币性资产交换取得的无形资产，</w:t>
      </w:r>
      <w:r>
        <w:rPr>
          <w:w w:val="100"/>
        </w:rPr>
        <w:t> </w:t>
      </w:r>
      <w:r>
        <w:rPr/>
        <w:t>其初始投资成本按照《企业会计准则第</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非货币性资产交换》确定。通过债务重组取得的</w:t>
      </w:r>
    </w:p>
    <w:p>
      <w:pPr>
        <w:pStyle w:val="BodyText"/>
        <w:spacing w:line="304" w:lineRule="auto"/>
        <w:ind w:right="128"/>
        <w:jc w:val="both"/>
      </w:pPr>
      <w:r>
        <w:rPr>
          <w:spacing w:val="-4"/>
        </w:rPr>
        <w:t>无形资产，其初始投资成本按照《企业会计准则第 </w:t>
      </w:r>
      <w:r>
        <w:rPr>
          <w:rFonts w:ascii="Times New Roman" w:hAnsi="Times New Roman" w:cs="Times New Roman" w:eastAsia="Times New Roman" w:hint="default"/>
        </w:rPr>
        <w:t>12 </w:t>
      </w:r>
      <w:r>
        <w:rPr>
          <w:spacing w:val="-4"/>
        </w:rPr>
        <w:t>号</w:t>
      </w:r>
      <w:r>
        <w:rPr>
          <w:rFonts w:ascii="Times New Roman" w:hAnsi="Times New Roman" w:cs="Times New Roman" w:eastAsia="Times New Roman" w:hint="default"/>
          <w:spacing w:val="-4"/>
        </w:rPr>
        <w:t>——</w:t>
      </w:r>
      <w:r>
        <w:rPr>
          <w:spacing w:val="-4"/>
        </w:rPr>
        <w:t>债务重组》确定。以同一控制下的企</w:t>
      </w:r>
      <w:r>
        <w:rPr>
          <w:spacing w:val="-90"/>
        </w:rPr>
        <w:t> </w:t>
      </w:r>
      <w:r>
        <w:rPr>
          <w:spacing w:val="-90"/>
        </w:rPr>
      </w:r>
      <w:r>
        <w:rPr>
          <w:spacing w:val="-1"/>
        </w:rPr>
        <w:t>业合并方式取得的无形资产按被合并方的账面价值确定其入账价值；以非同一控制下的企业合并</w:t>
      </w:r>
      <w:r>
        <w:rPr>
          <w:spacing w:val="-55"/>
        </w:rPr>
        <w:t> </w:t>
      </w:r>
      <w:r>
        <w:rPr>
          <w:spacing w:val="-55"/>
        </w:rPr>
      </w:r>
      <w:r>
        <w:rPr/>
        <w:t>方式取得的无形资产按公允价值确定其入账价值。</w:t>
      </w:r>
    </w:p>
    <w:p>
      <w:pPr>
        <w:pStyle w:val="BodyText"/>
        <w:spacing w:line="314" w:lineRule="auto" w:before="28"/>
        <w:ind w:right="128" w:firstLine="419"/>
        <w:jc w:val="both"/>
      </w:pPr>
      <w:r>
        <w:rPr>
          <w:spacing w:val="-2"/>
        </w:rPr>
        <w:t>公司于取得无形资产时分析判断其使用寿命。使用寿命有限的无形资产自无形资产可供使用</w:t>
      </w:r>
      <w:r>
        <w:rPr>
          <w:w w:val="100"/>
        </w:rPr>
        <w:t> </w:t>
      </w:r>
      <w:r>
        <w:rPr>
          <w:spacing w:val="-1"/>
        </w:rPr>
        <w:t>时起，至不再作为无形资产确认时止，采用直线法分期平均摊销，计入损益。对于使用寿命不确</w:t>
      </w:r>
      <w:r>
        <w:rPr>
          <w:spacing w:val="-55"/>
        </w:rPr>
        <w:t> </w:t>
      </w:r>
      <w:r>
        <w:rPr>
          <w:spacing w:val="-55"/>
        </w:rPr>
      </w:r>
      <w:r>
        <w:rPr/>
        <w:t>定的无形资产不进行摊销。</w:t>
      </w:r>
    </w:p>
    <w:p>
      <w:pPr>
        <w:pStyle w:val="BodyText"/>
        <w:spacing w:line="314" w:lineRule="auto" w:before="20"/>
        <w:ind w:right="128" w:firstLine="419"/>
        <w:jc w:val="both"/>
      </w:pPr>
      <w:r>
        <w:rPr>
          <w:spacing w:val="-2"/>
        </w:rPr>
        <w:t>公司于每年年度终了，对使用寿命有限的无形资产的使用寿命及摊销方法进行复核。如果无</w:t>
      </w:r>
      <w:r>
        <w:rPr>
          <w:w w:val="100"/>
        </w:rPr>
        <w:t> </w:t>
      </w:r>
      <w:r>
        <w:rPr>
          <w:spacing w:val="-1"/>
        </w:rPr>
        <w:t>形资产的使用寿命及摊销方法与以前估计不同的，改变摊销期限和摊销方法，并按会计估计变更</w:t>
      </w:r>
      <w:r>
        <w:rPr>
          <w:spacing w:val="-55"/>
        </w:rPr>
        <w:t> </w:t>
      </w:r>
      <w:r>
        <w:rPr>
          <w:spacing w:val="-55"/>
        </w:rPr>
      </w:r>
      <w:r>
        <w:rPr>
          <w:spacing w:val="-1"/>
        </w:rPr>
        <w:t>处理。公司在每个会计期间对使用寿命不确定的无形资产的使用寿命进行复核。如果有证据表明</w:t>
      </w:r>
      <w:r>
        <w:rPr>
          <w:spacing w:val="-55"/>
        </w:rPr>
        <w:t> </w:t>
      </w:r>
      <w:r>
        <w:rPr>
          <w:spacing w:val="-55"/>
        </w:rPr>
      </w:r>
      <w:r>
        <w:rPr/>
        <w:t>无形资产的使用寿命是有限的，估计其使用寿命，并按上述规定处理。</w:t>
      </w:r>
    </w:p>
    <w:p>
      <w:pPr>
        <w:pStyle w:val="BodyText"/>
        <w:spacing w:line="240" w:lineRule="auto" w:before="20"/>
        <w:ind w:left="558" w:right="0"/>
        <w:jc w:val="left"/>
      </w:pPr>
      <w:r>
        <w:rPr/>
        <w:t>无形资产的减值测试方法和减值准备计提方法详见附注三、（二十）“长期资产减值”。</w:t>
      </w:r>
    </w:p>
    <w:p>
      <w:pPr>
        <w:spacing w:line="240" w:lineRule="auto" w:before="12"/>
        <w:rPr>
          <w:rFonts w:ascii="宋体" w:hAnsi="宋体" w:cs="宋体" w:eastAsia="宋体" w:hint="default"/>
          <w:sz w:val="25"/>
          <w:szCs w:val="25"/>
        </w:rPr>
      </w:pPr>
    </w:p>
    <w:p>
      <w:pPr>
        <w:spacing w:line="357"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研究开发项目研究阶段支出与开发阶段支出的划分标准：研究阶段支出指为获取并理解新的</w:t>
      </w:r>
    </w:p>
    <w:p>
      <w:pPr>
        <w:pStyle w:val="BodyText"/>
        <w:spacing w:line="257" w:lineRule="exact"/>
        <w:ind w:right="0"/>
        <w:jc w:val="left"/>
      </w:pPr>
      <w:r>
        <w:rPr/>
        <w:t>科学或技术知识而进行的独创性的有计划调查所发生的支出；开发阶段支出是指在进行商业性产</w:t>
      </w:r>
    </w:p>
    <w:p>
      <w:pPr>
        <w:pStyle w:val="BodyText"/>
        <w:spacing w:line="314" w:lineRule="auto" w:before="85"/>
        <w:ind w:right="128"/>
        <w:jc w:val="both"/>
      </w:pPr>
      <w:r>
        <w:rPr>
          <w:spacing w:val="-1"/>
        </w:rPr>
        <w:t>和或使用前，将研究成果或其他知识应用于某项计划或设计，以生产出新的或具有实质性改进的</w:t>
      </w:r>
      <w:r>
        <w:rPr>
          <w:spacing w:val="-55"/>
        </w:rPr>
        <w:t> </w:t>
      </w:r>
      <w:r>
        <w:rPr>
          <w:spacing w:val="-55"/>
        </w:rPr>
      </w:r>
      <w:r>
        <w:rPr/>
        <w:t>材料、装置、产品等所发生的支出。</w:t>
      </w:r>
    </w:p>
    <w:p>
      <w:pPr>
        <w:pStyle w:val="BodyText"/>
        <w:spacing w:line="314" w:lineRule="auto" w:before="20"/>
        <w:ind w:right="130" w:firstLine="419"/>
        <w:jc w:val="both"/>
      </w:pPr>
      <w:r>
        <w:rPr>
          <w:spacing w:val="-2"/>
        </w:rPr>
        <w:t>公司内部自行开发的无形资产，在研究开发项目研究阶段的支出，于发生时计入当期损益。</w:t>
      </w:r>
      <w:r>
        <w:rPr>
          <w:w w:val="100"/>
        </w:rPr>
        <w:t> </w:t>
      </w:r>
      <w:r>
        <w:rPr/>
        <w:t>开发项目开发阶段的支出，只有同时满足下列条件的，才能确认为无形资产：</w:t>
      </w:r>
    </w:p>
    <w:p>
      <w:pPr>
        <w:pStyle w:val="BodyText"/>
        <w:spacing w:line="240" w:lineRule="auto" w:before="20"/>
        <w:ind w:left="558"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9"/>
        <w:ind w:left="558"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97" w:lineRule="auto" w:before="69"/>
        <w:ind w:right="128" w:firstLine="419"/>
        <w:jc w:val="both"/>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形资产自身存在市场，无形资产将在内部使用的，应当证明其有用性。</w:t>
      </w:r>
    </w:p>
    <w:p>
      <w:pPr>
        <w:pStyle w:val="BodyText"/>
        <w:spacing w:line="297" w:lineRule="auto" w:before="34"/>
        <w:ind w:right="128" w:firstLine="419"/>
        <w:jc w:val="both"/>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w:t>
      </w:r>
      <w:r>
        <w:rPr>
          <w:w w:val="100"/>
        </w:rPr>
        <w:t> </w:t>
      </w:r>
      <w:r>
        <w:rPr/>
        <w:t>出售无形资产。</w:t>
      </w:r>
    </w:p>
    <w:p>
      <w:pPr>
        <w:pStyle w:val="BodyText"/>
        <w:spacing w:line="240" w:lineRule="auto" w:before="35"/>
        <w:ind w:left="558" w:right="0"/>
        <w:jc w:val="left"/>
      </w:pPr>
      <w:r>
        <w:rPr/>
        <w:t>（</w:t>
      </w:r>
      <w:r>
        <w:rPr>
          <w:rFonts w:ascii="Times New Roman" w:hAnsi="Times New Roman" w:cs="Times New Roman" w:eastAsia="Times New Roman" w:hint="default"/>
        </w:rPr>
        <w:t>5</w:t>
      </w:r>
      <w:r>
        <w:rPr/>
        <w:t>）归属于该无形资产开发阶段的支出能够可靠地计量。</w:t>
      </w:r>
    </w:p>
    <w:p>
      <w:pPr>
        <w:spacing w:after="0" w:line="240" w:lineRule="auto"/>
        <w:jc w:val="left"/>
        <w:sectPr>
          <w:footerReference w:type="default" r:id="rId47"/>
          <w:pgSz w:w="11910" w:h="16840"/>
          <w:pgMar w:footer="974" w:header="882" w:top="1120" w:bottom="1160" w:left="1660" w:right="1140"/>
          <w:pgNumType w:start="91"/>
        </w:sectPr>
      </w:pPr>
    </w:p>
    <w:p>
      <w:pPr>
        <w:spacing w:line="240" w:lineRule="auto" w:before="0"/>
        <w:rPr>
          <w:rFonts w:ascii="宋体" w:hAnsi="宋体" w:cs="宋体" w:eastAsia="宋体" w:hint="default"/>
          <w:sz w:val="20"/>
          <w:szCs w:val="20"/>
        </w:rPr>
      </w:pPr>
    </w:p>
    <w:p>
      <w:pPr>
        <w:pStyle w:val="BodyText"/>
        <w:spacing w:line="240" w:lineRule="auto" w:before="180"/>
        <w:ind w:left="558" w:right="0"/>
        <w:jc w:val="left"/>
      </w:pPr>
      <w:r>
        <w:rPr/>
        <w:t>对于以前期间已经费用化的开发阶段的支出不再调整。</w:t>
      </w:r>
    </w:p>
    <w:p>
      <w:pPr>
        <w:spacing w:line="240" w:lineRule="auto" w:before="2"/>
        <w:rPr>
          <w:rFonts w:ascii="宋体" w:hAnsi="宋体" w:cs="宋体" w:eastAsia="宋体" w:hint="default"/>
          <w:sz w:val="26"/>
          <w:szCs w:val="26"/>
        </w:rPr>
      </w:pPr>
    </w:p>
    <w:p>
      <w:pPr>
        <w:spacing w:line="324"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长期股权投资、采用成本模式计量的投资性房地产、固定资产、在建工程、无形资产等长期</w:t>
      </w:r>
    </w:p>
    <w:p>
      <w:pPr>
        <w:pStyle w:val="BodyText"/>
        <w:spacing w:line="314" w:lineRule="auto" w:before="11"/>
        <w:ind w:right="128"/>
        <w:jc w:val="both"/>
      </w:pPr>
      <w:r>
        <w:rPr>
          <w:spacing w:val="-1"/>
        </w:rPr>
        <w:t>资产，于资产负债表日存在减值迹象的，进行减值测试。减值测试结果表明资产的可收回金额低</w:t>
      </w:r>
      <w:r>
        <w:rPr>
          <w:spacing w:val="-55"/>
        </w:rPr>
        <w:t> </w:t>
      </w:r>
      <w:r>
        <w:rPr>
          <w:spacing w:val="-55"/>
        </w:rPr>
      </w:r>
      <w:r>
        <w:rPr>
          <w:spacing w:val="-1"/>
        </w:rPr>
        <w:t>于其账面价值的，按其差额计提减值准备并计入减值损失。可收回金额为资产的公允价值减去处</w:t>
      </w:r>
      <w:r>
        <w:rPr>
          <w:spacing w:val="-55"/>
        </w:rPr>
        <w:t> </w:t>
      </w:r>
      <w:r>
        <w:rPr>
          <w:spacing w:val="-55"/>
        </w:rPr>
      </w:r>
      <w:r>
        <w:rPr>
          <w:spacing w:val="-1"/>
        </w:rPr>
        <w:t>置费用后的净额与资产预计未来现金流量的现值两者之间的较高者。资产减值准备按单项资产为</w:t>
      </w:r>
      <w:r>
        <w:rPr>
          <w:spacing w:val="-55"/>
        </w:rPr>
        <w:t> </w:t>
      </w:r>
      <w:r>
        <w:rPr>
          <w:spacing w:val="-55"/>
        </w:rPr>
      </w:r>
      <w:r>
        <w:rPr>
          <w:spacing w:val="-1"/>
        </w:rPr>
        <w:t>基础计算并确认，如果难以对单项资产的可收回金额进行估计的，以该资产所属的资产组确定资</w:t>
      </w:r>
      <w:r>
        <w:rPr>
          <w:spacing w:val="-55"/>
        </w:rPr>
        <w:t> </w:t>
      </w:r>
      <w:r>
        <w:rPr>
          <w:spacing w:val="-55"/>
        </w:rPr>
      </w:r>
      <w:r>
        <w:rPr/>
        <w:t>产组的可收回金额。资产组是能够独立产生现金流入的最小资产组合。</w:t>
      </w:r>
    </w:p>
    <w:p>
      <w:pPr>
        <w:pStyle w:val="BodyText"/>
        <w:spacing w:line="314" w:lineRule="auto" w:before="20"/>
        <w:ind w:right="128" w:firstLine="419"/>
        <w:jc w:val="both"/>
      </w:pPr>
      <w:r>
        <w:rPr>
          <w:spacing w:val="-2"/>
        </w:rPr>
        <w:t>商誉至少在每年年度终了进行减值测试。本公司进行商誉减值测试，对于因企业合并形成的</w:t>
      </w:r>
      <w:r>
        <w:rPr>
          <w:w w:val="100"/>
        </w:rPr>
        <w:t> </w:t>
      </w:r>
      <w:r>
        <w:rPr>
          <w:spacing w:val="-6"/>
          <w:w w:val="100"/>
        </w:rPr>
        <w:t>商誉的账面价值，自购买日起按照合理的方法分摊至相关的资产组；难以分摊至相关的资产组的，</w:t>
      </w:r>
      <w:r>
        <w:rPr>
          <w:w w:val="100"/>
        </w:rPr>
        <w:t> </w:t>
      </w:r>
      <w:r>
        <w:rPr>
          <w:spacing w:val="-1"/>
        </w:rPr>
        <w:t>将其分摊至相关的资产组组合。在将商誉的账面价值分摊至相关的资产组或者资产组组合时，按</w:t>
      </w:r>
      <w:r>
        <w:rPr>
          <w:spacing w:val="-55"/>
        </w:rPr>
        <w:t> </w:t>
      </w:r>
      <w:r>
        <w:rPr>
          <w:spacing w:val="-55"/>
        </w:rPr>
      </w:r>
      <w:r>
        <w:rPr>
          <w:spacing w:val="-1"/>
        </w:rPr>
        <w:t>照各资产组或者资产组组合的公允价值占相关资产组或者资产组组合公允价值总额的比例进行分</w:t>
      </w:r>
      <w:r>
        <w:rPr>
          <w:spacing w:val="-55"/>
        </w:rPr>
        <w:t> </w:t>
      </w:r>
      <w:r>
        <w:rPr>
          <w:spacing w:val="-55"/>
        </w:rPr>
      </w:r>
      <w:r>
        <w:rPr>
          <w:spacing w:val="-1"/>
        </w:rPr>
        <w:t>摊。公允价值难以可靠计量的，按照各资产组或者资产组组合的账面价值占相关资产组或者资产</w:t>
      </w:r>
      <w:r>
        <w:rPr>
          <w:spacing w:val="-55"/>
        </w:rPr>
        <w:t> </w:t>
      </w:r>
      <w:r>
        <w:rPr>
          <w:spacing w:val="-55"/>
        </w:rPr>
      </w:r>
      <w:r>
        <w:rPr>
          <w:spacing w:val="-1"/>
        </w:rPr>
        <w:t>组组合账面价值总额的比例进行分摊。在对包含商誉的相关资产组或者资产组组合进行减值测试</w:t>
      </w:r>
      <w:r>
        <w:rPr>
          <w:spacing w:val="-55"/>
        </w:rPr>
        <w:t> </w:t>
      </w:r>
      <w:r>
        <w:rPr>
          <w:spacing w:val="-55"/>
        </w:rPr>
      </w:r>
      <w:r>
        <w:rPr>
          <w:spacing w:val="-1"/>
        </w:rPr>
        <w:t>时，如与商誉相关的资产组或者资产组组合存在减值迹象的，先对不包含商誉的资产组或者资产</w:t>
      </w:r>
      <w:r>
        <w:rPr>
          <w:spacing w:val="-55"/>
        </w:rPr>
        <w:t> </w:t>
      </w:r>
      <w:r>
        <w:rPr>
          <w:spacing w:val="-55"/>
        </w:rPr>
      </w:r>
      <w:r>
        <w:rPr>
          <w:spacing w:val="-1"/>
        </w:rPr>
        <w:t>组组合进行减值测试，计算可收回金额，并与相关账面价值相比较，确认相应的减值损失。再对</w:t>
      </w:r>
      <w:r>
        <w:rPr>
          <w:spacing w:val="-55"/>
        </w:rPr>
        <w:t> </w:t>
      </w:r>
      <w:r>
        <w:rPr>
          <w:spacing w:val="-55"/>
        </w:rPr>
      </w:r>
      <w:r>
        <w:rPr>
          <w:spacing w:val="-1"/>
        </w:rPr>
        <w:t>包含商誉的资产组或者资产组组合进行减值测试，比较这些相关资产组或者资产组组合的账面价</w:t>
      </w:r>
      <w:r>
        <w:rPr>
          <w:spacing w:val="-55"/>
        </w:rPr>
        <w:t> </w:t>
      </w:r>
      <w:r>
        <w:rPr>
          <w:spacing w:val="-55"/>
        </w:rPr>
      </w:r>
      <w:r>
        <w:rPr>
          <w:spacing w:val="-1"/>
        </w:rPr>
        <w:t>值（包括所分摊的商誉的账面价值部分）与其可收回金额，如相关资产组或者资产组组合的可收</w:t>
      </w:r>
      <w:r>
        <w:rPr>
          <w:spacing w:val="-55"/>
        </w:rPr>
        <w:t> </w:t>
      </w:r>
      <w:r>
        <w:rPr>
          <w:spacing w:val="-55"/>
        </w:rPr>
      </w:r>
      <w:r>
        <w:rPr/>
        <w:t>回金额低于其账面价值的，确认商誉的减值损失。</w:t>
      </w:r>
    </w:p>
    <w:p>
      <w:pPr>
        <w:pStyle w:val="BodyText"/>
        <w:spacing w:line="240" w:lineRule="auto" w:before="20"/>
        <w:ind w:left="558" w:right="0"/>
        <w:jc w:val="left"/>
      </w:pPr>
      <w:r>
        <w:rPr/>
        <w:t>上述资产减值损失一经确认，在以后会计期间不予转回。</w:t>
      </w:r>
    </w:p>
    <w:p>
      <w:pPr>
        <w:spacing w:line="240" w:lineRule="auto" w:before="2"/>
        <w:rPr>
          <w:rFonts w:ascii="宋体" w:hAnsi="宋体" w:cs="宋体" w:eastAsia="宋体" w:hint="default"/>
          <w:sz w:val="26"/>
          <w:szCs w:val="26"/>
        </w:rPr>
      </w:pPr>
    </w:p>
    <w:p>
      <w:pPr>
        <w:pStyle w:val="Heading2"/>
        <w:spacing w:line="240" w:lineRule="auto"/>
        <w:ind w:left="138" w:right="0"/>
        <w:jc w:val="left"/>
        <w:rPr>
          <w:b w:val="0"/>
          <w:bCs w:val="0"/>
        </w:rPr>
      </w:pPr>
      <w:r>
        <w:rPr>
          <w:rFonts w:ascii="Calibri" w:hAnsi="Calibri" w:cs="Calibri" w:eastAsia="Calibri" w:hint="default"/>
        </w:rPr>
        <w:t>21.  </w:t>
      </w:r>
      <w:r>
        <w:rPr>
          <w:rFonts w:ascii="Calibri" w:hAnsi="Calibri" w:cs="Calibri" w:eastAsia="Calibri" w:hint="default"/>
          <w:spacing w:val="13"/>
        </w:rPr>
        <w:t> </w:t>
      </w:r>
      <w:r>
        <w:rPr/>
        <w:t>长期待摊费用</w:t>
      </w:r>
      <w:r>
        <w:rPr>
          <w:b w:val="0"/>
          <w:bCs w:val="0"/>
        </w:rPr>
      </w:r>
    </w:p>
    <w:p>
      <w:pPr>
        <w:pStyle w:val="BodyText"/>
        <w:spacing w:line="314" w:lineRule="auto" w:before="106"/>
        <w:ind w:right="127" w:firstLine="419"/>
        <w:jc w:val="both"/>
      </w:pPr>
      <w:r>
        <w:rPr/>
        <w:t>长期待摊费用是指公司已经发生但应由本期和以后各期负担的分摊期限在</w:t>
      </w:r>
      <w:r>
        <w:rPr>
          <w:spacing w:val="-49"/>
        </w:rPr>
        <w:t> </w:t>
      </w:r>
      <w:r>
        <w:rPr>
          <w:rFonts w:ascii="宋体" w:hAnsi="宋体" w:cs="宋体" w:eastAsia="宋体" w:hint="default"/>
        </w:rPr>
        <w:t>1</w:t>
      </w:r>
      <w:r>
        <w:rPr>
          <w:rFonts w:ascii="宋体" w:hAnsi="宋体" w:cs="宋体" w:eastAsia="宋体" w:hint="default"/>
          <w:spacing w:val="-50"/>
        </w:rPr>
        <w:t> </w:t>
      </w:r>
      <w:r>
        <w:rPr/>
        <w:t>年以上的各项费</w:t>
      </w:r>
      <w:r>
        <w:rPr>
          <w:w w:val="100"/>
        </w:rPr>
        <w:t> </w:t>
      </w:r>
      <w:r>
        <w:rPr>
          <w:spacing w:val="-1"/>
        </w:rPr>
        <w:t>用，包括以经营租赁方式租入的固定资产发生的改良支出等。长期待摊费用在相关项目的受益期</w:t>
      </w:r>
      <w:r>
        <w:rPr>
          <w:spacing w:val="-55"/>
        </w:rPr>
        <w:t> </w:t>
      </w:r>
      <w:r>
        <w:rPr>
          <w:spacing w:val="-55"/>
        </w:rPr>
      </w:r>
      <w:r>
        <w:rPr/>
        <w:t>内平均摊销。</w:t>
      </w:r>
    </w:p>
    <w:p>
      <w:pPr>
        <w:spacing w:line="240" w:lineRule="auto" w:before="2"/>
        <w:rPr>
          <w:rFonts w:ascii="宋体" w:hAnsi="宋体" w:cs="宋体" w:eastAsia="宋体" w:hint="default"/>
          <w:sz w:val="21"/>
          <w:szCs w:val="21"/>
        </w:rPr>
      </w:pPr>
    </w:p>
    <w:p>
      <w:pPr>
        <w:pStyle w:val="Heading2"/>
        <w:spacing w:line="240" w:lineRule="auto"/>
        <w:ind w:left="138" w:right="0"/>
        <w:jc w:val="left"/>
        <w:rPr>
          <w:b w:val="0"/>
          <w:bCs w:val="0"/>
        </w:rPr>
      </w:pPr>
      <w:r>
        <w:rPr>
          <w:rFonts w:ascii="Calibri" w:hAnsi="Calibri" w:cs="Calibri" w:eastAsia="Calibri" w:hint="default"/>
        </w:rPr>
        <w:t>22.  </w:t>
      </w:r>
      <w:r>
        <w:rPr>
          <w:rFonts w:ascii="Calibri" w:hAnsi="Calibri" w:cs="Calibri" w:eastAsia="Calibri" w:hint="default"/>
          <w:spacing w:val="13"/>
        </w:rPr>
        <w:t> </w:t>
      </w:r>
      <w:r>
        <w:rPr/>
        <w:t>职工薪酬</w:t>
      </w:r>
      <w:r>
        <w:rPr>
          <w:b w:val="0"/>
          <w:bCs w:val="0"/>
        </w:rPr>
      </w:r>
    </w:p>
    <w:p>
      <w:pPr>
        <w:pStyle w:val="BodyText"/>
        <w:spacing w:line="314" w:lineRule="auto" w:before="107"/>
        <w:ind w:right="128" w:firstLine="419"/>
        <w:jc w:val="both"/>
      </w:pPr>
      <w:r>
        <w:rPr>
          <w:spacing w:val="-2"/>
        </w:rPr>
        <w:t>职工薪酬是指公司为获得职工提供的服务或解除劳动关系而给予的各种形式的报酬或补偿。</w:t>
      </w:r>
      <w:r>
        <w:rPr>
          <w:w w:val="100"/>
        </w:rPr>
        <w:t> </w:t>
      </w:r>
      <w:r>
        <w:rPr>
          <w:spacing w:val="-6"/>
        </w:rPr>
        <w:t>公司提供给职工配偶、子女、受赡养人、已故员工遗属及其他受益人等的福利，也属于职工薪酬。</w:t>
      </w:r>
      <w:r>
        <w:rPr>
          <w:spacing w:val="-52"/>
        </w:rPr>
        <w:t> </w:t>
      </w:r>
      <w:r>
        <w:rPr>
          <w:spacing w:val="-52"/>
        </w:rPr>
      </w:r>
      <w:r>
        <w:rPr>
          <w:spacing w:val="-1"/>
        </w:rPr>
        <w:t>职工薪酬主要包括短期薪酬、离职后福利、辞退福利和其他长期职工福利。根据流动性，职工薪</w:t>
      </w:r>
      <w:r>
        <w:rPr>
          <w:spacing w:val="-55"/>
        </w:rPr>
        <w:t> </w:t>
      </w:r>
      <w:r>
        <w:rPr>
          <w:spacing w:val="-55"/>
        </w:rPr>
      </w:r>
      <w:r>
        <w:rPr/>
        <w:t>酬分别列示于资产负债表的“应付职工薪酬”项目和“长期应付职工薪酬”项目。</w:t>
      </w:r>
    </w:p>
    <w:p>
      <w:pPr>
        <w:spacing w:line="240" w:lineRule="auto" w:before="10"/>
        <w:rPr>
          <w:rFonts w:ascii="宋体" w:hAnsi="宋体" w:cs="宋体" w:eastAsia="宋体" w:hint="default"/>
          <w:sz w:val="27"/>
          <w:szCs w:val="27"/>
        </w:rPr>
      </w:pPr>
    </w:p>
    <w:p>
      <w:pPr>
        <w:spacing w:line="357"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短期薪酬是指本公司在职工提供相关服务的年度报告期间结束后十二个月内需要全部予以支</w:t>
      </w:r>
    </w:p>
    <w:p>
      <w:pPr>
        <w:pStyle w:val="BodyText"/>
        <w:spacing w:line="257" w:lineRule="exact"/>
        <w:ind w:right="0"/>
        <w:jc w:val="left"/>
      </w:pPr>
      <w:r>
        <w:rPr/>
        <w:t>付的职工薪酬，离职后福利和辞退福利除外。本公司在职工提供服务的会计期间，将应付的短期</w:t>
      </w:r>
    </w:p>
    <w:p>
      <w:pPr>
        <w:pStyle w:val="BodyText"/>
        <w:spacing w:line="240" w:lineRule="auto" w:before="85"/>
        <w:ind w:right="0"/>
        <w:jc w:val="left"/>
      </w:pPr>
      <w:r>
        <w:rPr/>
        <w:t>薪酬确认为负债，并根据职工提供服务的受益对象计入当期损益或相关资产成本。</w:t>
      </w:r>
    </w:p>
    <w:p>
      <w:pPr>
        <w:spacing w:after="0" w:line="240" w:lineRule="auto"/>
        <w:jc w:val="left"/>
        <w:sectPr>
          <w:pgSz w:w="11910" w:h="16840"/>
          <w:pgMar w:header="882" w:footer="974" w:top="1120" w:bottom="1160" w:left="1660" w:right="1140"/>
        </w:sectPr>
      </w:pPr>
    </w:p>
    <w:p>
      <w:pPr>
        <w:spacing w:line="240" w:lineRule="auto" w:before="1"/>
        <w:rPr>
          <w:rFonts w:ascii="宋体" w:hAnsi="宋体" w:cs="宋体" w:eastAsia="宋体" w:hint="default"/>
          <w:sz w:val="25"/>
          <w:szCs w:val="25"/>
        </w:rPr>
      </w:pPr>
    </w:p>
    <w:p>
      <w:pPr>
        <w:spacing w:line="357" w:lineRule="auto" w:before="36"/>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离职后福利是指公司为获得职工提供的服务而在职工退休或与公司解除劳动关系后，提供的</w:t>
      </w:r>
    </w:p>
    <w:p>
      <w:pPr>
        <w:pStyle w:val="BodyText"/>
        <w:spacing w:line="257" w:lineRule="exact"/>
        <w:ind w:right="0"/>
        <w:jc w:val="left"/>
      </w:pPr>
      <w:r>
        <w:rPr/>
        <w:t>各种形式的报酬和福利，短期薪酬和辞退福利除外。离职后福利计划包括设定提存计划和设定受</w:t>
      </w:r>
    </w:p>
    <w:p>
      <w:pPr>
        <w:pStyle w:val="BodyText"/>
        <w:spacing w:line="314" w:lineRule="auto" w:before="85"/>
        <w:ind w:right="128"/>
        <w:jc w:val="both"/>
      </w:pPr>
      <w:r>
        <w:rPr>
          <w:spacing w:val="-1"/>
        </w:rPr>
        <w:t>益计划。其中，设定提存计划，是指向独立的基金缴存固定费用后，本公司不再承担进一步支付</w:t>
      </w:r>
      <w:r>
        <w:rPr>
          <w:spacing w:val="-54"/>
        </w:rPr>
        <w:t> </w:t>
      </w:r>
      <w:r>
        <w:rPr>
          <w:spacing w:val="-54"/>
        </w:rPr>
      </w:r>
      <w:r>
        <w:rPr/>
        <w:t>义务的离职后福利计划；设定受益计划，是指除设定提存计划以外的离职后福利计划。</w:t>
      </w:r>
    </w:p>
    <w:p>
      <w:pPr>
        <w:pStyle w:val="BodyText"/>
        <w:spacing w:line="314" w:lineRule="auto" w:before="140"/>
        <w:ind w:left="558" w:right="0"/>
        <w:jc w:val="left"/>
      </w:pPr>
      <w:r>
        <w:rPr/>
        <w:t>①设定提存计划</w:t>
      </w:r>
      <w:r>
        <w:rPr>
          <w:spacing w:val="-103"/>
        </w:rPr>
        <w:t> </w:t>
      </w:r>
      <w:r>
        <w:rPr>
          <w:spacing w:val="-103"/>
        </w:rPr>
      </w:r>
      <w:r>
        <w:rPr>
          <w:spacing w:val="-2"/>
        </w:rPr>
        <w:t>设定提存计划包括基本养老保险、失业保险。在职工为本公司提供服务的会计期间，按以当</w:t>
      </w:r>
    </w:p>
    <w:p>
      <w:pPr>
        <w:pStyle w:val="BodyText"/>
        <w:spacing w:line="240" w:lineRule="auto" w:before="20"/>
        <w:ind w:right="0"/>
        <w:jc w:val="left"/>
      </w:pPr>
      <w:r>
        <w:rPr/>
        <w:t>地规定的缴纳基数和比例计算应缴纳金额，确认为负债，并计入当期损益或相关资产成本。</w:t>
      </w:r>
    </w:p>
    <w:p>
      <w:pPr>
        <w:spacing w:line="240" w:lineRule="auto" w:before="10"/>
        <w:rPr>
          <w:rFonts w:ascii="宋体" w:hAnsi="宋体" w:cs="宋体" w:eastAsia="宋体" w:hint="default"/>
          <w:sz w:val="15"/>
          <w:szCs w:val="15"/>
        </w:rPr>
      </w:pPr>
    </w:p>
    <w:p>
      <w:pPr>
        <w:pStyle w:val="BodyText"/>
        <w:spacing w:line="314" w:lineRule="auto"/>
        <w:ind w:left="558" w:right="0"/>
        <w:jc w:val="left"/>
      </w:pPr>
      <w:r>
        <w:rPr/>
        <w:t>②设定受益计划</w:t>
      </w:r>
      <w:r>
        <w:rPr>
          <w:spacing w:val="-103"/>
        </w:rPr>
        <w:t> </w:t>
      </w:r>
      <w:r>
        <w:rPr>
          <w:spacing w:val="-103"/>
        </w:rPr>
      </w:r>
      <w:r>
        <w:rPr>
          <w:spacing w:val="-2"/>
        </w:rPr>
        <w:t>本公司根据预期累计福利单位法确定的公式将设定受益计划产生的福利义务归属于职工提供</w:t>
      </w:r>
    </w:p>
    <w:p>
      <w:pPr>
        <w:pStyle w:val="BodyText"/>
        <w:spacing w:line="314" w:lineRule="auto" w:before="20"/>
        <w:ind w:right="128"/>
        <w:jc w:val="both"/>
      </w:pPr>
      <w:r>
        <w:rPr>
          <w:spacing w:val="-1"/>
        </w:rPr>
        <w:t>服务的期间，并计入当期损益或相关资产成本。本公司设定受益计划导致的职工薪酬成本包括下</w:t>
      </w:r>
      <w:r>
        <w:rPr>
          <w:spacing w:val="-55"/>
        </w:rPr>
        <w:t> </w:t>
      </w:r>
      <w:r>
        <w:rPr>
          <w:spacing w:val="-55"/>
        </w:rPr>
      </w:r>
      <w:r>
        <w:rPr/>
        <w:t>列组成部分：</w:t>
      </w:r>
    </w:p>
    <w:p>
      <w:pPr>
        <w:pStyle w:val="BodyText"/>
        <w:spacing w:line="304" w:lineRule="auto" w:before="20"/>
        <w:ind w:right="128" w:firstLine="419"/>
        <w:jc w:val="both"/>
      </w:pPr>
      <w:r>
        <w:rPr>
          <w:rFonts w:ascii="Times New Roman" w:hAnsi="Times New Roman" w:cs="Times New Roman" w:eastAsia="Times New Roman" w:hint="default"/>
          <w:spacing w:val="-1"/>
        </w:rPr>
        <w:t>A.</w:t>
      </w:r>
      <w:r>
        <w:rPr>
          <w:spacing w:val="-1"/>
        </w:rPr>
        <w:t>服务成本，包括当期服务成本、过去服务成本和结算利得或损失。其中，当期服务成本，</w:t>
      </w:r>
      <w:r>
        <w:rPr>
          <w:w w:val="100"/>
        </w:rPr>
        <w:t> </w:t>
      </w:r>
      <w:r>
        <w:rPr>
          <w:spacing w:val="-1"/>
        </w:rPr>
        <w:t>是指职工当期提供服务所导致的设定受益计划义务现值的增加额；过去服务成本，是指设定受益</w:t>
      </w:r>
      <w:r>
        <w:rPr>
          <w:spacing w:val="-55"/>
        </w:rPr>
        <w:t> </w:t>
      </w:r>
      <w:r>
        <w:rPr>
          <w:spacing w:val="-55"/>
        </w:rPr>
      </w:r>
      <w:r>
        <w:rPr/>
        <w:t>计划修改所导致的与以前期间职工服务相关的设定受益计划义务现值的增加或减少。</w:t>
      </w:r>
    </w:p>
    <w:p>
      <w:pPr>
        <w:pStyle w:val="BodyText"/>
        <w:spacing w:line="297" w:lineRule="auto" w:before="28"/>
        <w:ind w:right="131" w:firstLine="419"/>
        <w:jc w:val="both"/>
      </w:pPr>
      <w:r>
        <w:rPr>
          <w:rFonts w:ascii="Times New Roman" w:hAnsi="Times New Roman" w:cs="Times New Roman" w:eastAsia="Times New Roman" w:hint="default"/>
          <w:spacing w:val="-1"/>
        </w:rPr>
        <w:t>B.</w:t>
      </w:r>
      <w:r>
        <w:rPr>
          <w:spacing w:val="-1"/>
        </w:rPr>
        <w:t>设定受益计划净负债或净资产的利息净额，包括计划资产的利息收益、设定受益计划义务</w:t>
      </w:r>
      <w:r>
        <w:rPr>
          <w:w w:val="100"/>
        </w:rPr>
        <w:t> </w:t>
      </w:r>
      <w:r>
        <w:rPr/>
        <w:t>的利息费用以及资产上限影响的利息。</w:t>
      </w:r>
    </w:p>
    <w:p>
      <w:pPr>
        <w:pStyle w:val="BodyText"/>
        <w:spacing w:line="297" w:lineRule="auto" w:before="35"/>
        <w:ind w:left="558" w:right="123"/>
        <w:jc w:val="left"/>
      </w:pPr>
      <w:r>
        <w:rPr>
          <w:rFonts w:ascii="Times New Roman" w:hAnsi="Times New Roman" w:cs="Times New Roman" w:eastAsia="Times New Roman" w:hint="default"/>
        </w:rPr>
        <w:t>C.</w:t>
      </w:r>
      <w:r>
        <w:rPr/>
        <w:t>重新计量设定受益计划净负债或净资产所产生的变动。</w:t>
      </w:r>
      <w:r>
        <w:rPr>
          <w:w w:val="100"/>
        </w:rPr>
        <w:t> </w:t>
      </w:r>
      <w:r>
        <w:rPr>
          <w:spacing w:val="-4"/>
        </w:rPr>
        <w:t>除非其他会计准则要求或允许职工福利成本计入资产成本，本公司将上述第</w:t>
      </w:r>
      <w:r>
        <w:rPr>
          <w:spacing w:val="-39"/>
        </w:rPr>
        <w:t> </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和</w:t>
      </w:r>
      <w:r>
        <w:rPr>
          <w:spacing w:val="-38"/>
        </w:rPr>
        <w:t> </w:t>
      </w:r>
      <w:r>
        <w:rPr>
          <w:rFonts w:ascii="Times New Roman" w:hAnsi="Times New Roman" w:cs="Times New Roman" w:eastAsia="Times New Roman" w:hint="default"/>
        </w:rPr>
        <w:t>B</w:t>
      </w:r>
      <w:r>
        <w:rPr>
          <w:rFonts w:ascii="Times New Roman" w:hAnsi="Times New Roman" w:cs="Times New Roman" w:eastAsia="Times New Roman" w:hint="default"/>
          <w:spacing w:val="13"/>
        </w:rPr>
        <w:t> </w:t>
      </w:r>
      <w:r>
        <w:rPr/>
        <w:t>项计入当</w:t>
      </w:r>
    </w:p>
    <w:p>
      <w:pPr>
        <w:pStyle w:val="BodyText"/>
        <w:spacing w:line="297" w:lineRule="auto" w:before="13"/>
        <w:ind w:right="128"/>
        <w:jc w:val="both"/>
      </w:pPr>
      <w:r>
        <w:rPr>
          <w:spacing w:val="-4"/>
        </w:rPr>
        <w:t>期损益；第</w:t>
      </w:r>
      <w:r>
        <w:rPr>
          <w:spacing w:val="-59"/>
        </w:rPr>
        <w:t> </w:t>
      </w: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项计入其他综合收益且不会在后续会计期间转回至损益，但可以在权益范围内转移</w:t>
      </w:r>
      <w:r>
        <w:rPr>
          <w:w w:val="100"/>
        </w:rPr>
        <w:t> </w:t>
      </w:r>
      <w:r>
        <w:rPr/>
        <w:t>这些在其他综合收益中确认的金额。</w:t>
      </w:r>
    </w:p>
    <w:p>
      <w:pPr>
        <w:spacing w:line="240" w:lineRule="auto" w:before="1"/>
        <w:rPr>
          <w:rFonts w:ascii="宋体" w:hAnsi="宋体" w:cs="宋体" w:eastAsia="宋体" w:hint="default"/>
          <w:sz w:val="22"/>
          <w:szCs w:val="22"/>
        </w:rPr>
      </w:pPr>
    </w:p>
    <w:p>
      <w:pPr>
        <w:spacing w:line="357"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辞退福利是指公司在职工劳动合同到期之前解除与职工的劳动关系，或者为鼓励职工自愿接</w:t>
      </w:r>
    </w:p>
    <w:p>
      <w:pPr>
        <w:pStyle w:val="BodyText"/>
        <w:spacing w:line="257" w:lineRule="exact"/>
        <w:ind w:right="0"/>
        <w:jc w:val="left"/>
      </w:pPr>
      <w:r>
        <w:rPr/>
        <w:t>受裁减而给予职工的补偿。公司向职工提供辞退福利的，在下列两者孰早日确认辞退福利产生的</w:t>
      </w:r>
    </w:p>
    <w:p>
      <w:pPr>
        <w:pStyle w:val="BodyText"/>
        <w:spacing w:line="314" w:lineRule="auto" w:before="85"/>
        <w:ind w:right="128"/>
        <w:jc w:val="both"/>
      </w:pPr>
      <w:r>
        <w:rPr>
          <w:spacing w:val="-1"/>
        </w:rPr>
        <w:t>职工薪酬负债，并计入当期损益：①公司不能单方面撤回因解除劳动关系计划或裁减建议所提供</w:t>
      </w:r>
      <w:r>
        <w:rPr>
          <w:spacing w:val="-55"/>
        </w:rPr>
        <w:t> </w:t>
      </w:r>
      <w:r>
        <w:rPr>
          <w:spacing w:val="-55"/>
        </w:rPr>
      </w:r>
      <w:r>
        <w:rPr/>
        <w:t>的辞退福利时；②公司确认与涉及支付辞退福利的重组相关的成本或费用时。</w:t>
      </w:r>
    </w:p>
    <w:p>
      <w:pPr>
        <w:pStyle w:val="BodyText"/>
        <w:spacing w:line="314" w:lineRule="auto" w:before="20"/>
        <w:ind w:right="128" w:firstLine="419"/>
        <w:jc w:val="both"/>
      </w:pPr>
      <w:r>
        <w:rPr>
          <w:spacing w:val="-2"/>
        </w:rPr>
        <w:t>公司实行职工内部退休计划的，在正式退休日之前的经济补偿，属于辞退福利，自职工停止</w:t>
      </w:r>
      <w:r>
        <w:rPr>
          <w:w w:val="100"/>
        </w:rPr>
        <w:t> </w:t>
      </w:r>
      <w:r>
        <w:rPr>
          <w:spacing w:val="-1"/>
        </w:rPr>
        <w:t>提供服务日至正常退休日期间，拟支付的内退职工工资和缴纳的社会保险费等一次性计入当期损</w:t>
      </w:r>
      <w:r>
        <w:rPr>
          <w:spacing w:val="-55"/>
        </w:rPr>
        <w:t> </w:t>
      </w:r>
      <w:r>
        <w:rPr>
          <w:spacing w:val="-55"/>
        </w:rPr>
      </w:r>
      <w:r>
        <w:rPr/>
        <w:t>益；职工正式退休日期之后的经济补偿（如正常养老退休金），按照离职后福利处理。</w:t>
      </w:r>
    </w:p>
    <w:p>
      <w:pPr>
        <w:spacing w:line="240" w:lineRule="auto" w:before="13"/>
        <w:rPr>
          <w:rFonts w:ascii="宋体" w:hAnsi="宋体" w:cs="宋体" w:eastAsia="宋体" w:hint="default"/>
          <w:sz w:val="20"/>
          <w:szCs w:val="20"/>
        </w:rPr>
      </w:pPr>
    </w:p>
    <w:p>
      <w:pPr>
        <w:spacing w:line="357"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其他长期职工福利，是指除短期薪酬、离职后福利、辞退福利之外所有的职工薪酬，包括长</w:t>
      </w:r>
    </w:p>
    <w:p>
      <w:pPr>
        <w:pStyle w:val="BodyText"/>
        <w:spacing w:line="257" w:lineRule="exact"/>
        <w:ind w:right="0"/>
        <w:jc w:val="left"/>
      </w:pPr>
      <w:r>
        <w:rPr/>
        <w:t>期带薪缺勤、长期残疾福利、长期利润分享计划等。本公司向职工提供的其他长期职工福利，符</w:t>
      </w:r>
    </w:p>
    <w:p>
      <w:pPr>
        <w:pStyle w:val="BodyText"/>
        <w:spacing w:line="314" w:lineRule="auto" w:before="85"/>
        <w:ind w:right="128"/>
        <w:jc w:val="both"/>
      </w:pPr>
      <w:r>
        <w:rPr>
          <w:spacing w:val="-1"/>
        </w:rPr>
        <w:t>合设定提存计划条件的，按照设定提存计划的有关规定进行处理；除上述情形外的其他长期职工</w:t>
      </w:r>
      <w:r>
        <w:rPr>
          <w:spacing w:val="-55"/>
        </w:rPr>
        <w:t> </w:t>
      </w:r>
      <w:r>
        <w:rPr>
          <w:spacing w:val="-55"/>
        </w:rPr>
      </w:r>
      <w:r>
        <w:rPr>
          <w:spacing w:val="-1"/>
        </w:rPr>
        <w:t>福利，按照设定受益计划的有关规定，确认和计量其他长期职工福利净负债或净资产。在报告期</w:t>
      </w:r>
      <w:r>
        <w:rPr>
          <w:spacing w:val="-55"/>
        </w:rPr>
        <w:t> </w:t>
      </w:r>
      <w:r>
        <w:rPr>
          <w:spacing w:val="-55"/>
        </w:rPr>
      </w:r>
      <w:r>
        <w:rPr>
          <w:spacing w:val="-1"/>
        </w:rPr>
        <w:t>末，公司将其他长期职工福利产生的福利义务归属于职工提供服务期间，并计入当期损益或相关</w:t>
      </w:r>
      <w:r>
        <w:rPr>
          <w:spacing w:val="-55"/>
        </w:rPr>
        <w:t> </w:t>
      </w:r>
      <w:r>
        <w:rPr>
          <w:spacing w:val="-55"/>
        </w:rPr>
      </w:r>
      <w:r>
        <w:rPr/>
        <w:t>资产成本。</w:t>
      </w:r>
    </w:p>
    <w:p>
      <w:pPr>
        <w:spacing w:after="0" w:line="314" w:lineRule="auto"/>
        <w:jc w:val="both"/>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138" w:right="2926"/>
        <w:jc w:val="left"/>
        <w:rPr>
          <w:b w:val="0"/>
          <w:bCs w:val="0"/>
        </w:rPr>
      </w:pPr>
      <w:r>
        <w:rPr>
          <w:rFonts w:ascii="Calibri" w:hAnsi="Calibri" w:cs="Calibri" w:eastAsia="Calibri" w:hint="default"/>
        </w:rPr>
        <w:t>23.  </w:t>
      </w:r>
      <w:r>
        <w:rPr>
          <w:rFonts w:ascii="Calibri" w:hAnsi="Calibri" w:cs="Calibri" w:eastAsia="Calibri" w:hint="default"/>
          <w:spacing w:val="13"/>
        </w:rPr>
        <w:t> </w:t>
      </w:r>
      <w:r>
        <w:rPr/>
        <w:t>预计负债</w:t>
      </w:r>
      <w:r>
        <w:rPr>
          <w:b w:val="0"/>
          <w:bCs w:val="0"/>
        </w:rPr>
      </w:r>
    </w:p>
    <w:p>
      <w:pPr>
        <w:pStyle w:val="BodyText"/>
        <w:spacing w:line="240" w:lineRule="auto" w:before="106"/>
        <w:ind w:left="558" w:right="98"/>
        <w:jc w:val="left"/>
      </w:pPr>
      <w:r>
        <w:rPr/>
        <w:t>公司如果发生与或有事项相关的义务且同时符合以下条件，则将其确认为预计负债：</w:t>
      </w:r>
    </w:p>
    <w:p>
      <w:pPr>
        <w:pStyle w:val="BodyText"/>
        <w:spacing w:line="240" w:lineRule="auto" w:before="85"/>
        <w:ind w:left="558" w:right="2926"/>
        <w:jc w:val="left"/>
      </w:pPr>
      <w:r>
        <w:rPr/>
        <w:t>（</w:t>
      </w:r>
      <w:r>
        <w:rPr>
          <w:rFonts w:ascii="Times New Roman" w:hAnsi="Times New Roman" w:cs="Times New Roman" w:eastAsia="Times New Roman" w:hint="default"/>
        </w:rPr>
        <w:t>1</w:t>
      </w:r>
      <w:r>
        <w:rPr/>
        <w:t>）该义务是公司承担的现时义务；</w:t>
      </w:r>
    </w:p>
    <w:p>
      <w:pPr>
        <w:pStyle w:val="BodyText"/>
        <w:spacing w:line="240" w:lineRule="auto" w:before="69"/>
        <w:ind w:left="558" w:right="2926"/>
        <w:jc w:val="left"/>
      </w:pPr>
      <w:r>
        <w:rPr/>
        <w:t>（</w:t>
      </w:r>
      <w:r>
        <w:rPr>
          <w:rFonts w:ascii="Times New Roman" w:hAnsi="Times New Roman" w:cs="Times New Roman" w:eastAsia="Times New Roman" w:hint="default"/>
        </w:rPr>
        <w:t>2</w:t>
      </w:r>
      <w:r>
        <w:rPr/>
        <w:t>）该义务的履行很可能导致经济利益的流出；</w:t>
      </w:r>
    </w:p>
    <w:p>
      <w:pPr>
        <w:pStyle w:val="BodyText"/>
        <w:spacing w:line="297" w:lineRule="auto" w:before="69"/>
        <w:ind w:left="558" w:right="98"/>
        <w:jc w:val="left"/>
      </w:pPr>
      <w:r>
        <w:rPr/>
        <w:t>（</w:t>
      </w:r>
      <w:r>
        <w:rPr>
          <w:rFonts w:ascii="Times New Roman" w:hAnsi="Times New Roman" w:cs="Times New Roman" w:eastAsia="Times New Roman" w:hint="default"/>
        </w:rPr>
        <w:t>3</w:t>
      </w:r>
      <w:r>
        <w:rPr/>
        <w:t>）该义务的金额能够可靠地计量。</w:t>
      </w:r>
      <w:r>
        <w:rPr>
          <w:w w:val="100"/>
        </w:rPr>
        <w:t> </w:t>
      </w:r>
      <w:r>
        <w:rPr>
          <w:spacing w:val="-2"/>
        </w:rPr>
        <w:t>预计负债按照履行相关现时义务所需支出的最佳估计数进行初始计量，并综合考虑与或有事</w:t>
      </w:r>
    </w:p>
    <w:p>
      <w:pPr>
        <w:pStyle w:val="BodyText"/>
        <w:spacing w:line="314" w:lineRule="auto" w:before="34"/>
        <w:ind w:right="98"/>
        <w:jc w:val="left"/>
      </w:pPr>
      <w:r>
        <w:rPr>
          <w:spacing w:val="-1"/>
        </w:rPr>
        <w:t>项有关的风险、不确定性和货币时间价值等因素。货币时间价值影响重大的，通过对相关未来现</w:t>
      </w:r>
      <w:r>
        <w:rPr>
          <w:spacing w:val="-55"/>
        </w:rPr>
        <w:t> </w:t>
      </w:r>
      <w:r>
        <w:rPr>
          <w:spacing w:val="-55"/>
        </w:rPr>
      </w:r>
      <w:r>
        <w:rPr/>
        <w:t>金流出进行折现后确定最佳估计数。</w:t>
      </w:r>
    </w:p>
    <w:p>
      <w:pPr>
        <w:pStyle w:val="BodyText"/>
        <w:spacing w:line="314" w:lineRule="auto" w:before="20"/>
        <w:ind w:right="210" w:firstLine="419"/>
        <w:jc w:val="both"/>
      </w:pPr>
      <w:r>
        <w:rPr>
          <w:spacing w:val="-2"/>
        </w:rPr>
        <w:t>在资产负债表日，公司对预计负债的账面价值进行复核，有确凿证据表明该账面价值不能真</w:t>
      </w:r>
      <w:r>
        <w:rPr>
          <w:w w:val="100"/>
        </w:rPr>
        <w:t> </w:t>
      </w:r>
      <w:r>
        <w:rPr/>
        <w:t>实反映当前最佳估计数的，按照当前最佳估计数对该账面价值进行调整。</w:t>
      </w:r>
    </w:p>
    <w:p>
      <w:pPr>
        <w:pStyle w:val="BodyText"/>
        <w:spacing w:line="314" w:lineRule="auto" w:before="20"/>
        <w:ind w:right="208" w:firstLine="419"/>
        <w:jc w:val="both"/>
      </w:pPr>
      <w:r>
        <w:rPr>
          <w:spacing w:val="-2"/>
        </w:rPr>
        <w:t>如果清偿已确认预计负债所需支出全部或部分预期由第三方或其他方补偿的，补偿金额只有</w:t>
      </w:r>
      <w:r>
        <w:rPr>
          <w:w w:val="100"/>
        </w:rPr>
        <w:t> </w:t>
      </w:r>
      <w:r>
        <w:rPr>
          <w:spacing w:val="-1"/>
        </w:rPr>
        <w:t>在基本确定能够收到时才能作为资产单独确认，确认的补偿金额不超过所确认预计负债的账面价</w:t>
      </w:r>
      <w:r>
        <w:rPr>
          <w:spacing w:val="-55"/>
        </w:rPr>
        <w:t> </w:t>
      </w:r>
      <w:r>
        <w:rPr>
          <w:spacing w:val="-55"/>
        </w:rPr>
      </w:r>
      <w:r>
        <w:rPr/>
        <w:t>值。</w:t>
      </w:r>
    </w:p>
    <w:p>
      <w:pPr>
        <w:spacing w:line="240" w:lineRule="auto" w:before="2"/>
        <w:rPr>
          <w:rFonts w:ascii="宋体" w:hAnsi="宋体" w:cs="宋体" w:eastAsia="宋体" w:hint="default"/>
          <w:sz w:val="21"/>
          <w:szCs w:val="21"/>
        </w:rPr>
      </w:pPr>
    </w:p>
    <w:p>
      <w:pPr>
        <w:pStyle w:val="Heading2"/>
        <w:spacing w:line="240" w:lineRule="auto"/>
        <w:ind w:left="138" w:right="2926"/>
        <w:jc w:val="left"/>
        <w:rPr>
          <w:b w:val="0"/>
          <w:bCs w:val="0"/>
        </w:rPr>
      </w:pPr>
      <w:r>
        <w:rPr>
          <w:rFonts w:ascii="Calibri" w:hAnsi="Calibri" w:cs="Calibri" w:eastAsia="Calibri" w:hint="default"/>
        </w:rPr>
        <w:t>24.  </w:t>
      </w:r>
      <w:r>
        <w:rPr>
          <w:rFonts w:ascii="Calibri" w:hAnsi="Calibri" w:cs="Calibri" w:eastAsia="Calibri" w:hint="default"/>
          <w:spacing w:val="13"/>
        </w:rPr>
        <w:t> </w:t>
      </w:r>
      <w:r>
        <w:rPr/>
        <w:t>股份支付</w:t>
      </w:r>
      <w:r>
        <w:rPr>
          <w:b w:val="0"/>
          <w:bCs w:val="0"/>
        </w:rPr>
      </w:r>
    </w:p>
    <w:p>
      <w:pPr>
        <w:spacing w:line="297" w:lineRule="auto" w:before="166"/>
        <w:ind w:left="558" w:right="2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公司的股份支付分为以现金结算的股份支付和以权益结算的股份支付。</w:t>
      </w:r>
    </w:p>
    <w:p>
      <w:pPr>
        <w:pStyle w:val="BodyText"/>
        <w:spacing w:line="314" w:lineRule="auto" w:before="35"/>
        <w:ind w:right="208" w:firstLine="419"/>
        <w:jc w:val="both"/>
      </w:pPr>
      <w:r>
        <w:rPr>
          <w:spacing w:val="-2"/>
        </w:rPr>
        <w:t>①以权益结算的股份支付，按授予职工权益工具的公允价值计量。授予后立即可行权的换取</w:t>
      </w:r>
      <w:r>
        <w:rPr>
          <w:w w:val="100"/>
        </w:rPr>
        <w:t> </w:t>
      </w:r>
      <w:r>
        <w:rPr>
          <w:spacing w:val="-1"/>
        </w:rPr>
        <w:t>职工服务的以权益结算的股份支付，在授予日按照权益工具的公允价值计入相关成本或费用，相</w:t>
      </w:r>
      <w:r>
        <w:rPr>
          <w:spacing w:val="-55"/>
        </w:rPr>
        <w:t> </w:t>
      </w:r>
      <w:r>
        <w:rPr>
          <w:spacing w:val="-55"/>
        </w:rPr>
      </w:r>
      <w:r>
        <w:rPr>
          <w:spacing w:val="-1"/>
        </w:rPr>
        <w:t>应增加资本公积。在完成等待期内的服务或达到规定业绩条件才可行权的换取职工服务的以权益</w:t>
      </w:r>
      <w:r>
        <w:rPr>
          <w:spacing w:val="-55"/>
        </w:rPr>
        <w:t> </w:t>
      </w:r>
      <w:r>
        <w:rPr>
          <w:spacing w:val="-55"/>
        </w:rPr>
      </w:r>
      <w:r>
        <w:rPr>
          <w:spacing w:val="-6"/>
          <w:w w:val="100"/>
        </w:rPr>
        <w:t>结算的股份支付，在等待期内的每个资产负债表日，以对可行权权益工具数量的最佳估计为基础，</w:t>
      </w:r>
      <w:r>
        <w:rPr>
          <w:w w:val="100"/>
        </w:rPr>
        <w:t> </w:t>
      </w:r>
      <w:r>
        <w:rPr>
          <w:spacing w:val="-1"/>
        </w:rPr>
        <w:t>按照权益工具授予日的公允价值，将当期取得的服务计入相关成本或费用和资本公积。公司在可</w:t>
      </w:r>
      <w:r>
        <w:rPr>
          <w:spacing w:val="-55"/>
        </w:rPr>
        <w:t> </w:t>
      </w:r>
      <w:r>
        <w:rPr>
          <w:spacing w:val="-55"/>
        </w:rPr>
      </w:r>
      <w:r>
        <w:rPr/>
        <w:t>行权日之后不再对已确认的相关成本或费用和所有者权益总额进行调整。</w:t>
      </w:r>
    </w:p>
    <w:p>
      <w:pPr>
        <w:pStyle w:val="BodyText"/>
        <w:spacing w:line="314" w:lineRule="auto" w:before="20"/>
        <w:ind w:right="208" w:firstLine="419"/>
        <w:jc w:val="both"/>
      </w:pPr>
      <w:r>
        <w:rPr>
          <w:spacing w:val="-2"/>
        </w:rPr>
        <w:t>②以现金结算的股份支付，按照公司承担的以股份或其他权益工具为基础计算确定的负债的</w:t>
      </w:r>
      <w:r>
        <w:rPr>
          <w:w w:val="100"/>
        </w:rPr>
        <w:t> </w:t>
      </w:r>
      <w:r>
        <w:rPr>
          <w:spacing w:val="-1"/>
        </w:rPr>
        <w:t>公允价值计量。授予后立即可行权的以现金结算的股份支付，在授予日以公司承担负债的公允价</w:t>
      </w:r>
      <w:r>
        <w:rPr>
          <w:spacing w:val="-55"/>
        </w:rPr>
        <w:t> </w:t>
      </w:r>
      <w:r>
        <w:rPr>
          <w:spacing w:val="-55"/>
        </w:rPr>
      </w:r>
      <w:r>
        <w:rPr>
          <w:spacing w:val="-1"/>
        </w:rPr>
        <w:t>值计入相关成本或费用，相应增加负债。在完成等待期内的服务或达到规定业绩条件以后才可行</w:t>
      </w:r>
      <w:r>
        <w:rPr>
          <w:spacing w:val="-56"/>
        </w:rPr>
        <w:t> </w:t>
      </w:r>
      <w:r>
        <w:rPr>
          <w:spacing w:val="-56"/>
        </w:rPr>
      </w:r>
      <w:r>
        <w:rPr>
          <w:spacing w:val="-1"/>
        </w:rPr>
        <w:t>权的以现金结算的股份支付，在等待期内的每个资产负债表日，以对可行权情况的最佳估计为基</w:t>
      </w:r>
      <w:r>
        <w:rPr>
          <w:spacing w:val="-55"/>
        </w:rPr>
        <w:t> </w:t>
      </w:r>
      <w:r>
        <w:rPr>
          <w:spacing w:val="-55"/>
        </w:rPr>
      </w:r>
      <w:r>
        <w:rPr>
          <w:spacing w:val="-1"/>
        </w:rPr>
        <w:t>础，按照公司承担负债的公允价值金额，将当期取得的服务计入成本或费用和相应的负债。公司</w:t>
      </w:r>
      <w:r>
        <w:rPr>
          <w:spacing w:val="-55"/>
        </w:rPr>
        <w:t> </w:t>
      </w:r>
      <w:r>
        <w:rPr>
          <w:spacing w:val="-55"/>
        </w:rPr>
      </w:r>
      <w:r>
        <w:rPr>
          <w:spacing w:val="-1"/>
        </w:rPr>
        <w:t>在相关负债结算前的每个资产负债表日以及结算日，对负债的公允价值重新计量，其变动计入当</w:t>
      </w:r>
      <w:r>
        <w:rPr>
          <w:spacing w:val="-55"/>
        </w:rPr>
        <w:t> </w:t>
      </w:r>
      <w:r>
        <w:rPr>
          <w:spacing w:val="-55"/>
        </w:rPr>
      </w:r>
      <w:r>
        <w:rPr/>
        <w:t>期损益。</w:t>
      </w:r>
    </w:p>
    <w:p>
      <w:pPr>
        <w:spacing w:line="297" w:lineRule="auto" w:before="140"/>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）实施、修改、终止股份支付计划的相关会计处理</w:t>
      </w:r>
      <w:r>
        <w:rPr>
          <w:rFonts w:ascii="宋体" w:hAnsi="宋体" w:cs="宋体" w:eastAsia="宋体" w:hint="default"/>
          <w:b/>
          <w:bCs/>
          <w:spacing w:val="-3"/>
          <w:w w:val="100"/>
          <w:sz w:val="21"/>
          <w:szCs w:val="21"/>
        </w:rPr>
        <w:t> </w:t>
      </w:r>
      <w:r>
        <w:rPr>
          <w:rFonts w:ascii="宋体" w:hAnsi="宋体" w:cs="宋体" w:eastAsia="宋体" w:hint="default"/>
          <w:spacing w:val="-4"/>
          <w:w w:val="100"/>
          <w:sz w:val="21"/>
          <w:szCs w:val="21"/>
        </w:rPr>
        <w:t>无论已授予的权益工具的条款和条件如何修改，甚至取消权益工具的授予或结算该权益工具，</w:t>
      </w:r>
    </w:p>
    <w:p>
      <w:pPr>
        <w:pStyle w:val="BodyText"/>
        <w:spacing w:line="314" w:lineRule="auto" w:before="34"/>
        <w:ind w:right="98"/>
        <w:jc w:val="left"/>
      </w:pPr>
      <w:r>
        <w:rPr>
          <w:spacing w:val="-1"/>
        </w:rPr>
        <w:t>公司都应至少确认按照所授予的权益工具在授予日的公允价值来计量获取的相应的服务，除非因</w:t>
      </w:r>
      <w:r>
        <w:rPr>
          <w:spacing w:val="-55"/>
        </w:rPr>
        <w:t> </w:t>
      </w:r>
      <w:r>
        <w:rPr>
          <w:spacing w:val="-55"/>
        </w:rPr>
      </w:r>
      <w:r>
        <w:rPr/>
        <w:t>不能满足权益工具的可行权条件（除市场条件外）而无法可行权。</w:t>
      </w:r>
    </w:p>
    <w:p>
      <w:pPr>
        <w:pStyle w:val="BodyText"/>
        <w:spacing w:line="314" w:lineRule="auto" w:before="20"/>
        <w:ind w:right="210" w:firstLine="419"/>
        <w:jc w:val="both"/>
      </w:pPr>
      <w:r>
        <w:rPr>
          <w:spacing w:val="-2"/>
        </w:rPr>
        <w:t>如果公司在等待期内取消了所授予的权益工具或结算了所授予的权益工具（因未满足可行权</w:t>
      </w:r>
      <w:r>
        <w:rPr>
          <w:w w:val="100"/>
        </w:rPr>
        <w:t> </w:t>
      </w:r>
      <w:r>
        <w:rPr/>
        <w:t>条件而被取消的除外），则按以下规定处理：</w:t>
      </w:r>
    </w:p>
    <w:p>
      <w:pPr>
        <w:pStyle w:val="BodyText"/>
        <w:spacing w:line="240" w:lineRule="auto" w:before="20"/>
        <w:ind w:left="558" w:right="98"/>
        <w:jc w:val="left"/>
      </w:pPr>
      <w:r>
        <w:rPr/>
        <w:t>①将取消或结算作为加速可行权处理，立即确认原本应在剩余等待期内确认的金额。</w:t>
      </w:r>
    </w:p>
    <w:p>
      <w:pPr>
        <w:spacing w:after="0" w:line="240" w:lineRule="auto"/>
        <w:jc w:val="left"/>
        <w:sectPr>
          <w:pgSz w:w="11910" w:h="16840"/>
          <w:pgMar w:header="882" w:footer="974" w:top="1120" w:bottom="116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right="130" w:firstLine="419"/>
        <w:jc w:val="both"/>
      </w:pPr>
      <w:r>
        <w:rPr>
          <w:spacing w:val="-2"/>
        </w:rPr>
        <w:t>②在取消或结算时支付给职工的所有款项均应作为权益的回购处理，回购支付的金额高于该</w:t>
      </w:r>
      <w:r>
        <w:rPr>
          <w:w w:val="100"/>
        </w:rPr>
        <w:t> </w:t>
      </w:r>
      <w:r>
        <w:rPr/>
        <w:t>权益工具在回购日公允价值的部分，计入当期费用。</w:t>
      </w:r>
    </w:p>
    <w:p>
      <w:pPr>
        <w:pStyle w:val="BodyText"/>
        <w:spacing w:line="314" w:lineRule="auto" w:before="20"/>
        <w:ind w:right="128" w:firstLine="419"/>
        <w:jc w:val="both"/>
      </w:pPr>
      <w:r>
        <w:rPr>
          <w:spacing w:val="-2"/>
        </w:rPr>
        <w:t>③如果向职工授予新的权益工具，并在新权益工具授予日认定所授予的新权益工具是用于替</w:t>
      </w:r>
      <w:r>
        <w:rPr>
          <w:w w:val="100"/>
        </w:rPr>
        <w:t> </w:t>
      </w:r>
      <w:r>
        <w:rPr>
          <w:spacing w:val="-1"/>
        </w:rPr>
        <w:t>代被取消的权益工具的，公司应以处理原权益工具条款和条件修改相同的方式，对所授予的替代</w:t>
      </w:r>
      <w:r>
        <w:rPr>
          <w:spacing w:val="-55"/>
        </w:rPr>
        <w:t> </w:t>
      </w:r>
      <w:r>
        <w:rPr>
          <w:spacing w:val="-55"/>
        </w:rPr>
      </w:r>
      <w:r>
        <w:rPr/>
        <w:t>权益工具进行处理。</w:t>
      </w:r>
    </w:p>
    <w:p>
      <w:pPr>
        <w:spacing w:line="240" w:lineRule="auto" w:before="2"/>
        <w:rPr>
          <w:rFonts w:ascii="宋体" w:hAnsi="宋体" w:cs="宋体" w:eastAsia="宋体" w:hint="default"/>
          <w:sz w:val="21"/>
          <w:szCs w:val="21"/>
        </w:rPr>
      </w:pPr>
    </w:p>
    <w:p>
      <w:pPr>
        <w:spacing w:line="324"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25.</w:t>
      </w:r>
      <w:r>
        <w:rPr>
          <w:rFonts w:ascii="Calibri" w:hAnsi="Calibri" w:cs="Calibri" w:eastAsia="Calibri" w:hint="default"/>
          <w:b/>
          <w:bCs/>
          <w:spacing w:val="11"/>
          <w:sz w:val="21"/>
          <w:szCs w:val="21"/>
        </w:rPr>
        <w:t> </w:t>
      </w:r>
      <w:r>
        <w:rPr>
          <w:rFonts w:ascii="宋体" w:hAnsi="宋体" w:cs="宋体" w:eastAsia="宋体" w:hint="default"/>
          <w:b/>
          <w:bCs/>
          <w:sz w:val="21"/>
          <w:szCs w:val="21"/>
        </w:rPr>
        <w:t>优先股、永续债等其他金融工具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公司发行的金融工具按照金融工具准则和金融负债和权益工具的区分及相关会计处理规定进</w:t>
      </w:r>
    </w:p>
    <w:p>
      <w:pPr>
        <w:pStyle w:val="BodyText"/>
        <w:spacing w:line="314" w:lineRule="auto" w:before="11"/>
        <w:ind w:right="128"/>
        <w:jc w:val="both"/>
      </w:pPr>
      <w:r>
        <w:rPr>
          <w:spacing w:val="-1"/>
        </w:rPr>
        <w:t>行初始确认和计量。其后，公司以所发行金融工具的分类为基础，确定该工具利息支出或股利分</w:t>
      </w:r>
      <w:r>
        <w:rPr>
          <w:spacing w:val="-55"/>
        </w:rPr>
        <w:t> </w:t>
      </w:r>
      <w:r>
        <w:rPr>
          <w:spacing w:val="-55"/>
        </w:rPr>
      </w:r>
      <w:r>
        <w:rPr>
          <w:spacing w:val="-1"/>
        </w:rPr>
        <w:t>配等的会计处理。对于归类为权益工具的金融工具，其利息支出或股利分配都作为发行企业的利</w:t>
      </w:r>
      <w:r>
        <w:rPr>
          <w:spacing w:val="-55"/>
        </w:rPr>
        <w:t> </w:t>
      </w:r>
      <w:r>
        <w:rPr>
          <w:spacing w:val="-55"/>
        </w:rPr>
      </w:r>
      <w:r>
        <w:rPr>
          <w:spacing w:val="-1"/>
        </w:rPr>
        <w:t>润分配，其回购、注销等作为权益的变动处理。对于归类为金融负债的金融工具，其利息支出或</w:t>
      </w:r>
      <w:r>
        <w:rPr>
          <w:spacing w:val="-55"/>
        </w:rPr>
        <w:t> </w:t>
      </w:r>
      <w:r>
        <w:rPr>
          <w:spacing w:val="-55"/>
        </w:rPr>
      </w:r>
      <w:r>
        <w:rPr/>
        <w:t>股利分配原则上按照借款费用进行处理，其回购或赎回产生的利得或损失等计入当期损益。</w:t>
      </w:r>
    </w:p>
    <w:p>
      <w:pPr>
        <w:pStyle w:val="BodyText"/>
        <w:spacing w:line="314" w:lineRule="auto" w:before="20"/>
        <w:ind w:right="130" w:firstLine="419"/>
        <w:jc w:val="both"/>
      </w:pPr>
      <w:r>
        <w:rPr>
          <w:spacing w:val="-2"/>
        </w:rPr>
        <w:t>发行方发行金融工具，其发生的手续费、佣金等交易费用，如分类为债务工具且以摊余成本</w:t>
      </w:r>
      <w:r>
        <w:rPr>
          <w:w w:val="100"/>
        </w:rPr>
        <w:t> </w:t>
      </w:r>
      <w:r>
        <w:rPr/>
        <w:t>计量的，计入所发行工具的初始计量金额；如分类为权益工具的，从权益中扣除。</w:t>
      </w:r>
    </w:p>
    <w:p>
      <w:pPr>
        <w:spacing w:line="240" w:lineRule="auto" w:before="2"/>
        <w:rPr>
          <w:rFonts w:ascii="宋体" w:hAnsi="宋体" w:cs="宋体" w:eastAsia="宋体" w:hint="default"/>
          <w:sz w:val="21"/>
          <w:szCs w:val="21"/>
        </w:rPr>
      </w:pPr>
    </w:p>
    <w:p>
      <w:pPr>
        <w:pStyle w:val="Heading2"/>
        <w:spacing w:line="240" w:lineRule="auto"/>
        <w:ind w:left="138" w:right="0"/>
        <w:jc w:val="both"/>
        <w:rPr>
          <w:b w:val="0"/>
          <w:bCs w:val="0"/>
        </w:rPr>
      </w:pPr>
      <w:r>
        <w:rPr>
          <w:rFonts w:ascii="Calibri" w:hAnsi="Calibri" w:cs="Calibri" w:eastAsia="Calibri" w:hint="default"/>
        </w:rPr>
        <w:t>26.  </w:t>
      </w:r>
      <w:r>
        <w:rPr>
          <w:rFonts w:ascii="Calibri" w:hAnsi="Calibri" w:cs="Calibri" w:eastAsia="Calibri" w:hint="default"/>
          <w:spacing w:val="12"/>
        </w:rPr>
        <w:t> </w:t>
      </w:r>
      <w:r>
        <w:rPr/>
        <w:t>收入</w:t>
      </w:r>
      <w:r>
        <w:rPr>
          <w:b w:val="0"/>
          <w:bCs w:val="0"/>
        </w:rPr>
      </w:r>
    </w:p>
    <w:p>
      <w:pPr>
        <w:pStyle w:val="BodyText"/>
        <w:spacing w:line="297" w:lineRule="auto" w:before="166"/>
        <w:ind w:left="558"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w:t>
      </w:r>
      <w:r>
        <w:rPr>
          <w:rFonts w:ascii="宋体" w:hAnsi="宋体" w:cs="宋体" w:eastAsia="宋体" w:hint="default"/>
          <w:b/>
          <w:bCs/>
          <w:w w:val="100"/>
        </w:rPr>
        <w:t> </w:t>
      </w:r>
      <w:r>
        <w:rPr>
          <w:spacing w:val="-2"/>
        </w:rPr>
        <w:t>在公司已将商品所有权上的主要风险和报酬转移给购货方；公司既没有保留通常与所有权相</w:t>
      </w:r>
    </w:p>
    <w:p>
      <w:pPr>
        <w:pStyle w:val="BodyText"/>
        <w:spacing w:line="314" w:lineRule="auto" w:before="35"/>
        <w:ind w:right="128"/>
        <w:jc w:val="both"/>
      </w:pPr>
      <w:r>
        <w:rPr>
          <w:spacing w:val="-1"/>
        </w:rPr>
        <w:t>联系的继续管理权，也没有对已售出的商品实施有效控制；收入的金额能够可靠地计量；相关的</w:t>
      </w:r>
      <w:r>
        <w:rPr>
          <w:spacing w:val="-55"/>
        </w:rPr>
        <w:t> </w:t>
      </w:r>
      <w:r>
        <w:rPr>
          <w:spacing w:val="-55"/>
        </w:rPr>
      </w:r>
      <w:r>
        <w:rPr>
          <w:spacing w:val="-1"/>
        </w:rPr>
        <w:t>经济利益很可能流入企业；相关的已发生或将发生的成本能够可靠地计量时，确认销售商品收入</w:t>
      </w:r>
      <w:r>
        <w:rPr>
          <w:spacing w:val="-55"/>
        </w:rPr>
        <w:t> </w:t>
      </w:r>
      <w:r>
        <w:rPr>
          <w:spacing w:val="-55"/>
        </w:rPr>
      </w:r>
      <w:r>
        <w:rPr/>
        <w:t>的实现。</w:t>
      </w:r>
    </w:p>
    <w:p>
      <w:pPr>
        <w:pStyle w:val="BodyText"/>
        <w:spacing w:line="297" w:lineRule="auto" w:before="140"/>
        <w:ind w:left="558"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）提供劳务</w:t>
      </w:r>
      <w:r>
        <w:rPr>
          <w:rFonts w:ascii="宋体" w:hAnsi="宋体" w:cs="宋体" w:eastAsia="宋体" w:hint="default"/>
          <w:b/>
          <w:bCs/>
          <w:w w:val="100"/>
        </w:rPr>
        <w:t> </w:t>
      </w:r>
      <w:r>
        <w:rPr>
          <w:spacing w:val="-2"/>
        </w:rPr>
        <w:t>在资产负债表日提供劳务交易的结果能够可靠估计的，采用完工百分比法确认提供劳务的收</w:t>
      </w:r>
    </w:p>
    <w:p>
      <w:pPr>
        <w:pStyle w:val="BodyText"/>
        <w:spacing w:line="240" w:lineRule="auto" w:before="34"/>
        <w:ind w:right="0"/>
        <w:jc w:val="both"/>
      </w:pPr>
      <w:r>
        <w:rPr/>
        <w:t>入。</w:t>
      </w:r>
    </w:p>
    <w:p>
      <w:pPr>
        <w:pStyle w:val="BodyText"/>
        <w:spacing w:line="240" w:lineRule="auto" w:before="85"/>
        <w:ind w:left="558" w:right="0"/>
        <w:jc w:val="left"/>
      </w:pPr>
      <w:r>
        <w:rPr/>
        <w:t>在资产负债表日提供劳务交易的结果不能够可靠估计的，分别下列情况处理：</w:t>
      </w:r>
    </w:p>
    <w:p>
      <w:pPr>
        <w:pStyle w:val="BodyText"/>
        <w:spacing w:line="314" w:lineRule="auto" w:before="85"/>
        <w:ind w:right="130" w:firstLine="419"/>
        <w:jc w:val="both"/>
      </w:pPr>
      <w:r>
        <w:rPr>
          <w:spacing w:val="-2"/>
        </w:rPr>
        <w:t>①已经发生的劳务成本预计能够得到补偿的，按照已经发生的劳务成本金额确认提供劳务收</w:t>
      </w:r>
      <w:r>
        <w:rPr>
          <w:w w:val="100"/>
        </w:rPr>
        <w:t> </w:t>
      </w:r>
      <w:r>
        <w:rPr/>
        <w:t>入，并按相同的金额结转劳务成本。</w:t>
      </w:r>
    </w:p>
    <w:p>
      <w:pPr>
        <w:pStyle w:val="BodyText"/>
        <w:spacing w:line="314" w:lineRule="auto" w:before="20"/>
        <w:ind w:right="130" w:firstLine="419"/>
        <w:jc w:val="both"/>
      </w:pPr>
      <w:r>
        <w:rPr>
          <w:spacing w:val="-2"/>
        </w:rPr>
        <w:t>②已经发生的劳务成本预计不能够得到补偿的，将已经发生的劳务成本转入当期损益，不确</w:t>
      </w:r>
      <w:r>
        <w:rPr>
          <w:w w:val="100"/>
        </w:rPr>
        <w:t> </w:t>
      </w:r>
      <w:r>
        <w:rPr/>
        <w:t>认提供劳务收入。</w:t>
      </w:r>
    </w:p>
    <w:p>
      <w:pPr>
        <w:spacing w:line="297" w:lineRule="auto" w:before="140"/>
        <w:ind w:left="558" w:right="346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w:t>
      </w:r>
      <w:r>
        <w:rPr>
          <w:rFonts w:ascii="宋体" w:hAnsi="宋体" w:cs="宋体" w:eastAsia="宋体" w:hint="default"/>
          <w:b/>
          <w:bCs/>
          <w:w w:val="100"/>
          <w:sz w:val="21"/>
          <w:szCs w:val="21"/>
        </w:rPr>
        <w:t> </w:t>
      </w:r>
      <w:r>
        <w:rPr>
          <w:rFonts w:ascii="宋体" w:hAnsi="宋体" w:cs="宋体" w:eastAsia="宋体" w:hint="default"/>
          <w:spacing w:val="-2"/>
          <w:sz w:val="21"/>
          <w:szCs w:val="21"/>
        </w:rPr>
        <w:t>让渡资产使用权收入同时满足下列条件的，予以确认：</w:t>
      </w:r>
    </w:p>
    <w:p>
      <w:pPr>
        <w:pStyle w:val="BodyText"/>
        <w:spacing w:line="240" w:lineRule="auto" w:before="34"/>
        <w:ind w:left="558" w:right="0"/>
        <w:jc w:val="left"/>
      </w:pPr>
      <w:r>
        <w:rPr/>
        <w:t>①相关的经济利益很可能流入企业；</w:t>
      </w:r>
    </w:p>
    <w:p>
      <w:pPr>
        <w:pStyle w:val="BodyText"/>
        <w:spacing w:line="314" w:lineRule="auto" w:before="85"/>
        <w:ind w:left="558" w:right="0"/>
        <w:jc w:val="left"/>
      </w:pPr>
      <w:r>
        <w:rPr/>
        <w:t>②收入的金额能够可靠地计量。</w:t>
      </w:r>
      <w:r>
        <w:rPr>
          <w:w w:val="100"/>
        </w:rPr>
        <w:t> </w:t>
      </w:r>
      <w:r>
        <w:rPr>
          <w:spacing w:val="-2"/>
        </w:rPr>
        <w:t>提供资金的利息收入，按照他人使用公司货币资金的时间和实际利率计算确定；他人使用公</w:t>
      </w:r>
    </w:p>
    <w:p>
      <w:pPr>
        <w:pStyle w:val="BodyText"/>
        <w:spacing w:line="240" w:lineRule="auto" w:before="20"/>
        <w:ind w:right="0"/>
        <w:jc w:val="both"/>
      </w:pPr>
      <w:r>
        <w:rPr/>
        <w:t>司非现金资产，发生的使用费收入按照有关合同或协议约定的收费时间和方法计算确定。</w:t>
      </w:r>
    </w:p>
    <w:p>
      <w:pPr>
        <w:spacing w:line="240" w:lineRule="auto" w:before="9"/>
        <w:rPr>
          <w:rFonts w:ascii="宋体" w:hAnsi="宋体" w:cs="宋体" w:eastAsia="宋体" w:hint="default"/>
          <w:sz w:val="15"/>
          <w:szCs w:val="15"/>
        </w:rPr>
      </w:pPr>
    </w:p>
    <w:p>
      <w:pPr>
        <w:pStyle w:val="Heading2"/>
        <w:spacing w:line="240" w:lineRule="auto"/>
        <w:ind w:left="560" w:right="0"/>
        <w:jc w:val="left"/>
        <w:rPr>
          <w:b w:val="0"/>
          <w:bCs w:val="0"/>
        </w:rPr>
      </w:pPr>
      <w:r>
        <w:rPr/>
        <w:t>（</w:t>
      </w:r>
      <w:r>
        <w:rPr>
          <w:rFonts w:ascii="Times New Roman" w:hAnsi="Times New Roman" w:cs="Times New Roman" w:eastAsia="Times New Roman" w:hint="default"/>
        </w:rPr>
        <w:t>4</w:t>
      </w:r>
      <w:r>
        <w:rPr/>
        <w:t>）公司主要收入类型及确认原则</w:t>
      </w:r>
      <w:r>
        <w:rPr>
          <w:b w:val="0"/>
          <w:bCs w:val="0"/>
        </w:rPr>
      </w:r>
    </w:p>
    <w:p>
      <w:pPr>
        <w:spacing w:after="0" w:line="240" w:lineRule="auto"/>
        <w:jc w:val="left"/>
        <w:sectPr>
          <w:pgSz w:w="11910" w:h="16840"/>
          <w:pgMar w:header="882" w:footer="974" w:top="1120" w:bottom="1160" w:left="1660" w:right="1140"/>
        </w:sectPr>
      </w:pPr>
    </w:p>
    <w:p>
      <w:pPr>
        <w:spacing w:line="240" w:lineRule="auto" w:before="0"/>
        <w:rPr>
          <w:rFonts w:ascii="宋体" w:hAnsi="宋体" w:cs="宋体" w:eastAsia="宋体" w:hint="default"/>
          <w:b/>
          <w:bCs/>
          <w:sz w:val="20"/>
          <w:szCs w:val="20"/>
        </w:rPr>
      </w:pPr>
    </w:p>
    <w:p>
      <w:pPr>
        <w:pStyle w:val="BodyText"/>
        <w:spacing w:line="314" w:lineRule="auto" w:before="180"/>
        <w:ind w:right="130" w:firstLine="419"/>
        <w:jc w:val="both"/>
      </w:pPr>
      <w:r>
        <w:rPr>
          <w:spacing w:val="-1"/>
        </w:rPr>
        <w:t>公司的经营业务主要从事电子政务信息及其他行业通用软件研发和系统集成服务，主要面向</w:t>
      </w:r>
      <w:r>
        <w:rPr>
          <w:w w:val="100"/>
        </w:rPr>
        <w:t> </w:t>
      </w:r>
      <w:r>
        <w:rPr/>
        <w:t>党政机关、军队、广电等领域的客户提供软件开发、系统集成服务和技术支持与服务。</w:t>
      </w:r>
    </w:p>
    <w:p>
      <w:pPr>
        <w:pStyle w:val="BodyText"/>
        <w:spacing w:line="314" w:lineRule="auto" w:before="20"/>
        <w:ind w:left="558" w:right="0"/>
        <w:jc w:val="left"/>
      </w:pPr>
      <w:r>
        <w:rPr/>
        <w:t>①软件开发</w:t>
      </w:r>
      <w:r>
        <w:rPr>
          <w:spacing w:val="-102"/>
        </w:rPr>
        <w:t> </w:t>
      </w:r>
      <w:r>
        <w:rPr>
          <w:spacing w:val="-102"/>
        </w:rPr>
      </w:r>
      <w:r>
        <w:rPr>
          <w:spacing w:val="-2"/>
        </w:rPr>
        <w:t>软件开发指公司针对客户在电子政务中的业务应用需求而提供的软件产品及应用软件定制开</w:t>
      </w:r>
    </w:p>
    <w:p>
      <w:pPr>
        <w:pStyle w:val="BodyText"/>
        <w:spacing w:line="314" w:lineRule="auto" w:before="20"/>
        <w:ind w:right="128"/>
        <w:jc w:val="both"/>
      </w:pPr>
      <w:r>
        <w:rPr>
          <w:spacing w:val="-1"/>
        </w:rPr>
        <w:t>发。该类收入一般在项目完工且取得客户的最终验收报告时按照销售商品收入标准确认相关收入</w:t>
      </w:r>
      <w:r>
        <w:rPr>
          <w:spacing w:val="-55"/>
        </w:rPr>
        <w:t> </w:t>
      </w:r>
      <w:r>
        <w:rPr>
          <w:spacing w:val="-55"/>
        </w:rPr>
      </w:r>
      <w:r>
        <w:rPr>
          <w:spacing w:val="-1"/>
        </w:rPr>
        <w:t>及成本。另公司在与客户签订的合同中有涉及质保金条款的，相关质保金在收到时确认收入，在</w:t>
      </w:r>
      <w:r>
        <w:rPr>
          <w:spacing w:val="-55"/>
        </w:rPr>
        <w:t> </w:t>
      </w:r>
      <w:r>
        <w:rPr>
          <w:spacing w:val="-55"/>
        </w:rPr>
      </w:r>
      <w:r>
        <w:rPr/>
        <w:t>项目完工或产品销售完成时不确认收入。</w:t>
      </w:r>
    </w:p>
    <w:p>
      <w:pPr>
        <w:pStyle w:val="BodyText"/>
        <w:spacing w:line="314" w:lineRule="auto" w:before="20"/>
        <w:ind w:left="558" w:right="0"/>
        <w:jc w:val="left"/>
      </w:pPr>
      <w:r>
        <w:rPr/>
        <w:t>②系统集成</w:t>
      </w:r>
      <w:r>
        <w:rPr>
          <w:spacing w:val="-102"/>
        </w:rPr>
        <w:t> </w:t>
      </w:r>
      <w:r>
        <w:rPr>
          <w:spacing w:val="-102"/>
        </w:rPr>
      </w:r>
      <w:r>
        <w:rPr>
          <w:spacing w:val="-2"/>
        </w:rPr>
        <w:t>系统集成指公司通过应用各种相关计算机软件技术以及各种硬件设备，经过集成设计，安装</w:t>
      </w:r>
    </w:p>
    <w:p>
      <w:pPr>
        <w:pStyle w:val="BodyText"/>
        <w:spacing w:line="314" w:lineRule="auto" w:before="20"/>
        <w:ind w:right="128"/>
        <w:jc w:val="both"/>
      </w:pPr>
      <w:r>
        <w:rPr>
          <w:spacing w:val="-1"/>
        </w:rPr>
        <w:t>调试等大量技术性工作，提供客户所需的应用系统。该类收入一般根据合同的约定，在相关货物</w:t>
      </w:r>
      <w:r>
        <w:rPr>
          <w:spacing w:val="-55"/>
        </w:rPr>
        <w:t> </w:t>
      </w:r>
      <w:r>
        <w:rPr>
          <w:spacing w:val="-55"/>
        </w:rPr>
      </w:r>
      <w:r>
        <w:rPr>
          <w:spacing w:val="-1"/>
        </w:rPr>
        <w:t>发出并收取价款或取得收取价款的依据，并经客户验收合格后按照销售商品收入标准确认相关收</w:t>
      </w:r>
      <w:r>
        <w:rPr>
          <w:spacing w:val="-55"/>
        </w:rPr>
        <w:t> </w:t>
      </w:r>
      <w:r>
        <w:rPr>
          <w:spacing w:val="-55"/>
        </w:rPr>
      </w:r>
      <w:r>
        <w:rPr>
          <w:spacing w:val="-1"/>
        </w:rPr>
        <w:t>入及成本。另公司在与客户签订的合同中有涉及质保金条款的，相关质保金在收到时确认收入，</w:t>
      </w:r>
      <w:r>
        <w:rPr>
          <w:spacing w:val="-55"/>
        </w:rPr>
        <w:t> </w:t>
      </w:r>
      <w:r>
        <w:rPr>
          <w:spacing w:val="-55"/>
        </w:rPr>
      </w:r>
      <w:r>
        <w:rPr/>
        <w:t>在项目完工或产品销售完成时不确认收入。</w:t>
      </w:r>
    </w:p>
    <w:p>
      <w:pPr>
        <w:pStyle w:val="BodyText"/>
        <w:spacing w:line="314" w:lineRule="auto" w:before="20"/>
        <w:ind w:right="127" w:firstLine="419"/>
        <w:jc w:val="both"/>
      </w:pPr>
      <w:r>
        <w:rPr>
          <w:spacing w:val="-2"/>
        </w:rPr>
        <w:t>公司的数字电视终端接收机产品主要有向广电部门和个人客户的直销，以及广电部门代理销</w:t>
      </w:r>
      <w:r>
        <w:rPr>
          <w:w w:val="100"/>
        </w:rPr>
        <w:t> </w:t>
      </w:r>
      <w:r>
        <w:rPr>
          <w:spacing w:val="-1"/>
        </w:rPr>
        <w:t>售两种模式。直销是以产品交付并收取货款或取得收发货确认单为销售收入确认时点，代销是取</w:t>
      </w:r>
      <w:r>
        <w:rPr>
          <w:spacing w:val="-55"/>
        </w:rPr>
        <w:t> </w:t>
      </w:r>
      <w:r>
        <w:rPr>
          <w:spacing w:val="-55"/>
        </w:rPr>
      </w:r>
      <w:r>
        <w:rPr/>
        <w:t>得受托代销单位相关代销报表时确认收入。</w:t>
      </w:r>
    </w:p>
    <w:p>
      <w:pPr>
        <w:pStyle w:val="BodyText"/>
        <w:spacing w:line="314" w:lineRule="auto" w:before="20"/>
        <w:ind w:left="558" w:right="0"/>
        <w:jc w:val="left"/>
      </w:pPr>
      <w:r>
        <w:rPr/>
        <w:t>③技术支持与服务</w:t>
      </w:r>
      <w:r>
        <w:rPr>
          <w:spacing w:val="-3"/>
          <w:w w:val="100"/>
        </w:rPr>
        <w:t> </w:t>
      </w:r>
      <w:r>
        <w:rPr>
          <w:spacing w:val="-2"/>
        </w:rPr>
        <w:t>技术支持与服务指根据合同约定向客户提供的相关后续服务，包括系统维护、技术与应用咨</w:t>
      </w:r>
    </w:p>
    <w:p>
      <w:pPr>
        <w:pStyle w:val="BodyText"/>
        <w:spacing w:line="314" w:lineRule="auto" w:before="20"/>
        <w:ind w:right="128"/>
        <w:jc w:val="both"/>
      </w:pPr>
      <w:r>
        <w:rPr>
          <w:spacing w:val="-1"/>
        </w:rPr>
        <w:t>询、产品升级等。公司根据合同约定的维护期间及总金额在维护服务已经提供，收到价款或取得</w:t>
      </w:r>
      <w:r>
        <w:rPr>
          <w:spacing w:val="-55"/>
        </w:rPr>
        <w:t> </w:t>
      </w:r>
      <w:r>
        <w:rPr>
          <w:spacing w:val="-55"/>
        </w:rPr>
      </w:r>
      <w:r>
        <w:rPr/>
        <w:t>收款的依据后确认收入。</w:t>
      </w:r>
    </w:p>
    <w:p>
      <w:pPr>
        <w:pStyle w:val="BodyText"/>
        <w:spacing w:line="314" w:lineRule="auto" w:before="20"/>
        <w:ind w:left="558" w:right="3888"/>
        <w:jc w:val="left"/>
      </w:pPr>
      <w:r>
        <w:rPr/>
        <w:t>④建造合同</w:t>
      </w:r>
      <w:r>
        <w:rPr>
          <w:spacing w:val="-102"/>
        </w:rPr>
        <w:t> </w:t>
      </w:r>
      <w:r>
        <w:rPr>
          <w:spacing w:val="-102"/>
        </w:rPr>
      </w:r>
      <w:r>
        <w:rPr>
          <w:spacing w:val="-2"/>
        </w:rPr>
        <w:t>建造合同的收入与费用的确认原则如下：</w:t>
      </w:r>
    </w:p>
    <w:p>
      <w:pPr>
        <w:pStyle w:val="BodyText"/>
        <w:spacing w:line="297" w:lineRule="auto" w:before="20"/>
        <w:ind w:right="132" w:firstLine="419"/>
        <w:jc w:val="both"/>
      </w:pPr>
      <w:r>
        <w:rPr>
          <w:rFonts w:ascii="Times New Roman" w:hAnsi="Times New Roman" w:cs="Times New Roman" w:eastAsia="Times New Roman" w:hint="default"/>
        </w:rPr>
        <w:t>A</w:t>
      </w:r>
      <w:r>
        <w:rPr/>
        <w:t>、在建造合同的结果能可靠估计的情况下，于资产负债表日根据完工百分比法确认合同收</w:t>
      </w:r>
      <w:r>
        <w:rPr>
          <w:w w:val="100"/>
        </w:rPr>
        <w:t> </w:t>
      </w:r>
      <w:r>
        <w:rPr/>
        <w:t>入和合同费用。</w:t>
      </w:r>
    </w:p>
    <w:p>
      <w:pPr>
        <w:pStyle w:val="BodyText"/>
        <w:spacing w:line="297" w:lineRule="auto" w:before="34"/>
        <w:ind w:right="127" w:firstLine="419"/>
        <w:jc w:val="both"/>
      </w:pPr>
      <w:r>
        <w:rPr>
          <w:spacing w:val="-4"/>
        </w:rPr>
        <w:t>建造合同的结果能可靠估计是指同时满足：</w:t>
      </w:r>
      <w:r>
        <w:rPr>
          <w:rFonts w:ascii="Times New Roman" w:hAnsi="Times New Roman" w:cs="Times New Roman" w:eastAsia="Times New Roman" w:hint="default"/>
          <w:spacing w:val="-4"/>
        </w:rPr>
        <w:t>a </w:t>
      </w:r>
      <w:r>
        <w:rPr>
          <w:spacing w:val="-5"/>
        </w:rPr>
        <w:t>合同总收入能够可靠地计量；</w:t>
      </w:r>
      <w:r>
        <w:rPr>
          <w:rFonts w:ascii="Times New Roman" w:hAnsi="Times New Roman" w:cs="Times New Roman" w:eastAsia="Times New Roman" w:hint="default"/>
          <w:spacing w:val="-5"/>
        </w:rPr>
        <w:t>b</w:t>
      </w:r>
      <w:r>
        <w:rPr>
          <w:rFonts w:ascii="Times New Roman" w:hAnsi="Times New Roman" w:cs="Times New Roman" w:eastAsia="Times New Roman" w:hint="default"/>
          <w:spacing w:val="6"/>
        </w:rPr>
        <w:t> </w:t>
      </w:r>
      <w:r>
        <w:rPr/>
        <w:t>与合同相关的经</w:t>
      </w:r>
      <w:r>
        <w:rPr>
          <w:w w:val="100"/>
        </w:rPr>
        <w:t> </w:t>
      </w:r>
      <w:r>
        <w:rPr>
          <w:spacing w:val="-5"/>
        </w:rPr>
        <w:t>济利益很可能流入企业；</w:t>
      </w:r>
      <w:r>
        <w:rPr>
          <w:rFonts w:ascii="Times New Roman" w:hAnsi="Times New Roman" w:cs="Times New Roman" w:eastAsia="Times New Roman" w:hint="default"/>
          <w:spacing w:val="-5"/>
        </w:rPr>
        <w:t>c</w:t>
      </w:r>
      <w:r>
        <w:rPr>
          <w:rFonts w:ascii="Times New Roman" w:hAnsi="Times New Roman" w:cs="Times New Roman" w:eastAsia="Times New Roman" w:hint="default"/>
          <w:spacing w:val="15"/>
        </w:rPr>
        <w:t> </w:t>
      </w:r>
      <w:r>
        <w:rPr>
          <w:spacing w:val="-3"/>
        </w:rPr>
        <w:t>实际发生的合同成本能够清楚地区分和可靠地计量；</w:t>
      </w:r>
      <w:r>
        <w:rPr>
          <w:rFonts w:ascii="Times New Roman" w:hAnsi="Times New Roman" w:cs="Times New Roman" w:eastAsia="Times New Roman" w:hint="default"/>
          <w:spacing w:val="-3"/>
        </w:rPr>
        <w:t>d</w:t>
      </w:r>
      <w:r>
        <w:rPr>
          <w:rFonts w:ascii="Times New Roman" w:hAnsi="Times New Roman" w:cs="Times New Roman" w:eastAsia="Times New Roman" w:hint="default"/>
          <w:spacing w:val="20"/>
        </w:rPr>
        <w:t> </w:t>
      </w:r>
      <w:r>
        <w:rPr/>
        <w:t>合同完工进度和</w:t>
      </w:r>
      <w:r>
        <w:rPr>
          <w:spacing w:val="-98"/>
        </w:rPr>
        <w:t> </w:t>
      </w:r>
      <w:r>
        <w:rPr>
          <w:spacing w:val="-98"/>
        </w:rPr>
      </w:r>
      <w:r>
        <w:rPr/>
        <w:t>为完工尚需发生的成本能够可靠地确定。</w:t>
      </w:r>
    </w:p>
    <w:p>
      <w:pPr>
        <w:pStyle w:val="BodyText"/>
        <w:spacing w:line="304" w:lineRule="auto" w:before="35"/>
        <w:ind w:right="127" w:firstLine="419"/>
        <w:jc w:val="both"/>
      </w:pPr>
      <w:r>
        <w:rPr>
          <w:rFonts w:ascii="Times New Roman" w:hAnsi="Times New Roman" w:cs="Times New Roman" w:eastAsia="Times New Roman" w:hint="default"/>
          <w:spacing w:val="-4"/>
        </w:rPr>
        <w:t>B</w:t>
      </w:r>
      <w:r>
        <w:rPr>
          <w:spacing w:val="-4"/>
        </w:rPr>
        <w:t>、建造合同的结果不能可靠估计的，分为下列情况处理：</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6"/>
        </w:rPr>
        <w:t> </w:t>
      </w:r>
      <w:r>
        <w:rPr>
          <w:spacing w:val="-3"/>
        </w:rPr>
        <w:t>合同成本能够收回的，合同收入</w:t>
      </w:r>
      <w:r>
        <w:rPr>
          <w:w w:val="100"/>
        </w:rPr>
        <w:t> </w:t>
      </w:r>
      <w:r>
        <w:rPr/>
        <w:t>根据能够收回的实际合同成本予以确认，合同成本在其发生的当期确认为合同费用。</w:t>
      </w:r>
      <w:r>
        <w:rPr>
          <w:rFonts w:ascii="Times New Roman" w:hAnsi="Times New Roman" w:cs="Times New Roman" w:eastAsia="Times New Roman" w:hint="default"/>
        </w:rPr>
        <w:t>b</w:t>
      </w:r>
      <w:r>
        <w:rPr>
          <w:rFonts w:ascii="Times New Roman" w:hAnsi="Times New Roman" w:cs="Times New Roman" w:eastAsia="Times New Roman" w:hint="default"/>
          <w:spacing w:val="7"/>
        </w:rPr>
        <w:t> </w:t>
      </w:r>
      <w:r>
        <w:rPr/>
        <w:t>合同成本</w:t>
      </w:r>
      <w:r>
        <w:rPr>
          <w:w w:val="100"/>
        </w:rPr>
        <w:t> </w:t>
      </w:r>
      <w:r>
        <w:rPr>
          <w:spacing w:val="-1"/>
        </w:rPr>
        <w:t>不可能收回的，在发生时立即确认为合同费用，不确认合同收入。使建造合同的结果不能可靠估</w:t>
      </w:r>
      <w:r>
        <w:rPr>
          <w:spacing w:val="-55"/>
        </w:rPr>
        <w:t> </w:t>
      </w:r>
      <w:r>
        <w:rPr>
          <w:spacing w:val="-55"/>
        </w:rPr>
      </w:r>
      <w:r>
        <w:rPr>
          <w:spacing w:val="-1"/>
        </w:rPr>
        <w:t>计的不确定因素不复存在的，按照建造合同的结果能可靠估计的规定确认与建造合同有关的收入</w:t>
      </w:r>
      <w:r>
        <w:rPr>
          <w:spacing w:val="-55"/>
        </w:rPr>
        <w:t> </w:t>
      </w:r>
      <w:r>
        <w:rPr>
          <w:spacing w:val="-55"/>
        </w:rPr>
      </w:r>
      <w:r>
        <w:rPr/>
        <w:t>和费用。</w:t>
      </w:r>
    </w:p>
    <w:p>
      <w:pPr>
        <w:pStyle w:val="BodyText"/>
        <w:spacing w:line="240" w:lineRule="auto" w:before="28"/>
        <w:ind w:left="558" w:right="0"/>
        <w:jc w:val="left"/>
      </w:pPr>
      <w:r>
        <w:rPr>
          <w:rFonts w:ascii="Times New Roman" w:hAnsi="Times New Roman" w:cs="Times New Roman" w:eastAsia="Times New Roman" w:hint="default"/>
        </w:rPr>
        <w:t>C</w:t>
      </w:r>
      <w:r>
        <w:rPr/>
        <w:t>、合同预计总成本超过合同总收入的，将预计损失确认为当期费用。</w:t>
      </w:r>
    </w:p>
    <w:p>
      <w:pPr>
        <w:spacing w:line="240" w:lineRule="auto" w:before="12"/>
        <w:rPr>
          <w:rFonts w:ascii="宋体" w:hAnsi="宋体" w:cs="宋体" w:eastAsia="宋体" w:hint="default"/>
          <w:sz w:val="24"/>
          <w:szCs w:val="24"/>
        </w:rPr>
      </w:pPr>
    </w:p>
    <w:p>
      <w:pPr>
        <w:pStyle w:val="Heading2"/>
        <w:spacing w:line="264" w:lineRule="auto"/>
        <w:ind w:left="138" w:right="3467"/>
        <w:jc w:val="left"/>
        <w:rPr>
          <w:b w:val="0"/>
          <w:bCs w:val="0"/>
        </w:rPr>
      </w:pPr>
      <w:r>
        <w:rPr>
          <w:rFonts w:ascii="Calibri" w:hAnsi="Calibri" w:cs="Calibri" w:eastAsia="Calibri" w:hint="default"/>
        </w:rPr>
        <w:t>27.</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14" w:lineRule="auto" w:before="115"/>
        <w:ind w:right="128" w:firstLine="419"/>
        <w:jc w:val="both"/>
      </w:pPr>
      <w:r>
        <w:rPr>
          <w:spacing w:val="-2"/>
        </w:rPr>
        <w:t>本公司将所取得的用于购建或以其他方式形成长期资产的政府补助界定为与资产相关的政府</w:t>
      </w:r>
      <w:r>
        <w:rPr>
          <w:w w:val="100"/>
        </w:rPr>
        <w:t> </w:t>
      </w:r>
      <w:r>
        <w:rPr>
          <w:spacing w:val="-1"/>
        </w:rPr>
        <w:t>补助。对于政府文件未明确规定补助对象的，能够形成长期资产的，与资产价值相对应的政府补</w:t>
      </w:r>
    </w:p>
    <w:p>
      <w:pPr>
        <w:spacing w:after="0" w:line="314" w:lineRule="auto"/>
        <w:jc w:val="both"/>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right="128"/>
        <w:jc w:val="both"/>
      </w:pPr>
      <w:r>
        <w:rPr>
          <w:spacing w:val="-1"/>
        </w:rPr>
        <w:t>助部分作为与资产相关的政府补助，其余部分作为与收益相关的政府补助；难以区分的，将政府</w:t>
      </w:r>
      <w:r>
        <w:rPr>
          <w:spacing w:val="-55"/>
        </w:rPr>
        <w:t> </w:t>
      </w:r>
      <w:r>
        <w:rPr>
          <w:spacing w:val="-55"/>
        </w:rPr>
      </w:r>
      <w:r>
        <w:rPr>
          <w:spacing w:val="-1"/>
        </w:rPr>
        <w:t>补助整体作为与收益相关的政府补助。与资产相关的政府补助，确认为递延收益，并在相关资产</w:t>
      </w:r>
      <w:r>
        <w:rPr>
          <w:spacing w:val="-55"/>
        </w:rPr>
        <w:t> </w:t>
      </w:r>
      <w:r>
        <w:rPr>
          <w:spacing w:val="-55"/>
        </w:rPr>
      </w:r>
      <w:r>
        <w:rPr/>
        <w:t>使用寿命内平均分配，计入当期损益。按照名义金额计量的政府补助，直接计入当期损益。</w:t>
      </w:r>
    </w:p>
    <w:p>
      <w:pPr>
        <w:spacing w:line="240" w:lineRule="auto" w:before="2"/>
        <w:rPr>
          <w:rFonts w:ascii="宋体" w:hAnsi="宋体" w:cs="宋体" w:eastAsia="宋体" w:hint="default"/>
          <w:sz w:val="21"/>
          <w:szCs w:val="21"/>
        </w:rPr>
      </w:pPr>
    </w:p>
    <w:p>
      <w:pPr>
        <w:spacing w:line="35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本公司将所取得的与资产相关的政府补助之外的政府补助界定为与收益相关的政府补助。与</w:t>
      </w:r>
    </w:p>
    <w:p>
      <w:pPr>
        <w:pStyle w:val="BodyText"/>
        <w:spacing w:line="259" w:lineRule="exact"/>
        <w:ind w:right="0"/>
        <w:jc w:val="left"/>
      </w:pPr>
      <w:r>
        <w:rPr/>
        <w:t>收益相关的政府补助，用于补偿公司以后期间的相关费用或损失的，确认为递延收益，并在确认</w:t>
      </w:r>
    </w:p>
    <w:p>
      <w:pPr>
        <w:pStyle w:val="BodyText"/>
        <w:spacing w:line="314" w:lineRule="auto" w:before="85"/>
        <w:ind w:left="558" w:right="0" w:hanging="420"/>
        <w:jc w:val="left"/>
      </w:pPr>
      <w:r>
        <w:rPr>
          <w:spacing w:val="-7"/>
        </w:rPr>
        <w:t>相关费用的期间，计入当期损益。用于补偿公司已发生的相关费用或损失的，直接计入当期损益。</w:t>
      </w:r>
      <w:r>
        <w:rPr>
          <w:spacing w:val="-14"/>
        </w:rPr>
        <w:t> </w:t>
      </w:r>
      <w:r>
        <w:rPr>
          <w:spacing w:val="-14"/>
        </w:rPr>
      </w:r>
      <w:r>
        <w:rPr>
          <w:spacing w:val="-2"/>
        </w:rPr>
        <w:t>已确认的政府补助需要返还的，存在相关递延收益的，冲减相关递延收益账面余额，超出部</w:t>
      </w:r>
    </w:p>
    <w:p>
      <w:pPr>
        <w:pStyle w:val="BodyText"/>
        <w:spacing w:line="240" w:lineRule="auto" w:before="20"/>
        <w:ind w:right="0"/>
        <w:jc w:val="left"/>
      </w:pPr>
      <w:r>
        <w:rPr/>
        <w:t>分计入当期损益；不存在相关递延收益的，直接计入当期损益。</w:t>
      </w:r>
    </w:p>
    <w:p>
      <w:pPr>
        <w:spacing w:line="240" w:lineRule="auto" w:before="2"/>
        <w:rPr>
          <w:rFonts w:ascii="宋体" w:hAnsi="宋体" w:cs="宋体" w:eastAsia="宋体" w:hint="default"/>
          <w:sz w:val="26"/>
          <w:szCs w:val="26"/>
        </w:rPr>
      </w:pPr>
    </w:p>
    <w:p>
      <w:pPr>
        <w:spacing w:line="324"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28.</w:t>
      </w:r>
      <w:r>
        <w:rPr>
          <w:rFonts w:ascii="Calibri" w:hAnsi="Calibri" w:cs="Calibri" w:eastAsia="Calibri" w:hint="default"/>
          <w:b/>
          <w:bCs/>
          <w:spacing w:val="12"/>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1"/>
          <w:sz w:val="21"/>
          <w:szCs w:val="21"/>
        </w:rPr>
        <w:t>公司在取得资产、负债时，确定其计税基础。资产、负债的账面价值与其计税基础存在的暂</w:t>
      </w:r>
    </w:p>
    <w:p>
      <w:pPr>
        <w:pStyle w:val="BodyText"/>
        <w:spacing w:line="240" w:lineRule="auto" w:before="11"/>
        <w:ind w:right="0"/>
        <w:jc w:val="left"/>
      </w:pPr>
      <w:r>
        <w:rPr/>
        <w:t>时性差异，按照规定确认所产生的递延所得税资产或递延所得税负债。</w:t>
      </w:r>
    </w:p>
    <w:p>
      <w:pPr>
        <w:spacing w:line="240" w:lineRule="auto" w:before="9"/>
        <w:rPr>
          <w:rFonts w:ascii="宋体" w:hAnsi="宋体" w:cs="宋体" w:eastAsia="宋体" w:hint="default"/>
          <w:sz w:val="15"/>
          <w:szCs w:val="15"/>
        </w:rPr>
      </w:pPr>
    </w:p>
    <w:p>
      <w:pPr>
        <w:pStyle w:val="BodyText"/>
        <w:spacing w:line="240" w:lineRule="auto"/>
        <w:ind w:left="558" w:right="0"/>
        <w:jc w:val="left"/>
      </w:pPr>
      <w:r>
        <w:rPr/>
        <w:t>（</w:t>
      </w:r>
      <w:r>
        <w:rPr>
          <w:rFonts w:ascii="Times New Roman" w:hAnsi="Times New Roman" w:cs="Times New Roman" w:eastAsia="Times New Roman" w:hint="default"/>
        </w:rPr>
        <w:t>1</w:t>
      </w:r>
      <w:r>
        <w:rPr/>
        <w:t>）递延所得税资产的确认</w:t>
      </w:r>
    </w:p>
    <w:p>
      <w:pPr>
        <w:pStyle w:val="BodyText"/>
        <w:spacing w:line="314" w:lineRule="auto" w:before="69"/>
        <w:ind w:right="128" w:firstLine="419"/>
        <w:jc w:val="both"/>
      </w:pPr>
      <w:r>
        <w:rPr>
          <w:spacing w:val="-2"/>
        </w:rPr>
        <w:t>①公司以很可能取得用来抵扣可抵扣暂时性差异的应纳税所得额为限，确认由可抵扣暂时性</w:t>
      </w:r>
      <w:r>
        <w:rPr>
          <w:w w:val="100"/>
        </w:rPr>
        <w:t> </w:t>
      </w:r>
      <w:r>
        <w:rPr>
          <w:spacing w:val="-1"/>
        </w:rPr>
        <w:t>差异产生的递延所得税资产。但是，同时具有下列特征的交易中因资产或负债的初始确认所产生</w:t>
      </w:r>
      <w:r>
        <w:rPr>
          <w:spacing w:val="-55"/>
        </w:rPr>
        <w:t> </w:t>
      </w:r>
      <w:r>
        <w:rPr>
          <w:spacing w:val="-55"/>
        </w:rPr>
      </w:r>
      <w:r>
        <w:rPr>
          <w:spacing w:val="-1"/>
        </w:rPr>
        <w:t>的递延所得税资产不予确认：①该项交易不是企业合并；②交易发生时既不影响会计利润也不影</w:t>
      </w:r>
      <w:r>
        <w:rPr>
          <w:spacing w:val="-55"/>
        </w:rPr>
        <w:t> </w:t>
      </w:r>
      <w:r>
        <w:rPr>
          <w:spacing w:val="-55"/>
        </w:rPr>
      </w:r>
      <w:r>
        <w:rPr/>
        <w:t>响应纳税所得额（或可抵扣亏损）。</w:t>
      </w:r>
    </w:p>
    <w:p>
      <w:pPr>
        <w:pStyle w:val="BodyText"/>
        <w:spacing w:line="314" w:lineRule="auto" w:before="20"/>
        <w:ind w:right="127" w:firstLine="419"/>
        <w:jc w:val="both"/>
      </w:pPr>
      <w:r>
        <w:rPr>
          <w:spacing w:val="-2"/>
        </w:rPr>
        <w:t>②公司对与子公司、联营公司及合营企业投资相关的可抵扣暂时性差异，同时满足下列条件</w:t>
      </w:r>
      <w:r>
        <w:rPr>
          <w:w w:val="100"/>
        </w:rPr>
        <w:t> </w:t>
      </w:r>
      <w:r>
        <w:rPr>
          <w:spacing w:val="-1"/>
        </w:rPr>
        <w:t>的，确认相应的递延所得税资产：①暂时性差异在可预见的未来很可能转回；②未来很可能获得</w:t>
      </w:r>
      <w:r>
        <w:rPr>
          <w:spacing w:val="-55"/>
        </w:rPr>
        <w:t> </w:t>
      </w:r>
      <w:r>
        <w:rPr>
          <w:spacing w:val="-55"/>
        </w:rPr>
      </w:r>
      <w:r>
        <w:rPr/>
        <w:t>用来抵扣可抵扣暂时性差异的应纳税所得额。</w:t>
      </w:r>
    </w:p>
    <w:p>
      <w:pPr>
        <w:pStyle w:val="BodyText"/>
        <w:spacing w:line="314" w:lineRule="auto" w:before="20"/>
        <w:ind w:right="128" w:firstLine="419"/>
        <w:jc w:val="both"/>
      </w:pPr>
      <w:r>
        <w:rPr>
          <w:spacing w:val="-2"/>
        </w:rPr>
        <w:t>③对于按照税法规定可以结转以后年度的可抵扣亏损和税款抵减，视同可抵扣暂时性差异处</w:t>
      </w:r>
      <w:r>
        <w:rPr>
          <w:w w:val="100"/>
        </w:rPr>
        <w:t> </w:t>
      </w:r>
      <w:r>
        <w:rPr>
          <w:spacing w:val="-1"/>
        </w:rPr>
        <w:t>理，以很可能获得用来抵扣可抵扣亏损和税款抵减的未来应纳税所得额为限，确认相应的递延所</w:t>
      </w:r>
      <w:r>
        <w:rPr>
          <w:spacing w:val="-55"/>
        </w:rPr>
        <w:t> </w:t>
      </w:r>
      <w:r>
        <w:rPr>
          <w:spacing w:val="-55"/>
        </w:rPr>
      </w:r>
      <w:r>
        <w:rPr/>
        <w:t>得税资产。</w:t>
      </w:r>
    </w:p>
    <w:p>
      <w:pPr>
        <w:pStyle w:val="BodyText"/>
        <w:spacing w:line="240" w:lineRule="auto" w:before="140"/>
        <w:ind w:left="558" w:right="0"/>
        <w:jc w:val="left"/>
      </w:pPr>
      <w:r>
        <w:rPr/>
        <w:t>（</w:t>
      </w:r>
      <w:r>
        <w:rPr>
          <w:rFonts w:ascii="Times New Roman" w:hAnsi="Times New Roman" w:cs="Times New Roman" w:eastAsia="Times New Roman" w:hint="default"/>
        </w:rPr>
        <w:t>2</w:t>
      </w:r>
      <w:r>
        <w:rPr/>
        <w:t>）递延所得税负债的确认</w:t>
      </w:r>
    </w:p>
    <w:p>
      <w:pPr>
        <w:pStyle w:val="BodyText"/>
        <w:spacing w:line="314" w:lineRule="auto" w:before="69"/>
        <w:ind w:right="130" w:firstLine="419"/>
        <w:jc w:val="both"/>
      </w:pPr>
      <w:r>
        <w:rPr>
          <w:spacing w:val="-2"/>
        </w:rPr>
        <w:t>①除下列交易中产生的递延所得税负债以外，公司确认所有应纳税暂时性差异产生的递延所</w:t>
      </w:r>
      <w:r>
        <w:rPr>
          <w:w w:val="100"/>
        </w:rPr>
        <w:t> </w:t>
      </w:r>
      <w:r>
        <w:rPr/>
        <w:t>得税负债：</w:t>
      </w:r>
    </w:p>
    <w:p>
      <w:pPr>
        <w:pStyle w:val="BodyText"/>
        <w:spacing w:line="297" w:lineRule="auto" w:before="20"/>
        <w:ind w:left="558" w:right="0"/>
        <w:jc w:val="left"/>
      </w:pPr>
      <w:r>
        <w:rPr>
          <w:rFonts w:ascii="Times New Roman" w:hAnsi="Times New Roman" w:cs="Times New Roman" w:eastAsia="Times New Roman" w:hint="default"/>
        </w:rPr>
        <w:t>A.</w:t>
      </w:r>
      <w:r>
        <w:rPr/>
        <w:t>商誉的初始确认；</w:t>
      </w:r>
      <w:r>
        <w:rPr>
          <w:w w:val="100"/>
        </w:rPr>
        <w:t> </w:t>
      </w:r>
      <w:r>
        <w:rPr>
          <w:rFonts w:ascii="Times New Roman" w:hAnsi="Times New Roman" w:cs="Times New Roman" w:eastAsia="Times New Roman" w:hint="default"/>
          <w:spacing w:val="-1"/>
        </w:rPr>
        <w:t>B.</w:t>
      </w:r>
      <w:r>
        <w:rPr>
          <w:spacing w:val="-1"/>
        </w:rPr>
        <w:t>同时满足具有下列特征的交易中产生的资产或负债的初始确认：该项交易不是企业合并；</w:t>
      </w:r>
    </w:p>
    <w:p>
      <w:pPr>
        <w:pStyle w:val="BodyText"/>
        <w:spacing w:line="240" w:lineRule="auto" w:before="13"/>
        <w:ind w:right="0"/>
        <w:jc w:val="left"/>
      </w:pPr>
      <w:r>
        <w:rPr/>
        <w:t>交易发生时既不影响会计利润也不影响应纳税所得额（或可抵扣亏损）。</w:t>
      </w:r>
    </w:p>
    <w:p>
      <w:pPr>
        <w:pStyle w:val="BodyText"/>
        <w:spacing w:line="314" w:lineRule="auto" w:before="85"/>
        <w:ind w:right="130" w:firstLine="419"/>
        <w:jc w:val="both"/>
      </w:pPr>
      <w:r>
        <w:rPr>
          <w:spacing w:val="-2"/>
        </w:rPr>
        <w:t>②公司对与子公司、联营公司及合营企业投资相关的应纳税暂时性差异，确认相应的递延所</w:t>
      </w:r>
      <w:r>
        <w:rPr>
          <w:w w:val="100"/>
        </w:rPr>
        <w:t> </w:t>
      </w:r>
      <w:r>
        <w:rPr/>
        <w:t>得税负债。但是，同时满足下列条件的除外：</w:t>
      </w:r>
    </w:p>
    <w:p>
      <w:pPr>
        <w:pStyle w:val="BodyText"/>
        <w:spacing w:line="297" w:lineRule="auto" w:before="20"/>
        <w:ind w:left="558" w:right="0"/>
        <w:jc w:val="left"/>
      </w:pPr>
      <w:r>
        <w:rPr>
          <w:rFonts w:ascii="Times New Roman" w:hAnsi="Times New Roman" w:cs="Times New Roman" w:eastAsia="Times New Roman" w:hint="default"/>
        </w:rPr>
        <w:t>A.</w:t>
      </w:r>
      <w:r>
        <w:rPr/>
        <w:t>投资企业能够控制暂时性差异转回的时间；</w:t>
      </w:r>
      <w:r>
        <w:rPr>
          <w:w w:val="100"/>
        </w:rPr>
        <w:t> </w:t>
      </w:r>
      <w:r>
        <w:rPr>
          <w:rFonts w:ascii="Times New Roman" w:hAnsi="Times New Roman" w:cs="Times New Roman" w:eastAsia="Times New Roman" w:hint="default"/>
        </w:rPr>
        <w:t>B.</w:t>
      </w:r>
      <w:r>
        <w:rPr/>
        <w:t>该暂时性差异在可预见的未来很可能不会转回。</w:t>
      </w:r>
      <w:r>
        <w:rPr>
          <w:w w:val="100"/>
        </w:rPr>
        <w:t> </w:t>
      </w:r>
      <w:r>
        <w:rPr>
          <w:spacing w:val="-2"/>
        </w:rPr>
        <w:t>公司于资产负债表日对递延所得税资产和递延所得税负债，按照预期收回该资产或清偿该负</w:t>
      </w:r>
    </w:p>
    <w:p>
      <w:pPr>
        <w:pStyle w:val="BodyText"/>
        <w:spacing w:line="240" w:lineRule="auto" w:before="35"/>
        <w:ind w:right="0"/>
        <w:jc w:val="left"/>
      </w:pPr>
      <w:r>
        <w:rPr/>
        <w:t>债期间的适用税率计量，并反映资产负债表日预期收回资产或清偿负债方式的所得税影响。</w:t>
      </w:r>
    </w:p>
    <w:p>
      <w:pPr>
        <w:spacing w:after="0" w:line="240" w:lineRule="auto"/>
        <w:jc w:val="left"/>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right="128" w:firstLine="419"/>
        <w:jc w:val="both"/>
      </w:pPr>
      <w:r>
        <w:rPr>
          <w:spacing w:val="-2"/>
        </w:rPr>
        <w:t>公司于资产负债表日对递延所得税资产的账面价值进行复核。如果未来期间很可能无法获得</w:t>
      </w:r>
      <w:r>
        <w:rPr>
          <w:w w:val="100"/>
        </w:rPr>
        <w:t> </w:t>
      </w:r>
      <w:r>
        <w:rPr>
          <w:spacing w:val="-1"/>
        </w:rPr>
        <w:t>足够的应纳税所得额用以抵扣递延所得税资产的利益的，减记递延所得税资产的账面价值。在很</w:t>
      </w:r>
      <w:r>
        <w:rPr>
          <w:spacing w:val="-55"/>
        </w:rPr>
        <w:t> </w:t>
      </w:r>
      <w:r>
        <w:rPr>
          <w:spacing w:val="-55"/>
        </w:rPr>
      </w:r>
      <w:r>
        <w:rPr/>
        <w:t>可能获得足够的应纳税所得额时，减记的金额予以转回。</w:t>
      </w:r>
    </w:p>
    <w:p>
      <w:pPr>
        <w:spacing w:line="240" w:lineRule="auto" w:before="2"/>
        <w:rPr>
          <w:rFonts w:ascii="宋体" w:hAnsi="宋体" w:cs="宋体" w:eastAsia="宋体" w:hint="default"/>
          <w:sz w:val="21"/>
          <w:szCs w:val="21"/>
        </w:rPr>
      </w:pPr>
    </w:p>
    <w:p>
      <w:pPr>
        <w:pStyle w:val="Heading2"/>
        <w:spacing w:line="264" w:lineRule="auto"/>
        <w:ind w:left="138" w:right="6101"/>
        <w:jc w:val="left"/>
        <w:rPr>
          <w:b w:val="0"/>
          <w:bCs w:val="0"/>
        </w:rPr>
      </w:pPr>
      <w:r>
        <w:rPr>
          <w:rFonts w:ascii="Calibri" w:hAnsi="Calibri" w:cs="Calibri" w:eastAsia="Calibri" w:hint="default"/>
        </w:rPr>
        <w:t>29.</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14" w:lineRule="auto" w:before="114"/>
        <w:ind w:right="130" w:firstLine="419"/>
        <w:jc w:val="both"/>
      </w:pPr>
      <w:r>
        <w:rPr>
          <w:spacing w:val="-2"/>
        </w:rPr>
        <w:t>对于经营租赁的租金，出租人、承租人在租赁期内各个期间按照直线法确认为当期损益。出</w:t>
      </w:r>
      <w:r>
        <w:rPr>
          <w:w w:val="100"/>
        </w:rPr>
        <w:t> </w:t>
      </w:r>
      <w:r>
        <w:rPr/>
        <w:t>租人、承租人发生的初始直接费用，计入当期损益。或有租金在实际发生时计入当期损益。</w:t>
      </w:r>
    </w:p>
    <w:p>
      <w:pPr>
        <w:spacing w:line="240" w:lineRule="auto" w:before="13"/>
        <w:rPr>
          <w:rFonts w:ascii="宋体" w:hAnsi="宋体" w:cs="宋体" w:eastAsia="宋体" w:hint="default"/>
          <w:sz w:val="20"/>
          <w:szCs w:val="20"/>
        </w:rPr>
      </w:pPr>
    </w:p>
    <w:p>
      <w:pPr>
        <w:pStyle w:val="Heading2"/>
        <w:spacing w:line="240" w:lineRule="auto"/>
        <w:ind w:left="138" w:right="0"/>
        <w:jc w:val="both"/>
        <w:rPr>
          <w:b w:val="0"/>
          <w:bCs w:val="0"/>
        </w:rPr>
      </w:pPr>
      <w:r>
        <w:rPr>
          <w:rFonts w:ascii="宋体" w:hAnsi="宋体" w:cs="宋体" w:eastAsia="宋体" w:hint="default"/>
        </w:rPr>
        <w:t>(2)</w:t>
      </w:r>
      <w:r>
        <w:rPr/>
        <w:t>、融资租赁的会计处理方法</w:t>
      </w:r>
      <w:r>
        <w:rPr>
          <w:b w:val="0"/>
          <w:bCs w:val="0"/>
        </w:rPr>
      </w:r>
    </w:p>
    <w:p>
      <w:pPr>
        <w:spacing w:line="240" w:lineRule="auto" w:before="13"/>
        <w:rPr>
          <w:rFonts w:ascii="宋体" w:hAnsi="宋体" w:cs="宋体" w:eastAsia="宋体" w:hint="default"/>
          <w:b/>
          <w:bCs/>
          <w:sz w:val="14"/>
          <w:szCs w:val="14"/>
        </w:rPr>
      </w:pPr>
    </w:p>
    <w:p>
      <w:pPr>
        <w:pStyle w:val="BodyText"/>
        <w:spacing w:line="314" w:lineRule="auto"/>
        <w:ind w:left="558" w:right="0"/>
        <w:jc w:val="left"/>
      </w:pPr>
      <w:r>
        <w:rPr/>
        <w:t>①公司作为承租人的会计处理</w:t>
      </w:r>
      <w:r>
        <w:rPr>
          <w:w w:val="100"/>
        </w:rPr>
        <w:t> </w:t>
      </w:r>
      <w:r>
        <w:rPr>
          <w:spacing w:val="-2"/>
        </w:rPr>
        <w:t>在融资租赁期开始日，将租赁开始日租赁资产公允价值与最低租赁付款额现值两者中较低者</w:t>
      </w:r>
    </w:p>
    <w:p>
      <w:pPr>
        <w:pStyle w:val="BodyText"/>
        <w:spacing w:line="314" w:lineRule="auto" w:before="20"/>
        <w:ind w:right="128"/>
        <w:jc w:val="both"/>
      </w:pPr>
      <w:r>
        <w:rPr>
          <w:spacing w:val="-1"/>
        </w:rPr>
        <w:t>作为租入资产的入账价值，将最低租赁付款额作为长期应付款的入账价值，其差额作为未确认融</w:t>
      </w:r>
      <w:r>
        <w:rPr>
          <w:spacing w:val="-55"/>
        </w:rPr>
        <w:t> </w:t>
      </w:r>
      <w:r>
        <w:rPr>
          <w:spacing w:val="-55"/>
        </w:rPr>
      </w:r>
      <w:r>
        <w:rPr>
          <w:spacing w:val="-6"/>
        </w:rPr>
        <w:t>资费用。在租赁谈判和签订租赁合同过程中发生的可归属于租赁项目的手续费、律师费、差旅费、</w:t>
      </w:r>
      <w:r>
        <w:rPr>
          <w:spacing w:val="-54"/>
        </w:rPr>
        <w:t> </w:t>
      </w:r>
      <w:r>
        <w:rPr>
          <w:spacing w:val="-54"/>
        </w:rPr>
      </w:r>
      <w:r>
        <w:rPr>
          <w:spacing w:val="-1"/>
        </w:rPr>
        <w:t>印花税等初始直接费用（下同），计入租入资产价值。在计算最低租赁付款额的现值时，能够取</w:t>
      </w:r>
      <w:r>
        <w:rPr>
          <w:spacing w:val="-55"/>
        </w:rPr>
        <w:t> </w:t>
      </w:r>
      <w:r>
        <w:rPr>
          <w:spacing w:val="-55"/>
        </w:rPr>
      </w:r>
      <w:r>
        <w:rPr>
          <w:spacing w:val="-1"/>
        </w:rPr>
        <w:t>得出租人租赁内含利率的，采用租赁内含利率作为折现率；否则，采用租赁合同规定的利率作为</w:t>
      </w:r>
      <w:r>
        <w:rPr>
          <w:spacing w:val="-55"/>
        </w:rPr>
        <w:t> </w:t>
      </w:r>
      <w:r>
        <w:rPr>
          <w:spacing w:val="-55"/>
        </w:rPr>
      </w:r>
      <w:r>
        <w:rPr>
          <w:spacing w:val="-1"/>
        </w:rPr>
        <w:t>折现率。无法取得出租人的租赁内含利率且租赁合同没有规定利率的，采用同期银行贷款利率作</w:t>
      </w:r>
      <w:r>
        <w:rPr>
          <w:spacing w:val="-55"/>
        </w:rPr>
        <w:t> </w:t>
      </w:r>
      <w:r>
        <w:rPr>
          <w:spacing w:val="-55"/>
        </w:rPr>
      </w:r>
      <w:r>
        <w:rPr/>
        <w:t>为折现率。未确认融资费用在租赁期内按照实际利率法计算确认当期的融资费用。</w:t>
      </w:r>
    </w:p>
    <w:p>
      <w:pPr>
        <w:pStyle w:val="BodyText"/>
        <w:spacing w:line="314" w:lineRule="auto" w:before="20"/>
        <w:ind w:right="128" w:firstLine="419"/>
        <w:jc w:val="both"/>
      </w:pPr>
      <w:r>
        <w:rPr>
          <w:spacing w:val="-2"/>
        </w:rPr>
        <w:t>公司采用与自有固定资产相一致的折旧政策计提租赁资产折旧。能够合理确定租赁期届满时</w:t>
      </w:r>
      <w:r>
        <w:rPr>
          <w:w w:val="100"/>
        </w:rPr>
        <w:t> </w:t>
      </w:r>
      <w:r>
        <w:rPr>
          <w:spacing w:val="-1"/>
        </w:rPr>
        <w:t>取得租赁资产所有权的，在租赁资产使用寿命内计提折旧。无法合理确定租赁期届满时能够取得</w:t>
      </w:r>
      <w:r>
        <w:rPr>
          <w:spacing w:val="-55"/>
        </w:rPr>
        <w:t> </w:t>
      </w:r>
      <w:r>
        <w:rPr>
          <w:spacing w:val="-55"/>
        </w:rPr>
      </w:r>
      <w:r>
        <w:rPr>
          <w:spacing w:val="-1"/>
        </w:rPr>
        <w:t>租赁资产所有权的，在租赁期与租赁资产使用寿命两者中较短的期间内计提折旧。或有租金在实</w:t>
      </w:r>
      <w:r>
        <w:rPr>
          <w:spacing w:val="-55"/>
        </w:rPr>
        <w:t> </w:t>
      </w:r>
      <w:r>
        <w:rPr>
          <w:spacing w:val="-55"/>
        </w:rPr>
      </w:r>
      <w:r>
        <w:rPr/>
        <w:t>际发生时计入当期损益。</w:t>
      </w:r>
    </w:p>
    <w:p>
      <w:pPr>
        <w:pStyle w:val="BodyText"/>
        <w:spacing w:line="314" w:lineRule="auto" w:before="140"/>
        <w:ind w:left="558" w:right="0"/>
        <w:jc w:val="left"/>
      </w:pPr>
      <w:r>
        <w:rPr/>
        <w:t>②公司作为出租人的会计处理</w:t>
      </w:r>
      <w:r>
        <w:rPr>
          <w:w w:val="100"/>
        </w:rPr>
        <w:t> </w:t>
      </w:r>
      <w:r>
        <w:rPr>
          <w:spacing w:val="-2"/>
        </w:rPr>
        <w:t>在租赁期开始日，出租人将租赁开始日最低租赁收款额与初始直接费用之和作为应收融资租</w:t>
      </w:r>
    </w:p>
    <w:p>
      <w:pPr>
        <w:pStyle w:val="BodyText"/>
        <w:spacing w:line="314" w:lineRule="auto" w:before="20"/>
        <w:ind w:right="128"/>
        <w:jc w:val="both"/>
      </w:pPr>
      <w:r>
        <w:rPr>
          <w:spacing w:val="-1"/>
        </w:rPr>
        <w:t>赁款的入账价值，同时记录未担保余值；将最低租赁收款额、初始直接费用及未担保余值之和与</w:t>
      </w:r>
      <w:r>
        <w:rPr>
          <w:spacing w:val="-55"/>
        </w:rPr>
        <w:t> </w:t>
      </w:r>
      <w:r>
        <w:rPr>
          <w:spacing w:val="-55"/>
        </w:rPr>
      </w:r>
      <w:r>
        <w:rPr/>
        <w:t>其现值之和的差额确认为未实现融资收益。</w:t>
      </w:r>
    </w:p>
    <w:p>
      <w:pPr>
        <w:pStyle w:val="BodyText"/>
        <w:spacing w:line="240" w:lineRule="auto" w:before="20"/>
        <w:ind w:left="558" w:right="0"/>
        <w:jc w:val="left"/>
      </w:pPr>
      <w:r>
        <w:rPr/>
        <w:t>未实现融资收益在租赁期内按照实际利率法计算确认当期的融资收入。</w:t>
      </w:r>
    </w:p>
    <w:p>
      <w:pPr>
        <w:spacing w:line="240" w:lineRule="auto" w:before="13"/>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30.  </w:t>
      </w:r>
      <w:r>
        <w:rPr>
          <w:rFonts w:ascii="Calibri" w:hAnsi="Calibri" w:cs="Calibri" w:eastAsia="Calibri" w:hint="default"/>
          <w:spacing w:val="10"/>
        </w:rPr>
        <w:t> </w:t>
      </w:r>
      <w:r>
        <w:rPr/>
        <w:t>其他重要的会计政策和会计估计</w:t>
      </w:r>
      <w:r>
        <w:rPr>
          <w:b w:val="0"/>
          <w:bCs w:val="0"/>
        </w:rPr>
      </w:r>
    </w:p>
    <w:p>
      <w:pPr>
        <w:pStyle w:val="BodyText"/>
        <w:spacing w:line="304" w:lineRule="auto" w:before="168"/>
        <w:ind w:left="558" w:right="12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）回购本公司股份</w:t>
      </w:r>
      <w:r>
        <w:rPr>
          <w:rFonts w:ascii="宋体" w:hAnsi="宋体" w:cs="宋体" w:eastAsia="宋体" w:hint="default"/>
          <w:b/>
          <w:bCs/>
          <w:w w:val="100"/>
        </w:rPr>
        <w:t> </w:t>
      </w:r>
      <w:r>
        <w:rPr/>
        <w:t>公司回购自身权益工具支付的对价和交易费用，应当减少所有者权益。</w:t>
      </w:r>
      <w:r>
        <w:rPr>
          <w:w w:val="100"/>
        </w:rPr>
        <w:t> </w:t>
      </w:r>
      <w:r>
        <w:rPr>
          <w:spacing w:val="-2"/>
        </w:rPr>
        <w:t>公司按法定程序报经批准采用收购本公司股票方式减资，按注销股票面值总额减少股本，购</w:t>
      </w:r>
    </w:p>
    <w:p>
      <w:pPr>
        <w:pStyle w:val="BodyText"/>
        <w:spacing w:line="314" w:lineRule="auto" w:before="28"/>
        <w:ind w:right="128"/>
        <w:jc w:val="both"/>
      </w:pPr>
      <w:r>
        <w:rPr>
          <w:spacing w:val="-1"/>
        </w:rPr>
        <w:t>回股票支付的价款（含交易费用）与股票面值的差额调整所有者权益，超过面值总额的部分，依</w:t>
      </w:r>
      <w:r>
        <w:rPr>
          <w:spacing w:val="-55"/>
        </w:rPr>
        <w:t> </w:t>
      </w:r>
      <w:r>
        <w:rPr>
          <w:spacing w:val="-55"/>
        </w:rPr>
      </w:r>
      <w:r>
        <w:rPr>
          <w:spacing w:val="-1"/>
        </w:rPr>
        <w:t>次冲减资本公积（股本溢价）、盈余公积和未分配利润；如低于面值总额的，低于面值总额的部</w:t>
      </w:r>
      <w:r>
        <w:rPr>
          <w:spacing w:val="-55"/>
        </w:rPr>
        <w:t> </w:t>
      </w:r>
      <w:r>
        <w:rPr>
          <w:spacing w:val="-55"/>
        </w:rPr>
      </w:r>
      <w:r>
        <w:rPr/>
        <w:t>分增加资本公积（股本溢价）。公司回购自身权益工具，不确认利得或损失。</w:t>
      </w:r>
    </w:p>
    <w:p>
      <w:pPr>
        <w:pStyle w:val="BodyText"/>
        <w:spacing w:line="314" w:lineRule="auto" w:before="20"/>
        <w:ind w:right="130" w:firstLine="419"/>
        <w:jc w:val="both"/>
      </w:pPr>
      <w:r>
        <w:rPr>
          <w:spacing w:val="-1"/>
        </w:rPr>
        <w:t>公司回购的股份在注销或者转让之前，作为库存股管理，回购股份的全部支出转作库存股成</w:t>
      </w:r>
      <w:r>
        <w:rPr>
          <w:w w:val="100"/>
        </w:rPr>
        <w:t> </w:t>
      </w:r>
      <w:r>
        <w:rPr/>
        <w:t>本，同时进行备查登记。</w:t>
      </w:r>
    </w:p>
    <w:p>
      <w:pPr>
        <w:spacing w:after="0" w:line="314" w:lineRule="auto"/>
        <w:jc w:val="both"/>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pStyle w:val="BodyText"/>
        <w:spacing w:line="297" w:lineRule="auto" w:before="180"/>
        <w:ind w:right="128" w:firstLine="419"/>
        <w:jc w:val="both"/>
      </w:pPr>
      <w:r>
        <w:rPr/>
        <w:t>库存股转让时，转让收入高于库存股成本的部分，增加资本公积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；低于库存股成</w:t>
      </w:r>
      <w:r>
        <w:rPr>
          <w:w w:val="100"/>
        </w:rPr>
        <w:t> </w:t>
      </w:r>
      <w:r>
        <w:rPr/>
        <w:t>本的部分，依次冲减资本公积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、盈余公积、未分配利润。</w:t>
      </w:r>
    </w:p>
    <w:p>
      <w:pPr>
        <w:pStyle w:val="BodyText"/>
        <w:spacing w:line="314" w:lineRule="auto" w:before="13"/>
        <w:ind w:right="130" w:firstLine="419"/>
        <w:jc w:val="both"/>
      </w:pPr>
      <w:r>
        <w:rPr>
          <w:spacing w:val="-2"/>
        </w:rPr>
        <w:t>公司回购其普通股形成的库存股不参与公司利润分配，公司将其作为在资产负债表中所有者</w:t>
      </w:r>
      <w:r>
        <w:rPr>
          <w:w w:val="100"/>
        </w:rPr>
        <w:t> </w:t>
      </w:r>
      <w:r>
        <w:rPr/>
        <w:t>权益的备抵项目列示。</w:t>
      </w:r>
    </w:p>
    <w:p>
      <w:pPr>
        <w:spacing w:line="297" w:lineRule="auto" w:before="14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）资产证券化业务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公司设立特殊目的主体作为结构化融资的载体，公司把金融资产转移到特殊目的主体，如果</w:t>
      </w:r>
    </w:p>
    <w:p>
      <w:pPr>
        <w:pStyle w:val="BodyText"/>
        <w:spacing w:line="314" w:lineRule="auto" w:before="34"/>
        <w:ind w:right="128"/>
        <w:jc w:val="both"/>
      </w:pPr>
      <w:r>
        <w:rPr>
          <w:spacing w:val="-1"/>
        </w:rPr>
        <w:t>公司能够控制该特殊目的主体，这些特殊目的主体则视同为子公司而纳入公司合并财务报表的范</w:t>
      </w:r>
      <w:r>
        <w:rPr>
          <w:spacing w:val="-56"/>
        </w:rPr>
        <w:t> </w:t>
      </w:r>
      <w:r>
        <w:rPr>
          <w:spacing w:val="-56"/>
        </w:rPr>
      </w:r>
      <w:r>
        <w:rPr/>
        <w:t>围。</w:t>
      </w:r>
    </w:p>
    <w:p>
      <w:pPr>
        <w:pStyle w:val="BodyText"/>
        <w:spacing w:line="314" w:lineRule="auto" w:before="20"/>
        <w:ind w:right="128" w:firstLine="419"/>
        <w:jc w:val="both"/>
      </w:pPr>
      <w:r>
        <w:rPr>
          <w:spacing w:val="-7"/>
          <w:w w:val="100"/>
        </w:rPr>
        <w:t>公司出售金融资产作出承诺，已转移的金融资产将来发生信用损失时，由公司进行全额补偿，</w:t>
      </w:r>
      <w:r>
        <w:rPr>
          <w:w w:val="100"/>
        </w:rPr>
        <w:t> </w:t>
      </w:r>
      <w:r>
        <w:rPr>
          <w:spacing w:val="-1"/>
        </w:rPr>
        <w:t>公司实质上保留了该金融资产所有权上几乎所有的风险和报酬，公司未终止确认所出售的金融资</w:t>
      </w:r>
      <w:r>
        <w:rPr>
          <w:spacing w:val="-55"/>
        </w:rPr>
        <w:t> </w:t>
      </w:r>
      <w:r>
        <w:rPr>
          <w:spacing w:val="-55"/>
        </w:rPr>
      </w:r>
      <w:r>
        <w:rPr/>
        <w:t>产。</w:t>
      </w:r>
    </w:p>
    <w:p>
      <w:pPr>
        <w:pStyle w:val="BodyText"/>
        <w:spacing w:line="314" w:lineRule="auto" w:before="20"/>
        <w:ind w:right="128" w:firstLine="419"/>
        <w:jc w:val="both"/>
      </w:pPr>
      <w:r>
        <w:rPr>
          <w:spacing w:val="-2"/>
        </w:rPr>
        <w:t>资产证券化募集的资金列专项应付款，资产证券化融资费用（包括财务顾问费、银行担保费</w:t>
      </w:r>
      <w:r>
        <w:rPr>
          <w:w w:val="100"/>
        </w:rPr>
        <w:t> </w:t>
      </w:r>
      <w:r>
        <w:rPr>
          <w:spacing w:val="-1"/>
        </w:rPr>
        <w:t>等）列入当期财务费用，收益权与实际募集的委托资金差额列长期待摊费用，在存续期内按证券</w:t>
      </w:r>
      <w:r>
        <w:rPr>
          <w:spacing w:val="-56"/>
        </w:rPr>
        <w:t> </w:t>
      </w:r>
      <w:r>
        <w:rPr>
          <w:spacing w:val="-56"/>
        </w:rPr>
      </w:r>
      <w:r>
        <w:rPr/>
        <w:t>化实施的项目进行摊销列入财务费用。</w:t>
      </w:r>
    </w:p>
    <w:p>
      <w:pPr>
        <w:pStyle w:val="BodyText"/>
        <w:spacing w:line="297" w:lineRule="auto" w:before="140"/>
        <w:ind w:left="558"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）套期会计</w:t>
      </w:r>
      <w:r>
        <w:rPr>
          <w:rFonts w:ascii="宋体" w:hAnsi="宋体" w:cs="宋体" w:eastAsia="宋体" w:hint="default"/>
          <w:b/>
          <w:bCs/>
          <w:w w:val="100"/>
        </w:rPr>
        <w:t> </w:t>
      </w:r>
      <w:r>
        <w:rPr>
          <w:spacing w:val="-2"/>
        </w:rPr>
        <w:t>套期会计方法是指在相同会计期间将套期工具和被套期项目公允价值变动的抵销结果计入当</w:t>
      </w:r>
    </w:p>
    <w:p>
      <w:pPr>
        <w:pStyle w:val="BodyText"/>
        <w:spacing w:line="314" w:lineRule="auto" w:before="34"/>
        <w:ind w:left="558" w:right="0" w:hanging="420"/>
        <w:jc w:val="left"/>
      </w:pPr>
      <w:r>
        <w:rPr/>
        <w:t>期损益的方法。</w:t>
      </w:r>
      <w:r>
        <w:rPr>
          <w:spacing w:val="-103"/>
        </w:rPr>
        <w:t> </w:t>
      </w:r>
      <w:r>
        <w:rPr>
          <w:spacing w:val="-103"/>
        </w:rPr>
      </w:r>
      <w:r>
        <w:rPr>
          <w:spacing w:val="-2"/>
        </w:rPr>
        <w:t>套期工具是指公司为规避外汇风险、利率风险、商品价格风险、股票价格风险、信用风险等</w:t>
      </w:r>
    </w:p>
    <w:p>
      <w:pPr>
        <w:pStyle w:val="BodyText"/>
        <w:spacing w:line="314" w:lineRule="auto" w:before="20"/>
        <w:ind w:right="128"/>
        <w:jc w:val="both"/>
      </w:pPr>
      <w:r>
        <w:rPr>
          <w:spacing w:val="-1"/>
        </w:rPr>
        <w:t>所使用的衍生工具，分为公允价值套期、现金流量套期和境外经营净投资套期。对于同时满足下</w:t>
      </w:r>
      <w:r>
        <w:rPr>
          <w:spacing w:val="-55"/>
        </w:rPr>
        <w:t> </w:t>
      </w:r>
      <w:r>
        <w:rPr>
          <w:spacing w:val="-55"/>
        </w:rPr>
      </w:r>
      <w:r>
        <w:rPr/>
        <w:t>列条件的套期工具，运用套期会计方法进行处理：</w:t>
      </w:r>
    </w:p>
    <w:p>
      <w:pPr>
        <w:pStyle w:val="BodyText"/>
        <w:spacing w:line="297" w:lineRule="auto" w:before="20"/>
        <w:ind w:right="130" w:firstLine="419"/>
        <w:jc w:val="both"/>
      </w:pPr>
      <w:r>
        <w:rPr/>
        <w:t>①在套期开始时，公司对套期关系</w:t>
      </w:r>
      <w:r>
        <w:rPr>
          <w:rFonts w:ascii="Times New Roman" w:hAnsi="Times New Roman" w:cs="Times New Roman" w:eastAsia="Times New Roman" w:hint="default"/>
        </w:rPr>
        <w:t>(</w:t>
      </w:r>
      <w:r>
        <w:rPr/>
        <w:t>即套期工具和被套期项目之间的关系</w:t>
      </w:r>
      <w:r>
        <w:rPr>
          <w:rFonts w:ascii="Times New Roman" w:hAnsi="Times New Roman" w:cs="Times New Roman" w:eastAsia="Times New Roman" w:hint="default"/>
        </w:rPr>
        <w:t>)</w:t>
      </w:r>
      <w:r>
        <w:rPr/>
        <w:t>有正式指定，并准</w:t>
      </w:r>
      <w:r>
        <w:rPr>
          <w:w w:val="100"/>
        </w:rPr>
        <w:t> </w:t>
      </w:r>
      <w:r>
        <w:rPr/>
        <w:t>备了关于套期关系、风险管理目标和套期策略的正式书面文件；</w:t>
      </w:r>
    </w:p>
    <w:p>
      <w:pPr>
        <w:pStyle w:val="BodyText"/>
        <w:spacing w:line="240" w:lineRule="auto" w:before="34"/>
        <w:ind w:left="558" w:right="0"/>
        <w:jc w:val="left"/>
      </w:pPr>
      <w:r>
        <w:rPr/>
        <w:t>②该套期预期高度有效，且符合公司最初为该套期关系所确定的风险管理策略；</w:t>
      </w:r>
    </w:p>
    <w:p>
      <w:pPr>
        <w:pStyle w:val="BodyText"/>
        <w:spacing w:line="314" w:lineRule="auto" w:before="85"/>
        <w:ind w:right="130" w:firstLine="419"/>
        <w:jc w:val="both"/>
      </w:pPr>
      <w:r>
        <w:rPr>
          <w:spacing w:val="-2"/>
        </w:rPr>
        <w:t>③对预期交易的现金流量套期，预期交易应当很可能发生，且必须使公司面临最终将影响损</w:t>
      </w:r>
      <w:r>
        <w:rPr>
          <w:w w:val="100"/>
        </w:rPr>
        <w:t> </w:t>
      </w:r>
      <w:r>
        <w:rPr/>
        <w:t>益的现金流量变动风险；</w:t>
      </w:r>
    </w:p>
    <w:p>
      <w:pPr>
        <w:pStyle w:val="BodyText"/>
        <w:spacing w:line="240" w:lineRule="auto" w:before="20"/>
        <w:ind w:left="558" w:right="0"/>
        <w:jc w:val="left"/>
      </w:pPr>
      <w:r>
        <w:rPr/>
        <w:t>④套期有效性能够可靠地计量；</w:t>
      </w:r>
    </w:p>
    <w:p>
      <w:pPr>
        <w:pStyle w:val="BodyText"/>
        <w:spacing w:line="314" w:lineRule="auto" w:before="85"/>
        <w:ind w:right="130" w:firstLine="419"/>
        <w:jc w:val="both"/>
      </w:pPr>
      <w:r>
        <w:rPr>
          <w:spacing w:val="-2"/>
        </w:rPr>
        <w:t>⑤公司持续地对套期有效性进行评价，并确保该套期在套期关系被指定的会计期间内高度有</w:t>
      </w:r>
      <w:r>
        <w:rPr>
          <w:w w:val="100"/>
        </w:rPr>
        <w:t> </w:t>
      </w:r>
      <w:r>
        <w:rPr/>
        <w:t>效。</w:t>
      </w:r>
    </w:p>
    <w:p>
      <w:pPr>
        <w:pStyle w:val="BodyText"/>
        <w:spacing w:line="314" w:lineRule="auto" w:before="20"/>
        <w:ind w:left="558" w:right="0"/>
        <w:jc w:val="left"/>
      </w:pPr>
      <w:r>
        <w:rPr/>
        <w:t>公允价值套期满足上述条件的，公允价值变动形成的利得或损失计入当期损益。</w:t>
      </w:r>
      <w:r>
        <w:rPr>
          <w:w w:val="100"/>
        </w:rPr>
        <w:t> </w:t>
      </w:r>
      <w:r>
        <w:rPr>
          <w:spacing w:val="-2"/>
        </w:rPr>
        <w:t>现金流量套期满足上述条件的，套期工具利得或损失中属于有效套期的部分计入其他综合收</w:t>
      </w:r>
    </w:p>
    <w:p>
      <w:pPr>
        <w:pStyle w:val="BodyText"/>
        <w:spacing w:line="314" w:lineRule="auto" w:before="20"/>
        <w:ind w:right="128"/>
        <w:jc w:val="both"/>
      </w:pPr>
      <w:r>
        <w:rPr>
          <w:spacing w:val="-1"/>
        </w:rPr>
        <w:t>益，无效部分计入当期损益。对于被套期项目为预期交易且该预期交易使公司随后确认一项金融</w:t>
      </w:r>
      <w:r>
        <w:rPr>
          <w:spacing w:val="-55"/>
        </w:rPr>
        <w:t> </w:t>
      </w:r>
      <w:r>
        <w:rPr>
          <w:spacing w:val="-55"/>
        </w:rPr>
      </w:r>
      <w:r>
        <w:rPr>
          <w:spacing w:val="-1"/>
        </w:rPr>
        <w:t>资产或一项金融负债的，原确认为其他综合收益的相关利得或损失在该金融资产或金融负债影响</w:t>
      </w:r>
      <w:r>
        <w:rPr>
          <w:spacing w:val="-55"/>
        </w:rPr>
        <w:t> </w:t>
      </w:r>
      <w:r>
        <w:rPr>
          <w:spacing w:val="-55"/>
        </w:rPr>
      </w:r>
      <w:r>
        <w:rPr>
          <w:spacing w:val="-1"/>
        </w:rPr>
        <w:t>公司损益的相同期间转出，计入当期损益。但是，公司预期原直接在所有者权益中确认的净损失</w:t>
      </w:r>
      <w:r>
        <w:rPr>
          <w:spacing w:val="-55"/>
        </w:rPr>
        <w:t> </w:t>
      </w:r>
      <w:r>
        <w:rPr>
          <w:spacing w:val="-55"/>
        </w:rPr>
      </w:r>
      <w:r>
        <w:rPr/>
        <w:t>全部或部分在未来会计期间不能弥补时，将不能弥补的部分转出，计入当期损益。</w:t>
      </w:r>
    </w:p>
    <w:p>
      <w:pPr>
        <w:pStyle w:val="BodyText"/>
        <w:spacing w:line="314" w:lineRule="auto" w:before="20"/>
        <w:ind w:right="128" w:firstLine="419"/>
        <w:jc w:val="both"/>
      </w:pPr>
      <w:r>
        <w:rPr>
          <w:spacing w:val="-2"/>
        </w:rPr>
        <w:t>境外经营净投资套期满足上述条件的，公司应按类似于现金流量套期会计的规定处理：套期</w:t>
      </w:r>
      <w:r>
        <w:rPr>
          <w:w w:val="100"/>
        </w:rPr>
        <w:t> </w:t>
      </w:r>
      <w:r>
        <w:rPr>
          <w:spacing w:val="-1"/>
        </w:rPr>
        <w:t>工具形成的利得或损失中属于有效套期的部分，直接确认为所有者权益，并单列项目反映。处置</w:t>
      </w:r>
      <w:r>
        <w:rPr>
          <w:spacing w:val="-56"/>
        </w:rPr>
        <w:t> </w:t>
      </w:r>
      <w:r>
        <w:rPr>
          <w:spacing w:val="-56"/>
        </w:rPr>
      </w:r>
      <w:r>
        <w:rPr>
          <w:spacing w:val="-2"/>
        </w:rPr>
        <w:t>境外经营时，将上述在所有者权益中单列项目反映的套期工具利得或损失转出，计入当期损益。</w:t>
      </w:r>
    </w:p>
    <w:p>
      <w:pPr>
        <w:spacing w:after="0" w:line="314" w:lineRule="auto"/>
        <w:jc w:val="both"/>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left="558" w:right="98"/>
        <w:jc w:val="left"/>
      </w:pPr>
      <w:r>
        <w:rPr/>
        <w:t>套期工具形成的利得或损失中属于无效套期的部分，计入当期损益。</w:t>
      </w:r>
      <w:r>
        <w:rPr>
          <w:w w:val="100"/>
        </w:rPr>
        <w:t> </w:t>
      </w:r>
      <w:r>
        <w:rPr>
          <w:spacing w:val="-2"/>
        </w:rPr>
        <w:t>不符合上述条件的其他公允价值套期、现金流量套期和境外净投资套期，其公允价值变动直</w:t>
      </w:r>
    </w:p>
    <w:p>
      <w:pPr>
        <w:pStyle w:val="BodyText"/>
        <w:spacing w:line="240" w:lineRule="auto" w:before="20"/>
        <w:ind w:right="0"/>
        <w:jc w:val="both"/>
      </w:pPr>
      <w:r>
        <w:rPr/>
        <w:t>接计入当期损益。</w:t>
      </w:r>
    </w:p>
    <w:p>
      <w:pPr>
        <w:spacing w:line="240" w:lineRule="auto" w:before="9"/>
        <w:rPr>
          <w:rFonts w:ascii="宋体" w:hAnsi="宋体" w:cs="宋体" w:eastAsia="宋体" w:hint="default"/>
          <w:sz w:val="15"/>
          <w:szCs w:val="15"/>
        </w:rPr>
      </w:pPr>
    </w:p>
    <w:p>
      <w:pPr>
        <w:pStyle w:val="BodyText"/>
        <w:spacing w:line="297" w:lineRule="auto"/>
        <w:ind w:left="558" w:right="98"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）建造合同</w:t>
      </w:r>
      <w:r>
        <w:rPr>
          <w:rFonts w:ascii="宋体" w:hAnsi="宋体" w:cs="宋体" w:eastAsia="宋体" w:hint="default"/>
          <w:b/>
          <w:bCs/>
          <w:w w:val="100"/>
        </w:rPr>
        <w:t> </w:t>
      </w:r>
      <w:r>
        <w:rPr>
          <w:spacing w:val="-2"/>
        </w:rPr>
        <w:t>在建造合同的结果能够可靠估计的情况下，本公司于资产负债表日按照完工百分比法确认合</w:t>
      </w:r>
    </w:p>
    <w:p>
      <w:pPr>
        <w:pStyle w:val="BodyText"/>
        <w:spacing w:line="314" w:lineRule="auto" w:before="34"/>
        <w:ind w:left="558" w:right="3739" w:hanging="420"/>
        <w:jc w:val="left"/>
      </w:pPr>
      <w:r>
        <w:rPr/>
        <w:t>同收入和合同费用。</w:t>
      </w:r>
      <w:r>
        <w:rPr>
          <w:w w:val="100"/>
        </w:rPr>
        <w:t> </w:t>
      </w:r>
      <w:r>
        <w:rPr>
          <w:spacing w:val="-2"/>
        </w:rPr>
        <w:t>建造合同的结果能够可靠估计是指同时满足：</w:t>
      </w:r>
    </w:p>
    <w:p>
      <w:pPr>
        <w:pStyle w:val="BodyText"/>
        <w:spacing w:line="240" w:lineRule="auto" w:before="20"/>
        <w:ind w:left="558" w:right="2926"/>
        <w:jc w:val="left"/>
      </w:pPr>
      <w:r>
        <w:rPr/>
        <w:t>①合同总收入能够可靠地计量；</w:t>
      </w:r>
    </w:p>
    <w:p>
      <w:pPr>
        <w:pStyle w:val="BodyText"/>
        <w:spacing w:line="240" w:lineRule="auto" w:before="85"/>
        <w:ind w:left="558" w:right="2926"/>
        <w:jc w:val="left"/>
      </w:pPr>
      <w:r>
        <w:rPr/>
        <w:t>②与合同相关的经济利益很可能流入企业；</w:t>
      </w:r>
    </w:p>
    <w:p>
      <w:pPr>
        <w:pStyle w:val="BodyText"/>
        <w:spacing w:line="240" w:lineRule="auto" w:before="85"/>
        <w:ind w:left="558" w:right="2926"/>
        <w:jc w:val="left"/>
      </w:pPr>
      <w:r>
        <w:rPr/>
        <w:t>③实际发生的合同成本能够清楚地区分和可靠地计量；</w:t>
      </w:r>
    </w:p>
    <w:p>
      <w:pPr>
        <w:pStyle w:val="BodyText"/>
        <w:spacing w:line="314" w:lineRule="auto" w:before="85"/>
        <w:ind w:left="558" w:right="98"/>
        <w:jc w:val="left"/>
      </w:pPr>
      <w:r>
        <w:rPr/>
        <w:t>④合同完工进度和为完成合同尚需发生的成本能够可靠地确定。</w:t>
      </w:r>
      <w:r>
        <w:rPr>
          <w:w w:val="100"/>
        </w:rPr>
        <w:t> </w:t>
      </w:r>
      <w:r>
        <w:rPr>
          <w:spacing w:val="-2"/>
        </w:rPr>
        <w:t>本公司于资产负债表日按照合同总收入乘以完工程度扣除以前会计期间累计已确认收入后的</w:t>
      </w:r>
    </w:p>
    <w:p>
      <w:pPr>
        <w:pStyle w:val="BodyText"/>
        <w:spacing w:line="314" w:lineRule="auto" w:before="20"/>
        <w:ind w:right="98"/>
        <w:jc w:val="left"/>
      </w:pPr>
      <w:r>
        <w:rPr>
          <w:spacing w:val="-1"/>
        </w:rPr>
        <w:t>金额，确认为当期合同收入；同时，按照合同预计总成本乘以完工程度扣除以前会计期间累计已</w:t>
      </w:r>
      <w:r>
        <w:rPr>
          <w:spacing w:val="-55"/>
        </w:rPr>
        <w:t> </w:t>
      </w:r>
      <w:r>
        <w:rPr>
          <w:spacing w:val="-55"/>
        </w:rPr>
      </w:r>
      <w:r>
        <w:rPr/>
        <w:t>确认费用后的金额，确认为当期合同费用。</w:t>
      </w:r>
    </w:p>
    <w:p>
      <w:pPr>
        <w:pStyle w:val="BodyText"/>
        <w:spacing w:line="240" w:lineRule="auto" w:before="20"/>
        <w:ind w:left="558" w:right="98"/>
        <w:jc w:val="left"/>
      </w:pPr>
      <w:r>
        <w:rPr/>
        <w:t>合同预计总成本超过合同总收入的，将预计损失确认为当期费用。</w:t>
      </w:r>
    </w:p>
    <w:p>
      <w:pPr>
        <w:spacing w:line="240" w:lineRule="auto" w:before="9"/>
        <w:rPr>
          <w:rFonts w:ascii="宋体" w:hAnsi="宋体" w:cs="宋体" w:eastAsia="宋体" w:hint="default"/>
          <w:sz w:val="15"/>
          <w:szCs w:val="15"/>
        </w:rPr>
      </w:pPr>
    </w:p>
    <w:p>
      <w:pPr>
        <w:spacing w:line="297" w:lineRule="auto" w:before="0"/>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）附回购条件的资产转让</w:t>
      </w:r>
      <w:r>
        <w:rPr>
          <w:rFonts w:ascii="宋体" w:hAnsi="宋体" w:cs="宋体" w:eastAsia="宋体" w:hint="default"/>
          <w:b/>
          <w:bCs/>
          <w:w w:val="100"/>
          <w:sz w:val="21"/>
          <w:szCs w:val="21"/>
        </w:rPr>
        <w:t> </w:t>
      </w:r>
      <w:r>
        <w:rPr>
          <w:rFonts w:ascii="宋体" w:hAnsi="宋体" w:cs="宋体" w:eastAsia="宋体" w:hint="default"/>
          <w:spacing w:val="-2"/>
          <w:sz w:val="21"/>
          <w:szCs w:val="21"/>
        </w:rPr>
        <w:t>售后回购是指销售商品的同时，公司同意日后再将同样或类似的商品购回的销售方式。公司</w:t>
      </w:r>
    </w:p>
    <w:p>
      <w:pPr>
        <w:pStyle w:val="BodyText"/>
        <w:spacing w:line="314" w:lineRule="auto" w:before="35"/>
        <w:ind w:right="208"/>
        <w:jc w:val="both"/>
      </w:pPr>
      <w:r>
        <w:rPr>
          <w:spacing w:val="-1"/>
        </w:rPr>
        <w:t>根据合同或协议条款判断销售商品是否满足收入确认条件。若售后回购交易属于融资交易的，商</w:t>
      </w:r>
      <w:r>
        <w:rPr>
          <w:spacing w:val="-55"/>
        </w:rPr>
        <w:t> </w:t>
      </w:r>
      <w:r>
        <w:rPr>
          <w:spacing w:val="-55"/>
        </w:rPr>
      </w:r>
      <w:r>
        <w:rPr>
          <w:spacing w:val="-1"/>
        </w:rPr>
        <w:t>品所有权上的主要风险和报酬没有转移，不应确认收入；回购价格大于原售价的差额，公司在回</w:t>
      </w:r>
      <w:r>
        <w:rPr>
          <w:spacing w:val="-55"/>
        </w:rPr>
        <w:t> </w:t>
      </w:r>
      <w:r>
        <w:rPr>
          <w:spacing w:val="-55"/>
        </w:rPr>
      </w:r>
      <w:r>
        <w:rPr/>
        <w:t>购期间按期计提利息费用，计入财务费用。</w:t>
      </w:r>
    </w:p>
    <w:p>
      <w:pPr>
        <w:pStyle w:val="BodyText"/>
        <w:spacing w:line="297" w:lineRule="auto" w:before="140"/>
        <w:ind w:left="558" w:right="98" w:firstLine="2"/>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）衍生金融工具</w:t>
      </w:r>
      <w:r>
        <w:rPr>
          <w:rFonts w:ascii="宋体" w:hAnsi="宋体" w:cs="宋体" w:eastAsia="宋体" w:hint="default"/>
          <w:b/>
          <w:bCs/>
          <w:w w:val="100"/>
        </w:rPr>
        <w:t> </w:t>
      </w:r>
      <w:r>
        <w:rPr>
          <w:spacing w:val="-4"/>
          <w:w w:val="100"/>
        </w:rPr>
        <w:t>衍生金融工具初始以衍生交易合同签订当日的公允价值计量，并以其公允价值进行后续计量。</w:t>
      </w:r>
    </w:p>
    <w:p>
      <w:pPr>
        <w:pStyle w:val="BodyText"/>
        <w:spacing w:line="314" w:lineRule="auto" w:before="34"/>
        <w:ind w:right="98"/>
        <w:jc w:val="left"/>
      </w:pPr>
      <w:r>
        <w:rPr>
          <w:spacing w:val="-1"/>
        </w:rPr>
        <w:t>公允价值为正数的衍生金融工具确认为一项资产，公允价值为负数的衍生金融工具确认为一项负</w:t>
      </w:r>
      <w:r>
        <w:rPr>
          <w:spacing w:val="-55"/>
        </w:rPr>
        <w:t> </w:t>
      </w:r>
      <w:r>
        <w:rPr>
          <w:spacing w:val="-55"/>
        </w:rPr>
      </w:r>
      <w:r>
        <w:rPr/>
        <w:t>债。</w:t>
      </w:r>
    </w:p>
    <w:p>
      <w:pPr>
        <w:pStyle w:val="BodyText"/>
        <w:spacing w:line="314" w:lineRule="auto" w:before="20"/>
        <w:ind w:right="98" w:firstLine="419"/>
        <w:jc w:val="left"/>
      </w:pPr>
      <w:r>
        <w:rPr>
          <w:spacing w:val="-2"/>
        </w:rPr>
        <w:t>公司根据政策管理衍生金融工具的应用，并以书面方式列明与公司风险管理策略一致的衍生</w:t>
      </w:r>
      <w:r>
        <w:rPr>
          <w:w w:val="100"/>
        </w:rPr>
        <w:t> </w:t>
      </w:r>
      <w:r>
        <w:rPr/>
        <w:t>金融工具应用原则。</w:t>
      </w:r>
    </w:p>
    <w:p>
      <w:pPr>
        <w:pStyle w:val="BodyText"/>
        <w:spacing w:line="314" w:lineRule="auto" w:before="20"/>
        <w:ind w:right="208" w:firstLine="419"/>
        <w:jc w:val="both"/>
      </w:pPr>
      <w:r>
        <w:rPr>
          <w:spacing w:val="-2"/>
        </w:rPr>
        <w:t>衍生金融工具的后续计量时，因公允价值变动而产生的利得或损失在利润表中确认。对于符</w:t>
      </w:r>
      <w:r>
        <w:rPr>
          <w:w w:val="100"/>
        </w:rPr>
        <w:t> </w:t>
      </w:r>
      <w:r>
        <w:rPr>
          <w:spacing w:val="-1"/>
        </w:rPr>
        <w:t>合套期会计处理的衍生金融工具，确认任何产生的利得或损失取决于被套期项目的性质。不符合</w:t>
      </w:r>
      <w:r>
        <w:rPr>
          <w:spacing w:val="-55"/>
        </w:rPr>
        <w:t> </w:t>
      </w:r>
      <w:r>
        <w:rPr>
          <w:spacing w:val="-55"/>
        </w:rPr>
      </w:r>
      <w:r>
        <w:rPr>
          <w:spacing w:val="-1"/>
        </w:rPr>
        <w:t>套期会计处理的衍生金融工具分类为以公允价值计量且其变动计入当期损益的金融资产及金融负</w:t>
      </w:r>
      <w:r>
        <w:rPr>
          <w:spacing w:val="-55"/>
        </w:rPr>
        <w:t> </w:t>
      </w:r>
      <w:r>
        <w:rPr>
          <w:spacing w:val="-55"/>
        </w:rPr>
      </w:r>
      <w:r>
        <w:rPr/>
        <w:t>债。</w:t>
      </w:r>
    </w:p>
    <w:p>
      <w:pPr>
        <w:spacing w:line="240" w:lineRule="auto" w:before="2"/>
        <w:rPr>
          <w:rFonts w:ascii="宋体" w:hAnsi="宋体" w:cs="宋体" w:eastAsia="宋体" w:hint="default"/>
          <w:sz w:val="21"/>
          <w:szCs w:val="21"/>
        </w:rPr>
      </w:pPr>
    </w:p>
    <w:p>
      <w:pPr>
        <w:pStyle w:val="Heading2"/>
        <w:spacing w:line="264" w:lineRule="auto"/>
        <w:ind w:left="138" w:right="3739"/>
        <w:jc w:val="left"/>
        <w:rPr>
          <w:b w:val="0"/>
          <w:bCs w:val="0"/>
        </w:rPr>
      </w:pPr>
      <w:r>
        <w:rPr>
          <w:rFonts w:ascii="Calibri" w:hAnsi="Calibri" w:cs="Calibri" w:eastAsia="Calibri" w:hint="default"/>
        </w:rPr>
        <w:t>31.</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7"/>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0"/>
        <w:jc w:val="both"/>
      </w:pPr>
      <w:r>
        <w:rPr/>
        <w:t>□适用</w:t>
      </w:r>
      <w:r>
        <w:rPr>
          <w:spacing w:val="-1"/>
        </w:rPr>
        <w:t> </w:t>
      </w:r>
      <w:r>
        <w:rPr/>
        <w:t>√不适用</w:t>
      </w:r>
    </w:p>
    <w:p>
      <w:pPr>
        <w:spacing w:after="0" w:line="240" w:lineRule="auto"/>
        <w:jc w:val="both"/>
        <w:sectPr>
          <w:footerReference w:type="default" r:id="rId48"/>
          <w:pgSz w:w="11910" w:h="16840"/>
          <w:pgMar w:footer="974" w:header="882" w:top="1120" w:bottom="1160" w:left="1660" w:right="1060"/>
        </w:sectPr>
      </w:pPr>
    </w:p>
    <w:p>
      <w:pPr>
        <w:spacing w:line="240" w:lineRule="auto" w:before="1"/>
        <w:rPr>
          <w:rFonts w:ascii="宋体" w:hAnsi="宋体" w:cs="宋体" w:eastAsia="宋体" w:hint="default"/>
          <w:sz w:val="25"/>
          <w:szCs w:val="25"/>
        </w:rPr>
      </w:pPr>
    </w:p>
    <w:p>
      <w:pPr>
        <w:pStyle w:val="Heading2"/>
        <w:spacing w:line="240" w:lineRule="auto" w:before="36"/>
        <w:ind w:right="227"/>
        <w:jc w:val="left"/>
        <w:rPr>
          <w:b w:val="0"/>
          <w:bCs w:val="0"/>
        </w:rPr>
      </w:pPr>
      <w:r>
        <w:rPr/>
        <w:t>六、税项</w:t>
      </w:r>
      <w:r>
        <w:rPr>
          <w:b w:val="0"/>
          <w:bCs w:val="0"/>
        </w:rPr>
      </w:r>
    </w:p>
    <w:p>
      <w:pPr>
        <w:pStyle w:val="Heading2"/>
        <w:tabs>
          <w:tab w:pos="642" w:val="left" w:leader="none"/>
        </w:tabs>
        <w:spacing w:line="240" w:lineRule="auto" w:before="58"/>
        <w:ind w:right="227"/>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886"/>
        <w:gridCol w:w="4799"/>
        <w:gridCol w:w="2365"/>
      </w:tblGrid>
      <w:tr>
        <w:trPr>
          <w:trHeight w:val="372"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70"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销售货物或提供应税劳务过程中产生的增值额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p>
        </w:tc>
      </w:tr>
      <w:tr>
        <w:trPr>
          <w:trHeight w:val="370"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应纳税销售收入</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370"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21"/>
                <w:szCs w:val="21"/>
              </w:rPr>
            </w:pPr>
            <w:r>
              <w:rPr>
                <w:rFonts w:ascii="Times New Roman"/>
                <w:sz w:val="21"/>
              </w:rPr>
              <w:t>7%</w:t>
            </w:r>
          </w:p>
        </w:tc>
      </w:tr>
      <w:tr>
        <w:trPr>
          <w:trHeight w:val="370"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370"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21"/>
                <w:szCs w:val="21"/>
              </w:rPr>
            </w:pPr>
            <w:r>
              <w:rPr>
                <w:rFonts w:ascii="Times New Roman"/>
                <w:sz w:val="21"/>
              </w:rPr>
              <w:t>3%</w:t>
            </w:r>
          </w:p>
        </w:tc>
      </w:tr>
      <w:tr>
        <w:trPr>
          <w:trHeight w:val="372"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地方教育附加</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应交增值税、营业税额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21"/>
                <w:szCs w:val="21"/>
              </w:rPr>
            </w:pPr>
            <w:r>
              <w:rPr>
                <w:rFonts w:ascii="Times New Roman"/>
                <w:sz w:val="21"/>
              </w:rPr>
              <w:t>2%</w:t>
            </w:r>
          </w:p>
        </w:tc>
      </w:tr>
      <w:tr>
        <w:trPr>
          <w:trHeight w:val="370"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应纳税销售收入</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21"/>
                <w:szCs w:val="21"/>
              </w:rPr>
            </w:pPr>
            <w:r>
              <w:rPr>
                <w:rFonts w:ascii="Times New Roman"/>
                <w:sz w:val="21"/>
              </w:rPr>
              <w:t>0.09%</w:t>
            </w:r>
          </w:p>
        </w:tc>
      </w:tr>
    </w:tbl>
    <w:p>
      <w:pPr>
        <w:pStyle w:val="BodyText"/>
        <w:spacing w:line="309" w:lineRule="auto" w:before="42"/>
        <w:ind w:left="218" w:right="229" w:firstLine="419"/>
        <w:jc w:val="both"/>
      </w:pPr>
      <w:r>
        <w:rPr>
          <w:spacing w:val="-7"/>
        </w:rPr>
        <w:t>存在不同企业所得税税率纳税主体的，披露情况说明：公司母公司、福建南威软件有限公司、</w:t>
      </w:r>
      <w:r>
        <w:rPr>
          <w:w w:val="100"/>
        </w:rPr>
        <w:t> </w:t>
      </w:r>
      <w:r>
        <w:rPr>
          <w:spacing w:val="-1"/>
        </w:rPr>
        <w:t>宁德南威软件有限公司、西安南威信息科技有限责任公司、福建神威系统集成有限责任公司、北</w:t>
      </w:r>
      <w:r>
        <w:rPr>
          <w:spacing w:val="-55"/>
        </w:rPr>
        <w:t> </w:t>
      </w:r>
      <w:r>
        <w:rPr>
          <w:spacing w:val="-55"/>
        </w:rPr>
      </w:r>
      <w:r>
        <w:rPr>
          <w:spacing w:val="-1"/>
        </w:rPr>
        <w:t>京南威科技有限公司、厦门市南威软件科技有限公司、昌吉州南威软件有限公司、北京万创聚力</w:t>
      </w:r>
      <w:r>
        <w:rPr>
          <w:spacing w:val="-55"/>
        </w:rPr>
        <w:t> </w:t>
      </w:r>
      <w:r>
        <w:rPr>
          <w:spacing w:val="-55"/>
        </w:rPr>
      </w:r>
      <w:r>
        <w:rPr/>
        <w:t>科技有限公司、福建网链科技有限公司、浙江易政信息技术有限公司的增值税税率为</w:t>
      </w:r>
      <w:r>
        <w:rPr>
          <w:spacing w:val="-50"/>
        </w:rPr>
        <w:t> </w:t>
      </w:r>
      <w:r>
        <w:rPr>
          <w:rFonts w:ascii="Times New Roman" w:hAnsi="Times New Roman" w:cs="Times New Roman" w:eastAsia="Times New Roman" w:hint="default"/>
          <w:spacing w:val="-3"/>
        </w:rPr>
        <w:t>17%</w:t>
      </w:r>
      <w:r>
        <w:rPr>
          <w:spacing w:val="-3"/>
        </w:rPr>
        <w:t>。除此</w:t>
      </w:r>
      <w:r>
        <w:rPr>
          <w:spacing w:val="-3"/>
          <w:w w:val="100"/>
        </w:rPr>
        <w:t> </w:t>
      </w:r>
      <w:r>
        <w:rPr/>
        <w:t>之外，报告期内各期各子公司增值税税率均为</w:t>
      </w:r>
      <w:r>
        <w:rPr>
          <w:spacing w:val="-55"/>
        </w:rPr>
        <w:t> </w:t>
      </w:r>
      <w:r>
        <w:rPr>
          <w:rFonts w:ascii="Times New Roman" w:hAnsi="Times New Roman" w:cs="Times New Roman" w:eastAsia="Times New Roman" w:hint="default"/>
        </w:rPr>
        <w:t>3%</w:t>
      </w:r>
      <w:r>
        <w:rPr/>
        <w:t>。</w:t>
      </w:r>
    </w:p>
    <w:p>
      <w:pPr>
        <w:pStyle w:val="BodyText"/>
        <w:spacing w:line="274" w:lineRule="exact" w:before="196"/>
        <w:ind w:left="218" w:right="227"/>
        <w:jc w:val="left"/>
      </w:pPr>
      <w:r>
        <w:rPr/>
        <w:t>本公司存在不同企业所得税税率纳税主体的，披露情况说明：</w:t>
      </w:r>
    </w:p>
    <w:p>
      <w:pPr>
        <w:pStyle w:val="BodyText"/>
        <w:spacing w:line="274" w:lineRule="exact"/>
        <w:ind w:left="218"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411"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南威软件股份有限公司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15%</w:t>
            </w:r>
          </w:p>
        </w:tc>
      </w:tr>
      <w:tr>
        <w:trPr>
          <w:trHeight w:val="41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宁德南威软件有限公司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福建神威系统集成有限责任公司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江西南威软件有限公司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北京南威科技有限公司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厦门市南威软件科技有限公司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1"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重庆南威信息技术有限公司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北京万创聚力科技有限公司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福建网链科技有限公司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浙江易政信息技术有限公司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南平南威软件有限公司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海南科特尔科技有限公司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平潭力信软件有限公司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上海南信信息科技有限公司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安徽国正信息科技有限公司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08"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成都南威软件有限公司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bl>
    <w:p>
      <w:pPr>
        <w:spacing w:after="0" w:line="240" w:lineRule="auto"/>
        <w:jc w:val="right"/>
        <w:rPr>
          <w:rFonts w:ascii="宋体" w:hAnsi="宋体" w:cs="宋体" w:eastAsia="宋体" w:hint="default"/>
          <w:sz w:val="21"/>
          <w:szCs w:val="21"/>
        </w:rPr>
        <w:sectPr>
          <w:footerReference w:type="default" r:id="rId49"/>
          <w:pgSz w:w="11910" w:h="16840"/>
          <w:pgMar w:footer="974" w:header="882" w:top="1120" w:bottom="1160" w:left="1580" w:right="1040"/>
          <w:pgNumType w:start="10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411"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南京迅奇信信息技术有限公司</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z w:val="21"/>
              </w:rPr>
              <w:t>25%</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北京南威水科技术有限公司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w:t>
            </w:r>
          </w:p>
        </w:tc>
      </w:tr>
      <w:tr>
        <w:trPr>
          <w:trHeight w:val="41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昌吉州南威软件有限公司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12.5%</w:t>
            </w:r>
          </w:p>
        </w:tc>
      </w:tr>
      <w:tr>
        <w:trPr>
          <w:trHeight w:val="410"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西安南威信息科技有限责任公司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12.5%</w:t>
            </w:r>
          </w:p>
        </w:tc>
      </w:tr>
    </w:tbl>
    <w:p>
      <w:pPr>
        <w:spacing w:line="240" w:lineRule="auto" w:before="2"/>
        <w:rPr>
          <w:rFonts w:ascii="宋体" w:hAnsi="宋体" w:cs="宋体" w:eastAsia="宋体" w:hint="default"/>
          <w:sz w:val="20"/>
          <w:szCs w:val="20"/>
        </w:rPr>
      </w:pPr>
    </w:p>
    <w:p>
      <w:pPr>
        <w:pStyle w:val="Heading2"/>
        <w:spacing w:line="240" w:lineRule="auto" w:before="36"/>
        <w:ind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税收优惠</w:t>
      </w:r>
      <w:r>
        <w:rPr>
          <w:b w:val="0"/>
          <w:bCs w:val="0"/>
        </w:rPr>
      </w:r>
    </w:p>
    <w:p>
      <w:pPr>
        <w:pStyle w:val="BodyText"/>
        <w:spacing w:line="240" w:lineRule="auto" w:before="106"/>
        <w:ind w:left="638" w:right="0"/>
        <w:jc w:val="left"/>
      </w:pPr>
      <w:r>
        <w:rPr>
          <w:w w:val="100"/>
        </w:rPr>
        <w:t>（</w:t>
      </w:r>
      <w:r>
        <w:rPr>
          <w:rFonts w:ascii="Times New Roman" w:hAnsi="Times New Roman" w:cs="Times New Roman" w:eastAsia="Times New Roman" w:hint="default"/>
          <w:w w:val="100"/>
        </w:rPr>
        <w:t>1</w:t>
      </w:r>
      <w:r>
        <w:rPr>
          <w:spacing w:val="-101"/>
          <w:w w:val="100"/>
        </w:rPr>
        <w:t>）</w:t>
      </w:r>
      <w:r>
        <w:rPr>
          <w:w w:val="100"/>
        </w:rPr>
        <w:t>依</w:t>
      </w:r>
      <w:r>
        <w:rPr>
          <w:spacing w:val="-3"/>
          <w:w w:val="100"/>
        </w:rPr>
        <w:t>据</w:t>
      </w:r>
      <w:r>
        <w:rPr>
          <w:w w:val="100"/>
        </w:rPr>
        <w:t>国</w:t>
      </w:r>
      <w:r>
        <w:rPr>
          <w:spacing w:val="-3"/>
          <w:w w:val="100"/>
        </w:rPr>
        <w:t>务</w:t>
      </w:r>
      <w:r>
        <w:rPr>
          <w:w w:val="100"/>
        </w:rPr>
        <w:t>院</w:t>
      </w:r>
      <w:r>
        <w:rPr>
          <w:spacing w:val="-3"/>
          <w:w w:val="100"/>
        </w:rPr>
        <w:t>下</w:t>
      </w:r>
      <w:r>
        <w:rPr>
          <w:w w:val="100"/>
        </w:rPr>
        <w:t>发</w:t>
      </w:r>
      <w:r>
        <w:rPr>
          <w:spacing w:val="-101"/>
          <w:w w:val="100"/>
        </w:rPr>
        <w:t>的</w:t>
      </w:r>
      <w:r>
        <w:rPr>
          <w:w w:val="100"/>
        </w:rPr>
        <w:t>《</w:t>
      </w:r>
      <w:r>
        <w:rPr>
          <w:spacing w:val="-3"/>
          <w:w w:val="100"/>
        </w:rPr>
        <w:t>关</w:t>
      </w:r>
      <w:r>
        <w:rPr>
          <w:w w:val="100"/>
        </w:rPr>
        <w:t>于印</w:t>
      </w:r>
      <w:r>
        <w:rPr>
          <w:spacing w:val="-3"/>
          <w:w w:val="100"/>
        </w:rPr>
        <w:t>发</w:t>
      </w:r>
      <w:r>
        <w:rPr>
          <w:w w:val="100"/>
        </w:rPr>
        <w:t>进</w:t>
      </w:r>
      <w:r>
        <w:rPr>
          <w:spacing w:val="-3"/>
          <w:w w:val="100"/>
        </w:rPr>
        <w:t>一</w:t>
      </w:r>
      <w:r>
        <w:rPr>
          <w:w w:val="100"/>
        </w:rPr>
        <w:t>步</w:t>
      </w:r>
      <w:r>
        <w:rPr>
          <w:spacing w:val="-3"/>
          <w:w w:val="100"/>
        </w:rPr>
        <w:t>鼓</w:t>
      </w:r>
      <w:r>
        <w:rPr>
          <w:w w:val="100"/>
        </w:rPr>
        <w:t>励</w:t>
      </w:r>
      <w:r>
        <w:rPr>
          <w:spacing w:val="-3"/>
          <w:w w:val="100"/>
        </w:rPr>
        <w:t>软</w:t>
      </w:r>
      <w:r>
        <w:rPr>
          <w:w w:val="100"/>
        </w:rPr>
        <w:t>件</w:t>
      </w:r>
      <w:r>
        <w:rPr>
          <w:spacing w:val="-3"/>
          <w:w w:val="100"/>
        </w:rPr>
        <w:t>产</w:t>
      </w:r>
      <w:r>
        <w:rPr>
          <w:w w:val="100"/>
        </w:rPr>
        <w:t>业和</w:t>
      </w:r>
      <w:r>
        <w:rPr>
          <w:spacing w:val="-3"/>
          <w:w w:val="100"/>
        </w:rPr>
        <w:t>集</w:t>
      </w:r>
      <w:r>
        <w:rPr>
          <w:w w:val="100"/>
        </w:rPr>
        <w:t>成</w:t>
      </w:r>
      <w:r>
        <w:rPr>
          <w:spacing w:val="-3"/>
          <w:w w:val="100"/>
        </w:rPr>
        <w:t>电</w:t>
      </w:r>
      <w:r>
        <w:rPr>
          <w:w w:val="100"/>
        </w:rPr>
        <w:t>路</w:t>
      </w:r>
      <w:r>
        <w:rPr>
          <w:spacing w:val="-3"/>
          <w:w w:val="100"/>
        </w:rPr>
        <w:t>产</w:t>
      </w:r>
      <w:r>
        <w:rPr>
          <w:w w:val="100"/>
        </w:rPr>
        <w:t>业</w:t>
      </w:r>
      <w:r>
        <w:rPr>
          <w:spacing w:val="-3"/>
          <w:w w:val="100"/>
        </w:rPr>
        <w:t>发</w:t>
      </w:r>
      <w:r>
        <w:rPr>
          <w:w w:val="100"/>
        </w:rPr>
        <w:t>展</w:t>
      </w:r>
      <w:r>
        <w:rPr>
          <w:spacing w:val="-3"/>
          <w:w w:val="100"/>
        </w:rPr>
        <w:t>若</w:t>
      </w:r>
      <w:r>
        <w:rPr>
          <w:w w:val="100"/>
        </w:rPr>
        <w:t>干政</w:t>
      </w:r>
      <w:r>
        <w:rPr>
          <w:spacing w:val="-3"/>
          <w:w w:val="100"/>
        </w:rPr>
        <w:t>策</w:t>
      </w:r>
      <w:r>
        <w:rPr>
          <w:w w:val="100"/>
        </w:rPr>
        <w:t>的</w:t>
      </w:r>
      <w:r>
        <w:rPr>
          <w:spacing w:val="-3"/>
          <w:w w:val="100"/>
        </w:rPr>
        <w:t>通知</w:t>
      </w:r>
      <w:r>
        <w:rPr>
          <w:w w:val="100"/>
        </w:rPr>
        <w:t>》</w:t>
      </w:r>
    </w:p>
    <w:p>
      <w:pPr>
        <w:pStyle w:val="BodyText"/>
        <w:spacing w:line="297" w:lineRule="auto" w:before="69"/>
        <w:ind w:left="218" w:right="227"/>
        <w:jc w:val="both"/>
      </w:pPr>
      <w:r>
        <w:rPr/>
        <w:t>（国发〔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 </w:t>
      </w:r>
      <w:r>
        <w:rPr/>
        <w:t>号）第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条及财政部、国家税务总局联合下发的《关于软件产品增值税政策的</w:t>
      </w:r>
      <w:r>
        <w:rPr>
          <w:w w:val="100"/>
        </w:rPr>
        <w:t> </w:t>
      </w:r>
      <w:r>
        <w:rPr/>
        <w:t>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 </w:t>
      </w:r>
      <w:r>
        <w:rPr/>
        <w:t>号）的规定，公司销售其自行开发生产的软件产品，按</w:t>
      </w:r>
      <w:r>
        <w:rPr>
          <w:spacing w:val="-13"/>
        </w:rPr>
        <w:t> </w:t>
      </w:r>
      <w:r>
        <w:rPr>
          <w:rFonts w:ascii="Times New Roman" w:hAnsi="Times New Roman" w:cs="Times New Roman" w:eastAsia="Times New Roman" w:hint="default"/>
        </w:rPr>
        <w:t>17%</w:t>
      </w:r>
      <w:r>
        <w:rPr/>
        <w:t>的法定税</w:t>
      </w:r>
      <w:r>
        <w:rPr>
          <w:w w:val="100"/>
        </w:rPr>
        <w:t> </w:t>
      </w:r>
      <w:r>
        <w:rPr>
          <w:spacing w:val="-2"/>
        </w:rPr>
        <w:t>率征收增值税后，享受增值税实际税负超过</w:t>
      </w:r>
      <w:r>
        <w:rPr>
          <w:spacing w:val="15"/>
        </w:rPr>
        <w:t> </w:t>
      </w:r>
      <w:r>
        <w:rPr>
          <w:rFonts w:ascii="Times New Roman" w:hAnsi="Times New Roman" w:cs="Times New Roman" w:eastAsia="Times New Roman" w:hint="default"/>
          <w:spacing w:val="-2"/>
        </w:rPr>
        <w:t>3%</w:t>
      </w:r>
      <w:r>
        <w:rPr>
          <w:spacing w:val="-2"/>
        </w:rPr>
        <w:t>的部分实行即征即退的优惠政策。</w:t>
      </w:r>
    </w:p>
    <w:p>
      <w:pPr>
        <w:pStyle w:val="BodyText"/>
        <w:spacing w:line="297" w:lineRule="auto" w:before="13"/>
        <w:ind w:left="218" w:right="228" w:firstLine="419"/>
        <w:jc w:val="both"/>
      </w:pPr>
      <w:r>
        <w:rPr>
          <w:spacing w:val="-3"/>
        </w:rPr>
        <w:t>（</w:t>
      </w:r>
      <w:r>
        <w:rPr>
          <w:rFonts w:ascii="Times New Roman" w:hAnsi="Times New Roman" w:cs="Times New Roman" w:eastAsia="Times New Roman" w:hint="default"/>
          <w:spacing w:val="-3"/>
        </w:rPr>
        <w:t>2</w:t>
      </w:r>
      <w:r>
        <w:rPr>
          <w:spacing w:val="-3"/>
        </w:rPr>
        <w:t>）根据《高新技术企业认定管理办法》（国科发火〔</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172</w:t>
      </w:r>
      <w:r>
        <w:rPr>
          <w:rFonts w:ascii="Times New Roman" w:hAnsi="Times New Roman" w:cs="Times New Roman" w:eastAsia="Times New Roman" w:hint="default"/>
          <w:spacing w:val="9"/>
        </w:rPr>
        <w:t> </w:t>
      </w:r>
      <w:r>
        <w:rPr>
          <w:spacing w:val="-3"/>
        </w:rPr>
        <w:t>号）、《高新技术企业认</w:t>
      </w:r>
      <w:r>
        <w:rPr>
          <w:w w:val="100"/>
        </w:rPr>
        <w:t> </w:t>
      </w:r>
      <w:r>
        <w:rPr/>
        <w:t>定管理工作指引》（国科发火〔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362</w:t>
      </w:r>
      <w:r>
        <w:rPr>
          <w:rFonts w:ascii="Times New Roman" w:hAnsi="Times New Roman" w:cs="Times New Roman" w:eastAsia="Times New Roman" w:hint="default"/>
          <w:spacing w:val="8"/>
        </w:rPr>
        <w:t> </w:t>
      </w:r>
      <w:r>
        <w:rPr/>
        <w:t>号），公司于</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日被认定为高新技术企</w:t>
      </w:r>
      <w:r>
        <w:rPr>
          <w:w w:val="100"/>
        </w:rPr>
        <w:t> </w:t>
      </w:r>
      <w:r>
        <w:rPr/>
        <w:t>业，有效期三年，</w:t>
      </w:r>
      <w:r>
        <w:rPr>
          <w:rFonts w:ascii="Times New Roman" w:hAnsi="Times New Roman" w:cs="Times New Roman" w:eastAsia="Times New Roman" w:hint="default"/>
        </w:rPr>
        <w:t>2014 </w:t>
      </w:r>
      <w:r>
        <w:rPr/>
        <w:t>年企业所得税暂按</w:t>
      </w:r>
      <w:r>
        <w:rPr>
          <w:spacing w:val="-59"/>
        </w:rPr>
        <w:t> </w:t>
      </w:r>
      <w:r>
        <w:rPr>
          <w:rFonts w:ascii="Times New Roman" w:hAnsi="Times New Roman" w:cs="Times New Roman" w:eastAsia="Times New Roman" w:hint="default"/>
        </w:rPr>
        <w:t>15%</w:t>
      </w:r>
      <w:r>
        <w:rPr/>
        <w:t>的所得税税率预缴。</w:t>
      </w:r>
    </w:p>
    <w:p>
      <w:pPr>
        <w:pStyle w:val="BodyText"/>
        <w:spacing w:line="304" w:lineRule="auto" w:before="13"/>
        <w:ind w:left="218" w:right="228" w:firstLine="419"/>
        <w:jc w:val="both"/>
      </w:pPr>
      <w:r>
        <w:rPr>
          <w:spacing w:val="-3"/>
        </w:rPr>
        <w:t>（</w:t>
      </w:r>
      <w:r>
        <w:rPr>
          <w:rFonts w:ascii="Times New Roman" w:hAnsi="Times New Roman" w:cs="Times New Roman" w:eastAsia="Times New Roman" w:hint="default"/>
          <w:spacing w:val="-3"/>
        </w:rPr>
        <w:t>3</w:t>
      </w:r>
      <w:r>
        <w:rPr>
          <w:spacing w:val="-3"/>
        </w:rPr>
        <w:t>）根据财税字〔</w:t>
      </w:r>
      <w:r>
        <w:rPr>
          <w:rFonts w:ascii="Times New Roman" w:hAnsi="Times New Roman" w:cs="Times New Roman" w:eastAsia="Times New Roman" w:hint="default"/>
          <w:spacing w:val="-3"/>
        </w:rPr>
        <w:t>1999</w:t>
      </w:r>
      <w:r>
        <w:rPr>
          <w:spacing w:val="-3"/>
        </w:rPr>
        <w:t>〕</w:t>
      </w:r>
      <w:r>
        <w:rPr>
          <w:rFonts w:ascii="Times New Roman" w:hAnsi="Times New Roman" w:cs="Times New Roman" w:eastAsia="Times New Roman" w:hint="default"/>
          <w:spacing w:val="-3"/>
        </w:rPr>
        <w:t>273</w:t>
      </w:r>
      <w:r>
        <w:rPr>
          <w:rFonts w:ascii="Times New Roman" w:hAnsi="Times New Roman" w:cs="Times New Roman" w:eastAsia="Times New Roman" w:hint="default"/>
          <w:spacing w:val="9"/>
        </w:rPr>
        <w:t> </w:t>
      </w:r>
      <w:r>
        <w:rPr>
          <w:spacing w:val="-3"/>
        </w:rPr>
        <w:t>号，财政部、国家税务总局关于贯彻落实《中共中央国务院关</w:t>
      </w:r>
      <w:r>
        <w:rPr>
          <w:w w:val="100"/>
        </w:rPr>
        <w:t> </w:t>
      </w:r>
      <w:r>
        <w:rPr>
          <w:spacing w:val="-1"/>
        </w:rPr>
        <w:t>于加强技术创新，发展高科技，实现产业化的决定》有关税收问题的通知的规定，公司取得的经</w:t>
      </w:r>
      <w:r>
        <w:rPr>
          <w:spacing w:val="-55"/>
        </w:rPr>
        <w:t> </w:t>
      </w:r>
      <w:r>
        <w:rPr>
          <w:spacing w:val="-55"/>
        </w:rPr>
      </w:r>
      <w:r>
        <w:rPr>
          <w:spacing w:val="-1"/>
        </w:rPr>
        <w:t>税务主管部门核准后的技术转让、技术开发业务和与之相关的技术咨询、技术服务业务收入免征</w:t>
      </w:r>
      <w:r>
        <w:rPr>
          <w:spacing w:val="-55"/>
        </w:rPr>
        <w:t> </w:t>
      </w:r>
      <w:r>
        <w:rPr>
          <w:spacing w:val="-55"/>
        </w:rPr>
      </w:r>
      <w:r>
        <w:rPr/>
        <w:t>营业税。根据财税〔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111</w:t>
      </w:r>
      <w:r>
        <w:rPr>
          <w:rFonts w:ascii="Times New Roman" w:hAnsi="Times New Roman" w:cs="Times New Roman" w:eastAsia="Times New Roman" w:hint="default"/>
          <w:spacing w:val="7"/>
        </w:rPr>
        <w:t> </w:t>
      </w:r>
      <w:r>
        <w:rPr/>
        <w:t>号文规定，营改增后经税务主管部门核准后的技术转让、技术开</w:t>
      </w:r>
      <w:r>
        <w:rPr>
          <w:w w:val="100"/>
        </w:rPr>
        <w:t> </w:t>
      </w:r>
      <w:r>
        <w:rPr/>
        <w:t>发业务和与之相关的技术咨询、技术服务业务收入免征增值税。</w:t>
      </w:r>
    </w:p>
    <w:p>
      <w:pPr>
        <w:pStyle w:val="BodyText"/>
        <w:spacing w:line="297" w:lineRule="auto" w:before="29"/>
        <w:ind w:left="218" w:right="0" w:firstLine="419"/>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）根据昌吉市国家税务局</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月昌市国税减免备字〔</w:t>
      </w:r>
      <w:r>
        <w:rPr>
          <w:rFonts w:ascii="Times New Roman" w:hAnsi="Times New Roman" w:cs="Times New Roman" w:eastAsia="Times New Roman" w:hint="default"/>
        </w:rPr>
        <w:t>2012</w:t>
      </w:r>
      <w:r>
        <w:rPr/>
        <w:t>〕年</w:t>
      </w:r>
      <w:r>
        <w:rPr>
          <w:spacing w:val="-51"/>
        </w:rPr>
        <w:t> </w:t>
      </w:r>
      <w:r>
        <w:rPr>
          <w:rFonts w:ascii="Times New Roman" w:hAnsi="Times New Roman" w:cs="Times New Roman" w:eastAsia="Times New Roman" w:hint="default"/>
        </w:rPr>
        <w:t>59</w:t>
      </w:r>
      <w:r>
        <w:rPr>
          <w:rFonts w:ascii="Times New Roman" w:hAnsi="Times New Roman" w:cs="Times New Roman" w:eastAsia="Times New Roman" w:hint="default"/>
          <w:spacing w:val="-1"/>
        </w:rPr>
        <w:t> </w:t>
      </w:r>
      <w:r>
        <w:rPr/>
        <w:t>号税收减免登记</w:t>
      </w:r>
      <w:r>
        <w:rPr>
          <w:w w:val="100"/>
        </w:rPr>
        <w:t> </w:t>
      </w:r>
      <w:r>
        <w:rPr>
          <w:spacing w:val="-3"/>
        </w:rPr>
        <w:t>备案告知书文，公司子公司昌吉州南威软件有限公司享受新办企业</w:t>
      </w:r>
      <w:r>
        <w:rPr>
          <w:rFonts w:ascii="Times New Roman" w:hAnsi="Times New Roman" w:cs="Times New Roman" w:eastAsia="Times New Roman" w:hint="default"/>
          <w:spacing w:val="-3"/>
        </w:rPr>
        <w:t>“</w:t>
      </w:r>
      <w:r>
        <w:rPr>
          <w:spacing w:val="-3"/>
        </w:rPr>
        <w:t>两免三减半</w:t>
      </w:r>
      <w:r>
        <w:rPr>
          <w:rFonts w:ascii="Times New Roman" w:hAnsi="Times New Roman" w:cs="Times New Roman" w:eastAsia="Times New Roman" w:hint="default"/>
          <w:spacing w:val="-3"/>
        </w:rPr>
        <w:t>”</w:t>
      </w:r>
      <w:r>
        <w:rPr>
          <w:spacing w:val="-3"/>
        </w:rPr>
        <w:t>所得税优惠政策。</w:t>
      </w:r>
      <w:r>
        <w:rPr>
          <w:spacing w:val="-50"/>
        </w:rPr>
        <w:t> </w:t>
      </w:r>
      <w:r>
        <w:rPr>
          <w:spacing w:val="-50"/>
        </w:rPr>
      </w:r>
      <w:r>
        <w:rPr/>
        <w:t>该税收优惠政策自</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月至</w:t>
      </w:r>
      <w:r>
        <w:rPr>
          <w:spacing w:val="-46"/>
        </w:rPr>
        <w:t> </w:t>
      </w:r>
      <w:r>
        <w:rPr>
          <w:rFonts w:ascii="Times New Roman" w:hAnsi="Times New Roman" w:cs="Times New Roman" w:eastAsia="Times New Roman" w:hint="default"/>
        </w:rPr>
        <w:t>2022</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月取得软件销售收入执行。报告期内，公司自</w:t>
      </w:r>
      <w:r>
        <w:rPr>
          <w:spacing w:val="-46"/>
        </w:rPr>
        <w:t> </w:t>
      </w:r>
      <w:r>
        <w:rPr>
          <w:rFonts w:ascii="Times New Roman" w:hAnsi="Times New Roman" w:cs="Times New Roman" w:eastAsia="Times New Roman" w:hint="default"/>
        </w:rPr>
        <w:t>2014</w:t>
      </w:r>
    </w:p>
    <w:p>
      <w:pPr>
        <w:pStyle w:val="BodyText"/>
        <w:spacing w:line="240" w:lineRule="auto" w:before="13"/>
        <w:ind w:left="218" w:right="0"/>
        <w:jc w:val="both"/>
      </w:pPr>
      <w:r>
        <w:rPr/>
        <w:t>年开始取得软件销售收入，自</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年始享受两免三减半所得税优惠；</w:t>
      </w:r>
    </w:p>
    <w:p>
      <w:pPr>
        <w:pStyle w:val="BodyText"/>
        <w:spacing w:line="240" w:lineRule="auto" w:before="69"/>
        <w:ind w:left="638" w:right="0"/>
        <w:jc w:val="left"/>
      </w:pPr>
      <w:r>
        <w:rPr/>
        <w:t>（</w:t>
      </w:r>
      <w:r>
        <w:rPr>
          <w:rFonts w:ascii="Times New Roman" w:hAnsi="Times New Roman" w:cs="Times New Roman" w:eastAsia="Times New Roman" w:hint="default"/>
        </w:rPr>
        <w:t>5</w:t>
      </w:r>
      <w:r>
        <w:rPr/>
        <w:t>）根据西安经济技术开发区国家税务局</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月经开国税备字（</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017</w:t>
      </w:r>
      <w:r>
        <w:rPr>
          <w:rFonts w:ascii="Times New Roman" w:hAnsi="Times New Roman" w:cs="Times New Roman" w:eastAsia="Times New Roman" w:hint="default"/>
          <w:spacing w:val="11"/>
        </w:rPr>
        <w:t> </w:t>
      </w:r>
      <w:r>
        <w:rPr/>
        <w:t>号企业所</w:t>
      </w:r>
    </w:p>
    <w:p>
      <w:pPr>
        <w:pStyle w:val="BodyText"/>
        <w:spacing w:line="297" w:lineRule="auto" w:before="69"/>
        <w:ind w:left="218" w:right="227"/>
        <w:jc w:val="both"/>
      </w:pPr>
      <w:r>
        <w:rPr>
          <w:spacing w:val="-5"/>
          <w:w w:val="100"/>
        </w:rPr>
        <w:t>得税优惠政策备案通知书文，公司子公司西安南威信息科技有限责任公司自</w:t>
      </w:r>
      <w:r>
        <w:rPr>
          <w:spacing w:val="-39"/>
          <w:w w:val="100"/>
        </w:rPr>
        <w:t> </w:t>
      </w:r>
      <w:r>
        <w:rPr>
          <w:rFonts w:ascii="Times New Roman" w:hAnsi="Times New Roman" w:cs="Times New Roman" w:eastAsia="Times New Roman" w:hint="default"/>
          <w:spacing w:val="-2"/>
          <w:w w:val="100"/>
        </w:rPr>
        <w:t>2013</w:t>
      </w:r>
      <w:r>
        <w:rPr>
          <w:rFonts w:ascii="Times New Roman" w:hAnsi="Times New Roman" w:cs="Times New Roman" w:eastAsia="Times New Roman" w:hint="default"/>
          <w:spacing w:val="14"/>
          <w:w w:val="100"/>
        </w:rPr>
        <w:t> </w:t>
      </w:r>
      <w:r>
        <w:rPr>
          <w:spacing w:val="-2"/>
          <w:w w:val="100"/>
        </w:rPr>
        <w:t>年始享受两免三</w:t>
      </w:r>
      <w:r>
        <w:rPr>
          <w:spacing w:val="-100"/>
          <w:w w:val="100"/>
        </w:rPr>
        <w:t> </w:t>
      </w:r>
      <w:r>
        <w:rPr>
          <w:spacing w:val="-100"/>
          <w:w w:val="100"/>
        </w:rPr>
      </w:r>
      <w:r>
        <w:rPr/>
        <w:t>减半所得税优惠。</w:t>
      </w:r>
    </w:p>
    <w:p>
      <w:pPr>
        <w:spacing w:line="240" w:lineRule="auto" w:before="4"/>
        <w:rPr>
          <w:rFonts w:ascii="宋体" w:hAnsi="宋体" w:cs="宋体" w:eastAsia="宋体" w:hint="default"/>
          <w:sz w:val="22"/>
          <w:szCs w:val="22"/>
        </w:rPr>
      </w:pPr>
    </w:p>
    <w:p>
      <w:pPr>
        <w:tabs>
          <w:tab w:pos="642" w:val="left" w:leader="none"/>
        </w:tabs>
        <w:spacing w:line="357" w:lineRule="auto" w:before="0"/>
        <w:ind w:left="638" w:right="8219" w:hanging="420"/>
        <w:jc w:val="left"/>
        <w:rPr>
          <w:rFonts w:ascii="宋体" w:hAnsi="宋体" w:cs="宋体" w:eastAsia="宋体" w:hint="default"/>
          <w:sz w:val="21"/>
          <w:szCs w:val="21"/>
        </w:rPr>
      </w:pPr>
      <w:r>
        <w:rPr>
          <w:rFonts w:ascii="宋体" w:hAnsi="宋体" w:cs="宋体" w:eastAsia="宋体" w:hint="default"/>
          <w:b/>
          <w:bCs/>
          <w:w w:val="95"/>
          <w:sz w:val="21"/>
          <w:szCs w:val="21"/>
        </w:rPr>
        <w:t>3.</w:t>
        <w:tab/>
        <w:tab/>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974" w:top="1120" w:bottom="1160" w:left="1580" w:right="1040"/>
        </w:sectPr>
      </w:pPr>
    </w:p>
    <w:p>
      <w:pPr>
        <w:pStyle w:val="Heading2"/>
        <w:spacing w:line="290" w:lineRule="auto" w:before="36"/>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2753" w:space="3980"/>
            <w:col w:w="2557"/>
          </w:cols>
        </w:sectPr>
      </w:pPr>
    </w:p>
    <w:p>
      <w:pPr>
        <w:spacing w:line="240" w:lineRule="auto" w:before="4"/>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3123"/>
        <w:gridCol w:w="3128"/>
        <w:gridCol w:w="2600"/>
      </w:tblGrid>
      <w:tr>
        <w:trPr>
          <w:trHeight w:val="374"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4"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spacing w:val="-1"/>
                <w:sz w:val="21"/>
              </w:rPr>
              <w:t>80,486.30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spacing w:val="-1"/>
                <w:sz w:val="21"/>
              </w:rPr>
              <w:t>55,661.90</w:t>
            </w:r>
          </w:p>
        </w:tc>
      </w:tr>
      <w:tr>
        <w:trPr>
          <w:trHeight w:val="374"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spacing w:val="-1"/>
                <w:sz w:val="21"/>
              </w:rPr>
              <w:t>451,125,172.02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spacing w:val="-1"/>
                <w:sz w:val="21"/>
              </w:rPr>
              <w:t>576,522,231.11</w:t>
            </w:r>
          </w:p>
        </w:tc>
      </w:tr>
      <w:tr>
        <w:trPr>
          <w:trHeight w:val="377"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21"/>
                <w:szCs w:val="21"/>
              </w:rPr>
            </w:pPr>
            <w:r>
              <w:rPr>
                <w:rFonts w:ascii="Times New Roman"/>
                <w:spacing w:val="-1"/>
                <w:sz w:val="21"/>
              </w:rPr>
              <w:t>44,539,982.37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21"/>
                <w:szCs w:val="21"/>
              </w:rPr>
            </w:pPr>
            <w:r>
              <w:rPr>
                <w:rFonts w:ascii="Times New Roman"/>
                <w:spacing w:val="-1"/>
                <w:sz w:val="21"/>
              </w:rPr>
              <w:t>39,454,611.47</w:t>
            </w:r>
          </w:p>
        </w:tc>
      </w:tr>
      <w:tr>
        <w:trPr>
          <w:trHeight w:val="375"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
              <w:jc w:val="right"/>
              <w:rPr>
                <w:rFonts w:ascii="Times New Roman" w:hAnsi="Times New Roman" w:cs="Times New Roman" w:eastAsia="Times New Roman" w:hint="default"/>
                <w:sz w:val="21"/>
                <w:szCs w:val="21"/>
              </w:rPr>
            </w:pPr>
            <w:r>
              <w:rPr>
                <w:rFonts w:ascii="Times New Roman"/>
                <w:spacing w:val="-1"/>
                <w:sz w:val="21"/>
              </w:rPr>
              <w:t>495,745,640.69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
              <w:jc w:val="right"/>
              <w:rPr>
                <w:rFonts w:ascii="Times New Roman" w:hAnsi="Times New Roman" w:cs="Times New Roman" w:eastAsia="Times New Roman" w:hint="default"/>
                <w:sz w:val="21"/>
                <w:szCs w:val="21"/>
              </w:rPr>
            </w:pPr>
            <w:r>
              <w:rPr>
                <w:rFonts w:ascii="Times New Roman"/>
                <w:spacing w:val="-1"/>
                <w:sz w:val="21"/>
              </w:rPr>
              <w:t>616,032,504.48</w:t>
            </w:r>
          </w:p>
        </w:tc>
      </w:tr>
      <w:tr>
        <w:trPr>
          <w:trHeight w:val="374"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0"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sz w:val="21"/>
              </w:rPr>
              <w:t>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1"/>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pStyle w:val="BodyText"/>
        <w:spacing w:line="240" w:lineRule="auto" w:before="180"/>
        <w:ind w:left="218" w:right="0"/>
        <w:jc w:val="both"/>
      </w:pPr>
      <w:r>
        <w:rPr/>
        <w:t>其他说明：</w:t>
      </w:r>
    </w:p>
    <w:p>
      <w:pPr>
        <w:pStyle w:val="BodyText"/>
        <w:spacing w:line="240" w:lineRule="auto" w:before="97"/>
        <w:ind w:left="638" w:right="0"/>
        <w:jc w:val="left"/>
      </w:pPr>
      <w:r>
        <w:rPr/>
        <w:t>期末其他货币资金中票据保证金及保函保证金为</w:t>
      </w:r>
      <w:r>
        <w:rPr>
          <w:spacing w:val="-42"/>
        </w:rPr>
        <w:t> </w:t>
      </w:r>
      <w:r>
        <w:rPr>
          <w:rFonts w:ascii="Times New Roman" w:hAnsi="Times New Roman" w:cs="Times New Roman" w:eastAsia="Times New Roman" w:hint="default"/>
        </w:rPr>
        <w:t>44,441,471.22</w:t>
      </w:r>
      <w:r>
        <w:rPr>
          <w:rFonts w:ascii="Times New Roman" w:hAnsi="Times New Roman" w:cs="Times New Roman" w:eastAsia="Times New Roman" w:hint="default"/>
          <w:spacing w:val="6"/>
        </w:rPr>
        <w:t> </w:t>
      </w:r>
      <w:r>
        <w:rPr>
          <w:spacing w:val="-5"/>
        </w:rPr>
        <w:t>元、证券保证金账户资金余额</w:t>
      </w:r>
    </w:p>
    <w:p>
      <w:pPr>
        <w:pStyle w:val="BodyText"/>
        <w:spacing w:line="304" w:lineRule="auto" w:before="69"/>
        <w:ind w:left="218" w:right="228"/>
        <w:jc w:val="both"/>
      </w:pPr>
      <w:r>
        <w:rPr>
          <w:rFonts w:ascii="Times New Roman" w:hAnsi="Times New Roman" w:cs="Times New Roman" w:eastAsia="Times New Roman" w:hint="default"/>
        </w:rPr>
        <w:t>98,511.15 </w:t>
      </w:r>
      <w:r>
        <w:rPr>
          <w:spacing w:val="-4"/>
        </w:rPr>
        <w:t>元；期初其他货币资金为票据保证金及保函保证金 </w:t>
      </w:r>
      <w:r>
        <w:rPr>
          <w:rFonts w:ascii="Times New Roman" w:hAnsi="Times New Roman" w:cs="Times New Roman" w:eastAsia="Times New Roman" w:hint="default"/>
        </w:rPr>
        <w:t>39,454,611.47 </w:t>
      </w:r>
      <w:r>
        <w:rPr>
          <w:spacing w:val="-7"/>
        </w:rPr>
        <w:t>元；票据保证金及保函</w:t>
      </w:r>
      <w:r>
        <w:rPr>
          <w:spacing w:val="-99"/>
        </w:rPr>
        <w:t> </w:t>
      </w:r>
      <w:r>
        <w:rPr>
          <w:spacing w:val="-99"/>
        </w:rPr>
      </w:r>
      <w:r>
        <w:rPr>
          <w:spacing w:val="-1"/>
        </w:rPr>
        <w:t>保证金，使用受限，故在现金流量表内不体现为现金及现金等价物，除了其他货币资金中票据保</w:t>
      </w:r>
      <w:r>
        <w:rPr>
          <w:spacing w:val="-55"/>
        </w:rPr>
        <w:t> </w:t>
      </w:r>
      <w:r>
        <w:rPr>
          <w:spacing w:val="-55"/>
        </w:rPr>
      </w:r>
      <w:r>
        <w:rPr/>
        <w:t>证金及保函保证金外，不存在使用受限及冻结的货币资金。</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974"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6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5278" w:space="1455"/>
            <w:col w:w="2557"/>
          </w:cols>
        </w:sectPr>
      </w:pP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33"/>
        <w:gridCol w:w="2900"/>
        <w:gridCol w:w="3017"/>
      </w:tblGrid>
      <w:tr>
        <w:trPr>
          <w:trHeight w:val="37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85,742,297.47</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85,742,297.47</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84"/>
              <w:jc w:val="left"/>
              <w:rPr>
                <w:rFonts w:ascii="宋体" w:hAnsi="宋体" w:cs="宋体" w:eastAsia="宋体" w:hint="default"/>
                <w:sz w:val="21"/>
                <w:szCs w:val="21"/>
              </w:rPr>
            </w:pPr>
            <w:r>
              <w:rPr>
                <w:rFonts w:ascii="宋体" w:hAnsi="宋体" w:cs="宋体" w:eastAsia="宋体" w:hint="default"/>
                <w:spacing w:val="13"/>
                <w:sz w:val="21"/>
                <w:szCs w:val="21"/>
              </w:rPr>
              <w:t>指定以公允价值计量且其变动</w:t>
            </w:r>
            <w:r>
              <w:rPr>
                <w:rFonts w:ascii="宋体" w:hAnsi="宋体" w:cs="宋体" w:eastAsia="宋体" w:hint="default"/>
                <w:spacing w:val="-77"/>
                <w:sz w:val="21"/>
                <w:szCs w:val="21"/>
              </w:rPr>
              <w:t> </w:t>
            </w: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85,742,297.47</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9"/>
          <w:szCs w:val="9"/>
        </w:rPr>
      </w:pPr>
    </w:p>
    <w:p>
      <w:pPr>
        <w:pStyle w:val="BodyText"/>
        <w:spacing w:line="240" w:lineRule="auto" w:before="36"/>
        <w:ind w:left="218" w:right="227"/>
        <w:jc w:val="left"/>
      </w:pPr>
      <w:r>
        <w:rPr/>
        <w:t>其他说明：</w:t>
      </w:r>
    </w:p>
    <w:p>
      <w:pPr>
        <w:pStyle w:val="BodyText"/>
        <w:spacing w:line="240" w:lineRule="auto" w:before="85"/>
        <w:ind w:left="638" w:right="227"/>
        <w:jc w:val="left"/>
      </w:pPr>
      <w:r>
        <w:rPr>
          <w:rFonts w:ascii="Times New Roman" w:hAnsi="Times New Roman" w:cs="Times New Roman" w:eastAsia="Times New Roman" w:hint="default"/>
        </w:rPr>
        <w:t>1</w:t>
      </w:r>
      <w:r>
        <w:rPr/>
        <w:t>、期末交易性金融资产投资变现不存在重大限制。</w:t>
      </w:r>
    </w:p>
    <w:p>
      <w:pPr>
        <w:pStyle w:val="BodyText"/>
        <w:spacing w:line="240" w:lineRule="auto" w:before="69"/>
        <w:ind w:left="638" w:right="227"/>
        <w:jc w:val="left"/>
      </w:pPr>
      <w:r>
        <w:rPr>
          <w:rFonts w:ascii="Times New Roman" w:hAnsi="Times New Roman" w:cs="Times New Roman" w:eastAsia="Times New Roman" w:hint="default"/>
        </w:rPr>
        <w:t>2</w:t>
      </w:r>
      <w:r>
        <w:rPr/>
        <w:t>、本期公允价值变动损益金额为</w:t>
      </w:r>
      <w:r>
        <w:rPr>
          <w:spacing w:val="-55"/>
        </w:rPr>
        <w:t> </w:t>
      </w:r>
      <w:r>
        <w:rPr>
          <w:rFonts w:ascii="Times New Roman" w:hAnsi="Times New Roman" w:cs="Times New Roman" w:eastAsia="Times New Roman" w:hint="default"/>
        </w:rPr>
        <w:t>925,642.47</w:t>
      </w:r>
      <w:r>
        <w:rPr>
          <w:rFonts w:ascii="Times New Roman" w:hAnsi="Times New Roman" w:cs="Times New Roman" w:eastAsia="Times New Roman" w:hint="default"/>
          <w:spacing w:val="-2"/>
        </w:rPr>
        <w:t> </w:t>
      </w:r>
      <w:r>
        <w:rPr/>
        <w:t>元。</w:t>
      </w:r>
    </w:p>
    <w:p>
      <w:pPr>
        <w:spacing w:line="240" w:lineRule="auto" w:before="12"/>
        <w:rPr>
          <w:rFonts w:ascii="宋体" w:hAnsi="宋体" w:cs="宋体" w:eastAsia="宋体" w:hint="default"/>
          <w:sz w:val="24"/>
          <w:szCs w:val="24"/>
        </w:rPr>
      </w:pPr>
    </w:p>
    <w:p>
      <w:pPr>
        <w:pStyle w:val="Heading2"/>
        <w:spacing w:line="240" w:lineRule="auto"/>
        <w:ind w:right="227"/>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8"/>
        <w:ind w:right="227"/>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580" w:right="1040"/>
        </w:sectPr>
      </w:pPr>
    </w:p>
    <w:p>
      <w:pPr>
        <w:pStyle w:val="Heading2"/>
        <w:spacing w:line="240" w:lineRule="auto" w:before="36"/>
        <w:ind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6651" w:space="40"/>
            <w:col w:w="259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410"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8"/>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8"/>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bl>
    <w:p>
      <w:pPr>
        <w:spacing w:after="0" w:line="240" w:lineRule="auto"/>
        <w:jc w:val="lef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413"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3,037,889.72</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413"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413"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3,037,889.72</w:t>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pStyle w:val="BodyText"/>
        <w:spacing w:line="240" w:lineRule="auto" w:before="62"/>
        <w:ind w:left="638" w:right="227"/>
        <w:jc w:val="left"/>
      </w:pPr>
      <w:r>
        <w:rPr/>
        <w:t>无。</w:t>
      </w:r>
    </w:p>
    <w:p>
      <w:pPr>
        <w:spacing w:after="0" w:line="240" w:lineRule="auto"/>
        <w:jc w:val="left"/>
        <w:sectPr>
          <w:pgSz w:w="11910" w:h="16840"/>
          <w:pgMar w:header="882" w:footer="974" w:top="1120" w:bottom="1160" w:left="1580" w:right="1040"/>
        </w:sectPr>
      </w:pPr>
    </w:p>
    <w:p>
      <w:pPr>
        <w:spacing w:before="20"/>
        <w:ind w:left="0" w:right="141"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0"/>
          <w:footerReference w:type="default" r:id="rId51"/>
          <w:pgSz w:w="16840" w:h="11910" w:orient="landscape"/>
          <w:pgMar w:header="0" w:footer="0" w:top="800" w:bottom="280" w:left="1300" w:right="1400"/>
        </w:sectPr>
      </w:pPr>
    </w:p>
    <w:p>
      <w:pPr>
        <w:pStyle w:val="Heading2"/>
        <w:spacing w:line="240" w:lineRule="auto" w:before="36"/>
        <w:ind w:left="140"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133"/>
        <w:ind w:left="140"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160" w:left="1300" w:right="1400"/>
          <w:cols w:num="2" w:equalWidth="0">
            <w:col w:w="2404" w:space="9267"/>
            <w:col w:w="2469"/>
          </w:cols>
        </w:sectPr>
      </w:pPr>
    </w:p>
    <w:p>
      <w:pPr>
        <w:spacing w:line="240" w:lineRule="auto" w:before="3"/>
        <w:rPr>
          <w:rFonts w:ascii="宋体" w:hAnsi="宋体" w:cs="宋体" w:eastAsia="宋体" w:hint="default"/>
          <w:sz w:val="3"/>
          <w:szCs w:val="3"/>
        </w:rPr>
      </w:pPr>
    </w:p>
    <w:tbl>
      <w:tblPr>
        <w:tblW w:w="0" w:type="auto"/>
        <w:jc w:val="left"/>
        <w:tblInd w:w="163" w:type="dxa"/>
        <w:tblLayout w:type="fixed"/>
        <w:tblCellMar>
          <w:top w:w="0" w:type="dxa"/>
          <w:left w:w="0" w:type="dxa"/>
          <w:bottom w:w="0" w:type="dxa"/>
          <w:right w:w="0" w:type="dxa"/>
        </w:tblCellMar>
        <w:tblLook w:val="01E0"/>
      </w:tblPr>
      <w:tblGrid>
        <w:gridCol w:w="1563"/>
        <w:gridCol w:w="1428"/>
        <w:gridCol w:w="713"/>
        <w:gridCol w:w="1562"/>
        <w:gridCol w:w="1001"/>
        <w:gridCol w:w="1426"/>
        <w:gridCol w:w="1426"/>
        <w:gridCol w:w="710"/>
        <w:gridCol w:w="1287"/>
        <w:gridCol w:w="1140"/>
        <w:gridCol w:w="1560"/>
      </w:tblGrid>
      <w:tr>
        <w:trPr>
          <w:trHeight w:val="370" w:hRule="exact"/>
        </w:trPr>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1563" w:type="dxa"/>
            <w:vMerge/>
            <w:tcBorders>
              <w:left w:val="single" w:sz="4" w:space="0" w:color="000000"/>
              <w:right w:val="single" w:sz="4" w:space="0" w:color="000000"/>
            </w:tcBorders>
          </w:tcPr>
          <w:p>
            <w:pP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497"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566" w:right="56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730" w:hRule="exact"/>
        </w:trPr>
        <w:tc>
          <w:tcPr>
            <w:tcW w:w="1563"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4"/>
              <w:ind w:left="191" w:right="0"/>
              <w:jc w:val="left"/>
              <w:rPr>
                <w:rFonts w:ascii="Times New Roman" w:hAnsi="Times New Roman" w:cs="Times New Roman" w:eastAsia="Times New Roman" w:hint="default"/>
                <w:sz w:val="21"/>
                <w:szCs w:val="21"/>
              </w:rPr>
            </w:pPr>
            <w:r>
              <w:rPr>
                <w:rFonts w:ascii="Times New Roman"/>
                <w:sz w:val="21"/>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w:t>
            </w:r>
          </w:p>
        </w:tc>
        <w:tc>
          <w:tcPr>
            <w:tcW w:w="1426"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4"/>
              <w:ind w:left="191" w:right="0"/>
              <w:jc w:val="left"/>
              <w:rPr>
                <w:rFonts w:ascii="Times New Roman" w:hAnsi="Times New Roman" w:cs="Times New Roman" w:eastAsia="Times New Roman" w:hint="default"/>
                <w:sz w:val="21"/>
                <w:szCs w:val="21"/>
              </w:rPr>
            </w:pPr>
            <w:r>
              <w:rPr>
                <w:rFonts w:ascii="Times New Roman"/>
                <w:sz w:val="21"/>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4"/>
              <w:ind w:right="2"/>
              <w:jc w:val="center"/>
              <w:rPr>
                <w:rFonts w:ascii="Times New Roman" w:hAnsi="Times New Roman" w:cs="Times New Roman" w:eastAsia="Times New Roman" w:hint="default"/>
                <w:sz w:val="21"/>
                <w:szCs w:val="21"/>
              </w:rPr>
            </w:pPr>
            <w:r>
              <w:rPr>
                <w:rFonts w:ascii="Times New Roman"/>
                <w:sz w:val="21"/>
              </w:rPr>
              <w:t>(%)</w:t>
            </w:r>
          </w:p>
        </w:tc>
        <w:tc>
          <w:tcPr>
            <w:tcW w:w="1560" w:type="dxa"/>
            <w:vMerge/>
            <w:tcBorders>
              <w:left w:val="single" w:sz="4" w:space="0" w:color="000000"/>
              <w:bottom w:val="single" w:sz="4" w:space="0" w:color="000000"/>
              <w:right w:val="single" w:sz="4" w:space="0" w:color="000000"/>
            </w:tcBorders>
          </w:tcPr>
          <w:p>
            <w:pPr/>
          </w:p>
        </w:tc>
      </w:tr>
      <w:tr>
        <w:trPr>
          <w:trHeight w:val="109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51"/>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142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51"/>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164,136,317.79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4" w:right="0"/>
              <w:jc w:val="center"/>
              <w:rPr>
                <w:rFonts w:ascii="Times New Roman" w:hAnsi="Times New Roman" w:cs="Times New Roman" w:eastAsia="Times New Roman" w:hint="default"/>
                <w:sz w:val="21"/>
                <w:szCs w:val="21"/>
              </w:rPr>
            </w:pPr>
            <w:r>
              <w:rPr>
                <w:rFonts w:ascii="Times New Roman"/>
                <w:sz w:val="21"/>
              </w:rPr>
              <w:t>99.71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13,269,957.22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8.08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150,866,360.57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112,982,622.05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99.58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10,287,330.14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102,695,291.91</w:t>
            </w:r>
          </w:p>
        </w:tc>
      </w:tr>
      <w:tr>
        <w:trPr>
          <w:trHeight w:val="109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51"/>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474,800.00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0" w:right="0"/>
              <w:jc w:val="center"/>
              <w:rPr>
                <w:rFonts w:ascii="Times New Roman" w:hAnsi="Times New Roman" w:cs="Times New Roman" w:eastAsia="Times New Roman" w:hint="default"/>
                <w:sz w:val="21"/>
                <w:szCs w:val="21"/>
              </w:rPr>
            </w:pPr>
            <w:r>
              <w:rPr>
                <w:rFonts w:ascii="Times New Roman"/>
                <w:sz w:val="21"/>
              </w:rPr>
              <w:t>0.29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474,800.00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0.42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164,611,117.79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21"/>
                <w:szCs w:val="21"/>
              </w:rPr>
            </w:pPr>
            <w:r>
              <w:rPr>
                <w:rFonts w:ascii="Times New Roman"/>
                <w:sz w:val="21"/>
              </w:rPr>
              <w:t>100.00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13,744,757.22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8.35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center"/>
              <w:rPr>
                <w:rFonts w:ascii="Times New Roman" w:hAnsi="Times New Roman" w:cs="Times New Roman" w:eastAsia="Times New Roman" w:hint="default"/>
                <w:sz w:val="21"/>
                <w:szCs w:val="21"/>
              </w:rPr>
            </w:pPr>
            <w:r>
              <w:rPr>
                <w:rFonts w:ascii="Times New Roman"/>
                <w:sz w:val="21"/>
              </w:rPr>
              <w:t>150,866,360.57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113,457,422.05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
                <w:sz w:val="21"/>
              </w:rPr>
              <w:t>10,762,130.14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9.49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102,695,291.91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63"/>
        <w:ind w:left="6709" w:right="6696" w:firstLine="0"/>
        <w:jc w:val="center"/>
        <w:rPr>
          <w:rFonts w:ascii="Calibri" w:hAnsi="Calibri" w:cs="Calibri" w:eastAsia="Calibri" w:hint="default"/>
          <w:sz w:val="18"/>
          <w:szCs w:val="18"/>
        </w:rPr>
      </w:pPr>
      <w:r>
        <w:rPr>
          <w:rFonts w:ascii="Calibri"/>
          <w:b/>
          <w:sz w:val="18"/>
        </w:rPr>
        <w:t>105 </w:t>
      </w:r>
      <w:r>
        <w:rPr>
          <w:rFonts w:ascii="Calibri"/>
          <w:sz w:val="18"/>
        </w:rPr>
        <w:t>/</w:t>
      </w:r>
      <w:r>
        <w:rPr>
          <w:rFonts w:ascii="Calibri"/>
          <w:spacing w:val="-5"/>
          <w:sz w:val="18"/>
        </w:rPr>
        <w:t> </w:t>
      </w:r>
      <w:r>
        <w:rPr>
          <w:rFonts w:ascii="Calibri"/>
          <w:b/>
          <w:sz w:val="18"/>
        </w:rPr>
        <w:t>161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400"/>
        </w:sectPr>
      </w:pPr>
    </w:p>
    <w:p>
      <w:pPr>
        <w:spacing w:line="240" w:lineRule="auto" w:before="11"/>
        <w:rPr>
          <w:rFonts w:ascii="Calibri" w:hAnsi="Calibri" w:cs="Calibri" w:eastAsia="Calibri" w:hint="default"/>
          <w:b/>
          <w:bCs/>
          <w:sz w:val="26"/>
          <w:szCs w:val="26"/>
        </w:rPr>
      </w:pPr>
    </w:p>
    <w:p>
      <w:pPr>
        <w:pStyle w:val="BodyText"/>
        <w:spacing w:line="274" w:lineRule="exact" w:before="36"/>
        <w:ind w:left="218" w:right="2926"/>
        <w:jc w:val="left"/>
      </w:pPr>
      <w:r>
        <w:rPr/>
        <w:t>期末单项金额重大并单项计提坏帐准备的应收账款</w:t>
      </w:r>
    </w:p>
    <w:p>
      <w:pPr>
        <w:pStyle w:val="BodyText"/>
        <w:spacing w:line="408" w:lineRule="auto"/>
        <w:ind w:left="218" w:right="2926"/>
        <w:jc w:val="left"/>
      </w:pPr>
      <w:r>
        <w:rPr/>
        <w:t>□适用</w:t>
      </w:r>
      <w:r>
        <w:rPr>
          <w:spacing w:val="-2"/>
        </w:rPr>
        <w:t> </w:t>
      </w:r>
      <w:r>
        <w:rPr/>
        <w:t>√不适用</w:t>
      </w:r>
      <w:r>
        <w:rPr>
          <w:w w:val="100"/>
        </w:rPr>
        <w:t> </w:t>
      </w:r>
      <w:r>
        <w:rPr>
          <w:spacing w:val="-2"/>
        </w:rPr>
        <w:t>组合中，按账龄分析法计提坏账准备的应收账款：</w:t>
      </w:r>
    </w:p>
    <w:p>
      <w:pPr>
        <w:pStyle w:val="BodyText"/>
        <w:spacing w:line="256" w:lineRule="exact"/>
        <w:ind w:left="218" w:right="2926"/>
        <w:jc w:val="left"/>
      </w:pPr>
      <w:r>
        <w:rPr/>
        <w:t>√适用□不适用</w:t>
      </w:r>
    </w:p>
    <w:p>
      <w:pPr>
        <w:spacing w:line="240" w:lineRule="auto" w:before="5"/>
        <w:rPr>
          <w:rFonts w:ascii="宋体" w:hAnsi="宋体" w:cs="宋体" w:eastAsia="宋体" w:hint="default"/>
          <w:sz w:val="27"/>
          <w:szCs w:val="27"/>
        </w:rPr>
      </w:pPr>
    </w:p>
    <w:p>
      <w:pPr>
        <w:pStyle w:val="BodyText"/>
        <w:spacing w:line="273" w:lineRule="exact"/>
        <w:ind w:left="218" w:right="2926"/>
        <w:jc w:val="left"/>
      </w:pPr>
      <w:r>
        <w:rPr/>
        <w:t>组合中，采用余额百分比法计提坏账准备的应收账款：</w:t>
      </w:r>
    </w:p>
    <w:p>
      <w:pPr>
        <w:pStyle w:val="BodyText"/>
        <w:spacing w:line="273" w:lineRule="exact"/>
        <w:ind w:left="218" w:right="2926"/>
        <w:jc w:val="left"/>
      </w:pPr>
      <w:r>
        <w:rPr/>
        <w:t>□适用√不适用</w:t>
      </w:r>
    </w:p>
    <w:p>
      <w:pPr>
        <w:spacing w:line="240" w:lineRule="auto" w:before="7"/>
        <w:rPr>
          <w:rFonts w:ascii="宋体" w:hAnsi="宋体" w:cs="宋体" w:eastAsia="宋体" w:hint="default"/>
          <w:sz w:val="26"/>
          <w:szCs w:val="26"/>
        </w:rPr>
      </w:pPr>
    </w:p>
    <w:p>
      <w:pPr>
        <w:pStyle w:val="BodyText"/>
        <w:spacing w:line="314" w:lineRule="auto"/>
        <w:ind w:left="218" w:right="3739"/>
        <w:jc w:val="left"/>
      </w:pPr>
      <w:r>
        <w:rPr>
          <w:spacing w:val="-2"/>
        </w:rPr>
        <w:t>组合中，采用其他方法计提坏账准备的应收账款：</w:t>
      </w:r>
      <w:r>
        <w:rPr>
          <w:spacing w:val="-62"/>
        </w:rPr>
        <w:t> </w:t>
      </w:r>
      <w:r>
        <w:rPr>
          <w:spacing w:val="-62"/>
        </w:rPr>
      </w:r>
      <w:r>
        <w:rPr/>
        <w:t>不适用。</w:t>
      </w:r>
    </w:p>
    <w:p>
      <w:pPr>
        <w:spacing w:line="240" w:lineRule="auto" w:before="1"/>
        <w:rPr>
          <w:rFonts w:ascii="宋体" w:hAnsi="宋体" w:cs="宋体" w:eastAsia="宋体" w:hint="default"/>
          <w:sz w:val="27"/>
          <w:szCs w:val="27"/>
        </w:rPr>
      </w:pPr>
    </w:p>
    <w:p>
      <w:pPr>
        <w:pStyle w:val="Heading2"/>
        <w:spacing w:line="240" w:lineRule="auto"/>
        <w:ind w:right="2926"/>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145"/>
        <w:ind w:left="638" w:right="98"/>
        <w:jc w:val="left"/>
      </w:pPr>
      <w:r>
        <w:rPr/>
        <w:t>本期计提坏账准备金额</w:t>
      </w:r>
      <w:r>
        <w:rPr>
          <w:spacing w:val="-53"/>
        </w:rPr>
        <w:t> </w:t>
      </w:r>
      <w:r>
        <w:rPr>
          <w:rFonts w:ascii="Times New Roman" w:hAnsi="Times New Roman" w:cs="Times New Roman" w:eastAsia="Times New Roman" w:hint="default"/>
        </w:rPr>
        <w:t>2,982,627.08</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0"/>
          <w:szCs w:val="20"/>
        </w:rPr>
      </w:pPr>
    </w:p>
    <w:p>
      <w:pPr>
        <w:pStyle w:val="BodyText"/>
        <w:spacing w:line="274" w:lineRule="exact"/>
        <w:ind w:left="218" w:right="2926"/>
        <w:jc w:val="left"/>
      </w:pPr>
      <w:r>
        <w:rPr/>
        <w:t>其中本期坏账准备收回或转回金额重要的：</w:t>
      </w:r>
    </w:p>
    <w:p>
      <w:pPr>
        <w:pStyle w:val="BodyText"/>
        <w:spacing w:line="274" w:lineRule="exact"/>
        <w:ind w:left="218" w:right="2926"/>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926"/>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218" w:right="2926"/>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5"/>
        <w:ind w:right="2926"/>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10"/>
        <w:rPr>
          <w:rFonts w:ascii="宋体" w:hAnsi="宋体" w:cs="宋体" w:eastAsia="宋体" w:hint="default"/>
          <w:b/>
          <w:bCs/>
          <w:sz w:val="28"/>
          <w:szCs w:val="28"/>
        </w:rPr>
      </w:pPr>
    </w:p>
    <w:tbl>
      <w:tblPr>
        <w:tblW w:w="0" w:type="auto"/>
        <w:jc w:val="left"/>
        <w:tblInd w:w="309" w:type="dxa"/>
        <w:tblLayout w:type="fixed"/>
        <w:tblCellMar>
          <w:top w:w="0" w:type="dxa"/>
          <w:left w:w="0" w:type="dxa"/>
          <w:bottom w:w="0" w:type="dxa"/>
          <w:right w:w="0" w:type="dxa"/>
        </w:tblCellMar>
        <w:tblLook w:val="01E0"/>
      </w:tblPr>
      <w:tblGrid>
        <w:gridCol w:w="1555"/>
        <w:gridCol w:w="1558"/>
        <w:gridCol w:w="2979"/>
        <w:gridCol w:w="2552"/>
      </w:tblGrid>
      <w:tr>
        <w:trPr>
          <w:trHeight w:val="40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3"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34"/>
              <w:jc w:val="right"/>
              <w:rPr>
                <w:rFonts w:ascii="宋体" w:hAnsi="宋体" w:cs="宋体" w:eastAsia="宋体" w:hint="default"/>
                <w:sz w:val="21"/>
                <w:szCs w:val="21"/>
              </w:rPr>
            </w:pPr>
            <w:r>
              <w:rPr>
                <w:rFonts w:ascii="宋体" w:hAnsi="宋体" w:cs="宋体" w:eastAsia="宋体" w:hint="default"/>
                <w:spacing w:val="-2"/>
                <w:sz w:val="21"/>
                <w:szCs w:val="21"/>
              </w:rPr>
              <w:t>占应收账款总额的比例（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7"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客户一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9,401,000.00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5.71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282,030.00</w:t>
            </w:r>
          </w:p>
        </w:tc>
      </w:tr>
      <w:tr>
        <w:trPr>
          <w:trHeight w:val="40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客户二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8,071,700.00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4.90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242,151.00</w:t>
            </w:r>
          </w:p>
        </w:tc>
      </w:tr>
      <w:tr>
        <w:trPr>
          <w:trHeight w:val="40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客户三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7,151,025.00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4.34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214,530.75</w:t>
            </w:r>
          </w:p>
        </w:tc>
      </w:tr>
      <w:tr>
        <w:trPr>
          <w:trHeight w:val="406"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客户四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7,060,215.11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4.29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706,021.51</w:t>
            </w:r>
          </w:p>
        </w:tc>
      </w:tr>
      <w:tr>
        <w:trPr>
          <w:trHeight w:val="40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客户五</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5,109,624.00</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3.10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153,288.72</w:t>
            </w:r>
          </w:p>
        </w:tc>
      </w:tr>
      <w:tr>
        <w:trPr>
          <w:trHeight w:val="409"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pacing w:val="-1"/>
                <w:sz w:val="21"/>
              </w:rPr>
              <w:t>36,793,564.11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22.35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pacing w:val="-1"/>
                <w:sz w:val="21"/>
              </w:rPr>
              <w:t>1,598,021.98</w:t>
            </w:r>
          </w:p>
        </w:tc>
      </w:tr>
    </w:tbl>
    <w:p>
      <w:pPr>
        <w:spacing w:line="240" w:lineRule="auto" w:before="12"/>
        <w:rPr>
          <w:rFonts w:ascii="宋体" w:hAnsi="宋体" w:cs="宋体" w:eastAsia="宋体" w:hint="default"/>
          <w:b/>
          <w:bCs/>
          <w:sz w:val="19"/>
          <w:szCs w:val="19"/>
        </w:rPr>
      </w:pPr>
    </w:p>
    <w:p>
      <w:pPr>
        <w:pStyle w:val="Heading2"/>
        <w:spacing w:line="369" w:lineRule="auto" w:before="36"/>
        <w:ind w:left="532" w:right="4581" w:hanging="315"/>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w w:val="100"/>
        </w:rPr>
        <w:t> </w:t>
      </w:r>
      <w:r>
        <w:rPr>
          <w:rFonts w:ascii="宋体" w:hAnsi="宋体" w:cs="宋体" w:eastAsia="宋体" w:hint="default"/>
          <w:b w:val="0"/>
          <w:bCs w:val="0"/>
        </w:rPr>
        <w:t>无。</w:t>
      </w:r>
    </w:p>
    <w:p>
      <w:pPr>
        <w:spacing w:line="240" w:lineRule="auto" w:before="13"/>
        <w:rPr>
          <w:rFonts w:ascii="宋体" w:hAnsi="宋体" w:cs="宋体" w:eastAsia="宋体" w:hint="default"/>
          <w:sz w:val="13"/>
          <w:szCs w:val="13"/>
        </w:rPr>
      </w:pPr>
    </w:p>
    <w:p>
      <w:pPr>
        <w:pStyle w:val="Heading2"/>
        <w:spacing w:line="369" w:lineRule="auto"/>
        <w:ind w:left="532" w:right="3739" w:hanging="315"/>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w w:val="100"/>
        </w:rPr>
        <w:t> </w:t>
      </w:r>
      <w:r>
        <w:rPr>
          <w:rFonts w:ascii="宋体" w:hAnsi="宋体" w:cs="宋体" w:eastAsia="宋体" w:hint="default"/>
          <w:b w:val="0"/>
          <w:bCs w:val="0"/>
        </w:rPr>
        <w:t>无。</w:t>
      </w:r>
    </w:p>
    <w:p>
      <w:pPr>
        <w:pStyle w:val="BodyText"/>
        <w:spacing w:line="240" w:lineRule="auto" w:before="123"/>
        <w:ind w:left="112" w:right="2926"/>
        <w:jc w:val="left"/>
      </w:pPr>
      <w:r>
        <w:rPr/>
        <w:t>其他说明：</w:t>
      </w:r>
    </w:p>
    <w:p>
      <w:pPr>
        <w:pStyle w:val="BodyText"/>
        <w:spacing w:line="240" w:lineRule="auto" w:before="87"/>
        <w:ind w:left="532" w:right="2926"/>
        <w:jc w:val="left"/>
      </w:pPr>
      <w:r>
        <w:rPr/>
        <w:t>无。</w:t>
      </w:r>
    </w:p>
    <w:p>
      <w:pPr>
        <w:spacing w:after="0" w:line="240" w:lineRule="auto"/>
        <w:jc w:val="left"/>
        <w:sectPr>
          <w:footerReference w:type="default" r:id="rId52"/>
          <w:pgSz w:w="11910" w:h="16840"/>
          <w:pgMar w:footer="974" w:header="0" w:top="1120" w:bottom="1160" w:left="1580" w:right="1140"/>
          <w:pgNumType w:start="106"/>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640" w:right="1120"/>
        </w:sectPr>
      </w:pPr>
    </w:p>
    <w:p>
      <w:pPr>
        <w:pStyle w:val="Heading2"/>
        <w:spacing w:line="240" w:lineRule="auto" w:before="36"/>
        <w:ind w:left="15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135"/>
        <w:ind w:left="15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160" w:left="1640" w:right="1120"/>
          <w:cols w:num="2" w:equalWidth="0">
            <w:col w:w="2676" w:space="4057"/>
            <w:col w:w="2417"/>
          </w:cols>
        </w:sectPr>
      </w:pPr>
    </w:p>
    <w:p>
      <w:pPr>
        <w:spacing w:line="240" w:lineRule="auto" w:before="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74"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4"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5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36,953,331.58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z w:val="21"/>
              </w:rPr>
              <w:t>99.34</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3,893,467.32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z w:val="21"/>
              </w:rPr>
              <w:t>91.97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175,518.90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0.47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279,020.71</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6.59</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47,764.86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0.13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60,948.39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1.44</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21,695.74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0.06</w:t>
            </w: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37,198,311.08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4,233,436.42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5"/>
        <w:rPr>
          <w:rFonts w:ascii="宋体" w:hAnsi="宋体" w:cs="宋体" w:eastAsia="宋体" w:hint="default"/>
          <w:sz w:val="15"/>
          <w:szCs w:val="15"/>
        </w:rPr>
      </w:pPr>
    </w:p>
    <w:p>
      <w:pPr>
        <w:pStyle w:val="BodyText"/>
        <w:spacing w:line="316" w:lineRule="auto" w:before="36"/>
        <w:ind w:left="472" w:right="3302" w:hanging="315"/>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无。</w:t>
      </w:r>
    </w:p>
    <w:p>
      <w:pPr>
        <w:spacing w:line="240" w:lineRule="auto" w:before="12"/>
        <w:rPr>
          <w:rFonts w:ascii="宋体" w:hAnsi="宋体" w:cs="宋体" w:eastAsia="宋体" w:hint="default"/>
          <w:sz w:val="19"/>
          <w:szCs w:val="19"/>
        </w:rPr>
      </w:pPr>
    </w:p>
    <w:p>
      <w:pPr>
        <w:pStyle w:val="Heading2"/>
        <w:spacing w:line="240" w:lineRule="auto"/>
        <w:ind w:left="158" w:right="3302"/>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38" w:type="dxa"/>
        <w:tblLayout w:type="fixed"/>
        <w:tblCellMar>
          <w:top w:w="0" w:type="dxa"/>
          <w:left w:w="0" w:type="dxa"/>
          <w:bottom w:w="0" w:type="dxa"/>
          <w:right w:w="0" w:type="dxa"/>
        </w:tblCellMar>
        <w:tblLook w:val="01E0"/>
      </w:tblPr>
      <w:tblGrid>
        <w:gridCol w:w="2453"/>
        <w:gridCol w:w="2696"/>
        <w:gridCol w:w="3543"/>
      </w:tblGrid>
      <w:tr>
        <w:trPr>
          <w:trHeight w:val="46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9" w:right="0"/>
              <w:jc w:val="left"/>
              <w:rPr>
                <w:rFonts w:ascii="宋体" w:hAnsi="宋体" w:cs="宋体" w:eastAsia="宋体" w:hint="default"/>
                <w:sz w:val="21"/>
                <w:szCs w:val="21"/>
              </w:rPr>
            </w:pPr>
            <w:r>
              <w:rPr>
                <w:rFonts w:ascii="宋体" w:hAnsi="宋体" w:cs="宋体" w:eastAsia="宋体" w:hint="default"/>
                <w:sz w:val="21"/>
                <w:szCs w:val="21"/>
              </w:rPr>
              <w:t>占预付账款合计数的比例（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6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预付供应商一</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27,765,080.00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z w:val="21"/>
              </w:rPr>
              <w:t>74.64</w:t>
            </w:r>
          </w:p>
        </w:tc>
      </w:tr>
      <w:tr>
        <w:trPr>
          <w:trHeight w:val="459"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预付供应商二</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2,151,478.16</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z w:val="21"/>
              </w:rPr>
              <w:t>5.78</w:t>
            </w:r>
          </w:p>
        </w:tc>
      </w:tr>
      <w:tr>
        <w:trPr>
          <w:trHeight w:val="46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预付供应商三</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1,626,715.52</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z w:val="21"/>
              </w:rPr>
              <w:t>4.37</w:t>
            </w:r>
          </w:p>
        </w:tc>
      </w:tr>
      <w:tr>
        <w:trPr>
          <w:trHeight w:val="46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预付供应商四</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1,228,080.00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z w:val="21"/>
              </w:rPr>
              <w:t>3.30</w:t>
            </w:r>
          </w:p>
        </w:tc>
      </w:tr>
      <w:tr>
        <w:trPr>
          <w:trHeight w:val="458"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预付供应商五</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653,054.97</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z w:val="21"/>
              </w:rPr>
              <w:t>1.76</w:t>
            </w:r>
          </w:p>
        </w:tc>
      </w:tr>
      <w:tr>
        <w:trPr>
          <w:trHeight w:val="461"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33,424,408.65</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z w:val="21"/>
              </w:rPr>
              <w:t>89.85</w:t>
            </w:r>
          </w:p>
        </w:tc>
      </w:tr>
    </w:tbl>
    <w:p>
      <w:pPr>
        <w:spacing w:line="240" w:lineRule="auto" w:before="7"/>
        <w:rPr>
          <w:rFonts w:ascii="宋体" w:hAnsi="宋体" w:cs="宋体" w:eastAsia="宋体" w:hint="default"/>
          <w:b/>
          <w:bCs/>
          <w:sz w:val="15"/>
          <w:szCs w:val="15"/>
        </w:rPr>
      </w:pPr>
    </w:p>
    <w:p>
      <w:pPr>
        <w:pStyle w:val="BodyText"/>
        <w:spacing w:line="240" w:lineRule="auto" w:before="36"/>
        <w:ind w:left="158" w:right="3302"/>
        <w:jc w:val="left"/>
      </w:pPr>
      <w:r>
        <w:rPr/>
        <w:t>其他说明</w:t>
      </w:r>
    </w:p>
    <w:p>
      <w:pPr>
        <w:pStyle w:val="BodyText"/>
        <w:spacing w:line="240" w:lineRule="auto" w:before="85"/>
        <w:ind w:left="472" w:right="3302"/>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640" w:right="1120"/>
        </w:sectPr>
      </w:pPr>
    </w:p>
    <w:p>
      <w:pPr>
        <w:pStyle w:val="Heading2"/>
        <w:spacing w:line="240" w:lineRule="auto" w:before="36"/>
        <w:ind w:left="15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spacing w:line="290" w:lineRule="auto" w:before="56"/>
        <w:ind w:left="15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9"/>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160" w:left="1640" w:right="1120"/>
          <w:cols w:num="2" w:equalWidth="0">
            <w:col w:w="1973" w:space="4760"/>
            <w:col w:w="2417"/>
          </w:cols>
        </w:sectPr>
      </w:pPr>
    </w:p>
    <w:p>
      <w:pPr>
        <w:spacing w:line="240" w:lineRule="auto" w:before="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780"/>
        <w:gridCol w:w="3048"/>
        <w:gridCol w:w="3068"/>
      </w:tblGrid>
      <w:tr>
        <w:trPr>
          <w:trHeight w:val="374"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4"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22"/>
              <w:jc w:val="right"/>
              <w:rPr>
                <w:rFonts w:ascii="Times New Roman" w:hAnsi="Times New Roman" w:cs="Times New Roman" w:eastAsia="Times New Roman" w:hint="default"/>
                <w:sz w:val="21"/>
                <w:szCs w:val="21"/>
              </w:rPr>
            </w:pPr>
            <w:r>
              <w:rPr>
                <w:rFonts w:ascii="Times New Roman"/>
                <w:spacing w:val="-1"/>
                <w:sz w:val="21"/>
              </w:rPr>
              <w:t>603,646.16</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22"/>
              <w:jc w:val="right"/>
              <w:rPr>
                <w:rFonts w:ascii="Times New Roman" w:hAnsi="Times New Roman" w:cs="Times New Roman" w:eastAsia="Times New Roman" w:hint="default"/>
                <w:sz w:val="21"/>
                <w:szCs w:val="21"/>
              </w:rPr>
            </w:pPr>
            <w:r>
              <w:rPr>
                <w:rFonts w:ascii="Times New Roman"/>
                <w:spacing w:val="-1"/>
                <w:sz w:val="21"/>
              </w:rPr>
              <w:t>3,519,781.60</w:t>
            </w:r>
          </w:p>
        </w:tc>
      </w:tr>
      <w:tr>
        <w:trPr>
          <w:trHeight w:val="377"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375"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22"/>
              <w:jc w:val="right"/>
              <w:rPr>
                <w:rFonts w:ascii="Times New Roman" w:hAnsi="Times New Roman" w:cs="Times New Roman" w:eastAsia="Times New Roman" w:hint="default"/>
                <w:sz w:val="21"/>
                <w:szCs w:val="21"/>
              </w:rPr>
            </w:pPr>
            <w:r>
              <w:rPr>
                <w:rFonts w:ascii="Times New Roman"/>
                <w:spacing w:val="-1"/>
                <w:sz w:val="21"/>
              </w:rPr>
              <w:t>603,646.16</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22"/>
              <w:jc w:val="right"/>
              <w:rPr>
                <w:rFonts w:ascii="Times New Roman" w:hAnsi="Times New Roman" w:cs="Times New Roman" w:eastAsia="Times New Roman" w:hint="default"/>
                <w:sz w:val="21"/>
                <w:szCs w:val="21"/>
              </w:rPr>
            </w:pPr>
            <w:r>
              <w:rPr>
                <w:rFonts w:ascii="Times New Roman"/>
                <w:spacing w:val="-1"/>
                <w:sz w:val="21"/>
              </w:rPr>
              <w:t>3,519,781.60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640" w:right="1120"/>
        </w:sectPr>
      </w:pPr>
    </w:p>
    <w:p>
      <w:pPr>
        <w:spacing w:line="240" w:lineRule="auto" w:before="0"/>
        <w:rPr>
          <w:rFonts w:ascii="宋体" w:hAnsi="宋体" w:cs="宋体" w:eastAsia="宋体" w:hint="default"/>
          <w:sz w:val="20"/>
          <w:szCs w:val="20"/>
        </w:rPr>
      </w:pPr>
    </w:p>
    <w:p>
      <w:pPr>
        <w:pStyle w:val="Heading2"/>
        <w:spacing w:line="240" w:lineRule="auto" w:before="180"/>
        <w:ind w:left="138" w:right="0"/>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40" w:lineRule="auto" w:before="68"/>
        <w:ind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316" w:lineRule="auto"/>
        <w:ind w:left="452" w:right="7899" w:hanging="315"/>
        <w:jc w:val="left"/>
      </w:pPr>
      <w:r>
        <w:rPr/>
        <w:t>其他说明：</w:t>
      </w:r>
      <w:r>
        <w:rPr>
          <w:spacing w:val="-102"/>
        </w:rPr>
        <w:t> </w:t>
      </w:r>
      <w:r>
        <w:rPr>
          <w:spacing w:val="-102"/>
        </w:rPr>
      </w:r>
      <w:r>
        <w:rPr/>
        <w:t>无。</w:t>
      </w:r>
    </w:p>
    <w:p>
      <w:pPr>
        <w:spacing w:line="240" w:lineRule="auto" w:before="12"/>
        <w:rPr>
          <w:rFonts w:ascii="宋体" w:hAnsi="宋体" w:cs="宋体" w:eastAsia="宋体" w:hint="default"/>
          <w:sz w:val="19"/>
          <w:szCs w:val="19"/>
        </w:rPr>
      </w:pPr>
    </w:p>
    <w:p>
      <w:pPr>
        <w:pStyle w:val="Heading2"/>
        <w:spacing w:line="240" w:lineRule="auto"/>
        <w:ind w:left="138" w:right="0"/>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pgSz w:w="11910" w:h="16840"/>
          <w:pgMar w:header="0" w:footer="974" w:top="1120" w:bottom="1160" w:left="1660" w:right="1140"/>
        </w:sectPr>
      </w:pPr>
    </w:p>
    <w:p>
      <w:pPr>
        <w:spacing w:before="20"/>
        <w:ind w:left="0" w:right="161"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3"/>
          <w:footerReference w:type="default" r:id="rId54"/>
          <w:pgSz w:w="16840" w:h="11910" w:orient="landscape"/>
          <w:pgMar w:header="0" w:footer="0" w:top="800" w:bottom="280" w:left="1300" w:right="1380"/>
        </w:sectPr>
      </w:pPr>
    </w:p>
    <w:p>
      <w:pPr>
        <w:pStyle w:val="Heading2"/>
        <w:spacing w:line="240" w:lineRule="auto" w:before="36"/>
        <w:ind w:left="140" w:right="-20"/>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133"/>
        <w:ind w:left="140" w:right="-20"/>
        <w:jc w:val="left"/>
        <w:rPr>
          <w:b w:val="0"/>
          <w:bCs w:val="0"/>
        </w:rPr>
      </w:pPr>
      <w:r>
        <w:rPr>
          <w:rFonts w:ascii="宋体" w:hAnsi="宋体" w:cs="宋体" w:eastAsia="宋体" w:hint="default"/>
        </w:rPr>
        <w:t>(1).</w:t>
      </w:r>
      <w:r>
        <w:rPr>
          <w:rFonts w:ascii="宋体" w:hAnsi="宋体" w:cs="宋体" w:eastAsia="宋体" w:hint="default"/>
          <w:spacing w:val="62"/>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160" w:left="1300" w:right="1380"/>
          <w:cols w:num="2" w:equalWidth="0">
            <w:col w:w="2630" w:space="9041"/>
            <w:col w:w="2489"/>
          </w:cols>
        </w:sectPr>
      </w:pPr>
    </w:p>
    <w:p>
      <w:pPr>
        <w:spacing w:line="240" w:lineRule="auto" w:before="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820"/>
        <w:gridCol w:w="1270"/>
        <w:gridCol w:w="1198"/>
        <w:gridCol w:w="1176"/>
        <w:gridCol w:w="1207"/>
        <w:gridCol w:w="1270"/>
        <w:gridCol w:w="1270"/>
        <w:gridCol w:w="1155"/>
        <w:gridCol w:w="1164"/>
        <w:gridCol w:w="1138"/>
        <w:gridCol w:w="1270"/>
      </w:tblGrid>
      <w:tr>
        <w:trPr>
          <w:trHeight w:val="370" w:hRule="exact"/>
        </w:trPr>
        <w:tc>
          <w:tcPr>
            <w:tcW w:w="18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1820" w:type="dxa"/>
            <w:vMerge/>
            <w:tcBorders>
              <w:left w:val="single" w:sz="4" w:space="0" w:color="000000"/>
              <w:right w:val="single" w:sz="4" w:space="0" w:color="000000"/>
            </w:tcBorders>
          </w:tcPr>
          <w:p>
            <w:pPr/>
          </w:p>
        </w:tc>
        <w:tc>
          <w:tcPr>
            <w:tcW w:w="24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420" w:right="41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420" w:right="41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30" w:hRule="exact"/>
        </w:trPr>
        <w:tc>
          <w:tcPr>
            <w:tcW w:w="1820"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w:t>
            </w:r>
          </w:p>
        </w:tc>
        <w:tc>
          <w:tcPr>
            <w:tcW w:w="1270"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w:t>
            </w:r>
          </w:p>
        </w:tc>
        <w:tc>
          <w:tcPr>
            <w:tcW w:w="1270" w:type="dxa"/>
            <w:vMerge/>
            <w:tcBorders>
              <w:left w:val="single" w:sz="4" w:space="0" w:color="000000"/>
              <w:bottom w:val="single" w:sz="4" w:space="0" w:color="000000"/>
              <w:right w:val="single" w:sz="4" w:space="0" w:color="000000"/>
            </w:tcBorders>
          </w:tcPr>
          <w:p>
            <w:pPr/>
          </w:p>
        </w:tc>
      </w:tr>
      <w:tr>
        <w:trPr>
          <w:trHeight w:val="109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98"/>
              <w:jc w:val="both"/>
              <w:rPr>
                <w:rFonts w:ascii="宋体" w:hAnsi="宋体" w:cs="宋体" w:eastAsia="宋体" w:hint="default"/>
                <w:sz w:val="21"/>
                <w:szCs w:val="21"/>
              </w:rPr>
            </w:pPr>
            <w:r>
              <w:rPr>
                <w:rFonts w:ascii="宋体" w:hAnsi="宋体" w:cs="宋体" w:eastAsia="宋体" w:hint="default"/>
                <w:sz w:val="21"/>
                <w:szCs w:val="21"/>
              </w:rPr>
              <w:t>单项金额重大并单</w:t>
            </w:r>
            <w:r>
              <w:rPr>
                <w:rFonts w:ascii="宋体" w:hAnsi="宋体" w:cs="宋体" w:eastAsia="宋体" w:hint="default"/>
                <w:w w:val="100"/>
                <w:sz w:val="21"/>
                <w:szCs w:val="21"/>
              </w:rPr>
              <w:t> </w:t>
            </w: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98"/>
              <w:jc w:val="both"/>
              <w:rPr>
                <w:rFonts w:ascii="宋体" w:hAnsi="宋体" w:cs="宋体" w:eastAsia="宋体" w:hint="default"/>
                <w:sz w:val="21"/>
                <w:szCs w:val="21"/>
              </w:rPr>
            </w:pPr>
            <w:r>
              <w:rPr>
                <w:rFonts w:ascii="宋体" w:hAnsi="宋体" w:cs="宋体" w:eastAsia="宋体" w:hint="default"/>
                <w:sz w:val="21"/>
                <w:szCs w:val="21"/>
              </w:rPr>
              <w:t>按信用风险特征组</w:t>
            </w:r>
            <w:r>
              <w:rPr>
                <w:rFonts w:ascii="宋体" w:hAnsi="宋体" w:cs="宋体" w:eastAsia="宋体" w:hint="default"/>
                <w:w w:val="100"/>
                <w:sz w:val="21"/>
                <w:szCs w:val="21"/>
              </w:rPr>
              <w:t> </w:t>
            </w: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32,432,523.72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4,126,184.59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12.72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28,306,339.13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17,271,221.13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2,099,996.48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12.16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15,171,224.65</w:t>
            </w:r>
          </w:p>
        </w:tc>
      </w:tr>
      <w:tr>
        <w:trPr>
          <w:trHeight w:val="1090"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98"/>
              <w:jc w:val="both"/>
              <w:rPr>
                <w:rFonts w:ascii="宋体" w:hAnsi="宋体" w:cs="宋体" w:eastAsia="宋体" w:hint="default"/>
                <w:sz w:val="21"/>
                <w:szCs w:val="21"/>
              </w:rPr>
            </w:pPr>
            <w:r>
              <w:rPr>
                <w:rFonts w:ascii="宋体" w:hAnsi="宋体" w:cs="宋体" w:eastAsia="宋体" w:hint="default"/>
                <w:sz w:val="21"/>
                <w:szCs w:val="21"/>
              </w:rPr>
              <w:t>单项金额不重大但</w:t>
            </w:r>
            <w:r>
              <w:rPr>
                <w:rFonts w:ascii="宋体" w:hAnsi="宋体" w:cs="宋体" w:eastAsia="宋体" w:hint="default"/>
                <w:w w:val="100"/>
                <w:sz w:val="21"/>
                <w:szCs w:val="21"/>
              </w:rPr>
              <w:t> </w:t>
            </w: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27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32,432,523.72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100.00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21"/>
                <w:szCs w:val="21"/>
              </w:rPr>
            </w:pPr>
            <w:r>
              <w:rPr>
                <w:rFonts w:ascii="Times New Roman"/>
                <w:sz w:val="21"/>
              </w:rPr>
              <w:t>4,126,184.59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12.72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28,306,339.13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17,271,221.13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z w:val="21"/>
              </w:rPr>
              <w:t>100.00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21"/>
                <w:szCs w:val="21"/>
              </w:rPr>
            </w:pPr>
            <w:r>
              <w:rPr>
                <w:rFonts w:ascii="Times New Roman"/>
                <w:sz w:val="21"/>
              </w:rPr>
              <w:t>2,099,996.48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12.16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21"/>
                <w:szCs w:val="21"/>
              </w:rPr>
            </w:pPr>
            <w:r>
              <w:rPr>
                <w:rFonts w:ascii="Times New Roman"/>
                <w:sz w:val="21"/>
              </w:rPr>
              <w:t>15,171,224.65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63"/>
        <w:ind w:left="6710" w:right="6714" w:firstLine="0"/>
        <w:jc w:val="center"/>
        <w:rPr>
          <w:rFonts w:ascii="Calibri" w:hAnsi="Calibri" w:cs="Calibri" w:eastAsia="Calibri" w:hint="default"/>
          <w:sz w:val="18"/>
          <w:szCs w:val="18"/>
        </w:rPr>
      </w:pPr>
      <w:r>
        <w:rPr>
          <w:rFonts w:ascii="Calibri"/>
          <w:b/>
          <w:sz w:val="18"/>
        </w:rPr>
        <w:t>109 </w:t>
      </w:r>
      <w:r>
        <w:rPr>
          <w:rFonts w:ascii="Calibri"/>
          <w:sz w:val="18"/>
        </w:rPr>
        <w:t>/</w:t>
      </w:r>
      <w:r>
        <w:rPr>
          <w:rFonts w:ascii="Calibri"/>
          <w:spacing w:val="-5"/>
          <w:sz w:val="18"/>
        </w:rPr>
        <w:t> </w:t>
      </w:r>
      <w:r>
        <w:rPr>
          <w:rFonts w:ascii="Calibri"/>
          <w:b/>
          <w:sz w:val="18"/>
        </w:rPr>
        <w:t>161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380"/>
        </w:sectPr>
      </w:pPr>
    </w:p>
    <w:p>
      <w:pPr>
        <w:spacing w:line="240" w:lineRule="auto" w:before="11"/>
        <w:rPr>
          <w:rFonts w:ascii="Calibri" w:hAnsi="Calibri" w:cs="Calibri" w:eastAsia="Calibri" w:hint="default"/>
          <w:b/>
          <w:bCs/>
          <w:sz w:val="26"/>
          <w:szCs w:val="26"/>
        </w:rPr>
      </w:pPr>
    </w:p>
    <w:p>
      <w:pPr>
        <w:pStyle w:val="BodyText"/>
        <w:spacing w:line="274" w:lineRule="exact" w:before="36"/>
        <w:ind w:left="218" w:right="227"/>
        <w:jc w:val="left"/>
      </w:pPr>
      <w:r>
        <w:rPr/>
        <w:t>期末单项金额重大并单项计提坏帐准备的其他应收款</w:t>
      </w:r>
    </w:p>
    <w:p>
      <w:pPr>
        <w:pStyle w:val="BodyText"/>
        <w:spacing w:line="274" w:lineRule="exact"/>
        <w:ind w:left="218" w:right="227"/>
        <w:jc w:val="left"/>
      </w:pPr>
      <w:r>
        <w:rPr/>
        <w:t>□适用</w:t>
      </w:r>
      <w:r>
        <w:rPr>
          <w:spacing w:val="-1"/>
        </w:rPr>
        <w:t> </w:t>
      </w:r>
      <w:r>
        <w:rPr/>
        <w:t>√不适用</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55"/>
          <w:pgSz w:w="11910" w:h="16840"/>
          <w:pgMar w:footer="974" w:header="0" w:top="1120" w:bottom="1160" w:left="1580" w:right="1040"/>
          <w:pgNumType w:start="110"/>
        </w:sectPr>
      </w:pPr>
    </w:p>
    <w:p>
      <w:pPr>
        <w:pStyle w:val="BodyText"/>
        <w:spacing w:line="240" w:lineRule="auto" w:before="36"/>
        <w:ind w:left="218" w:right="0"/>
        <w:jc w:val="left"/>
      </w:pPr>
      <w:r>
        <w:rPr>
          <w:spacing w:val="-2"/>
        </w:rPr>
        <w:t>组合中，按账龄分析法计提坏账准备的其他应收款：</w:t>
      </w:r>
    </w:p>
    <w:p>
      <w:pPr>
        <w:pStyle w:val="BodyText"/>
        <w:spacing w:line="240" w:lineRule="auto" w:before="8"/>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46"/>
        <w:ind w:left="218" w:right="0"/>
        <w:jc w:val="left"/>
      </w:pPr>
      <w:r>
        <w:rPr/>
        <w:t>单位：元币种：人民币</w:t>
      </w:r>
    </w:p>
    <w:p>
      <w:pPr>
        <w:spacing w:after="0" w:line="240" w:lineRule="auto"/>
        <w:jc w:val="left"/>
        <w:sectPr>
          <w:type w:val="continuous"/>
          <w:pgSz w:w="11910" w:h="16840"/>
          <w:pgMar w:top="1120" w:bottom="1160" w:left="1580" w:right="1040"/>
          <w:cols w:num="2" w:equalWidth="0">
            <w:col w:w="5053" w:space="1680"/>
            <w:col w:w="2557"/>
          </w:cols>
        </w:sectPr>
      </w:pPr>
    </w:p>
    <w:p>
      <w:pPr>
        <w:spacing w:line="240" w:lineRule="auto" w:before="3"/>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370"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20,657,713.30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619,731.41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4,773,276.86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477,327.69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10</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3,204,405.28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640,881.05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20</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2,445,060.60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1,222,530.30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50</w:t>
            </w:r>
          </w:p>
        </w:tc>
      </w:tr>
      <w:tr>
        <w:trPr>
          <w:trHeight w:val="372"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931,767.68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745,414.14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z w:val="21"/>
              </w:rPr>
              <w:t>80</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420,300.00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420,300.00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100</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32,432,523.72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4,126,184.59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12.72</w:t>
            </w:r>
          </w:p>
        </w:tc>
      </w:tr>
    </w:tbl>
    <w:p>
      <w:pPr>
        <w:pStyle w:val="BodyText"/>
        <w:spacing w:line="326" w:lineRule="auto" w:before="42"/>
        <w:ind w:left="532" w:right="6729" w:hanging="315"/>
        <w:jc w:val="left"/>
      </w:pPr>
      <w:r>
        <w:rPr>
          <w:spacing w:val="-2"/>
        </w:rPr>
        <w:t>确定该组合依据的说明：</w:t>
      </w:r>
      <w:r>
        <w:rPr>
          <w:spacing w:val="-83"/>
        </w:rPr>
        <w:t> </w:t>
      </w:r>
      <w:r>
        <w:rPr>
          <w:spacing w:val="-83"/>
        </w:rPr>
      </w:r>
      <w:r>
        <w:rPr/>
        <w:t>无。</w:t>
      </w:r>
    </w:p>
    <w:p>
      <w:pPr>
        <w:spacing w:line="240" w:lineRule="auto" w:before="9"/>
        <w:rPr>
          <w:rFonts w:ascii="宋体" w:hAnsi="宋体" w:cs="宋体" w:eastAsia="宋体" w:hint="default"/>
          <w:sz w:val="14"/>
          <w:szCs w:val="14"/>
        </w:rPr>
      </w:pPr>
    </w:p>
    <w:p>
      <w:pPr>
        <w:pStyle w:val="BodyText"/>
        <w:spacing w:line="274" w:lineRule="exact"/>
        <w:ind w:left="218" w:right="227"/>
        <w:jc w:val="left"/>
      </w:pPr>
      <w:r>
        <w:rPr/>
        <w:t>组合中，采用余额百分比法计提坏账准备的其他应收款：</w:t>
      </w:r>
    </w:p>
    <w:p>
      <w:pPr>
        <w:pStyle w:val="BodyText"/>
        <w:spacing w:line="274" w:lineRule="exact"/>
        <w:ind w:left="218" w:right="227"/>
        <w:jc w:val="left"/>
      </w:pPr>
      <w:r>
        <w:rPr/>
        <w:t>□适用√不适用</w:t>
      </w:r>
    </w:p>
    <w:p>
      <w:pPr>
        <w:spacing w:line="240" w:lineRule="auto" w:before="8"/>
        <w:rPr>
          <w:rFonts w:ascii="宋体" w:hAnsi="宋体" w:cs="宋体" w:eastAsia="宋体" w:hint="default"/>
          <w:sz w:val="20"/>
          <w:szCs w:val="20"/>
        </w:rPr>
      </w:pPr>
    </w:p>
    <w:p>
      <w:pPr>
        <w:pStyle w:val="BodyText"/>
        <w:spacing w:line="273" w:lineRule="exact"/>
        <w:ind w:left="218" w:right="227"/>
        <w:jc w:val="left"/>
      </w:pPr>
      <w:r>
        <w:rPr/>
        <w:t>组合中，采用其他方法计提坏账准备的其他应收款：</w:t>
      </w:r>
    </w:p>
    <w:p>
      <w:pPr>
        <w:pStyle w:val="BodyText"/>
        <w:spacing w:line="273" w:lineRule="exact"/>
        <w:ind w:left="218"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45"/>
        <w:ind w:right="227"/>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396" w:lineRule="auto" w:before="145"/>
        <w:ind w:left="218" w:right="1550" w:firstLine="419"/>
        <w:jc w:val="left"/>
      </w:pPr>
      <w:r>
        <w:rPr/>
        <w:t>本期计提坏账准备金额</w:t>
      </w:r>
      <w:r>
        <w:rPr>
          <w:spacing w:val="-53"/>
        </w:rPr>
        <w:t> </w:t>
      </w:r>
      <w:r>
        <w:rPr>
          <w:rFonts w:ascii="Times New Roman" w:hAnsi="Times New Roman" w:cs="Times New Roman" w:eastAsia="Times New Roman" w:hint="default"/>
        </w:rPr>
        <w:t>2,026,188.11</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w w:val="100"/>
        </w:rPr>
        <w:t> </w:t>
      </w:r>
      <w:r>
        <w:rPr/>
        <w:t>其中本期坏账准备转回或收回金额重要的：</w:t>
      </w:r>
    </w:p>
    <w:p>
      <w:pPr>
        <w:pStyle w:val="BodyText"/>
        <w:spacing w:line="236" w:lineRule="exact"/>
        <w:ind w:left="532" w:right="227"/>
        <w:jc w:val="left"/>
      </w:pPr>
      <w:r>
        <w:rPr/>
        <w:t>□适用 √不适用</w:t>
      </w:r>
    </w:p>
    <w:p>
      <w:pPr>
        <w:pStyle w:val="Heading2"/>
        <w:spacing w:line="240" w:lineRule="auto" w:before="133"/>
        <w:ind w:right="227"/>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157"/>
        <w:ind w:left="532" w:right="227"/>
        <w:jc w:val="left"/>
      </w:pPr>
      <w:r>
        <w:rPr/>
        <w:t>□适用 √不适用</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6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3759" w:space="2753"/>
            <w:col w:w="2778"/>
          </w:cols>
        </w:sectPr>
      </w:pP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7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58" w:right="0"/>
              <w:jc w:val="left"/>
              <w:rPr>
                <w:rFonts w:ascii="Times New Roman" w:hAnsi="Times New Roman" w:cs="Times New Roman" w:eastAsia="Times New Roman" w:hint="default"/>
                <w:sz w:val="21"/>
                <w:szCs w:val="21"/>
              </w:rPr>
            </w:pPr>
            <w:r>
              <w:rPr>
                <w:rFonts w:ascii="Times New Roman"/>
                <w:sz w:val="21"/>
              </w:rPr>
              <w:t>19,256,883.60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10,962,775.85</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58" w:right="0"/>
              <w:jc w:val="left"/>
              <w:rPr>
                <w:rFonts w:ascii="Times New Roman" w:hAnsi="Times New Roman" w:cs="Times New Roman" w:eastAsia="Times New Roman" w:hint="default"/>
                <w:sz w:val="21"/>
                <w:szCs w:val="21"/>
              </w:rPr>
            </w:pPr>
            <w:r>
              <w:rPr>
                <w:rFonts w:ascii="Times New Roman"/>
                <w:sz w:val="21"/>
              </w:rPr>
              <w:t>1,387,929.15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271,882.40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37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招投标保证金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8,398,615.27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3,209,563.65</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日常业务预付款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1,262,746.73</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2,670,415.31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1,156,766.18</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718,680.39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407,486.32</w:t>
            </w:r>
          </w:p>
        </w:tc>
      </w:tr>
      <w:tr>
        <w:trPr>
          <w:trHeight w:val="37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32,432,523.72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17,271,221.13</w:t>
            </w:r>
          </w:p>
        </w:tc>
      </w:tr>
    </w:tbl>
    <w:p>
      <w:pPr>
        <w:spacing w:line="240" w:lineRule="auto" w:before="1"/>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0" w:footer="974" w:top="1120" w:bottom="1160" w:left="1580" w:right="1040"/>
        </w:sectPr>
      </w:pPr>
    </w:p>
    <w:p>
      <w:pPr>
        <w:pStyle w:val="Heading2"/>
        <w:spacing w:line="240" w:lineRule="auto" w:before="36"/>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145"/>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5655" w:space="1078"/>
            <w:col w:w="2557"/>
          </w:cols>
        </w:sectPr>
      </w:pPr>
    </w:p>
    <w:p>
      <w:pPr>
        <w:spacing w:line="240" w:lineRule="auto" w:before="3"/>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1754"/>
        <w:gridCol w:w="1671"/>
        <w:gridCol w:w="1248"/>
        <w:gridCol w:w="2035"/>
        <w:gridCol w:w="1078"/>
        <w:gridCol w:w="1018"/>
      </w:tblGrid>
      <w:tr>
        <w:trPr>
          <w:trHeight w:val="1517"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账龄</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10" w:right="108"/>
              <w:jc w:val="center"/>
              <w:rPr>
                <w:rFonts w:ascii="宋体" w:hAnsi="宋体" w:cs="宋体" w:eastAsia="宋体" w:hint="default"/>
                <w:sz w:val="21"/>
                <w:szCs w:val="21"/>
              </w:rPr>
            </w:pPr>
            <w:r>
              <w:rPr>
                <w:rFonts w:ascii="宋体" w:hAnsi="宋体" w:cs="宋体" w:eastAsia="宋体" w:hint="default"/>
                <w:sz w:val="21"/>
                <w:szCs w:val="21"/>
              </w:rPr>
              <w:t>占其他应</w:t>
            </w:r>
            <w:r>
              <w:rPr>
                <w:rFonts w:ascii="宋体" w:hAnsi="宋体" w:cs="宋体" w:eastAsia="宋体" w:hint="default"/>
                <w:w w:val="100"/>
                <w:sz w:val="21"/>
                <w:szCs w:val="21"/>
              </w:rPr>
              <w:t> </w:t>
            </w:r>
            <w:r>
              <w:rPr>
                <w:rFonts w:ascii="宋体" w:hAnsi="宋体" w:cs="宋体" w:eastAsia="宋体" w:hint="default"/>
                <w:sz w:val="21"/>
                <w:szCs w:val="21"/>
              </w:rPr>
              <w:t>收款期末</w:t>
            </w:r>
            <w:r>
              <w:rPr>
                <w:rFonts w:ascii="宋体" w:hAnsi="宋体" w:cs="宋体" w:eastAsia="宋体" w:hint="default"/>
                <w:w w:val="100"/>
                <w:sz w:val="21"/>
                <w:szCs w:val="21"/>
              </w:rPr>
              <w:t> </w:t>
            </w:r>
            <w:r>
              <w:rPr>
                <w:rFonts w:ascii="宋体" w:hAnsi="宋体" w:cs="宋体" w:eastAsia="宋体" w:hint="default"/>
                <w:sz w:val="21"/>
                <w:szCs w:val="21"/>
              </w:rPr>
              <w:t>余额合计</w:t>
            </w:r>
            <w:r>
              <w:rPr>
                <w:rFonts w:ascii="宋体" w:hAnsi="宋体" w:cs="宋体" w:eastAsia="宋体" w:hint="default"/>
                <w:w w:val="100"/>
                <w:sz w:val="21"/>
                <w:szCs w:val="21"/>
              </w:rPr>
              <w:t> </w:t>
            </w:r>
            <w:r>
              <w:rPr>
                <w:rFonts w:ascii="宋体" w:hAnsi="宋体" w:cs="宋体" w:eastAsia="宋体" w:hint="default"/>
                <w:sz w:val="21"/>
                <w:szCs w:val="21"/>
              </w:rPr>
              <w:t>数的比例</w:t>
            </w:r>
          </w:p>
          <w:p>
            <w:pPr>
              <w:pStyle w:val="TableParagraph"/>
              <w:spacing w:line="240" w:lineRule="auto" w:before="55"/>
              <w:ind w:right="2"/>
              <w:jc w:val="center"/>
              <w:rPr>
                <w:rFonts w:ascii="Times New Roman" w:hAnsi="Times New Roman" w:cs="Times New Roman" w:eastAsia="Times New Roman" w:hint="default"/>
                <w:sz w:val="21"/>
                <w:szCs w:val="21"/>
              </w:rPr>
            </w:pPr>
            <w:r>
              <w:rPr>
                <w:rFonts w:ascii="Times New Roman"/>
                <w:sz w:val="21"/>
              </w:rPr>
              <w:t>(%)</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61" w:lineRule="auto"/>
              <w:ind w:left="79" w:right="7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374"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16"/>
              <w:jc w:val="center"/>
              <w:rPr>
                <w:rFonts w:ascii="宋体" w:hAnsi="宋体" w:cs="宋体" w:eastAsia="宋体" w:hint="default"/>
                <w:sz w:val="21"/>
                <w:szCs w:val="21"/>
              </w:rPr>
            </w:pPr>
            <w:r>
              <w:rPr>
                <w:rFonts w:ascii="宋体" w:hAnsi="宋体" w:cs="宋体" w:eastAsia="宋体" w:hint="default"/>
                <w:sz w:val="21"/>
                <w:szCs w:val="21"/>
              </w:rPr>
              <w:t>其他应收客户一</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2,025,453.00</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z w:val="21"/>
              </w:rPr>
              <w:t>6.25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60,763.59</w:t>
            </w:r>
          </w:p>
        </w:tc>
      </w:tr>
      <w:tr>
        <w:trPr>
          <w:trHeight w:val="1815"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6"/>
              <w:jc w:val="center"/>
              <w:rPr>
                <w:rFonts w:ascii="宋体" w:hAnsi="宋体" w:cs="宋体" w:eastAsia="宋体" w:hint="default"/>
                <w:sz w:val="21"/>
                <w:szCs w:val="21"/>
              </w:rPr>
            </w:pPr>
            <w:r>
              <w:rPr>
                <w:rFonts w:ascii="宋体" w:hAnsi="宋体" w:cs="宋体" w:eastAsia="宋体" w:hint="default"/>
                <w:sz w:val="21"/>
                <w:szCs w:val="21"/>
              </w:rPr>
              <w:t>其他应收客户二</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1,947,578.00</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891,502.00</w:t>
            </w:r>
          </w:p>
          <w:p>
            <w:pPr>
              <w:pStyle w:val="TableParagraph"/>
              <w:spacing w:line="240" w:lineRule="auto" w:before="69"/>
              <w:ind w:left="21"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元；</w:t>
            </w:r>
            <w:r>
              <w:rPr>
                <w:rFonts w:ascii="Times New Roman" w:hAnsi="Times New Roman" w:cs="Times New Roman" w:eastAsia="Times New Roman" w:hint="default"/>
                <w:spacing w:val="-13"/>
                <w:sz w:val="21"/>
                <w:szCs w:val="21"/>
              </w:rPr>
              <w:t>1-2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710,276.00</w:t>
            </w:r>
          </w:p>
          <w:p>
            <w:pPr>
              <w:pStyle w:val="TableParagraph"/>
              <w:spacing w:line="240" w:lineRule="auto" w:before="69"/>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14,800.00</w:t>
            </w:r>
          </w:p>
          <w:p>
            <w:pPr>
              <w:pStyle w:val="TableParagraph"/>
              <w:spacing w:line="240" w:lineRule="auto" w:before="69"/>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4-5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58,000.00</w:t>
            </w:r>
          </w:p>
          <w:p>
            <w:pPr>
              <w:pStyle w:val="TableParagraph"/>
              <w:spacing w:line="240" w:lineRule="auto" w:before="69"/>
              <w:ind w:left="21"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6.01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206,172.66</w:t>
            </w:r>
          </w:p>
        </w:tc>
      </w:tr>
      <w:tr>
        <w:trPr>
          <w:trHeight w:val="734"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16"/>
              <w:jc w:val="center"/>
              <w:rPr>
                <w:rFonts w:ascii="宋体" w:hAnsi="宋体" w:cs="宋体" w:eastAsia="宋体" w:hint="default"/>
                <w:sz w:val="21"/>
                <w:szCs w:val="21"/>
              </w:rPr>
            </w:pPr>
            <w:r>
              <w:rPr>
                <w:rFonts w:ascii="宋体" w:hAnsi="宋体" w:cs="宋体" w:eastAsia="宋体" w:hint="default"/>
                <w:sz w:val="21"/>
                <w:szCs w:val="21"/>
              </w:rPr>
              <w:t>其他应收客户三</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3" w:right="86"/>
              <w:jc w:val="left"/>
              <w:rPr>
                <w:rFonts w:ascii="宋体" w:hAnsi="宋体" w:cs="宋体" w:eastAsia="宋体" w:hint="default"/>
                <w:sz w:val="21"/>
                <w:szCs w:val="21"/>
              </w:rPr>
            </w:pPr>
            <w:r>
              <w:rPr>
                <w:rFonts w:ascii="宋体" w:hAnsi="宋体" w:cs="宋体" w:eastAsia="宋体" w:hint="default"/>
                <w:spacing w:val="8"/>
                <w:sz w:val="21"/>
                <w:szCs w:val="21"/>
              </w:rPr>
              <w:t>履约和投标保证</w:t>
            </w:r>
            <w:r>
              <w:rPr>
                <w:rFonts w:ascii="宋体" w:hAnsi="宋体" w:cs="宋体" w:eastAsia="宋体" w:hint="default"/>
                <w:spacing w:val="-90"/>
                <w:sz w:val="21"/>
                <w:szCs w:val="21"/>
              </w:rPr>
              <w:t> </w:t>
            </w:r>
            <w:r>
              <w:rPr>
                <w:rFonts w:ascii="宋体" w:hAnsi="宋体" w:cs="宋体" w:eastAsia="宋体" w:hint="default"/>
                <w:sz w:val="21"/>
                <w:szCs w:val="21"/>
              </w:rPr>
              <w:t>金</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1,906,940.00</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5.88</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57,208.20</w:t>
            </w:r>
          </w:p>
        </w:tc>
      </w:tr>
      <w:tr>
        <w:trPr>
          <w:trHeight w:val="377"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16"/>
              <w:jc w:val="center"/>
              <w:rPr>
                <w:rFonts w:ascii="宋体" w:hAnsi="宋体" w:cs="宋体" w:eastAsia="宋体" w:hint="default"/>
                <w:sz w:val="21"/>
                <w:szCs w:val="21"/>
              </w:rPr>
            </w:pPr>
            <w:r>
              <w:rPr>
                <w:rFonts w:ascii="宋体" w:hAnsi="宋体" w:cs="宋体" w:eastAsia="宋体" w:hint="default"/>
                <w:sz w:val="21"/>
                <w:szCs w:val="21"/>
              </w:rPr>
              <w:t>其他应收客户四</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4"/>
              <w:jc w:val="right"/>
              <w:rPr>
                <w:rFonts w:ascii="Times New Roman" w:hAnsi="Times New Roman" w:cs="Times New Roman" w:eastAsia="Times New Roman" w:hint="default"/>
                <w:sz w:val="21"/>
                <w:szCs w:val="21"/>
              </w:rPr>
            </w:pPr>
            <w:r>
              <w:rPr>
                <w:rFonts w:ascii="Times New Roman"/>
                <w:spacing w:val="-1"/>
                <w:sz w:val="21"/>
              </w:rPr>
              <w:t>1,067,190.15</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z w:val="21"/>
              </w:rPr>
              <w:t>3.29</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spacing w:val="-1"/>
                <w:sz w:val="21"/>
              </w:rPr>
              <w:t>213,438.03</w:t>
            </w:r>
          </w:p>
        </w:tc>
      </w:tr>
      <w:tr>
        <w:trPr>
          <w:trHeight w:val="374"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16"/>
              <w:jc w:val="center"/>
              <w:rPr>
                <w:rFonts w:ascii="宋体" w:hAnsi="宋体" w:cs="宋体" w:eastAsia="宋体" w:hint="default"/>
                <w:sz w:val="21"/>
                <w:szCs w:val="21"/>
              </w:rPr>
            </w:pPr>
            <w:r>
              <w:rPr>
                <w:rFonts w:ascii="宋体" w:hAnsi="宋体" w:cs="宋体" w:eastAsia="宋体" w:hint="default"/>
                <w:sz w:val="21"/>
                <w:szCs w:val="21"/>
              </w:rPr>
              <w:t>其他应收客户五</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927,105.00</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z w:val="21"/>
              </w:rPr>
              <w:t>2.86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27,813.15</w:t>
            </w:r>
          </w:p>
        </w:tc>
      </w:tr>
      <w:tr>
        <w:trPr>
          <w:trHeight w:val="374" w:hRule="exact"/>
        </w:trPr>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73"/>
              <w:jc w:val="center"/>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4"/>
              <w:jc w:val="right"/>
              <w:rPr>
                <w:rFonts w:ascii="Times New Roman" w:hAnsi="Times New Roman" w:cs="Times New Roman" w:eastAsia="Times New Roman" w:hint="default"/>
                <w:sz w:val="21"/>
                <w:szCs w:val="21"/>
              </w:rPr>
            </w:pPr>
            <w:r>
              <w:rPr>
                <w:rFonts w:ascii="Times New Roman"/>
                <w:spacing w:val="-1"/>
                <w:sz w:val="21"/>
              </w:rPr>
              <w:t>7,874,266.15</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73"/>
              <w:jc w:val="center"/>
              <w:rPr>
                <w:rFonts w:ascii="Times New Roman" w:hAnsi="Times New Roman" w:cs="Times New Roman" w:eastAsia="Times New Roman" w:hint="default"/>
                <w:sz w:val="21"/>
                <w:szCs w:val="21"/>
              </w:rPr>
            </w:pPr>
            <w:r>
              <w:rPr>
                <w:rFonts w:ascii="Times New Roman"/>
                <w:w w:val="100"/>
                <w:sz w:val="21"/>
              </w:rPr>
              <w:t>/</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z w:val="21"/>
              </w:rPr>
              <w:t>24.29</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565,395.63</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4454"/>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ind w:right="3404"/>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w w:val="100"/>
        </w:rPr>
        <w:t> </w:t>
      </w:r>
      <w:r>
        <w:rPr>
          <w:rFonts w:ascii="宋体" w:hAnsi="宋体" w:cs="宋体" w:eastAsia="宋体" w:hint="default"/>
          <w:b w:val="0"/>
          <w:bCs w:val="0"/>
        </w:rPr>
        <w:t>无。</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160" w:left="1580" w:right="1040"/>
        </w:sectPr>
      </w:pPr>
    </w:p>
    <w:p>
      <w:pPr>
        <w:pStyle w:val="Heading2"/>
        <w:tabs>
          <w:tab w:pos="849" w:val="left" w:leader="none"/>
          <w:tab w:pos="1057" w:val="left" w:leader="none"/>
        </w:tabs>
        <w:spacing w:line="350" w:lineRule="auto" w:before="36"/>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1695" w:space="5038"/>
            <w:col w:w="2557"/>
          </w:cols>
        </w:sectPr>
      </w:pPr>
    </w:p>
    <w:p>
      <w:pPr>
        <w:spacing w:line="240" w:lineRule="auto" w:before="11"/>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157"/>
        <w:gridCol w:w="3771"/>
        <w:gridCol w:w="3968"/>
      </w:tblGrid>
      <w:tr>
        <w:trPr>
          <w:trHeight w:val="413"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35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157"/>
        <w:gridCol w:w="1433"/>
        <w:gridCol w:w="907"/>
        <w:gridCol w:w="1431"/>
        <w:gridCol w:w="1538"/>
        <w:gridCol w:w="893"/>
        <w:gridCol w:w="1536"/>
      </w:tblGrid>
      <w:tr>
        <w:trPr>
          <w:trHeight w:val="696" w:hRule="exact"/>
        </w:trPr>
        <w:tc>
          <w:tcPr>
            <w:tcW w:w="1157" w:type="dxa"/>
            <w:tcBorders>
              <w:top w:val="single" w:sz="6" w:space="0" w:color="000000"/>
              <w:left w:val="single" w:sz="6" w:space="0" w:color="000000"/>
              <w:bottom w:val="single" w:sz="6" w:space="0" w:color="000000"/>
              <w:right w:val="single" w:sz="6" w:space="0" w:color="000000"/>
            </w:tcBorders>
          </w:tcPr>
          <w:p>
            <w:pP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28"/>
              <w:ind w:left="338" w:right="131" w:hanging="212"/>
              <w:jc w:val="left"/>
              <w:rPr>
                <w:rFonts w:ascii="宋体" w:hAnsi="宋体" w:cs="宋体" w:eastAsia="宋体" w:hint="default"/>
                <w:sz w:val="21"/>
                <w:szCs w:val="21"/>
              </w:rPr>
            </w:pPr>
            <w:r>
              <w:rPr>
                <w:rFonts w:ascii="宋体" w:hAnsi="宋体" w:cs="宋体" w:eastAsia="宋体" w:hint="default"/>
                <w:sz w:val="21"/>
                <w:szCs w:val="21"/>
              </w:rPr>
              <w:t>跌价准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28"/>
              <w:ind w:left="331" w:right="123" w:hanging="212"/>
              <w:jc w:val="left"/>
              <w:rPr>
                <w:rFonts w:ascii="宋体" w:hAnsi="宋体" w:cs="宋体" w:eastAsia="宋体" w:hint="default"/>
                <w:sz w:val="21"/>
                <w:szCs w:val="21"/>
              </w:rPr>
            </w:pPr>
            <w:r>
              <w:rPr>
                <w:rFonts w:ascii="宋体" w:hAnsi="宋体" w:cs="宋体" w:eastAsia="宋体" w:hint="default"/>
                <w:sz w:val="21"/>
                <w:szCs w:val="21"/>
              </w:rPr>
              <w:t>跌价准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3"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14,492,906.48</w:t>
            </w:r>
          </w:p>
        </w:tc>
        <w:tc>
          <w:tcPr>
            <w:tcW w:w="90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14,492,906.48</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2,616,715.65</w:t>
            </w:r>
          </w:p>
        </w:tc>
        <w:tc>
          <w:tcPr>
            <w:tcW w:w="89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1"/>
              <w:jc w:val="right"/>
              <w:rPr>
                <w:rFonts w:ascii="Times New Roman" w:hAnsi="Times New Roman" w:cs="Times New Roman" w:eastAsia="Times New Roman" w:hint="default"/>
                <w:sz w:val="21"/>
                <w:szCs w:val="21"/>
              </w:rPr>
            </w:pPr>
            <w:r>
              <w:rPr>
                <w:rFonts w:ascii="Times New Roman"/>
                <w:spacing w:val="-1"/>
                <w:sz w:val="21"/>
              </w:rPr>
              <w:t>2,616,715.65</w:t>
            </w:r>
          </w:p>
        </w:tc>
      </w:tr>
      <w:tr>
        <w:trPr>
          <w:trHeight w:val="410"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9,920,590.86</w:t>
            </w:r>
          </w:p>
        </w:tc>
        <w:tc>
          <w:tcPr>
            <w:tcW w:w="90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9,920,590.86</w:t>
            </w:r>
          </w:p>
        </w:tc>
        <w:tc>
          <w:tcPr>
            <w:tcW w:w="1538"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在建系统</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172,087,576.14</w:t>
            </w:r>
          </w:p>
        </w:tc>
        <w:tc>
          <w:tcPr>
            <w:tcW w:w="90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172,087,576.14</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165,839,792.73</w:t>
            </w:r>
          </w:p>
        </w:tc>
        <w:tc>
          <w:tcPr>
            <w:tcW w:w="89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1"/>
              <w:jc w:val="right"/>
              <w:rPr>
                <w:rFonts w:ascii="Times New Roman" w:hAnsi="Times New Roman" w:cs="Times New Roman" w:eastAsia="Times New Roman" w:hint="default"/>
                <w:sz w:val="21"/>
                <w:szCs w:val="21"/>
              </w:rPr>
            </w:pPr>
            <w:r>
              <w:rPr>
                <w:rFonts w:ascii="Times New Roman"/>
                <w:spacing w:val="-1"/>
                <w:sz w:val="21"/>
              </w:rPr>
              <w:t>165,839,792.73</w:t>
            </w:r>
          </w:p>
        </w:tc>
      </w:tr>
      <w:tr>
        <w:trPr>
          <w:trHeight w:val="413"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5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196,501,073.48</w:t>
            </w:r>
          </w:p>
        </w:tc>
        <w:tc>
          <w:tcPr>
            <w:tcW w:w="90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196,501,073.48</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4"/>
              <w:jc w:val="right"/>
              <w:rPr>
                <w:rFonts w:ascii="Times New Roman" w:hAnsi="Times New Roman" w:cs="Times New Roman" w:eastAsia="Times New Roman" w:hint="default"/>
                <w:sz w:val="21"/>
                <w:szCs w:val="21"/>
              </w:rPr>
            </w:pPr>
            <w:r>
              <w:rPr>
                <w:rFonts w:ascii="Times New Roman"/>
                <w:spacing w:val="-1"/>
                <w:sz w:val="21"/>
              </w:rPr>
              <w:t>168,456,508.38</w:t>
            </w:r>
          </w:p>
        </w:tc>
        <w:tc>
          <w:tcPr>
            <w:tcW w:w="89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1"/>
              <w:jc w:val="right"/>
              <w:rPr>
                <w:rFonts w:ascii="Times New Roman" w:hAnsi="Times New Roman" w:cs="Times New Roman" w:eastAsia="Times New Roman" w:hint="default"/>
                <w:sz w:val="21"/>
                <w:szCs w:val="21"/>
              </w:rPr>
            </w:pPr>
            <w:r>
              <w:rPr>
                <w:rFonts w:ascii="Times New Roman"/>
                <w:spacing w:val="-1"/>
                <w:sz w:val="21"/>
              </w:rPr>
              <w:t>168,456,508.38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849" w:val="left" w:leader="none"/>
        </w:tabs>
        <w:spacing w:line="357" w:lineRule="auto" w:before="36"/>
        <w:ind w:left="638" w:right="4006" w:hanging="420"/>
        <w:jc w:val="left"/>
        <w:rPr>
          <w:rFonts w:ascii="宋体" w:hAnsi="宋体" w:cs="宋体" w:eastAsia="宋体" w:hint="default"/>
          <w:b w:val="0"/>
          <w:bCs w:val="0"/>
        </w:rPr>
      </w:pPr>
      <w:r>
        <w:rPr>
          <w:rFonts w:ascii="宋体" w:hAnsi="宋体" w:cs="宋体" w:eastAsia="宋体" w:hint="default"/>
          <w:w w:val="95"/>
        </w:rPr>
        <w:t>(2).</w:t>
        <w:tab/>
      </w:r>
      <w:r>
        <w:rPr>
          <w:spacing w:val="-1"/>
        </w:rPr>
        <w:t>存货期末余额含有借款费用资本化金额的说明：</w:t>
      </w:r>
      <w:r>
        <w:rPr>
          <w:spacing w:val="-86"/>
        </w:rPr>
        <w:t> </w:t>
      </w:r>
      <w:r>
        <w:rPr>
          <w:spacing w:val="-86"/>
        </w:rPr>
      </w:r>
      <w:r>
        <w:rPr>
          <w:rFonts w:ascii="宋体" w:hAnsi="宋体" w:cs="宋体" w:eastAsia="宋体" w:hint="default"/>
          <w:b w:val="0"/>
          <w:bCs w:val="0"/>
        </w:rPr>
        <w:t>无。</w:t>
      </w:r>
    </w:p>
    <w:p>
      <w:pPr>
        <w:spacing w:line="240" w:lineRule="auto" w:before="4"/>
        <w:rPr>
          <w:rFonts w:ascii="宋体" w:hAnsi="宋体" w:cs="宋体" w:eastAsia="宋体" w:hint="default"/>
          <w:sz w:val="18"/>
          <w:szCs w:val="18"/>
        </w:rPr>
      </w:pPr>
    </w:p>
    <w:p>
      <w:pPr>
        <w:pStyle w:val="Heading2"/>
        <w:tabs>
          <w:tab w:pos="849" w:val="left" w:leader="none"/>
        </w:tabs>
        <w:spacing w:line="240" w:lineRule="auto"/>
        <w:ind w:right="227"/>
        <w:jc w:val="left"/>
        <w:rPr>
          <w:b w:val="0"/>
          <w:bCs w:val="0"/>
        </w:rPr>
      </w:pPr>
      <w:r>
        <w:rPr>
          <w:rFonts w:ascii="宋体" w:hAnsi="宋体" w:cs="宋体" w:eastAsia="宋体" w:hint="default"/>
          <w:w w:val="95"/>
        </w:rPr>
        <w:t>(3).</w:t>
        <w:tab/>
      </w:r>
      <w:r>
        <w:rPr/>
        <w:t>期末建造合同形成的已完工未结算资产情况：</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4"/>
        <w:rPr>
          <w:rFonts w:ascii="宋体" w:hAnsi="宋体" w:cs="宋体" w:eastAsia="宋体" w:hint="default"/>
          <w:sz w:val="28"/>
          <w:szCs w:val="28"/>
        </w:rPr>
      </w:pPr>
    </w:p>
    <w:p>
      <w:pPr>
        <w:pStyle w:val="Heading2"/>
        <w:spacing w:line="240" w:lineRule="auto" w:before="36"/>
        <w:ind w:right="227"/>
        <w:jc w:val="left"/>
        <w:rPr>
          <w:b w:val="0"/>
          <w:bCs w:val="0"/>
        </w:rPr>
      </w:pPr>
      <w:r>
        <w:rPr>
          <w:rFonts w:ascii="宋体" w:hAnsi="宋体" w:cs="宋体" w:eastAsia="宋体" w:hint="default"/>
        </w:rPr>
        <w:t>12</w:t>
      </w:r>
      <w:r>
        <w:rPr/>
        <w:t>、</w:t>
      </w:r>
      <w:r>
        <w:rPr>
          <w:spacing w:val="-24"/>
        </w:rPr>
        <w:t> </w:t>
      </w:r>
      <w:r>
        <w:rPr/>
        <w:t>其他流动资产</w:t>
      </w:r>
      <w:r>
        <w:rPr>
          <w:b w:val="0"/>
          <w:bCs w:val="0"/>
        </w:rPr>
      </w:r>
    </w:p>
    <w:p>
      <w:pPr>
        <w:pStyle w:val="BodyText"/>
        <w:spacing w:line="240" w:lineRule="auto" w:before="145"/>
        <w:ind w:left="0" w:right="230"/>
        <w:jc w:val="right"/>
      </w:pPr>
      <w:r>
        <w:rPr>
          <w:spacing w:val="-2"/>
        </w:rPr>
        <w:t>单位：元币种：人民币</w:t>
      </w:r>
    </w:p>
    <w:p>
      <w:pPr>
        <w:spacing w:line="240" w:lineRule="auto" w:before="4"/>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7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981,471.57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588,439.74</w:t>
            </w:r>
          </w:p>
        </w:tc>
      </w:tr>
      <w:tr>
        <w:trPr>
          <w:trHeight w:val="37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left"/>
              <w:rPr>
                <w:rFonts w:ascii="宋体" w:hAnsi="宋体" w:cs="宋体" w:eastAsia="宋体" w:hint="default"/>
                <w:sz w:val="21"/>
                <w:szCs w:val="21"/>
              </w:rPr>
            </w:pPr>
            <w:r>
              <w:rPr>
                <w:rFonts w:ascii="宋体" w:hAnsi="宋体" w:cs="宋体" w:eastAsia="宋体" w:hint="default"/>
                <w:sz w:val="21"/>
                <w:szCs w:val="21"/>
              </w:rPr>
              <w:t>宽带费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11,525.66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945.00</w:t>
            </w:r>
          </w:p>
        </w:tc>
      </w:tr>
      <w:tr>
        <w:trPr>
          <w:trHeight w:val="37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left"/>
              <w:rPr>
                <w:rFonts w:ascii="宋体" w:hAnsi="宋体" w:cs="宋体" w:eastAsia="宋体" w:hint="default"/>
                <w:sz w:val="21"/>
                <w:szCs w:val="21"/>
              </w:rPr>
            </w:pPr>
            <w:r>
              <w:rPr>
                <w:rFonts w:ascii="宋体" w:hAnsi="宋体" w:cs="宋体" w:eastAsia="宋体" w:hint="default"/>
                <w:sz w:val="21"/>
                <w:szCs w:val="21"/>
              </w:rPr>
              <w:t>预缴房产税</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77,898.84</w:t>
            </w:r>
          </w:p>
        </w:tc>
      </w:tr>
      <w:tr>
        <w:trPr>
          <w:trHeight w:val="37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14,000,000.00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left"/>
              <w:rPr>
                <w:rFonts w:ascii="宋体" w:hAnsi="宋体" w:cs="宋体" w:eastAsia="宋体" w:hint="default"/>
                <w:sz w:val="21"/>
                <w:szCs w:val="21"/>
              </w:rPr>
            </w:pPr>
            <w:r>
              <w:rPr>
                <w:rFonts w:ascii="宋体" w:hAnsi="宋体" w:cs="宋体" w:eastAsia="宋体" w:hint="default"/>
                <w:sz w:val="21"/>
                <w:szCs w:val="21"/>
              </w:rPr>
              <w:t>预缴增值税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5,326,771.51</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left"/>
              <w:rPr>
                <w:rFonts w:ascii="宋体" w:hAnsi="宋体" w:cs="宋体" w:eastAsia="宋体" w:hint="default"/>
                <w:sz w:val="21"/>
                <w:szCs w:val="21"/>
              </w:rPr>
            </w:pPr>
            <w:r>
              <w:rPr>
                <w:rFonts w:ascii="宋体" w:hAnsi="宋体" w:cs="宋体" w:eastAsia="宋体" w:hint="default"/>
                <w:sz w:val="21"/>
                <w:szCs w:val="21"/>
              </w:rPr>
              <w:t>预缴营业税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298,407.98</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4"/>
              <w:jc w:val="right"/>
              <w:rPr>
                <w:rFonts w:ascii="Times New Roman" w:hAnsi="Times New Roman" w:cs="Times New Roman" w:eastAsia="Times New Roman" w:hint="default"/>
                <w:sz w:val="21"/>
                <w:szCs w:val="21"/>
              </w:rPr>
            </w:pPr>
            <w:r>
              <w:rPr>
                <w:rFonts w:ascii="Times New Roman"/>
                <w:spacing w:val="-1"/>
                <w:sz w:val="21"/>
              </w:rPr>
              <w:t>20,618,176.72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667,283.58</w:t>
            </w:r>
          </w:p>
        </w:tc>
      </w:tr>
    </w:tbl>
    <w:p>
      <w:pPr>
        <w:spacing w:line="240" w:lineRule="auto" w:before="8"/>
        <w:rPr>
          <w:rFonts w:ascii="宋体" w:hAnsi="宋体" w:cs="宋体" w:eastAsia="宋体" w:hint="default"/>
          <w:sz w:val="15"/>
          <w:szCs w:val="15"/>
        </w:rPr>
      </w:pPr>
    </w:p>
    <w:p>
      <w:pPr>
        <w:pStyle w:val="BodyText"/>
        <w:spacing w:line="272" w:lineRule="exact" w:before="64"/>
        <w:ind w:left="218" w:right="8208"/>
        <w:jc w:val="left"/>
      </w:pPr>
      <w:r>
        <w:rPr/>
        <w:t>其他说明</w:t>
      </w:r>
      <w:r>
        <w:rPr>
          <w:w w:val="100"/>
        </w:rPr>
        <w:t> </w:t>
      </w:r>
      <w:r>
        <w:rPr/>
        <w:t>无</w:t>
      </w:r>
    </w:p>
    <w:p>
      <w:pPr>
        <w:spacing w:line="240" w:lineRule="auto" w:before="4"/>
        <w:rPr>
          <w:rFonts w:ascii="宋体" w:hAnsi="宋体" w:cs="宋体" w:eastAsia="宋体" w:hint="default"/>
          <w:sz w:val="23"/>
          <w:szCs w:val="23"/>
        </w:rPr>
      </w:pPr>
    </w:p>
    <w:p>
      <w:pPr>
        <w:pStyle w:val="Heading2"/>
        <w:spacing w:line="240" w:lineRule="auto"/>
        <w:ind w:right="227"/>
        <w:jc w:val="left"/>
        <w:rPr>
          <w:b w:val="0"/>
          <w:bCs w:val="0"/>
        </w:rPr>
      </w:pPr>
      <w:r>
        <w:rPr>
          <w:rFonts w:ascii="宋体" w:hAnsi="宋体" w:cs="宋体" w:eastAsia="宋体" w:hint="default"/>
        </w:rPr>
        <w:t>13</w:t>
      </w:r>
      <w:r>
        <w:rPr/>
        <w:t>、</w:t>
      </w:r>
      <w:r>
        <w:rPr>
          <w:spacing w:val="-24"/>
        </w:rPr>
        <w:t> </w:t>
      </w:r>
      <w:r>
        <w:rPr/>
        <w:t>可供出售金融资产</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14</w:t>
      </w:r>
      <w:r>
        <w:rPr/>
        <w:t>、</w:t>
      </w:r>
      <w:r>
        <w:rPr>
          <w:spacing w:val="-24"/>
        </w:rPr>
        <w:t> </w:t>
      </w:r>
      <w:r>
        <w:rPr/>
        <w:t>持有至到期投资</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15</w:t>
      </w:r>
      <w:r>
        <w:rPr/>
        <w:t>、</w:t>
      </w:r>
      <w:r>
        <w:rPr>
          <w:spacing w:val="-25"/>
        </w:rPr>
        <w:t> </w:t>
      </w:r>
      <w:r>
        <w:rPr/>
        <w:t>长期应收款</w:t>
      </w:r>
      <w:r>
        <w:rPr>
          <w:b w:val="0"/>
          <w:bCs w:val="0"/>
        </w:rPr>
      </w:r>
    </w:p>
    <w:p>
      <w:pPr>
        <w:pStyle w:val="BodyText"/>
        <w:spacing w:line="240" w:lineRule="auto" w:before="56"/>
        <w:ind w:left="218" w:right="227"/>
        <w:jc w:val="left"/>
      </w:pPr>
      <w:r>
        <w:rPr/>
        <w:t>√适用</w:t>
      </w:r>
      <w:r>
        <w:rPr>
          <w:spacing w:val="-1"/>
        </w:rPr>
        <w:t> </w:t>
      </w:r>
      <w:r>
        <w:rPr/>
        <w:t>□不适用</w:t>
      </w:r>
    </w:p>
    <w:p>
      <w:pPr>
        <w:spacing w:after="0" w:line="240" w:lineRule="auto"/>
        <w:jc w:val="left"/>
        <w:sectPr>
          <w:pgSz w:w="11910" w:h="16840"/>
          <w:pgMar w:header="0" w:footer="974" w:top="1120" w:bottom="116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418" w:right="5028"/>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135"/>
        <w:ind w:left="0" w:right="430"/>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302" w:type="dxa"/>
        <w:tblLayout w:type="fixed"/>
        <w:tblCellMar>
          <w:top w:w="0" w:type="dxa"/>
          <w:left w:w="0" w:type="dxa"/>
          <w:bottom w:w="0" w:type="dxa"/>
          <w:right w:w="0" w:type="dxa"/>
        </w:tblCellMar>
        <w:tblLook w:val="01E0"/>
      </w:tblPr>
      <w:tblGrid>
        <w:gridCol w:w="2045"/>
        <w:gridCol w:w="1033"/>
        <w:gridCol w:w="984"/>
        <w:gridCol w:w="1032"/>
        <w:gridCol w:w="1034"/>
        <w:gridCol w:w="982"/>
        <w:gridCol w:w="1035"/>
        <w:gridCol w:w="905"/>
      </w:tblGrid>
      <w:tr>
        <w:trPr>
          <w:trHeight w:val="372" w:hRule="exact"/>
        </w:trPr>
        <w:tc>
          <w:tcPr>
            <w:tcW w:w="204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05" w:type="dxa"/>
            <w:vMerge w:val="restart"/>
            <w:tcBorders>
              <w:top w:val="single" w:sz="4" w:space="0" w:color="000000"/>
              <w:left w:val="single" w:sz="4" w:space="0" w:color="000000"/>
              <w:right w:val="single" w:sz="4" w:space="0" w:color="000000"/>
            </w:tcBorders>
          </w:tcPr>
          <w:p>
            <w:pPr>
              <w:pStyle w:val="TableParagraph"/>
              <w:spacing w:line="314" w:lineRule="auto" w:before="50"/>
              <w:ind w:left="235" w:right="131"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p>
        </w:tc>
      </w:tr>
      <w:tr>
        <w:trPr>
          <w:trHeight w:val="374" w:hRule="exact"/>
        </w:trPr>
        <w:tc>
          <w:tcPr>
            <w:tcW w:w="2045" w:type="dxa"/>
            <w:vMerge/>
            <w:tcBorders>
              <w:left w:val="single" w:sz="4" w:space="0" w:color="000000"/>
              <w:bottom w:val="single" w:sz="6" w:space="0" w:color="000000"/>
              <w:right w:val="single" w:sz="4" w:space="0" w:color="000000"/>
            </w:tcBorders>
          </w:tcPr>
          <w:p>
            <w:pPr/>
          </w:p>
        </w:tc>
        <w:tc>
          <w:tcPr>
            <w:tcW w:w="10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2"/>
              <w:ind w:left="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7"/>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86"/>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2"/>
              <w:ind w:left="8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05" w:type="dxa"/>
            <w:vMerge/>
            <w:tcBorders>
              <w:left w:val="single" w:sz="4" w:space="0" w:color="000000"/>
              <w:bottom w:val="single" w:sz="6" w:space="0" w:color="000000"/>
              <w:right w:val="single" w:sz="4" w:space="0" w:color="000000"/>
            </w:tcBorders>
          </w:tcPr>
          <w:p>
            <w:pPr/>
          </w:p>
        </w:tc>
      </w:tr>
      <w:tr>
        <w:trPr>
          <w:trHeight w:val="37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47" w:right="0"/>
              <w:jc w:val="left"/>
              <w:rPr>
                <w:rFonts w:ascii="Times New Roman" w:hAnsi="Times New Roman" w:cs="Times New Roman" w:eastAsia="Times New Roman" w:hint="default"/>
                <w:sz w:val="21"/>
                <w:szCs w:val="21"/>
              </w:rPr>
            </w:pPr>
            <w:r>
              <w:rPr>
                <w:rFonts w:ascii="Times New Roman"/>
                <w:sz w:val="21"/>
              </w:rPr>
              <w:t>456,507.37</w:t>
            </w:r>
          </w:p>
        </w:tc>
        <w:tc>
          <w:tcPr>
            <w:tcW w:w="984"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456,507.37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441,136.49</w:t>
            </w:r>
          </w:p>
        </w:tc>
        <w:tc>
          <w:tcPr>
            <w:tcW w:w="98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21"/>
                <w:szCs w:val="21"/>
              </w:rPr>
            </w:pPr>
            <w:r>
              <w:rPr>
                <w:rFonts w:ascii="Times New Roman"/>
                <w:spacing w:val="-1"/>
                <w:sz w:val="21"/>
              </w:rPr>
              <w:t>441,136.49</w:t>
            </w:r>
          </w:p>
        </w:tc>
        <w:tc>
          <w:tcPr>
            <w:tcW w:w="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4"/>
              <w:ind w:right="18"/>
              <w:jc w:val="right"/>
              <w:rPr>
                <w:rFonts w:ascii="Times New Roman" w:hAnsi="Times New Roman" w:cs="Times New Roman" w:eastAsia="Times New Roman" w:hint="default"/>
                <w:sz w:val="21"/>
                <w:szCs w:val="21"/>
              </w:rPr>
            </w:pPr>
            <w:r>
              <w:rPr>
                <w:rFonts w:ascii="Times New Roman"/>
                <w:sz w:val="21"/>
              </w:rPr>
              <w:t>6.37%</w:t>
            </w:r>
          </w:p>
        </w:tc>
      </w:tr>
      <w:tr>
        <w:trPr>
          <w:trHeight w:val="734"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23" w:right="110" w:firstLine="419"/>
              <w:jc w:val="left"/>
              <w:rPr>
                <w:rFonts w:ascii="宋体" w:hAnsi="宋体" w:cs="宋体" w:eastAsia="宋体" w:hint="default"/>
                <w:sz w:val="21"/>
                <w:szCs w:val="21"/>
              </w:rPr>
            </w:pPr>
            <w:r>
              <w:rPr>
                <w:rFonts w:ascii="宋体" w:hAnsi="宋体" w:cs="宋体" w:eastAsia="宋体" w:hint="default"/>
                <w:sz w:val="21"/>
                <w:szCs w:val="21"/>
              </w:rPr>
              <w:t>其中：未实现融</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7,922.63</w:t>
            </w:r>
          </w:p>
        </w:tc>
        <w:tc>
          <w:tcPr>
            <w:tcW w:w="984"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7,922.63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23,293.51</w:t>
            </w:r>
          </w:p>
        </w:tc>
        <w:tc>
          <w:tcPr>
            <w:tcW w:w="98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23,293.51</w:t>
            </w:r>
          </w:p>
        </w:tc>
        <w:tc>
          <w:tcPr>
            <w:tcW w:w="905" w:type="dxa"/>
            <w:tcBorders>
              <w:top w:val="single" w:sz="6" w:space="0" w:color="000000"/>
              <w:left w:val="single" w:sz="4" w:space="0" w:color="000000"/>
              <w:bottom w:val="single" w:sz="6" w:space="0" w:color="000000"/>
              <w:right w:val="single" w:sz="6" w:space="0" w:color="000000"/>
            </w:tcBorders>
          </w:tcPr>
          <w:p>
            <w:pPr/>
          </w:p>
        </w:tc>
      </w:tr>
      <w:tr>
        <w:trPr>
          <w:trHeight w:val="374"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033"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4" w:space="0" w:color="000000"/>
            </w:tcBorders>
          </w:tcPr>
          <w:p>
            <w:pPr/>
          </w:p>
        </w:tc>
        <w:tc>
          <w:tcPr>
            <w:tcW w:w="905" w:type="dxa"/>
            <w:tcBorders>
              <w:top w:val="single" w:sz="6" w:space="0" w:color="000000"/>
              <w:left w:val="single" w:sz="4" w:space="0" w:color="000000"/>
              <w:bottom w:val="single" w:sz="6" w:space="0" w:color="000000"/>
              <w:right w:val="single" w:sz="6" w:space="0" w:color="000000"/>
            </w:tcBorders>
          </w:tcPr>
          <w:p>
            <w:pPr/>
          </w:p>
        </w:tc>
      </w:tr>
      <w:tr>
        <w:trPr>
          <w:trHeight w:val="374"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033"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4" w:space="0" w:color="000000"/>
            </w:tcBorders>
          </w:tcPr>
          <w:p>
            <w:pPr/>
          </w:p>
        </w:tc>
        <w:tc>
          <w:tcPr>
            <w:tcW w:w="905" w:type="dxa"/>
            <w:tcBorders>
              <w:top w:val="single" w:sz="6" w:space="0" w:color="000000"/>
              <w:left w:val="single" w:sz="4" w:space="0" w:color="000000"/>
              <w:bottom w:val="single" w:sz="6" w:space="0" w:color="000000"/>
              <w:right w:val="single" w:sz="6" w:space="0" w:color="000000"/>
            </w:tcBorders>
          </w:tcPr>
          <w:p>
            <w:pPr/>
          </w:p>
        </w:tc>
      </w:tr>
      <w:tr>
        <w:trPr>
          <w:trHeight w:val="37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7" w:right="0"/>
              <w:jc w:val="left"/>
              <w:rPr>
                <w:rFonts w:ascii="Times New Roman" w:hAnsi="Times New Roman" w:cs="Times New Roman" w:eastAsia="Times New Roman" w:hint="default"/>
                <w:sz w:val="21"/>
                <w:szCs w:val="21"/>
              </w:rPr>
            </w:pPr>
            <w:r>
              <w:rPr>
                <w:rFonts w:ascii="Times New Roman"/>
                <w:sz w:val="21"/>
              </w:rPr>
              <w:t>456,507.37</w:t>
            </w:r>
          </w:p>
        </w:tc>
        <w:tc>
          <w:tcPr>
            <w:tcW w:w="984"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Times New Roman" w:hAnsi="Times New Roman" w:cs="Times New Roman" w:eastAsia="Times New Roman" w:hint="default"/>
                <w:sz w:val="21"/>
                <w:szCs w:val="21"/>
              </w:rPr>
            </w:pPr>
            <w:r>
              <w:rPr>
                <w:rFonts w:ascii="Times New Roman"/>
                <w:spacing w:val="-1"/>
                <w:sz w:val="21"/>
              </w:rPr>
              <w:t>456,507.37</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
              <w:jc w:val="right"/>
              <w:rPr>
                <w:rFonts w:ascii="Times New Roman" w:hAnsi="Times New Roman" w:cs="Times New Roman" w:eastAsia="Times New Roman" w:hint="default"/>
                <w:sz w:val="21"/>
                <w:szCs w:val="21"/>
              </w:rPr>
            </w:pPr>
            <w:r>
              <w:rPr>
                <w:rFonts w:ascii="Times New Roman"/>
                <w:spacing w:val="-1"/>
                <w:sz w:val="21"/>
              </w:rPr>
              <w:t>441,136.49</w:t>
            </w:r>
          </w:p>
        </w:tc>
        <w:tc>
          <w:tcPr>
            <w:tcW w:w="98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21"/>
                <w:szCs w:val="21"/>
              </w:rPr>
            </w:pPr>
            <w:r>
              <w:rPr>
                <w:rFonts w:ascii="Times New Roman"/>
                <w:spacing w:val="-1"/>
                <w:sz w:val="21"/>
              </w:rPr>
              <w:t>441,136.49</w:t>
            </w:r>
          </w:p>
        </w:tc>
        <w:tc>
          <w:tcPr>
            <w:tcW w:w="90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5"/>
              <w:ind w:right="20"/>
              <w:jc w:val="right"/>
              <w:rPr>
                <w:rFonts w:ascii="Times New Roman" w:hAnsi="Times New Roman" w:cs="Times New Roman" w:eastAsia="Times New Roman" w:hint="default"/>
                <w:sz w:val="21"/>
                <w:szCs w:val="21"/>
              </w:rPr>
            </w:pPr>
            <w:r>
              <w:rPr>
                <w:rFonts w:ascii="Times New Roman"/>
                <w:w w:val="100"/>
                <w:sz w:val="21"/>
              </w:rPr>
              <w:t>/</w:t>
            </w:r>
          </w:p>
        </w:tc>
      </w:tr>
    </w:tbl>
    <w:p>
      <w:pPr>
        <w:pStyle w:val="Heading2"/>
        <w:spacing w:line="290" w:lineRule="auto" w:before="26"/>
        <w:ind w:left="418" w:right="50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ind w:left="418" w:right="4187"/>
        <w:jc w:val="left"/>
        <w:rPr>
          <w:rFonts w:ascii="宋体" w:hAnsi="宋体" w:cs="宋体" w:eastAsia="宋体" w:hint="default"/>
          <w:b w:val="0"/>
          <w:bCs w:val="0"/>
        </w:rPr>
      </w:pPr>
      <w:r>
        <w:rPr>
          <w:rFonts w:ascii="宋体" w:hAnsi="宋体" w:cs="宋体" w:eastAsia="宋体" w:hint="default"/>
        </w:rPr>
        <w:t>(3) </w:t>
      </w:r>
      <w:r>
        <w:rPr/>
        <w:t>转移长期应收款且继续涉入形成的资产、负债金额</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20" w:bottom="1160" w:left="1380" w:right="840"/>
        </w:sectPr>
      </w:pPr>
    </w:p>
    <w:p>
      <w:pPr>
        <w:pStyle w:val="Heading2"/>
        <w:spacing w:line="240" w:lineRule="auto" w:before="36"/>
        <w:ind w:left="418" w:right="-18"/>
        <w:jc w:val="left"/>
        <w:rPr>
          <w:b w:val="0"/>
          <w:bCs w:val="0"/>
        </w:rPr>
      </w:pPr>
      <w:r>
        <w:rPr>
          <w:rFonts w:ascii="宋体" w:hAnsi="宋体" w:cs="宋体" w:eastAsia="宋体" w:hint="default"/>
        </w:rPr>
        <w:t>16</w:t>
      </w:r>
      <w:r>
        <w:rPr/>
        <w:t>、</w:t>
      </w:r>
      <w:r>
        <w:rPr>
          <w:spacing w:val="-24"/>
        </w:rPr>
        <w:t> </w:t>
      </w:r>
      <w:r>
        <w:rPr/>
        <w:t>长期股权投资</w:t>
      </w:r>
      <w:r>
        <w:rPr>
          <w:b w:val="0"/>
          <w:bCs w:val="0"/>
        </w:rPr>
      </w:r>
    </w:p>
    <w:p>
      <w:pPr>
        <w:pStyle w:val="BodyText"/>
        <w:spacing w:line="240" w:lineRule="auto" w:before="56"/>
        <w:ind w:left="41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418" w:right="0"/>
        <w:jc w:val="left"/>
      </w:pPr>
      <w:r>
        <w:rPr/>
        <w:t>单位：元币种：人民币</w:t>
      </w:r>
    </w:p>
    <w:p>
      <w:pPr>
        <w:spacing w:after="0" w:line="240" w:lineRule="auto"/>
        <w:jc w:val="left"/>
        <w:sectPr>
          <w:type w:val="continuous"/>
          <w:pgSz w:w="11910" w:h="16840"/>
          <w:pgMar w:top="1120" w:bottom="1160" w:left="1380" w:right="840"/>
          <w:cols w:num="2" w:equalWidth="0">
            <w:col w:w="2190" w:space="4543"/>
            <w:col w:w="29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74"/>
        <w:gridCol w:w="1310"/>
        <w:gridCol w:w="581"/>
        <w:gridCol w:w="401"/>
        <w:gridCol w:w="787"/>
        <w:gridCol w:w="706"/>
        <w:gridCol w:w="711"/>
        <w:gridCol w:w="782"/>
        <w:gridCol w:w="773"/>
        <w:gridCol w:w="502"/>
        <w:gridCol w:w="1303"/>
        <w:gridCol w:w="722"/>
      </w:tblGrid>
      <w:tr>
        <w:trPr>
          <w:trHeight w:val="284" w:hRule="exact"/>
        </w:trPr>
        <w:tc>
          <w:tcPr>
            <w:tcW w:w="8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20" w:right="113"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39" w:right="437"/>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2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36" w:right="43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44" w:right="144"/>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74" w:type="dxa"/>
            <w:vMerge/>
            <w:tcBorders>
              <w:left w:val="single" w:sz="4" w:space="0" w:color="000000"/>
              <w:bottom w:val="single" w:sz="4" w:space="0" w:color="000000"/>
              <w:right w:val="single" w:sz="4" w:space="0" w:color="000000"/>
            </w:tcBorders>
          </w:tcPr>
          <w:p>
            <w:pPr/>
          </w:p>
        </w:tc>
        <w:tc>
          <w:tcPr>
            <w:tcW w:w="1310" w:type="dxa"/>
            <w:vMerge/>
            <w:tcBorders>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80" w:right="179"/>
              <w:jc w:val="both"/>
              <w:rPr>
                <w:rFonts w:ascii="宋体" w:hAnsi="宋体" w:cs="宋体" w:eastAsia="宋体" w:hint="default"/>
                <w:sz w:val="21"/>
                <w:szCs w:val="21"/>
              </w:rPr>
            </w:pPr>
            <w:r>
              <w:rPr>
                <w:rFonts w:ascii="宋体" w:hAnsi="宋体" w:cs="宋体" w:eastAsia="宋体" w:hint="default"/>
                <w:sz w:val="21"/>
                <w:szCs w:val="21"/>
              </w:rPr>
              <w:t>追</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74"/>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5"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0"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9" w:right="14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303"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r>
      <w:tr>
        <w:trPr>
          <w:trHeight w:val="650"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89"/>
              <w:jc w:val="left"/>
              <w:rPr>
                <w:rFonts w:ascii="宋体" w:hAnsi="宋体" w:cs="宋体" w:eastAsia="宋体" w:hint="default"/>
                <w:sz w:val="21"/>
                <w:szCs w:val="21"/>
              </w:rPr>
            </w:pPr>
            <w:r>
              <w:rPr>
                <w:rFonts w:ascii="宋体" w:hAnsi="宋体" w:cs="宋体" w:eastAsia="宋体" w:hint="default"/>
                <w:spacing w:val="11"/>
                <w:sz w:val="21"/>
                <w:szCs w:val="21"/>
              </w:rPr>
              <w:t>二、联</w:t>
            </w:r>
            <w:r>
              <w:rPr>
                <w:rFonts w:ascii="宋体" w:hAnsi="宋体" w:cs="宋体" w:eastAsia="宋体" w:hint="default"/>
                <w:spacing w:val="-99"/>
                <w:sz w:val="21"/>
                <w:szCs w:val="21"/>
              </w:rPr>
              <w:t> </w:t>
            </w:r>
            <w:r>
              <w:rPr>
                <w:rFonts w:ascii="宋体" w:hAnsi="宋体" w:cs="宋体" w:eastAsia="宋体" w:hint="default"/>
                <w:sz w:val="21"/>
                <w:szCs w:val="21"/>
              </w:rPr>
              <w:t>营企业</w:t>
            </w:r>
          </w:p>
        </w:tc>
        <w:tc>
          <w:tcPr>
            <w:tcW w:w="131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28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89"/>
              <w:jc w:val="both"/>
              <w:rPr>
                <w:rFonts w:ascii="宋体" w:hAnsi="宋体" w:cs="宋体" w:eastAsia="宋体" w:hint="default"/>
                <w:sz w:val="21"/>
                <w:szCs w:val="21"/>
              </w:rPr>
            </w:pPr>
            <w:r>
              <w:rPr>
                <w:rFonts w:ascii="宋体" w:hAnsi="宋体" w:cs="宋体" w:eastAsia="宋体" w:hint="default"/>
                <w:spacing w:val="11"/>
                <w:sz w:val="21"/>
                <w:szCs w:val="21"/>
              </w:rPr>
              <w:t>南京伍</w:t>
            </w:r>
            <w:r>
              <w:rPr>
                <w:rFonts w:ascii="宋体" w:hAnsi="宋体" w:cs="宋体" w:eastAsia="宋体" w:hint="default"/>
                <w:spacing w:val="-99"/>
                <w:sz w:val="21"/>
                <w:szCs w:val="21"/>
              </w:rPr>
              <w:t> </w:t>
            </w:r>
            <w:r>
              <w:rPr>
                <w:rFonts w:ascii="宋体" w:hAnsi="宋体" w:cs="宋体" w:eastAsia="宋体" w:hint="default"/>
                <w:spacing w:val="11"/>
                <w:sz w:val="21"/>
                <w:szCs w:val="21"/>
              </w:rPr>
              <w:t>安信息</w:t>
            </w:r>
            <w:r>
              <w:rPr>
                <w:rFonts w:ascii="宋体" w:hAnsi="宋体" w:cs="宋体" w:eastAsia="宋体" w:hint="default"/>
                <w:spacing w:val="-99"/>
                <w:sz w:val="21"/>
                <w:szCs w:val="21"/>
              </w:rPr>
              <w:t> </w:t>
            </w:r>
            <w:r>
              <w:rPr>
                <w:rFonts w:ascii="宋体" w:hAnsi="宋体" w:cs="宋体" w:eastAsia="宋体" w:hint="default"/>
                <w:spacing w:val="11"/>
                <w:sz w:val="21"/>
                <w:szCs w:val="21"/>
              </w:rPr>
              <w:t>科技有</w:t>
            </w:r>
            <w:r>
              <w:rPr>
                <w:rFonts w:ascii="宋体" w:hAnsi="宋体" w:cs="宋体" w:eastAsia="宋体" w:hint="default"/>
                <w:spacing w:val="-99"/>
                <w:sz w:val="21"/>
                <w:szCs w:val="21"/>
              </w:rPr>
              <w:t> </w:t>
            </w:r>
            <w:r>
              <w:rPr>
                <w:rFonts w:ascii="宋体" w:hAnsi="宋体" w:cs="宋体" w:eastAsia="宋体" w:hint="default"/>
                <w:sz w:val="21"/>
                <w:szCs w:val="21"/>
              </w:rPr>
              <w:t>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5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5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58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7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418" w:right="5028"/>
        <w:jc w:val="left"/>
      </w:pPr>
      <w:r>
        <w:rPr/>
        <w:t>其他说明</w:t>
      </w:r>
    </w:p>
    <w:p>
      <w:pPr>
        <w:pStyle w:val="BodyText"/>
        <w:spacing w:line="274" w:lineRule="exact"/>
        <w:ind w:left="418" w:right="5028"/>
        <w:jc w:val="left"/>
      </w:pPr>
      <w:r>
        <w:rPr/>
        <w:t>无。</w:t>
      </w:r>
    </w:p>
    <w:p>
      <w:pPr>
        <w:spacing w:line="240" w:lineRule="auto" w:before="3"/>
        <w:rPr>
          <w:rFonts w:ascii="宋体" w:hAnsi="宋体" w:cs="宋体" w:eastAsia="宋体" w:hint="default"/>
          <w:sz w:val="25"/>
          <w:szCs w:val="25"/>
        </w:rPr>
      </w:pPr>
    </w:p>
    <w:p>
      <w:pPr>
        <w:pStyle w:val="Heading2"/>
        <w:spacing w:line="240" w:lineRule="auto"/>
        <w:ind w:left="418" w:right="5028"/>
        <w:jc w:val="left"/>
        <w:rPr>
          <w:b w:val="0"/>
          <w:bCs w:val="0"/>
        </w:rPr>
      </w:pPr>
      <w:r>
        <w:rPr>
          <w:rFonts w:ascii="宋体" w:hAnsi="宋体" w:cs="宋体" w:eastAsia="宋体" w:hint="default"/>
        </w:rPr>
        <w:t>17</w:t>
      </w:r>
      <w:r>
        <w:rPr/>
        <w:t>、</w:t>
      </w:r>
      <w:r>
        <w:rPr>
          <w:spacing w:val="-24"/>
        </w:rPr>
        <w:t> </w:t>
      </w:r>
      <w:r>
        <w:rPr/>
        <w:t>投资性房地产</w:t>
      </w:r>
      <w:r>
        <w:rPr>
          <w:b w:val="0"/>
          <w:bCs w:val="0"/>
        </w:rPr>
      </w:r>
    </w:p>
    <w:p>
      <w:pPr>
        <w:pStyle w:val="BodyText"/>
        <w:spacing w:line="240" w:lineRule="auto" w:before="56"/>
        <w:ind w:left="418" w:right="5028"/>
        <w:jc w:val="left"/>
      </w:pPr>
      <w:r>
        <w:rPr/>
        <w:t>√适用</w:t>
      </w:r>
      <w:r>
        <w:rPr>
          <w:spacing w:val="-1"/>
        </w:rPr>
        <w:t> </w:t>
      </w:r>
      <w:r>
        <w:rPr/>
        <w:t>□不适用</w:t>
      </w:r>
    </w:p>
    <w:p>
      <w:pPr>
        <w:spacing w:line="240" w:lineRule="auto" w:before="12"/>
        <w:rPr>
          <w:rFonts w:ascii="宋体" w:hAnsi="宋体" w:cs="宋体" w:eastAsia="宋体" w:hint="default"/>
          <w:sz w:val="14"/>
          <w:szCs w:val="14"/>
        </w:rPr>
      </w:pPr>
    </w:p>
    <w:p>
      <w:pPr>
        <w:pStyle w:val="BodyText"/>
        <w:spacing w:line="240" w:lineRule="auto"/>
        <w:ind w:left="418" w:right="5028"/>
        <w:jc w:val="left"/>
      </w:pPr>
      <w:r>
        <w:rPr/>
        <w:t>投资性房地产计量模式</w:t>
      </w:r>
    </w:p>
    <w:p>
      <w:pPr>
        <w:pStyle w:val="Heading2"/>
        <w:spacing w:line="240" w:lineRule="auto" w:before="68"/>
        <w:ind w:left="418" w:right="502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pStyle w:val="BodyText"/>
        <w:spacing w:line="240" w:lineRule="auto" w:before="56"/>
        <w:ind w:left="418" w:right="5028"/>
        <w:jc w:val="left"/>
      </w:pPr>
      <w:r>
        <w:rPr/>
        <w:t>√适用</w:t>
      </w:r>
      <w:r>
        <w:rPr>
          <w:spacing w:val="-1"/>
        </w:rPr>
        <w:t> </w:t>
      </w:r>
      <w:r>
        <w:rPr/>
        <w:t>□不适用</w:t>
      </w:r>
    </w:p>
    <w:p>
      <w:pPr>
        <w:spacing w:after="0" w:line="240" w:lineRule="auto"/>
        <w:jc w:val="left"/>
        <w:sectPr>
          <w:type w:val="continuous"/>
          <w:pgSz w:w="11910" w:h="16840"/>
          <w:pgMar w:top="1120" w:bottom="1160" w:left="1380" w:right="840"/>
        </w:sectPr>
      </w:pPr>
    </w:p>
    <w:p>
      <w:pPr>
        <w:spacing w:line="240" w:lineRule="auto" w:before="0"/>
        <w:rPr>
          <w:rFonts w:ascii="宋体" w:hAnsi="宋体" w:cs="宋体" w:eastAsia="宋体" w:hint="default"/>
          <w:sz w:val="20"/>
          <w:szCs w:val="20"/>
        </w:rPr>
      </w:pPr>
    </w:p>
    <w:p>
      <w:pPr>
        <w:pStyle w:val="BodyText"/>
        <w:spacing w:line="240" w:lineRule="auto" w:before="180"/>
        <w:ind w:left="0" w:right="230"/>
        <w:jc w:val="right"/>
      </w:pPr>
      <w:r>
        <w:rPr>
          <w:spacing w:val="-2"/>
        </w:rPr>
        <w:t>单位：元币种：人民币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23"/>
        <w:gridCol w:w="1596"/>
        <w:gridCol w:w="1594"/>
        <w:gridCol w:w="1568"/>
        <w:gridCol w:w="1469"/>
      </w:tblGrid>
      <w:tr>
        <w:trPr>
          <w:trHeight w:val="37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36,434,226.13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36,434,226.13</w:t>
            </w: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）存货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固定资产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在建工</w:t>
            </w:r>
            <w:r>
              <w:rPr>
                <w:rFonts w:ascii="宋体" w:hAnsi="宋体" w:cs="宋体" w:eastAsia="宋体" w:hint="default"/>
                <w:spacing w:val="-65"/>
                <w:sz w:val="21"/>
                <w:szCs w:val="21"/>
              </w:rPr>
              <w:t> </w:t>
            </w:r>
            <w:r>
              <w:rPr>
                <w:rFonts w:ascii="宋体" w:hAnsi="宋体" w:cs="宋体" w:eastAsia="宋体" w:hint="default"/>
                <w:sz w:val="21"/>
                <w:szCs w:val="21"/>
              </w:rPr>
              <w:t>程转入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36,434,226.13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36,434,226.13</w:t>
            </w: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902,221.95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902,221.95</w:t>
            </w: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984,242.04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984,242.04</w:t>
            </w: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984,242.04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984,242.04</w:t>
            </w: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1,886,463.99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1" w:right="0"/>
              <w:jc w:val="left"/>
              <w:rPr>
                <w:rFonts w:ascii="Times New Roman" w:hAnsi="Times New Roman" w:cs="Times New Roman" w:eastAsia="Times New Roman" w:hint="default"/>
                <w:sz w:val="21"/>
                <w:szCs w:val="21"/>
              </w:rPr>
            </w:pPr>
            <w:r>
              <w:rPr>
                <w:rFonts w:ascii="Times New Roman"/>
                <w:sz w:val="21"/>
              </w:rPr>
              <w:t>1,886,463.99</w:t>
            </w: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34,547,762.14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34,547,762.14</w:t>
            </w:r>
          </w:p>
        </w:tc>
      </w:tr>
      <w:tr>
        <w:trPr>
          <w:trHeight w:val="37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35,532,004.18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35,532,004.18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580" w:right="1040"/>
        </w:sectPr>
      </w:pPr>
    </w:p>
    <w:p>
      <w:pPr>
        <w:spacing w:line="240" w:lineRule="auto" w:before="5"/>
        <w:rPr>
          <w:rFonts w:ascii="宋体" w:hAnsi="宋体" w:cs="宋体" w:eastAsia="宋体" w:hint="default"/>
          <w:sz w:val="15"/>
          <w:szCs w:val="15"/>
        </w:r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145"/>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4421" w:space="2312"/>
            <w:col w:w="2557"/>
          </w:cols>
        </w:sectPr>
      </w:pP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37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bl>
    <w:p>
      <w:pPr>
        <w:spacing w:after="0" w:line="240" w:lineRule="auto"/>
        <w:jc w:val="lef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65" w:type="dxa"/>
        <w:tblLayout w:type="fixed"/>
        <w:tblCellMar>
          <w:top w:w="0" w:type="dxa"/>
          <w:left w:w="0" w:type="dxa"/>
          <w:bottom w:w="0" w:type="dxa"/>
          <w:right w:w="0" w:type="dxa"/>
        </w:tblCellMar>
        <w:tblLook w:val="01E0"/>
      </w:tblPr>
      <w:tblGrid>
        <w:gridCol w:w="3308"/>
        <w:gridCol w:w="2864"/>
        <w:gridCol w:w="2878"/>
      </w:tblGrid>
      <w:tr>
        <w:trPr>
          <w:trHeight w:val="37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楼</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34,547,762.14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05" w:right="0"/>
              <w:jc w:val="left"/>
              <w:rPr>
                <w:rFonts w:ascii="宋体" w:hAnsi="宋体" w:cs="宋体" w:eastAsia="宋体" w:hint="default"/>
                <w:sz w:val="21"/>
                <w:szCs w:val="21"/>
              </w:rPr>
            </w:pPr>
            <w:r>
              <w:rPr>
                <w:rFonts w:ascii="宋体" w:hAnsi="宋体" w:cs="宋体" w:eastAsia="宋体" w:hint="default"/>
                <w:sz w:val="21"/>
                <w:szCs w:val="21"/>
              </w:rPr>
              <w:t>房产证办理中</w:t>
            </w:r>
          </w:p>
        </w:tc>
      </w:tr>
      <w:tr>
        <w:trPr>
          <w:trHeight w:val="370" w:hRule="exact"/>
        </w:trPr>
        <w:tc>
          <w:tcPr>
            <w:tcW w:w="3308"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34,547,762.14</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320" w:right="780"/>
        </w:sectPr>
      </w:pPr>
    </w:p>
    <w:p>
      <w:pPr>
        <w:spacing w:line="240" w:lineRule="auto" w:before="5"/>
        <w:rPr>
          <w:rFonts w:ascii="宋体" w:hAnsi="宋体" w:cs="宋体" w:eastAsia="宋体" w:hint="default"/>
          <w:sz w:val="15"/>
          <w:szCs w:val="15"/>
        </w:rPr>
      </w:pPr>
    </w:p>
    <w:p>
      <w:pPr>
        <w:pStyle w:val="Heading2"/>
        <w:spacing w:line="240" w:lineRule="auto"/>
        <w:ind w:left="478" w:right="-19"/>
        <w:jc w:val="left"/>
        <w:rPr>
          <w:b w:val="0"/>
          <w:bCs w:val="0"/>
        </w:rPr>
      </w:pPr>
      <w:r>
        <w:rPr>
          <w:rFonts w:ascii="宋体" w:hAnsi="宋体" w:cs="宋体" w:eastAsia="宋体" w:hint="default"/>
        </w:rPr>
        <w:t>18</w:t>
      </w:r>
      <w:r>
        <w:rPr/>
        <w:t>、</w:t>
      </w:r>
      <w:r>
        <w:rPr>
          <w:spacing w:val="-25"/>
        </w:rPr>
        <w:t> </w:t>
      </w:r>
      <w:r>
        <w:rPr/>
        <w:t>固定资产</w:t>
      </w:r>
      <w:r>
        <w:rPr>
          <w:b w:val="0"/>
          <w:bCs w:val="0"/>
        </w:rPr>
      </w:r>
    </w:p>
    <w:p>
      <w:pPr>
        <w:pStyle w:val="Heading2"/>
        <w:spacing w:line="240" w:lineRule="auto" w:before="145"/>
        <w:ind w:left="47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240" w:lineRule="auto"/>
        <w:ind w:left="478" w:right="0"/>
        <w:jc w:val="left"/>
      </w:pPr>
      <w:r>
        <w:rPr/>
        <w:t>单位：元币种：人民币</w:t>
      </w:r>
    </w:p>
    <w:p>
      <w:pPr>
        <w:spacing w:after="0" w:line="240" w:lineRule="auto"/>
        <w:jc w:val="left"/>
        <w:sectPr>
          <w:type w:val="continuous"/>
          <w:pgSz w:w="11910" w:h="16840"/>
          <w:pgMar w:top="1120" w:bottom="1160" w:left="1320" w:right="780"/>
          <w:cols w:num="2" w:equalWidth="0">
            <w:col w:w="2334" w:space="4399"/>
            <w:col w:w="3077"/>
          </w:cols>
        </w:sectPr>
      </w:pPr>
    </w:p>
    <w:p>
      <w:pPr>
        <w:spacing w:line="240" w:lineRule="auto" w:before="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423"/>
        <w:gridCol w:w="1429"/>
        <w:gridCol w:w="1289"/>
        <w:gridCol w:w="1431"/>
        <w:gridCol w:w="1286"/>
        <w:gridCol w:w="1244"/>
        <w:gridCol w:w="1471"/>
      </w:tblGrid>
      <w:tr>
        <w:trPr>
          <w:trHeight w:val="73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530" w:right="108" w:hanging="420"/>
              <w:jc w:val="left"/>
              <w:rPr>
                <w:rFonts w:ascii="宋体" w:hAnsi="宋体" w:cs="宋体" w:eastAsia="宋体" w:hint="default"/>
                <w:sz w:val="21"/>
                <w:szCs w:val="21"/>
              </w:rPr>
            </w:pPr>
            <w:r>
              <w:rPr>
                <w:rFonts w:ascii="宋体" w:hAnsi="宋体" w:cs="宋体" w:eastAsia="宋体" w:hint="default"/>
                <w:sz w:val="21"/>
                <w:szCs w:val="21"/>
              </w:rPr>
              <w:t>软件开发设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600" w:right="75" w:hanging="524"/>
              <w:jc w:val="left"/>
              <w:rPr>
                <w:rFonts w:ascii="宋体" w:hAnsi="宋体" w:cs="宋体" w:eastAsia="宋体" w:hint="default"/>
                <w:sz w:val="21"/>
                <w:szCs w:val="21"/>
              </w:rPr>
            </w:pPr>
            <w:r>
              <w:rPr>
                <w:rFonts w:ascii="宋体" w:hAnsi="宋体" w:cs="宋体" w:eastAsia="宋体" w:hint="default"/>
                <w:sz w:val="21"/>
                <w:szCs w:val="21"/>
              </w:rPr>
              <w:t>办公设备及其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2"/>
              <w:ind w:left="403" w:right="87" w:hanging="317"/>
              <w:jc w:val="left"/>
              <w:rPr>
                <w:rFonts w:ascii="宋体" w:hAnsi="宋体" w:cs="宋体" w:eastAsia="宋体" w:hint="default"/>
                <w:sz w:val="21"/>
                <w:szCs w:val="21"/>
              </w:rPr>
            </w:pPr>
            <w:r>
              <w:rPr>
                <w:rFonts w:ascii="宋体" w:hAnsi="宋体" w:cs="宋体" w:eastAsia="宋体" w:hint="default"/>
                <w:sz w:val="21"/>
                <w:szCs w:val="21"/>
              </w:rPr>
              <w:t>办公设备及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75"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1"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66,721,376.59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4,830,668.25</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13,470,379.33</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5,803,467.48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0"/>
              <w:jc w:val="right"/>
              <w:rPr>
                <w:rFonts w:ascii="Times New Roman" w:hAnsi="Times New Roman" w:cs="Times New Roman" w:eastAsia="Times New Roman" w:hint="default"/>
                <w:sz w:val="21"/>
                <w:szCs w:val="21"/>
              </w:rPr>
            </w:pPr>
            <w:r>
              <w:rPr>
                <w:rFonts w:ascii="Times New Roman"/>
                <w:spacing w:val="-1"/>
                <w:sz w:val="21"/>
              </w:rPr>
              <w:t>1,564,000.00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92,389,891.65</w:t>
            </w:r>
          </w:p>
        </w:tc>
      </w:tr>
      <w:tr>
        <w:trPr>
          <w:trHeight w:val="73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21"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增</w:t>
            </w:r>
            <w:r>
              <w:rPr>
                <w:rFonts w:ascii="宋体" w:hAnsi="宋体" w:cs="宋体" w:eastAsia="宋体" w:hint="default"/>
                <w:spacing w:val="-76"/>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4,879,572.91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2,770,519.20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2,758,390.04</w:t>
            </w: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10,408,482.15</w:t>
            </w: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4,879,572.91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2,517,767.89</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2,758,390.04</w:t>
            </w: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10,155,730.84</w:t>
            </w:r>
          </w:p>
        </w:tc>
      </w:tr>
      <w:tr>
        <w:trPr>
          <w:trHeight w:val="73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21" w:right="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w:t>
            </w:r>
            <w:r>
              <w:rPr>
                <w:rFonts w:ascii="宋体" w:hAnsi="宋体" w:cs="宋体" w:eastAsia="宋体" w:hint="default"/>
                <w:w w:val="100"/>
                <w:sz w:val="21"/>
                <w:szCs w:val="21"/>
              </w:rPr>
              <w:t> </w:t>
            </w:r>
            <w:r>
              <w:rPr>
                <w:rFonts w:ascii="宋体" w:hAnsi="宋体" w:cs="宋体" w:eastAsia="宋体" w:hint="default"/>
                <w:sz w:val="21"/>
                <w:szCs w:val="21"/>
              </w:rPr>
              <w:t>转入</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252,751.31</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252,751.31</w:t>
            </w:r>
          </w:p>
        </w:tc>
      </w:tr>
      <w:tr>
        <w:trPr>
          <w:trHeight w:val="73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21" w:right="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3"/>
              <w:ind w:left="21"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减</w:t>
            </w:r>
            <w:r>
              <w:rPr>
                <w:rFonts w:ascii="宋体" w:hAnsi="宋体" w:cs="宋体" w:eastAsia="宋体" w:hint="default"/>
                <w:spacing w:val="-76"/>
                <w:sz w:val="21"/>
                <w:szCs w:val="21"/>
              </w:rPr>
              <w:t> </w:t>
            </w:r>
            <w:r>
              <w:rPr>
                <w:rFonts w:ascii="宋体" w:hAnsi="宋体" w:cs="宋体" w:eastAsia="宋体" w:hint="default"/>
                <w:sz w:val="21"/>
                <w:szCs w:val="21"/>
              </w:rPr>
              <w:t>少</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1,778,093.00</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628,117.05</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2,406,210.05</w:t>
            </w:r>
          </w:p>
        </w:tc>
      </w:tr>
      <w:tr>
        <w:trPr>
          <w:trHeight w:val="73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21" w:right="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r>
              <w:rPr>
                <w:rFonts w:ascii="宋体" w:hAnsi="宋体" w:cs="宋体" w:eastAsia="宋体" w:hint="default"/>
                <w:w w:val="100"/>
                <w:sz w:val="21"/>
                <w:szCs w:val="21"/>
              </w:rPr>
              <w:t> </w:t>
            </w:r>
            <w:r>
              <w:rPr>
                <w:rFonts w:ascii="宋体" w:hAnsi="宋体" w:cs="宋体" w:eastAsia="宋体" w:hint="default"/>
                <w:sz w:val="21"/>
                <w:szCs w:val="21"/>
              </w:rPr>
              <w:t>废</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1,778,093.00</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628,117.05</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2,406,210.05</w:t>
            </w: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66,721,376.59</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7,932,148.16</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15,612,781.48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8,561,857.52</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1,564,000.00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100,392,163.75</w:t>
            </w:r>
          </w:p>
        </w:tc>
      </w:tr>
      <w:tr>
        <w:trPr>
          <w:trHeight w:val="37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1,650,079.76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4,045,107.87</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4,070,991.25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1,699,799.12</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38,729.38</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11,504,707.38</w:t>
            </w:r>
          </w:p>
        </w:tc>
      </w:tr>
      <w:tr>
        <w:trPr>
          <w:trHeight w:val="73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21"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增</w:t>
            </w:r>
            <w:r>
              <w:rPr>
                <w:rFonts w:ascii="宋体" w:hAnsi="宋体" w:cs="宋体" w:eastAsia="宋体" w:hint="default"/>
                <w:spacing w:val="-76"/>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1,802,488.32</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865,503.20</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2,321,075.45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903,134.11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42,250.20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5,934,451.28</w:t>
            </w:r>
          </w:p>
        </w:tc>
      </w:tr>
      <w:tr>
        <w:trPr>
          <w:trHeight w:val="375"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1,802,488.32</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865,503.20</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2,321,075.45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903,134.11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42,250.20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5,934,451.28</w:t>
            </w:r>
          </w:p>
        </w:tc>
      </w:tr>
      <w:tr>
        <w:trPr>
          <w:trHeight w:val="73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21"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减</w:t>
            </w:r>
            <w:r>
              <w:rPr>
                <w:rFonts w:ascii="宋体" w:hAnsi="宋体" w:cs="宋体" w:eastAsia="宋体" w:hint="default"/>
                <w:spacing w:val="-76"/>
                <w:sz w:val="21"/>
                <w:szCs w:val="21"/>
              </w:rPr>
              <w:t> </w:t>
            </w:r>
            <w:r>
              <w:rPr>
                <w:rFonts w:ascii="宋体" w:hAnsi="宋体" w:cs="宋体" w:eastAsia="宋体" w:hint="default"/>
                <w:sz w:val="21"/>
                <w:szCs w:val="21"/>
              </w:rPr>
              <w:t>少</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1,689,188.35</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528,452.28</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2,217,640.63</w:t>
            </w:r>
          </w:p>
        </w:tc>
      </w:tr>
      <w:tr>
        <w:trPr>
          <w:trHeight w:val="73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21" w:right="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r>
              <w:rPr>
                <w:rFonts w:ascii="宋体" w:hAnsi="宋体" w:cs="宋体" w:eastAsia="宋体" w:hint="default"/>
                <w:w w:val="100"/>
                <w:sz w:val="21"/>
                <w:szCs w:val="21"/>
              </w:rPr>
              <w:t> </w:t>
            </w:r>
            <w:r>
              <w:rPr>
                <w:rFonts w:ascii="宋体" w:hAnsi="宋体" w:cs="宋体" w:eastAsia="宋体" w:hint="default"/>
                <w:sz w:val="21"/>
                <w:szCs w:val="21"/>
              </w:rPr>
              <w:t>废</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1,689,188.35</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528,452.28</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2,217,640.63</w:t>
            </w: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3,452,568.08</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3,221,422.72</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5,863,614.42</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2,602,933.23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0"/>
              <w:jc w:val="right"/>
              <w:rPr>
                <w:rFonts w:ascii="Times New Roman" w:hAnsi="Times New Roman" w:cs="Times New Roman" w:eastAsia="Times New Roman" w:hint="default"/>
                <w:sz w:val="21"/>
                <w:szCs w:val="21"/>
              </w:rPr>
            </w:pPr>
            <w:r>
              <w:rPr>
                <w:rFonts w:ascii="Times New Roman"/>
                <w:spacing w:val="-1"/>
                <w:sz w:val="21"/>
              </w:rPr>
              <w:t>80,979.58</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15,221,518.03</w:t>
            </w: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37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21"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增</w:t>
            </w:r>
            <w:r>
              <w:rPr>
                <w:rFonts w:ascii="宋体" w:hAnsi="宋体" w:cs="宋体" w:eastAsia="宋体" w:hint="default"/>
                <w:spacing w:val="-76"/>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32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423"/>
        <w:gridCol w:w="1429"/>
        <w:gridCol w:w="1289"/>
        <w:gridCol w:w="1431"/>
        <w:gridCol w:w="1286"/>
        <w:gridCol w:w="1244"/>
        <w:gridCol w:w="1471"/>
      </w:tblGrid>
      <w:tr>
        <w:trPr>
          <w:trHeight w:val="73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21"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减</w:t>
            </w:r>
            <w:r>
              <w:rPr>
                <w:rFonts w:ascii="宋体" w:hAnsi="宋体" w:cs="宋体" w:eastAsia="宋体" w:hint="default"/>
                <w:spacing w:val="-76"/>
                <w:sz w:val="21"/>
                <w:szCs w:val="21"/>
              </w:rPr>
              <w:t> </w:t>
            </w:r>
            <w:r>
              <w:rPr>
                <w:rFonts w:ascii="宋体" w:hAnsi="宋体" w:cs="宋体" w:eastAsia="宋体" w:hint="default"/>
                <w:sz w:val="21"/>
                <w:szCs w:val="21"/>
              </w:rPr>
              <w:t>少</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73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21" w:right="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r>
              <w:rPr>
                <w:rFonts w:ascii="宋体" w:hAnsi="宋体" w:cs="宋体" w:eastAsia="宋体" w:hint="default"/>
                <w:w w:val="100"/>
                <w:sz w:val="21"/>
                <w:szCs w:val="21"/>
              </w:rPr>
              <w:t> </w:t>
            </w:r>
            <w:r>
              <w:rPr>
                <w:rFonts w:ascii="宋体" w:hAnsi="宋体" w:cs="宋体" w:eastAsia="宋体" w:hint="default"/>
                <w:sz w:val="21"/>
                <w:szCs w:val="21"/>
              </w:rPr>
              <w:t>废</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29"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73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5"/>
              <w:ind w:left="21"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末</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面</w:t>
            </w:r>
            <w:r>
              <w:rPr>
                <w:rFonts w:ascii="宋体" w:hAnsi="宋体" w:cs="宋体" w:eastAsia="宋体" w:hint="default"/>
                <w:spacing w:val="-73"/>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63,268,808.51</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4,710,725.44</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9,749,167.06</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5,958,924.29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1,483,020.42</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85,170,645.72</w:t>
            </w:r>
          </w:p>
        </w:tc>
      </w:tr>
      <w:tr>
        <w:trPr>
          <w:trHeight w:val="735"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2"/>
              <w:ind w:left="21"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初</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面</w:t>
            </w:r>
            <w:r>
              <w:rPr>
                <w:rFonts w:ascii="宋体" w:hAnsi="宋体" w:cs="宋体" w:eastAsia="宋体" w:hint="default"/>
                <w:spacing w:val="-73"/>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65,071,296.83</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785,560.38</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9,399,388.08</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4,103,668.36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1,525,270.62</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80,885,184.27</w:t>
            </w:r>
          </w:p>
        </w:tc>
      </w:tr>
    </w:tbl>
    <w:p>
      <w:pPr>
        <w:spacing w:line="240" w:lineRule="auto" w:before="2"/>
        <w:rPr>
          <w:rFonts w:ascii="宋体" w:hAnsi="宋体" w:cs="宋体" w:eastAsia="宋体" w:hint="default"/>
          <w:sz w:val="20"/>
          <w:szCs w:val="20"/>
        </w:rPr>
      </w:pPr>
    </w:p>
    <w:p>
      <w:pPr>
        <w:pStyle w:val="Heading2"/>
        <w:spacing w:line="240" w:lineRule="auto" w:before="36"/>
        <w:ind w:left="478" w:right="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4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478" w:right="0"/>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left="4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320" w:right="780"/>
        </w:sectPr>
      </w:pPr>
    </w:p>
    <w:p>
      <w:pPr>
        <w:pStyle w:val="Heading2"/>
        <w:spacing w:line="240" w:lineRule="auto" w:before="36"/>
        <w:ind w:left="478" w:right="-17"/>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4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478" w:right="0"/>
        <w:jc w:val="left"/>
      </w:pPr>
      <w:r>
        <w:rPr/>
        <w:t>单位：元币种：人民币</w:t>
      </w:r>
    </w:p>
    <w:p>
      <w:pPr>
        <w:spacing w:after="0" w:line="240" w:lineRule="auto"/>
        <w:jc w:val="left"/>
        <w:sectPr>
          <w:type w:val="continuous"/>
          <w:pgSz w:w="11910" w:h="16840"/>
          <w:pgMar w:top="1120" w:bottom="1160" w:left="1320" w:right="780"/>
          <w:cols w:num="2" w:equalWidth="0">
            <w:col w:w="3807" w:space="2925"/>
            <w:col w:w="3078"/>
          </w:cols>
        </w:sectPr>
      </w:pPr>
    </w:p>
    <w:p>
      <w:pPr>
        <w:spacing w:line="240" w:lineRule="auto" w:before="3"/>
        <w:rPr>
          <w:rFonts w:ascii="宋体" w:hAnsi="宋体" w:cs="宋体" w:eastAsia="宋体" w:hint="default"/>
          <w:sz w:val="3"/>
          <w:szCs w:val="3"/>
        </w:rPr>
      </w:pPr>
    </w:p>
    <w:tbl>
      <w:tblPr>
        <w:tblW w:w="0" w:type="auto"/>
        <w:jc w:val="left"/>
        <w:tblInd w:w="365" w:type="dxa"/>
        <w:tblLayout w:type="fixed"/>
        <w:tblCellMar>
          <w:top w:w="0" w:type="dxa"/>
          <w:left w:w="0" w:type="dxa"/>
          <w:bottom w:w="0" w:type="dxa"/>
          <w:right w:w="0" w:type="dxa"/>
        </w:tblCellMar>
        <w:tblLook w:val="01E0"/>
      </w:tblPr>
      <w:tblGrid>
        <w:gridCol w:w="4153"/>
        <w:gridCol w:w="4897"/>
      </w:tblGrid>
      <w:tr>
        <w:trPr>
          <w:trHeight w:val="37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370"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552,239.31</w:t>
            </w:r>
          </w:p>
        </w:tc>
      </w:tr>
      <w:tr>
        <w:trPr>
          <w:trHeight w:val="370"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552,239.31</w:t>
            </w:r>
          </w:p>
        </w:tc>
      </w:tr>
    </w:tbl>
    <w:p>
      <w:pPr>
        <w:spacing w:line="240" w:lineRule="auto" w:before="1"/>
        <w:rPr>
          <w:rFonts w:ascii="宋体" w:hAnsi="宋体" w:cs="宋体" w:eastAsia="宋体" w:hint="default"/>
          <w:sz w:val="5"/>
          <w:szCs w:val="5"/>
        </w:rPr>
      </w:pPr>
    </w:p>
    <w:p>
      <w:pPr>
        <w:pStyle w:val="BodyText"/>
        <w:spacing w:line="240" w:lineRule="auto" w:before="36"/>
        <w:ind w:left="478" w:right="0"/>
        <w:jc w:val="left"/>
      </w:pPr>
      <w:r>
        <w:rPr/>
        <w:t>说明：公司将南威大厦</w:t>
      </w:r>
      <w:r>
        <w:rPr>
          <w:spacing w:val="-54"/>
        </w:rPr>
        <w:t> </w:t>
      </w:r>
      <w:r>
        <w:rPr>
          <w:rFonts w:ascii="Times New Roman" w:hAnsi="Times New Roman" w:cs="Times New Roman" w:eastAsia="Times New Roman" w:hint="default"/>
        </w:rPr>
        <w:t>2</w:t>
      </w:r>
      <w:r>
        <w:rPr/>
        <w:t>＃楼</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层的</w:t>
      </w:r>
      <w:r>
        <w:rPr>
          <w:spacing w:val="-55"/>
        </w:rPr>
        <w:t> </w:t>
      </w:r>
      <w:r>
        <w:rPr>
          <w:rFonts w:ascii="Times New Roman" w:hAnsi="Times New Roman" w:cs="Times New Roman" w:eastAsia="Times New Roman" w:hint="default"/>
        </w:rPr>
        <w:t>140</w:t>
      </w:r>
      <w:r>
        <w:rPr>
          <w:rFonts w:ascii="Times New Roman" w:hAnsi="Times New Roman" w:cs="Times New Roman" w:eastAsia="Times New Roman" w:hint="default"/>
          <w:spacing w:val="-2"/>
        </w:rPr>
        <w:t> </w:t>
      </w:r>
      <w:r>
        <w:rPr/>
        <w:t>平方米开展经营租赁业务。</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320" w:right="780"/>
        </w:sectPr>
      </w:pPr>
    </w:p>
    <w:p>
      <w:pPr>
        <w:spacing w:line="240" w:lineRule="auto" w:before="5"/>
        <w:rPr>
          <w:rFonts w:ascii="宋体" w:hAnsi="宋体" w:cs="宋体" w:eastAsia="宋体" w:hint="default"/>
          <w:sz w:val="15"/>
          <w:szCs w:val="15"/>
        </w:rPr>
      </w:pPr>
    </w:p>
    <w:p>
      <w:pPr>
        <w:pStyle w:val="Heading2"/>
        <w:spacing w:line="240" w:lineRule="auto"/>
        <w:ind w:left="478"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68"/>
        <w:ind w:left="4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478" w:right="0"/>
        <w:jc w:val="left"/>
      </w:pPr>
      <w:r>
        <w:rPr/>
        <w:t>单位：元币种：人民币</w:t>
      </w:r>
    </w:p>
    <w:p>
      <w:pPr>
        <w:spacing w:after="0" w:line="240" w:lineRule="auto"/>
        <w:jc w:val="left"/>
        <w:sectPr>
          <w:type w:val="continuous"/>
          <w:pgSz w:w="11910" w:h="16840"/>
          <w:pgMar w:top="1120" w:bottom="1160" w:left="1320" w:right="780"/>
          <w:cols w:num="2" w:equalWidth="0">
            <w:col w:w="4019" w:space="2714"/>
            <w:col w:w="3077"/>
          </w:cols>
        </w:sectPr>
      </w:pPr>
    </w:p>
    <w:p>
      <w:pPr>
        <w:spacing w:line="240" w:lineRule="auto" w:before="7"/>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2948"/>
        <w:gridCol w:w="3044"/>
        <w:gridCol w:w="3058"/>
      </w:tblGrid>
      <w:tr>
        <w:trPr>
          <w:trHeight w:val="406"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8"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楼</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63,268,808.51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87" w:right="0"/>
              <w:jc w:val="left"/>
              <w:rPr>
                <w:rFonts w:ascii="宋体" w:hAnsi="宋体" w:cs="宋体" w:eastAsia="宋体" w:hint="default"/>
                <w:sz w:val="21"/>
                <w:szCs w:val="21"/>
              </w:rPr>
            </w:pPr>
            <w:r>
              <w:rPr>
                <w:rFonts w:ascii="宋体" w:hAnsi="宋体" w:cs="宋体" w:eastAsia="宋体" w:hint="default"/>
                <w:sz w:val="21"/>
                <w:szCs w:val="21"/>
              </w:rPr>
              <w:t>房产证办理中</w:t>
            </w:r>
          </w:p>
        </w:tc>
      </w:tr>
      <w:tr>
        <w:trPr>
          <w:trHeight w:val="406"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63,268,808.51</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320" w:right="780"/>
        </w:sectPr>
      </w:pPr>
    </w:p>
    <w:p>
      <w:pPr>
        <w:pStyle w:val="Heading2"/>
        <w:spacing w:line="240" w:lineRule="auto" w:before="36"/>
        <w:ind w:left="478" w:right="-19"/>
        <w:jc w:val="left"/>
        <w:rPr>
          <w:b w:val="0"/>
          <w:bCs w:val="0"/>
        </w:rPr>
      </w:pPr>
      <w:r>
        <w:rPr>
          <w:rFonts w:ascii="宋体" w:hAnsi="宋体" w:cs="宋体" w:eastAsia="宋体" w:hint="default"/>
        </w:rPr>
        <w:t>19</w:t>
      </w:r>
      <w:r>
        <w:rPr/>
        <w:t>、</w:t>
      </w:r>
      <w:r>
        <w:rPr>
          <w:spacing w:val="-25"/>
        </w:rPr>
        <w:t> </w:t>
      </w:r>
      <w:r>
        <w:rPr/>
        <w:t>在建工程</w:t>
      </w:r>
      <w:r>
        <w:rPr>
          <w:b w:val="0"/>
          <w:bCs w:val="0"/>
        </w:rPr>
      </w:r>
    </w:p>
    <w:p>
      <w:pPr>
        <w:spacing w:line="290" w:lineRule="auto" w:before="56"/>
        <w:ind w:left="47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pStyle w:val="BodyText"/>
        <w:spacing w:line="240" w:lineRule="auto"/>
        <w:ind w:left="478" w:right="0"/>
        <w:jc w:val="left"/>
      </w:pPr>
      <w:r>
        <w:rPr/>
        <w:t>单位：元币种：人民币</w:t>
      </w:r>
    </w:p>
    <w:p>
      <w:pPr>
        <w:spacing w:after="0" w:line="240" w:lineRule="auto"/>
        <w:jc w:val="left"/>
        <w:sectPr>
          <w:type w:val="continuous"/>
          <w:pgSz w:w="11910" w:h="16840"/>
          <w:pgMar w:top="1120" w:bottom="1160" w:left="1320" w:right="780"/>
          <w:cols w:num="2" w:equalWidth="0">
            <w:col w:w="2334" w:space="4399"/>
            <w:col w:w="3077"/>
          </w:cols>
        </w:sectPr>
      </w:pPr>
    </w:p>
    <w:p>
      <w:pPr>
        <w:spacing w:line="240" w:lineRule="auto" w:before="3"/>
        <w:rPr>
          <w:rFonts w:ascii="宋体" w:hAnsi="宋体" w:cs="宋体" w:eastAsia="宋体" w:hint="default"/>
          <w:sz w:val="3"/>
          <w:szCs w:val="3"/>
        </w:rPr>
      </w:pPr>
    </w:p>
    <w:tbl>
      <w:tblPr>
        <w:tblW w:w="0" w:type="auto"/>
        <w:jc w:val="left"/>
        <w:tblInd w:w="439" w:type="dxa"/>
        <w:tblLayout w:type="fixed"/>
        <w:tblCellMar>
          <w:top w:w="0" w:type="dxa"/>
          <w:left w:w="0" w:type="dxa"/>
          <w:bottom w:w="0" w:type="dxa"/>
          <w:right w:w="0" w:type="dxa"/>
        </w:tblCellMar>
        <w:tblLook w:val="01E0"/>
      </w:tblPr>
      <w:tblGrid>
        <w:gridCol w:w="1944"/>
        <w:gridCol w:w="1280"/>
        <w:gridCol w:w="1106"/>
        <w:gridCol w:w="1248"/>
        <w:gridCol w:w="1092"/>
        <w:gridCol w:w="1107"/>
        <w:gridCol w:w="1118"/>
      </w:tblGrid>
      <w:tr>
        <w:trPr>
          <w:trHeight w:val="377" w:hRule="exact"/>
        </w:trPr>
        <w:tc>
          <w:tcPr>
            <w:tcW w:w="194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3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5" w:hRule="exact"/>
        </w:trPr>
        <w:tc>
          <w:tcPr>
            <w:tcW w:w="1944" w:type="dxa"/>
            <w:vMerge/>
            <w:tcBorders>
              <w:left w:val="single" w:sz="6" w:space="0" w:color="000000"/>
              <w:bottom w:val="single" w:sz="6" w:space="0" w:color="000000"/>
              <w:right w:val="single" w:sz="6" w:space="0" w:color="000000"/>
            </w:tcBorders>
          </w:tcPr>
          <w:p>
            <w:pP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2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9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2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31"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auto"/>
        <w:jc w:val="left"/>
        <w:rPr>
          <w:rFonts w:ascii="宋体" w:hAnsi="宋体" w:cs="宋体" w:eastAsia="宋体" w:hint="default"/>
          <w:sz w:val="21"/>
          <w:szCs w:val="21"/>
        </w:rPr>
        <w:sectPr>
          <w:type w:val="continuous"/>
          <w:pgSz w:w="11910" w:h="16840"/>
          <w:pgMar w:top="1120" w:bottom="1160" w:left="132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944"/>
        <w:gridCol w:w="1280"/>
        <w:gridCol w:w="1106"/>
        <w:gridCol w:w="1248"/>
        <w:gridCol w:w="1092"/>
        <w:gridCol w:w="1107"/>
        <w:gridCol w:w="1118"/>
      </w:tblGrid>
      <w:tr>
        <w:trPr>
          <w:trHeight w:val="737"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24" w:right="221"/>
              <w:jc w:val="left"/>
              <w:rPr>
                <w:rFonts w:ascii="宋体" w:hAnsi="宋体" w:cs="宋体" w:eastAsia="宋体" w:hint="default"/>
                <w:sz w:val="21"/>
                <w:szCs w:val="21"/>
              </w:rPr>
            </w:pPr>
            <w:r>
              <w:rPr>
                <w:rFonts w:ascii="宋体" w:hAnsi="宋体" w:cs="宋体" w:eastAsia="宋体" w:hint="default"/>
                <w:sz w:val="21"/>
                <w:szCs w:val="21"/>
              </w:rPr>
              <w:t>需安装的智能化设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2"/>
              <w:jc w:val="center"/>
              <w:rPr>
                <w:rFonts w:ascii="Times New Roman" w:hAnsi="Times New Roman" w:cs="Times New Roman" w:eastAsia="Times New Roman" w:hint="default"/>
                <w:sz w:val="21"/>
                <w:szCs w:val="21"/>
              </w:rPr>
            </w:pPr>
            <w:r>
              <w:rPr>
                <w:rFonts w:ascii="Times New Roman"/>
                <w:sz w:val="21"/>
              </w:rPr>
              <w:t>2,948,562.82</w:t>
            </w:r>
          </w:p>
        </w:tc>
        <w:tc>
          <w:tcPr>
            <w:tcW w:w="1106"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5"/>
              <w:jc w:val="center"/>
              <w:rPr>
                <w:rFonts w:ascii="Times New Roman" w:hAnsi="Times New Roman" w:cs="Times New Roman" w:eastAsia="Times New Roman" w:hint="default"/>
                <w:sz w:val="21"/>
                <w:szCs w:val="21"/>
              </w:rPr>
            </w:pPr>
            <w:r>
              <w:rPr>
                <w:rFonts w:ascii="Times New Roman"/>
                <w:sz w:val="21"/>
              </w:rPr>
              <w:t>2,948,562.82</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247,166.82</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247,166.82</w:t>
            </w:r>
          </w:p>
        </w:tc>
      </w:tr>
      <w:tr>
        <w:trPr>
          <w:trHeight w:val="374" w:hRule="exact"/>
        </w:trPr>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2"/>
              <w:jc w:val="center"/>
              <w:rPr>
                <w:rFonts w:ascii="Times New Roman" w:hAnsi="Times New Roman" w:cs="Times New Roman" w:eastAsia="Times New Roman" w:hint="default"/>
                <w:sz w:val="21"/>
                <w:szCs w:val="21"/>
              </w:rPr>
            </w:pPr>
            <w:r>
              <w:rPr>
                <w:rFonts w:ascii="Times New Roman"/>
                <w:sz w:val="21"/>
              </w:rPr>
              <w:t>2,948,562.82</w:t>
            </w:r>
          </w:p>
        </w:tc>
        <w:tc>
          <w:tcPr>
            <w:tcW w:w="1106"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55"/>
              <w:jc w:val="center"/>
              <w:rPr>
                <w:rFonts w:ascii="Times New Roman" w:hAnsi="Times New Roman" w:cs="Times New Roman" w:eastAsia="Times New Roman" w:hint="default"/>
                <w:sz w:val="21"/>
                <w:szCs w:val="21"/>
              </w:rPr>
            </w:pPr>
            <w:r>
              <w:rPr>
                <w:rFonts w:ascii="Times New Roman"/>
                <w:sz w:val="21"/>
              </w:rPr>
              <w:t>2,948,562.82</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247,166.82</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247,166.82</w:t>
            </w: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20</w:t>
      </w:r>
      <w:r>
        <w:rPr/>
        <w:t>、</w:t>
      </w:r>
      <w:r>
        <w:rPr>
          <w:spacing w:val="-25"/>
        </w:rPr>
        <w:t> </w:t>
      </w:r>
      <w:r>
        <w:rPr/>
        <w:t>工程物资</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21</w:t>
      </w:r>
      <w:r>
        <w:rPr/>
        <w:t>、</w:t>
      </w:r>
      <w:r>
        <w:rPr>
          <w:spacing w:val="-24"/>
        </w:rPr>
        <w:t> </w:t>
      </w:r>
      <w:r>
        <w:rPr/>
        <w:t>固定资产清理</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22</w:t>
      </w:r>
      <w:r>
        <w:rPr/>
        <w:t>、</w:t>
      </w:r>
      <w:r>
        <w:rPr>
          <w:spacing w:val="-24"/>
        </w:rPr>
        <w:t> </w:t>
      </w:r>
      <w:r>
        <w:rPr/>
        <w:t>生产性生物资产</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23</w:t>
      </w:r>
      <w:r>
        <w:rPr/>
        <w:t>、</w:t>
      </w:r>
      <w:r>
        <w:rPr>
          <w:spacing w:val="-25"/>
        </w:rPr>
        <w:t> </w:t>
      </w:r>
      <w:r>
        <w:rPr/>
        <w:t>油气资产</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580" w:right="1040"/>
        </w:sectPr>
      </w:pPr>
    </w:p>
    <w:p>
      <w:pPr>
        <w:pStyle w:val="Heading2"/>
        <w:spacing w:line="240" w:lineRule="auto" w:before="36"/>
        <w:ind w:right="-20"/>
        <w:jc w:val="left"/>
        <w:rPr>
          <w:b w:val="0"/>
          <w:bCs w:val="0"/>
        </w:rPr>
      </w:pPr>
      <w:r>
        <w:rPr>
          <w:rFonts w:ascii="宋体" w:hAnsi="宋体" w:cs="宋体" w:eastAsia="宋体" w:hint="default"/>
        </w:rPr>
        <w:t>24</w:t>
      </w:r>
      <w:r>
        <w:rPr/>
        <w:t>、</w:t>
      </w:r>
      <w:r>
        <w:rPr>
          <w:spacing w:val="-25"/>
        </w:rPr>
        <w:t> </w:t>
      </w:r>
      <w:r>
        <w:rPr/>
        <w:t>无形资产</w:t>
      </w:r>
      <w:r>
        <w:rPr>
          <w:b w:val="0"/>
          <w:bCs w:val="0"/>
        </w:rPr>
      </w:r>
    </w:p>
    <w:p>
      <w:pPr>
        <w:pStyle w:val="Heading2"/>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8" w:right="0"/>
        <w:jc w:val="left"/>
      </w:pPr>
      <w:r>
        <w:rPr/>
        <w:t>单位：元币种：人民币</w:t>
      </w:r>
    </w:p>
    <w:p>
      <w:pPr>
        <w:spacing w:after="0" w:line="240" w:lineRule="auto"/>
        <w:jc w:val="left"/>
        <w:sectPr>
          <w:type w:val="continuous"/>
          <w:pgSz w:w="11910" w:h="16840"/>
          <w:pgMar w:top="1120" w:bottom="1160" w:left="1580" w:right="1040"/>
          <w:cols w:num="2" w:equalWidth="0">
            <w:col w:w="2088" w:space="4645"/>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9"/>
        <w:gridCol w:w="1623"/>
        <w:gridCol w:w="1202"/>
        <w:gridCol w:w="1162"/>
        <w:gridCol w:w="1623"/>
        <w:gridCol w:w="1620"/>
      </w:tblGrid>
      <w:tr>
        <w:trPr>
          <w:trHeight w:val="554"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25,603,390.27</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31,021,414.05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56,624,804.32</w:t>
            </w: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18,946,357.23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18,946,357.23</w:t>
            </w:r>
          </w:p>
        </w:tc>
      </w:tr>
      <w:tr>
        <w:trPr>
          <w:trHeight w:val="351"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406,410.15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406,410.15</w:t>
            </w: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18,539,947.08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18,539,947.08</w:t>
            </w: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25,603,390.27</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49,967,771.28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75,571,161.55</w:t>
            </w: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3,858,352.91</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10,262,443.85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14,120,796.76</w:t>
            </w: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636,728.88</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7,275,861.28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7,912,590.16</w:t>
            </w:r>
          </w:p>
        </w:tc>
      </w:tr>
      <w:tr>
        <w:trPr>
          <w:trHeight w:val="351"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636,728.88</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7,275,861.28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7,912,590.16</w:t>
            </w: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45" w:type="dxa"/>
        <w:tblLayout w:type="fixed"/>
        <w:tblCellMar>
          <w:top w:w="0" w:type="dxa"/>
          <w:left w:w="0" w:type="dxa"/>
          <w:bottom w:w="0" w:type="dxa"/>
          <w:right w:w="0" w:type="dxa"/>
        </w:tblCellMar>
        <w:tblLook w:val="01E0"/>
      </w:tblPr>
      <w:tblGrid>
        <w:gridCol w:w="1819"/>
        <w:gridCol w:w="1623"/>
        <w:gridCol w:w="1202"/>
        <w:gridCol w:w="1162"/>
        <w:gridCol w:w="1623"/>
        <w:gridCol w:w="1620"/>
      </w:tblGrid>
      <w:tr>
        <w:trPr>
          <w:trHeight w:val="351"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4,495,081.79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17,538,305.13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22,033,386.92</w:t>
            </w: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2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21,108,308.48</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32,429,466.15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53,537,774.63</w:t>
            </w:r>
          </w:p>
        </w:tc>
      </w:tr>
      <w:tr>
        <w:trPr>
          <w:trHeight w:val="35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21,745,037.36</w:t>
            </w:r>
          </w:p>
        </w:tc>
        <w:tc>
          <w:tcPr>
            <w:tcW w:w="12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20,758,970.20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42,504,007.56</w:t>
            </w:r>
          </w:p>
        </w:tc>
      </w:tr>
    </w:tbl>
    <w:p>
      <w:pPr>
        <w:pStyle w:val="BodyText"/>
        <w:spacing w:line="257" w:lineRule="exact"/>
        <w:ind w:left="558" w:right="0"/>
        <w:jc w:val="left"/>
        <w:rPr>
          <w:rFonts w:ascii="Times New Roman" w:hAnsi="Times New Roman" w:cs="Times New Roman" w:eastAsia="Times New Roman" w:hint="default"/>
        </w:rPr>
      </w:pPr>
      <w:r>
        <w:rPr>
          <w:spacing w:val="-2"/>
        </w:rPr>
        <w:t>本期末通过公司内部研发形成的无形资产占无形资产余额的比例</w:t>
      </w:r>
      <w:r>
        <w:rPr>
          <w:spacing w:val="7"/>
        </w:rPr>
        <w:t> </w:t>
      </w:r>
      <w:r>
        <w:rPr>
          <w:rFonts w:ascii="Times New Roman" w:hAnsi="Times New Roman" w:cs="Times New Roman" w:eastAsia="Times New Roman" w:hint="default"/>
          <w:spacing w:val="-1"/>
        </w:rPr>
        <w:t>59.79%</w:t>
      </w:r>
    </w:p>
    <w:p>
      <w:pPr>
        <w:spacing w:line="240" w:lineRule="auto" w:before="7"/>
        <w:rPr>
          <w:rFonts w:ascii="Times New Roman" w:hAnsi="Times New Roman" w:cs="Times New Roman" w:eastAsia="Times New Roman" w:hint="default"/>
          <w:sz w:val="24"/>
          <w:szCs w:val="24"/>
        </w:rPr>
      </w:pPr>
    </w:p>
    <w:p>
      <w:pPr>
        <w:pStyle w:val="Heading2"/>
        <w:spacing w:line="240" w:lineRule="auto"/>
        <w:ind w:left="558"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5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240" w:right="700"/>
        </w:sectPr>
      </w:pPr>
    </w:p>
    <w:p>
      <w:pPr>
        <w:pStyle w:val="Heading2"/>
        <w:spacing w:line="240" w:lineRule="auto" w:before="36"/>
        <w:ind w:left="558" w:right="-18"/>
        <w:jc w:val="left"/>
        <w:rPr>
          <w:b w:val="0"/>
          <w:bCs w:val="0"/>
        </w:rPr>
      </w:pPr>
      <w:r>
        <w:rPr>
          <w:rFonts w:ascii="宋体" w:hAnsi="宋体" w:cs="宋体" w:eastAsia="宋体" w:hint="default"/>
        </w:rPr>
        <w:t>25</w:t>
      </w:r>
      <w:r>
        <w:rPr/>
        <w:t>、</w:t>
      </w:r>
      <w:r>
        <w:rPr>
          <w:spacing w:val="-25"/>
        </w:rPr>
        <w:t> </w:t>
      </w:r>
      <w:r>
        <w:rPr/>
        <w:t>开发支出</w:t>
      </w:r>
      <w:r>
        <w:rPr>
          <w:b w:val="0"/>
          <w:bCs w:val="0"/>
        </w:rPr>
      </w:r>
    </w:p>
    <w:p>
      <w:pPr>
        <w:pStyle w:val="BodyText"/>
        <w:spacing w:line="240" w:lineRule="auto" w:before="58"/>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58" w:right="0"/>
        <w:jc w:val="left"/>
      </w:pPr>
      <w:r>
        <w:rPr/>
        <w:t>单位：元币种：人民币</w:t>
      </w:r>
    </w:p>
    <w:p>
      <w:pPr>
        <w:spacing w:after="0" w:line="240" w:lineRule="auto"/>
        <w:jc w:val="left"/>
        <w:sectPr>
          <w:type w:val="continuous"/>
          <w:pgSz w:w="11910" w:h="16840"/>
          <w:pgMar w:top="1120" w:bottom="1160" w:left="1240" w:right="700"/>
          <w:cols w:num="2" w:equalWidth="0">
            <w:col w:w="2135" w:space="4598"/>
            <w:col w:w="323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54"/>
        <w:gridCol w:w="1594"/>
        <w:gridCol w:w="1601"/>
        <w:gridCol w:w="437"/>
        <w:gridCol w:w="1596"/>
        <w:gridCol w:w="1457"/>
        <w:gridCol w:w="1598"/>
      </w:tblGrid>
      <w:tr>
        <w:trPr>
          <w:trHeight w:val="281" w:hRule="exact"/>
        </w:trPr>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vMerge w:val="restart"/>
            <w:tcBorders>
              <w:top w:val="single" w:sz="4" w:space="0" w:color="000000"/>
              <w:left w:val="single" w:sz="4" w:space="0" w:color="000000"/>
              <w:right w:val="single" w:sz="4" w:space="0" w:color="000000"/>
            </w:tcBorders>
          </w:tcPr>
          <w:p>
            <w:pPr>
              <w:pStyle w:val="TableParagraph"/>
              <w:spacing w:line="272" w:lineRule="exact" w:before="135"/>
              <w:ind w:left="580" w:right="57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98" w:type="dxa"/>
            <w:vMerge w:val="restart"/>
            <w:tcBorders>
              <w:top w:val="single" w:sz="4" w:space="0" w:color="000000"/>
              <w:left w:val="single" w:sz="4" w:space="0" w:color="000000"/>
              <w:right w:val="single" w:sz="4" w:space="0" w:color="000000"/>
            </w:tcBorders>
          </w:tcPr>
          <w:p>
            <w:pPr>
              <w:pStyle w:val="TableParagraph"/>
              <w:spacing w:line="272" w:lineRule="exact" w:before="135"/>
              <w:ind w:left="580" w:right="58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4" w:hRule="exact"/>
        </w:trPr>
        <w:tc>
          <w:tcPr>
            <w:tcW w:w="145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确认为无形资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598" w:type="dxa"/>
            <w:vMerge/>
            <w:tcBorders>
              <w:left w:val="single" w:sz="4" w:space="0" w:color="000000"/>
              <w:bottom w:val="single" w:sz="4" w:space="0" w:color="000000"/>
              <w:right w:val="single" w:sz="4" w:space="0" w:color="000000"/>
            </w:tcBorders>
          </w:tcPr>
          <w:p>
            <w:pPr/>
          </w:p>
        </w:tc>
      </w:tr>
      <w:tr>
        <w:trPr>
          <w:trHeight w:val="1099"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7"/>
                <w:sz w:val="21"/>
                <w:szCs w:val="21"/>
              </w:rPr>
              <w:t> </w:t>
            </w:r>
            <w:r>
              <w:rPr>
                <w:rFonts w:ascii="宋体" w:hAnsi="宋体" w:cs="宋体" w:eastAsia="宋体" w:hint="default"/>
                <w:sz w:val="21"/>
                <w:szCs w:val="21"/>
              </w:rPr>
              <w:t>政</w:t>
            </w:r>
            <w:r>
              <w:rPr>
                <w:rFonts w:ascii="宋体" w:hAnsi="宋体" w:cs="宋体" w:eastAsia="宋体" w:hint="default"/>
                <w:spacing w:val="-59"/>
                <w:sz w:val="21"/>
                <w:szCs w:val="21"/>
              </w:rPr>
              <w:t> </w:t>
            </w:r>
            <w:r>
              <w:rPr>
                <w:rFonts w:ascii="宋体" w:hAnsi="宋体" w:cs="宋体" w:eastAsia="宋体" w:hint="default"/>
                <w:sz w:val="21"/>
                <w:szCs w:val="21"/>
              </w:rPr>
              <w:t>执</w:t>
            </w:r>
            <w:r>
              <w:rPr>
                <w:rFonts w:ascii="宋体" w:hAnsi="宋体" w:cs="宋体" w:eastAsia="宋体" w:hint="default"/>
                <w:spacing w:val="-59"/>
                <w:sz w:val="21"/>
                <w:szCs w:val="21"/>
              </w:rPr>
              <w:t> </w:t>
            </w:r>
            <w:r>
              <w:rPr>
                <w:rFonts w:ascii="宋体" w:hAnsi="宋体" w:cs="宋体" w:eastAsia="宋体" w:hint="default"/>
                <w:sz w:val="21"/>
                <w:szCs w:val="21"/>
              </w:rPr>
              <w:t>法</w:t>
            </w:r>
            <w:r>
              <w:rPr>
                <w:rFonts w:ascii="宋体" w:hAnsi="宋体" w:cs="宋体" w:eastAsia="宋体" w:hint="default"/>
                <w:spacing w:val="-57"/>
                <w:sz w:val="21"/>
                <w:szCs w:val="21"/>
              </w:rPr>
              <w:t> </w:t>
            </w:r>
            <w:r>
              <w:rPr>
                <w:rFonts w:ascii="宋体" w:hAnsi="宋体" w:cs="宋体" w:eastAsia="宋体" w:hint="default"/>
                <w:sz w:val="21"/>
                <w:szCs w:val="21"/>
              </w:rPr>
              <w:t>与</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刑</w:t>
            </w:r>
            <w:r>
              <w:rPr>
                <w:rFonts w:ascii="宋体" w:hAnsi="宋体" w:cs="宋体" w:eastAsia="宋体" w:hint="default"/>
                <w:spacing w:val="-57"/>
                <w:sz w:val="21"/>
                <w:szCs w:val="21"/>
              </w:rPr>
              <w:t> </w:t>
            </w:r>
            <w:r>
              <w:rPr>
                <w:rFonts w:ascii="宋体" w:hAnsi="宋体" w:cs="宋体" w:eastAsia="宋体" w:hint="default"/>
                <w:sz w:val="21"/>
                <w:szCs w:val="21"/>
              </w:rPr>
              <w:t>事</w:t>
            </w:r>
            <w:r>
              <w:rPr>
                <w:rFonts w:ascii="宋体" w:hAnsi="宋体" w:cs="宋体" w:eastAsia="宋体" w:hint="default"/>
                <w:spacing w:val="-59"/>
                <w:sz w:val="21"/>
                <w:szCs w:val="21"/>
              </w:rPr>
              <w:t> </w:t>
            </w:r>
            <w:r>
              <w:rPr>
                <w:rFonts w:ascii="宋体" w:hAnsi="宋体" w:cs="宋体" w:eastAsia="宋体" w:hint="default"/>
                <w:sz w:val="21"/>
                <w:szCs w:val="21"/>
              </w:rPr>
              <w:t>司</w:t>
            </w:r>
            <w:r>
              <w:rPr>
                <w:rFonts w:ascii="宋体" w:hAnsi="宋体" w:cs="宋体" w:eastAsia="宋体" w:hint="default"/>
                <w:spacing w:val="-59"/>
                <w:sz w:val="21"/>
                <w:szCs w:val="21"/>
              </w:rPr>
              <w:t> </w:t>
            </w:r>
            <w:r>
              <w:rPr>
                <w:rFonts w:ascii="宋体" w:hAnsi="宋体" w:cs="宋体" w:eastAsia="宋体" w:hint="default"/>
                <w:sz w:val="21"/>
                <w:szCs w:val="21"/>
              </w:rPr>
              <w:t>法</w:t>
            </w:r>
            <w:r>
              <w:rPr>
                <w:rFonts w:ascii="宋体" w:hAnsi="宋体" w:cs="宋体" w:eastAsia="宋体" w:hint="default"/>
                <w:spacing w:val="-57"/>
                <w:sz w:val="21"/>
                <w:szCs w:val="21"/>
              </w:rPr>
              <w:t> </w:t>
            </w:r>
            <w:r>
              <w:rPr>
                <w:rFonts w:ascii="宋体" w:hAnsi="宋体" w:cs="宋体" w:eastAsia="宋体" w:hint="default"/>
                <w:sz w:val="21"/>
                <w:szCs w:val="21"/>
              </w:rPr>
              <w:t>衔</w:t>
            </w:r>
            <w:r>
              <w:rPr>
                <w:rFonts w:ascii="宋体" w:hAnsi="宋体" w:cs="宋体" w:eastAsia="宋体" w:hint="default"/>
                <w:w w:val="100"/>
                <w:sz w:val="21"/>
                <w:szCs w:val="21"/>
              </w:rPr>
              <w:t> </w:t>
            </w:r>
            <w:r>
              <w:rPr>
                <w:rFonts w:ascii="宋体" w:hAnsi="宋体" w:cs="宋体" w:eastAsia="宋体" w:hint="default"/>
                <w:sz w:val="21"/>
                <w:szCs w:val="21"/>
              </w:rPr>
              <w:t>接</w:t>
            </w:r>
            <w:r>
              <w:rPr>
                <w:rFonts w:ascii="宋体" w:hAnsi="宋体" w:cs="宋体" w:eastAsia="宋体" w:hint="default"/>
                <w:spacing w:val="-57"/>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共</w:t>
            </w:r>
            <w:r>
              <w:rPr>
                <w:rFonts w:ascii="宋体" w:hAnsi="宋体" w:cs="宋体" w:eastAsia="宋体" w:hint="default"/>
                <w:spacing w:val="-57"/>
                <w:sz w:val="21"/>
                <w:szCs w:val="21"/>
              </w:rPr>
              <w:t> </w:t>
            </w:r>
            <w:r>
              <w:rPr>
                <w:rFonts w:ascii="宋体" w:hAnsi="宋体" w:cs="宋体" w:eastAsia="宋体" w:hint="default"/>
                <w:sz w:val="21"/>
                <w:szCs w:val="21"/>
              </w:rPr>
              <w:t>享</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641,705.19</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641,705.19</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57"/>
                <w:sz w:val="21"/>
                <w:szCs w:val="21"/>
              </w:rPr>
              <w:t> </w:t>
            </w:r>
            <w:r>
              <w:rPr>
                <w:rFonts w:ascii="宋体" w:hAnsi="宋体" w:cs="宋体" w:eastAsia="宋体" w:hint="default"/>
                <w:sz w:val="21"/>
                <w:szCs w:val="21"/>
              </w:rPr>
              <w:t>建</w:t>
            </w:r>
            <w:r>
              <w:rPr>
                <w:rFonts w:ascii="宋体" w:hAnsi="宋体" w:cs="宋体" w:eastAsia="宋体" w:hint="default"/>
                <w:spacing w:val="-59"/>
                <w:sz w:val="21"/>
                <w:szCs w:val="21"/>
              </w:rPr>
              <w:t> </w:t>
            </w:r>
            <w:r>
              <w:rPr>
                <w:rFonts w:ascii="宋体" w:hAnsi="宋体" w:cs="宋体" w:eastAsia="宋体" w:hint="default"/>
                <w:sz w:val="21"/>
                <w:szCs w:val="21"/>
              </w:rPr>
              <w:t>房</w:t>
            </w:r>
            <w:r>
              <w:rPr>
                <w:rFonts w:ascii="宋体" w:hAnsi="宋体" w:cs="宋体" w:eastAsia="宋体" w:hint="default"/>
                <w:spacing w:val="-59"/>
                <w:sz w:val="21"/>
                <w:szCs w:val="21"/>
              </w:rPr>
              <w:t> </w:t>
            </w:r>
            <w:r>
              <w:rPr>
                <w:rFonts w:ascii="宋体" w:hAnsi="宋体" w:cs="宋体" w:eastAsia="宋体" w:hint="default"/>
                <w:sz w:val="21"/>
                <w:szCs w:val="21"/>
              </w:rPr>
              <w:t>管</w:t>
            </w:r>
            <w:r>
              <w:rPr>
                <w:rFonts w:ascii="宋体" w:hAnsi="宋体" w:cs="宋体" w:eastAsia="宋体" w:hint="default"/>
                <w:spacing w:val="-57"/>
                <w:sz w:val="21"/>
                <w:szCs w:val="21"/>
              </w:rPr>
              <w:t> </w:t>
            </w:r>
            <w:r>
              <w:rPr>
                <w:rFonts w:ascii="宋体" w:hAnsi="宋体" w:cs="宋体" w:eastAsia="宋体" w:hint="default"/>
                <w:sz w:val="21"/>
                <w:szCs w:val="21"/>
              </w:rPr>
              <w:t>综</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57"/>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管</w:t>
            </w:r>
            <w:r>
              <w:rPr>
                <w:rFonts w:ascii="宋体" w:hAnsi="宋体" w:cs="宋体" w:eastAsia="宋体" w:hint="default"/>
                <w:spacing w:val="-57"/>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85,361.64</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85,361.64</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57"/>
                <w:sz w:val="21"/>
                <w:szCs w:val="21"/>
              </w:rPr>
              <w:t> </w:t>
            </w:r>
            <w:r>
              <w:rPr>
                <w:rFonts w:ascii="宋体" w:hAnsi="宋体" w:cs="宋体" w:eastAsia="宋体" w:hint="default"/>
                <w:sz w:val="21"/>
                <w:szCs w:val="21"/>
              </w:rPr>
              <w:t>创</w:t>
            </w:r>
            <w:r>
              <w:rPr>
                <w:rFonts w:ascii="宋体" w:hAnsi="宋体" w:cs="宋体" w:eastAsia="宋体" w:hint="default"/>
                <w:spacing w:val="-59"/>
                <w:sz w:val="21"/>
                <w:szCs w:val="21"/>
              </w:rPr>
              <w:t> </w:t>
            </w:r>
            <w:r>
              <w:rPr>
                <w:rFonts w:ascii="宋体" w:hAnsi="宋体" w:cs="宋体" w:eastAsia="宋体" w:hint="default"/>
                <w:sz w:val="21"/>
                <w:szCs w:val="21"/>
              </w:rPr>
              <w:t>中</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7"/>
                <w:sz w:val="21"/>
                <w:szCs w:val="21"/>
              </w:rPr>
              <w:t> </w:t>
            </w:r>
            <w:r>
              <w:rPr>
                <w:rFonts w:ascii="宋体" w:hAnsi="宋体" w:cs="宋体" w:eastAsia="宋体" w:hint="default"/>
                <w:sz w:val="21"/>
                <w:szCs w:val="21"/>
              </w:rPr>
              <w:t>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台项目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771,561.36</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771,561.36</w:t>
            </w:r>
          </w:p>
        </w:tc>
      </w:tr>
      <w:tr>
        <w:trPr>
          <w:trHeight w:val="1373"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57"/>
                <w:sz w:val="21"/>
                <w:szCs w:val="21"/>
              </w:rPr>
              <w:t> </w:t>
            </w:r>
            <w:r>
              <w:rPr>
                <w:rFonts w:ascii="宋体" w:hAnsi="宋体" w:cs="宋体" w:eastAsia="宋体" w:hint="default"/>
                <w:sz w:val="21"/>
                <w:szCs w:val="21"/>
              </w:rPr>
              <w:t>于</w:t>
            </w:r>
            <w:r>
              <w:rPr>
                <w:rFonts w:ascii="宋体" w:hAnsi="宋体" w:cs="宋体" w:eastAsia="宋体" w:hint="default"/>
                <w:spacing w:val="-59"/>
                <w:sz w:val="21"/>
                <w:szCs w:val="21"/>
              </w:rPr>
              <w:t> </w:t>
            </w:r>
            <w:r>
              <w:rPr>
                <w:rFonts w:ascii="宋体" w:hAnsi="宋体" w:cs="宋体" w:eastAsia="宋体" w:hint="default"/>
                <w:sz w:val="21"/>
                <w:szCs w:val="21"/>
              </w:rPr>
              <w:t>企</w:t>
            </w:r>
            <w:r>
              <w:rPr>
                <w:rFonts w:ascii="宋体" w:hAnsi="宋体" w:cs="宋体" w:eastAsia="宋体" w:hint="default"/>
                <w:spacing w:val="-59"/>
                <w:sz w:val="21"/>
                <w:szCs w:val="21"/>
              </w:rPr>
              <w:t> </w:t>
            </w:r>
            <w:r>
              <w:rPr>
                <w:rFonts w:ascii="宋体" w:hAnsi="宋体" w:cs="宋体" w:eastAsia="宋体" w:hint="default"/>
                <w:sz w:val="21"/>
                <w:szCs w:val="21"/>
              </w:rPr>
              <w:t>业</w:t>
            </w:r>
            <w:r>
              <w:rPr>
                <w:rFonts w:ascii="宋体" w:hAnsi="宋体" w:cs="宋体" w:eastAsia="宋体" w:hint="default"/>
                <w:spacing w:val="-57"/>
                <w:sz w:val="21"/>
                <w:szCs w:val="21"/>
              </w:rPr>
              <w:t> </w:t>
            </w:r>
            <w:r>
              <w:rPr>
                <w:rFonts w:ascii="宋体" w:hAnsi="宋体" w:cs="宋体" w:eastAsia="宋体" w:hint="default"/>
                <w:sz w:val="21"/>
                <w:szCs w:val="21"/>
              </w:rPr>
              <w:t>产</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pacing w:val="-57"/>
                <w:sz w:val="21"/>
                <w:szCs w:val="21"/>
              </w:rPr>
              <w:t> </w:t>
            </w:r>
            <w:r>
              <w:rPr>
                <w:rFonts w:ascii="宋体" w:hAnsi="宋体" w:cs="宋体" w:eastAsia="宋体" w:hint="default"/>
                <w:sz w:val="21"/>
                <w:szCs w:val="21"/>
              </w:rPr>
              <w:t>设</w:t>
            </w:r>
            <w:r>
              <w:rPr>
                <w:rFonts w:ascii="宋体" w:hAnsi="宋体" w:cs="宋体" w:eastAsia="宋体" w:hint="default"/>
                <w:spacing w:val="-59"/>
                <w:sz w:val="21"/>
                <w:szCs w:val="21"/>
              </w:rPr>
              <w:t> </w:t>
            </w:r>
            <w:r>
              <w:rPr>
                <w:rFonts w:ascii="宋体" w:hAnsi="宋体" w:cs="宋体" w:eastAsia="宋体" w:hint="default"/>
                <w:sz w:val="21"/>
                <w:szCs w:val="21"/>
              </w:rPr>
              <w:t>计</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云</w:t>
            </w:r>
            <w:r>
              <w:rPr>
                <w:rFonts w:ascii="宋体" w:hAnsi="宋体" w:cs="宋体" w:eastAsia="宋体" w:hint="default"/>
                <w:w w:val="100"/>
                <w:sz w:val="21"/>
                <w:szCs w:val="21"/>
              </w:rPr>
              <w:t> </w:t>
            </w:r>
            <w:r>
              <w:rPr>
                <w:rFonts w:ascii="宋体" w:hAnsi="宋体" w:cs="宋体" w:eastAsia="宋体" w:hint="default"/>
                <w:sz w:val="21"/>
                <w:szCs w:val="21"/>
              </w:rPr>
              <w:t>平</w:t>
            </w:r>
            <w:r>
              <w:rPr>
                <w:rFonts w:ascii="宋体" w:hAnsi="宋体" w:cs="宋体" w:eastAsia="宋体" w:hint="default"/>
                <w:spacing w:val="-57"/>
                <w:sz w:val="21"/>
                <w:szCs w:val="21"/>
              </w:rPr>
              <w:t> </w:t>
            </w:r>
            <w:r>
              <w:rPr>
                <w:rFonts w:ascii="宋体" w:hAnsi="宋体" w:cs="宋体" w:eastAsia="宋体" w:hint="default"/>
                <w:sz w:val="21"/>
                <w:szCs w:val="21"/>
              </w:rPr>
              <w:t>台</w:t>
            </w:r>
            <w:r>
              <w:rPr>
                <w:rFonts w:ascii="宋体" w:hAnsi="宋体" w:cs="宋体" w:eastAsia="宋体" w:hint="default"/>
                <w:spacing w:val="-59"/>
                <w:sz w:val="21"/>
                <w:szCs w:val="21"/>
              </w:rPr>
              <w:t> </w:t>
            </w:r>
            <w:r>
              <w:rPr>
                <w:rFonts w:ascii="宋体" w:hAnsi="宋体" w:cs="宋体" w:eastAsia="宋体" w:hint="default"/>
                <w:sz w:val="21"/>
                <w:szCs w:val="21"/>
              </w:rPr>
              <w:t>关</w:t>
            </w:r>
            <w:r>
              <w:rPr>
                <w:rFonts w:ascii="宋体" w:hAnsi="宋体" w:cs="宋体" w:eastAsia="宋体" w:hint="default"/>
                <w:spacing w:val="-59"/>
                <w:sz w:val="21"/>
                <w:szCs w:val="21"/>
              </w:rPr>
              <w:t> </w:t>
            </w:r>
            <w:r>
              <w:rPr>
                <w:rFonts w:ascii="宋体" w:hAnsi="宋体" w:cs="宋体" w:eastAsia="宋体" w:hint="default"/>
                <w:sz w:val="21"/>
                <w:szCs w:val="21"/>
              </w:rPr>
              <w:t>键</w:t>
            </w:r>
            <w:r>
              <w:rPr>
                <w:rFonts w:ascii="宋体" w:hAnsi="宋体" w:cs="宋体" w:eastAsia="宋体" w:hint="default"/>
                <w:spacing w:val="-57"/>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研</w:t>
            </w:r>
            <w:r>
              <w:rPr>
                <w:rFonts w:ascii="宋体" w:hAnsi="宋体" w:cs="宋体" w:eastAsia="宋体" w:hint="default"/>
                <w:spacing w:val="-59"/>
                <w:sz w:val="21"/>
                <w:szCs w:val="21"/>
              </w:rPr>
              <w:t> </w:t>
            </w:r>
            <w:r>
              <w:rPr>
                <w:rFonts w:ascii="宋体" w:hAnsi="宋体" w:cs="宋体" w:eastAsia="宋体" w:hint="default"/>
                <w:sz w:val="21"/>
                <w:szCs w:val="21"/>
              </w:rPr>
              <w:t>发</w:t>
            </w:r>
            <w:r>
              <w:rPr>
                <w:rFonts w:ascii="宋体" w:hAnsi="宋体" w:cs="宋体" w:eastAsia="宋体" w:hint="default"/>
                <w:spacing w:val="-59"/>
                <w:sz w:val="21"/>
                <w:szCs w:val="21"/>
              </w:rPr>
              <w:t> </w:t>
            </w:r>
            <w:r>
              <w:rPr>
                <w:rFonts w:ascii="宋体" w:hAnsi="宋体" w:cs="宋体" w:eastAsia="宋体" w:hint="default"/>
                <w:sz w:val="21"/>
                <w:szCs w:val="21"/>
              </w:rPr>
              <w:t>与</w:t>
            </w:r>
            <w:r>
              <w:rPr>
                <w:rFonts w:ascii="宋体" w:hAnsi="宋体" w:cs="宋体" w:eastAsia="宋体" w:hint="default"/>
                <w:spacing w:val="-57"/>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1,141,982.84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474,948.62</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1,616,931.46</w:t>
            </w:r>
          </w:p>
        </w:tc>
        <w:tc>
          <w:tcPr>
            <w:tcW w:w="145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57"/>
                <w:sz w:val="21"/>
                <w:szCs w:val="21"/>
              </w:rPr>
              <w:t> </w:t>
            </w:r>
            <w:r>
              <w:rPr>
                <w:rFonts w:ascii="宋体" w:hAnsi="宋体" w:cs="宋体" w:eastAsia="宋体" w:hint="default"/>
                <w:sz w:val="21"/>
                <w:szCs w:val="21"/>
              </w:rPr>
              <w:t>威</w:t>
            </w:r>
            <w:r>
              <w:rPr>
                <w:rFonts w:ascii="宋体" w:hAnsi="宋体" w:cs="宋体" w:eastAsia="宋体" w:hint="default"/>
                <w:spacing w:val="-59"/>
                <w:sz w:val="21"/>
                <w:szCs w:val="21"/>
              </w:rPr>
              <w:t> </w:t>
            </w:r>
            <w:r>
              <w:rPr>
                <w:rFonts w:ascii="宋体" w:hAnsi="宋体" w:cs="宋体" w:eastAsia="宋体" w:hint="default"/>
                <w:sz w:val="21"/>
                <w:szCs w:val="21"/>
              </w:rPr>
              <w:t>优</w:t>
            </w:r>
            <w:r>
              <w:rPr>
                <w:rFonts w:ascii="宋体" w:hAnsi="宋体" w:cs="宋体" w:eastAsia="宋体" w:hint="default"/>
                <w:spacing w:val="-59"/>
                <w:sz w:val="21"/>
                <w:szCs w:val="21"/>
              </w:rPr>
              <w:t> </w:t>
            </w:r>
            <w:r>
              <w:rPr>
                <w:rFonts w:ascii="宋体" w:hAnsi="宋体" w:cs="宋体" w:eastAsia="宋体" w:hint="default"/>
                <w:sz w:val="21"/>
                <w:szCs w:val="21"/>
              </w:rPr>
              <w:t>克</w:t>
            </w:r>
            <w:r>
              <w:rPr>
                <w:rFonts w:ascii="宋体" w:hAnsi="宋体" w:cs="宋体" w:eastAsia="宋体" w:hint="default"/>
                <w:spacing w:val="-57"/>
                <w:sz w:val="21"/>
                <w:szCs w:val="21"/>
              </w:rPr>
              <w:t> </w:t>
            </w:r>
            <w:r>
              <w:rPr>
                <w:rFonts w:ascii="宋体" w:hAnsi="宋体" w:cs="宋体" w:eastAsia="宋体" w:hint="default"/>
                <w:sz w:val="21"/>
                <w:szCs w:val="21"/>
              </w:rPr>
              <w:t>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云平台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5,792,800.11</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1,069,065.03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4,723,735.08</w:t>
            </w:r>
          </w:p>
        </w:tc>
      </w:tr>
      <w:tr>
        <w:trPr>
          <w:trHeight w:val="82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7"/>
                <w:sz w:val="21"/>
                <w:szCs w:val="21"/>
              </w:rPr>
              <w:t> </w:t>
            </w:r>
            <w:r>
              <w:rPr>
                <w:rFonts w:ascii="宋体" w:hAnsi="宋体" w:cs="宋体" w:eastAsia="宋体" w:hint="default"/>
                <w:sz w:val="21"/>
                <w:szCs w:val="21"/>
              </w:rPr>
              <w:t>政</w:t>
            </w:r>
            <w:r>
              <w:rPr>
                <w:rFonts w:ascii="宋体" w:hAnsi="宋体" w:cs="宋体" w:eastAsia="宋体" w:hint="default"/>
                <w:spacing w:val="-59"/>
                <w:sz w:val="21"/>
                <w:szCs w:val="21"/>
              </w:rPr>
              <w:t> </w:t>
            </w:r>
            <w:r>
              <w:rPr>
                <w:rFonts w:ascii="宋体" w:hAnsi="宋体" w:cs="宋体" w:eastAsia="宋体" w:hint="default"/>
                <w:sz w:val="21"/>
                <w:szCs w:val="21"/>
              </w:rPr>
              <w:t>审</w:t>
            </w:r>
            <w:r>
              <w:rPr>
                <w:rFonts w:ascii="宋体" w:hAnsi="宋体" w:cs="宋体" w:eastAsia="宋体" w:hint="default"/>
                <w:spacing w:val="-59"/>
                <w:sz w:val="21"/>
                <w:szCs w:val="21"/>
              </w:rPr>
              <w:t> </w:t>
            </w:r>
            <w:r>
              <w:rPr>
                <w:rFonts w:ascii="宋体" w:hAnsi="宋体" w:cs="宋体" w:eastAsia="宋体" w:hint="default"/>
                <w:sz w:val="21"/>
                <w:szCs w:val="21"/>
              </w:rPr>
              <w:t>批</w:t>
            </w:r>
            <w:r>
              <w:rPr>
                <w:rFonts w:ascii="宋体" w:hAnsi="宋体" w:cs="宋体" w:eastAsia="宋体" w:hint="default"/>
                <w:spacing w:val="-57"/>
                <w:sz w:val="21"/>
                <w:szCs w:val="21"/>
              </w:rPr>
              <w:t> </w:t>
            </w:r>
            <w:r>
              <w:rPr>
                <w:rFonts w:ascii="宋体" w:hAnsi="宋体" w:cs="宋体" w:eastAsia="宋体" w:hint="default"/>
                <w:sz w:val="21"/>
                <w:szCs w:val="21"/>
              </w:rPr>
              <w:t>大</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57"/>
                <w:sz w:val="21"/>
                <w:szCs w:val="21"/>
              </w:rPr>
              <w:t> </w:t>
            </w:r>
            <w:r>
              <w:rPr>
                <w:rFonts w:ascii="宋体" w:hAnsi="宋体" w:cs="宋体" w:eastAsia="宋体" w:hint="default"/>
                <w:sz w:val="21"/>
                <w:szCs w:val="21"/>
              </w:rPr>
              <w:t>据</w:t>
            </w:r>
            <w:r>
              <w:rPr>
                <w:rFonts w:ascii="宋体" w:hAnsi="宋体" w:cs="宋体" w:eastAsia="宋体" w:hint="default"/>
                <w:spacing w:val="-59"/>
                <w:sz w:val="21"/>
                <w:szCs w:val="21"/>
              </w:rPr>
              <w:t> </w:t>
            </w:r>
            <w:r>
              <w:rPr>
                <w:rFonts w:ascii="宋体" w:hAnsi="宋体" w:cs="宋体" w:eastAsia="宋体" w:hint="default"/>
                <w:sz w:val="21"/>
                <w:szCs w:val="21"/>
              </w:rPr>
              <w:t>分</w:t>
            </w:r>
            <w:r>
              <w:rPr>
                <w:rFonts w:ascii="宋体" w:hAnsi="宋体" w:cs="宋体" w:eastAsia="宋体" w:hint="default"/>
                <w:spacing w:val="-59"/>
                <w:sz w:val="21"/>
                <w:szCs w:val="21"/>
              </w:rPr>
              <w:t> </w:t>
            </w:r>
            <w:r>
              <w:rPr>
                <w:rFonts w:ascii="宋体" w:hAnsi="宋体" w:cs="宋体" w:eastAsia="宋体" w:hint="default"/>
                <w:sz w:val="21"/>
                <w:szCs w:val="21"/>
              </w:rPr>
              <w:t>析</w:t>
            </w:r>
            <w:r>
              <w:rPr>
                <w:rFonts w:ascii="宋体" w:hAnsi="宋体" w:cs="宋体" w:eastAsia="宋体" w:hint="default"/>
                <w:spacing w:val="-57"/>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理系统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62,400.00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62,400.00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7"/>
                <w:sz w:val="21"/>
                <w:szCs w:val="21"/>
              </w:rPr>
              <w:t> </w:t>
            </w:r>
            <w:r>
              <w:rPr>
                <w:rFonts w:ascii="宋体" w:hAnsi="宋体" w:cs="宋体" w:eastAsia="宋体" w:hint="default"/>
                <w:sz w:val="21"/>
                <w:szCs w:val="21"/>
              </w:rPr>
              <w:t>慧</w:t>
            </w:r>
            <w:r>
              <w:rPr>
                <w:rFonts w:ascii="宋体" w:hAnsi="宋体" w:cs="宋体" w:eastAsia="宋体" w:hint="default"/>
                <w:spacing w:val="-59"/>
                <w:sz w:val="21"/>
                <w:szCs w:val="21"/>
              </w:rPr>
              <w:t> </w:t>
            </w:r>
            <w:r>
              <w:rPr>
                <w:rFonts w:ascii="宋体" w:hAnsi="宋体" w:cs="宋体" w:eastAsia="宋体" w:hint="default"/>
                <w:sz w:val="21"/>
                <w:szCs w:val="21"/>
              </w:rPr>
              <w:t>军</w:t>
            </w:r>
            <w:r>
              <w:rPr>
                <w:rFonts w:ascii="宋体" w:hAnsi="宋体" w:cs="宋体" w:eastAsia="宋体" w:hint="default"/>
                <w:spacing w:val="-59"/>
                <w:sz w:val="21"/>
                <w:szCs w:val="21"/>
              </w:rPr>
              <w:t> </w:t>
            </w:r>
            <w:r>
              <w:rPr>
                <w:rFonts w:ascii="宋体" w:hAnsi="宋体" w:cs="宋体" w:eastAsia="宋体" w:hint="default"/>
                <w:sz w:val="21"/>
                <w:szCs w:val="21"/>
              </w:rPr>
              <w:t>营</w:t>
            </w:r>
            <w:r>
              <w:rPr>
                <w:rFonts w:ascii="宋体" w:hAnsi="宋体" w:cs="宋体" w:eastAsia="宋体" w:hint="default"/>
                <w:spacing w:val="-57"/>
                <w:sz w:val="21"/>
                <w:szCs w:val="21"/>
              </w:rPr>
              <w:t> </w:t>
            </w:r>
            <w:r>
              <w:rPr>
                <w:rFonts w:ascii="宋体" w:hAnsi="宋体" w:cs="宋体" w:eastAsia="宋体" w:hint="default"/>
                <w:sz w:val="21"/>
                <w:szCs w:val="21"/>
              </w:rPr>
              <w:t>综</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57"/>
                <w:sz w:val="21"/>
                <w:szCs w:val="21"/>
              </w:rPr>
              <w:t> </w:t>
            </w:r>
            <w:r>
              <w:rPr>
                <w:rFonts w:ascii="宋体" w:hAnsi="宋体" w:cs="宋体" w:eastAsia="宋体" w:hint="default"/>
                <w:sz w:val="21"/>
                <w:szCs w:val="21"/>
              </w:rPr>
              <w:t>信</w:t>
            </w:r>
            <w:r>
              <w:rPr>
                <w:rFonts w:ascii="宋体" w:hAnsi="宋体" w:cs="宋体" w:eastAsia="宋体" w:hint="default"/>
                <w:spacing w:val="-59"/>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管</w:t>
            </w:r>
            <w:r>
              <w:rPr>
                <w:rFonts w:ascii="宋体" w:hAnsi="宋体" w:cs="宋体" w:eastAsia="宋体" w:hint="default"/>
                <w:spacing w:val="-57"/>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平</w:t>
            </w:r>
            <w:r>
              <w:rPr>
                <w:rFonts w:ascii="宋体" w:hAnsi="宋体" w:cs="宋体" w:eastAsia="宋体" w:hint="default"/>
                <w:spacing w:val="-57"/>
                <w:sz w:val="21"/>
                <w:szCs w:val="21"/>
              </w:rPr>
              <w:t> </w:t>
            </w:r>
            <w:r>
              <w:rPr>
                <w:rFonts w:ascii="宋体" w:hAnsi="宋体" w:cs="宋体" w:eastAsia="宋体" w:hint="default"/>
                <w:sz w:val="21"/>
                <w:szCs w:val="21"/>
              </w:rPr>
              <w:t>台</w:t>
            </w:r>
            <w:r>
              <w:rPr>
                <w:rFonts w:ascii="宋体" w:hAnsi="宋体" w:cs="宋体" w:eastAsia="宋体" w:hint="default"/>
                <w:spacing w:val="-59"/>
                <w:sz w:val="21"/>
                <w:szCs w:val="21"/>
              </w:rPr>
              <w:t> </w:t>
            </w:r>
            <w:r>
              <w:rPr>
                <w:rFonts w:ascii="宋体" w:hAnsi="宋体" w:cs="宋体" w:eastAsia="宋体" w:hint="default"/>
                <w:sz w:val="21"/>
                <w:szCs w:val="21"/>
              </w:rPr>
              <w:t>升</w:t>
            </w:r>
            <w:r>
              <w:rPr>
                <w:rFonts w:ascii="宋体" w:hAnsi="宋体" w:cs="宋体" w:eastAsia="宋体" w:hint="default"/>
                <w:spacing w:val="-59"/>
                <w:sz w:val="21"/>
                <w:szCs w:val="21"/>
              </w:rPr>
              <w:t> </w:t>
            </w:r>
            <w:r>
              <w:rPr>
                <w:rFonts w:ascii="宋体" w:hAnsi="宋体" w:cs="宋体" w:eastAsia="宋体" w:hint="default"/>
                <w:sz w:val="21"/>
                <w:szCs w:val="21"/>
              </w:rPr>
              <w:t>级</w:t>
            </w:r>
            <w:r>
              <w:rPr>
                <w:rFonts w:ascii="宋体" w:hAnsi="宋体" w:cs="宋体" w:eastAsia="宋体" w:hint="default"/>
                <w:spacing w:val="-57"/>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2,306,616.87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pacing w:val="-1"/>
                <w:sz w:val="21"/>
              </w:rPr>
              <w:t>10,835,306.54</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pacing w:val="-1"/>
                <w:sz w:val="21"/>
              </w:rPr>
              <w:t>13,141,923.41</w:t>
            </w:r>
          </w:p>
        </w:tc>
        <w:tc>
          <w:tcPr>
            <w:tcW w:w="145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24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54"/>
        <w:gridCol w:w="1594"/>
        <w:gridCol w:w="1601"/>
        <w:gridCol w:w="437"/>
        <w:gridCol w:w="1596"/>
        <w:gridCol w:w="1457"/>
        <w:gridCol w:w="1598"/>
      </w:tblGrid>
      <w:tr>
        <w:trPr>
          <w:trHeight w:val="82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57"/>
                <w:sz w:val="21"/>
                <w:szCs w:val="21"/>
              </w:rPr>
              <w:t> </w:t>
            </w:r>
            <w:r>
              <w:rPr>
                <w:rFonts w:ascii="宋体" w:hAnsi="宋体" w:cs="宋体" w:eastAsia="宋体" w:hint="default"/>
                <w:sz w:val="21"/>
                <w:szCs w:val="21"/>
              </w:rPr>
              <w:t>急</w:t>
            </w:r>
            <w:r>
              <w:rPr>
                <w:rFonts w:ascii="宋体" w:hAnsi="宋体" w:cs="宋体" w:eastAsia="宋体" w:hint="default"/>
                <w:spacing w:val="-59"/>
                <w:sz w:val="21"/>
                <w:szCs w:val="21"/>
              </w:rPr>
              <w:t> </w:t>
            </w:r>
            <w:r>
              <w:rPr>
                <w:rFonts w:ascii="宋体" w:hAnsi="宋体" w:cs="宋体" w:eastAsia="宋体" w:hint="default"/>
                <w:sz w:val="21"/>
                <w:szCs w:val="21"/>
              </w:rPr>
              <w:t>指</w:t>
            </w:r>
            <w:r>
              <w:rPr>
                <w:rFonts w:ascii="宋体" w:hAnsi="宋体" w:cs="宋体" w:eastAsia="宋体" w:hint="default"/>
                <w:spacing w:val="-59"/>
                <w:sz w:val="21"/>
                <w:szCs w:val="21"/>
              </w:rPr>
              <w:t> </w:t>
            </w:r>
            <w:r>
              <w:rPr>
                <w:rFonts w:ascii="宋体" w:hAnsi="宋体" w:cs="宋体" w:eastAsia="宋体" w:hint="default"/>
                <w:sz w:val="21"/>
                <w:szCs w:val="21"/>
              </w:rPr>
              <w:t>挥</w:t>
            </w:r>
            <w:r>
              <w:rPr>
                <w:rFonts w:ascii="宋体" w:hAnsi="宋体" w:cs="宋体" w:eastAsia="宋体" w:hint="default"/>
                <w:spacing w:val="-57"/>
                <w:sz w:val="21"/>
                <w:szCs w:val="21"/>
              </w:rPr>
              <w:t> </w:t>
            </w:r>
            <w:r>
              <w:rPr>
                <w:rFonts w:ascii="宋体" w:hAnsi="宋体" w:cs="宋体" w:eastAsia="宋体" w:hint="default"/>
                <w:sz w:val="21"/>
                <w:szCs w:val="21"/>
              </w:rPr>
              <w:t>系</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统</w:t>
            </w:r>
            <w:r>
              <w:rPr>
                <w:rFonts w:ascii="宋体" w:hAnsi="宋体" w:cs="宋体" w:eastAsia="宋体" w:hint="default"/>
                <w:spacing w:val="-57"/>
                <w:sz w:val="21"/>
                <w:szCs w:val="21"/>
              </w:rPr>
              <w:t> </w:t>
            </w:r>
            <w:r>
              <w:rPr>
                <w:rFonts w:ascii="宋体" w:hAnsi="宋体" w:cs="宋体" w:eastAsia="宋体" w:hint="default"/>
                <w:sz w:val="21"/>
                <w:szCs w:val="21"/>
              </w:rPr>
              <w:t>平</w:t>
            </w:r>
            <w:r>
              <w:rPr>
                <w:rFonts w:ascii="宋体" w:hAnsi="宋体" w:cs="宋体" w:eastAsia="宋体" w:hint="default"/>
                <w:spacing w:val="-59"/>
                <w:sz w:val="21"/>
                <w:szCs w:val="21"/>
              </w:rPr>
              <w:t> </w:t>
            </w:r>
            <w:r>
              <w:rPr>
                <w:rFonts w:ascii="宋体" w:hAnsi="宋体" w:cs="宋体" w:eastAsia="宋体" w:hint="default"/>
                <w:sz w:val="21"/>
                <w:szCs w:val="21"/>
              </w:rPr>
              <w:t>台</w:t>
            </w:r>
            <w:r>
              <w:rPr>
                <w:rFonts w:ascii="宋体" w:hAnsi="宋体" w:cs="宋体" w:eastAsia="宋体" w:hint="default"/>
                <w:spacing w:val="-59"/>
                <w:sz w:val="21"/>
                <w:szCs w:val="21"/>
              </w:rPr>
              <w:t> </w:t>
            </w:r>
            <w:r>
              <w:rPr>
                <w:rFonts w:ascii="宋体" w:hAnsi="宋体" w:cs="宋体" w:eastAsia="宋体" w:hint="default"/>
                <w:sz w:val="21"/>
                <w:szCs w:val="21"/>
              </w:rPr>
              <w:t>建</w:t>
            </w:r>
            <w:r>
              <w:rPr>
                <w:rFonts w:ascii="宋体" w:hAnsi="宋体" w:cs="宋体" w:eastAsia="宋体" w:hint="default"/>
                <w:spacing w:val="-57"/>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3,710,652.96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70,439.25</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3,781,092.21</w:t>
            </w:r>
          </w:p>
        </w:tc>
        <w:tc>
          <w:tcPr>
            <w:tcW w:w="145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953"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57"/>
                <w:sz w:val="21"/>
                <w:szCs w:val="21"/>
              </w:rPr>
              <w:t> </w:t>
            </w:r>
            <w:r>
              <w:rPr>
                <w:rFonts w:ascii="宋体" w:hAnsi="宋体" w:cs="宋体" w:eastAsia="宋体" w:hint="default"/>
                <w:sz w:val="21"/>
                <w:szCs w:val="21"/>
              </w:rPr>
              <w:t>慧</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spacing w:val="-59"/>
                <w:sz w:val="21"/>
                <w:szCs w:val="21"/>
              </w:rPr>
              <w:t> </w:t>
            </w:r>
            <w:r>
              <w:rPr>
                <w:rFonts w:ascii="宋体" w:hAnsi="宋体" w:cs="宋体" w:eastAsia="宋体" w:hint="default"/>
                <w:sz w:val="21"/>
                <w:szCs w:val="21"/>
              </w:rPr>
              <w:t>安</w:t>
            </w:r>
            <w:r>
              <w:rPr>
                <w:rFonts w:ascii="宋体" w:hAnsi="宋体" w:cs="宋体" w:eastAsia="宋体" w:hint="default"/>
                <w:spacing w:val="-57"/>
                <w:sz w:val="21"/>
                <w:szCs w:val="21"/>
              </w:rPr>
              <w:t> </w:t>
            </w:r>
            <w:r>
              <w:rPr>
                <w:rFonts w:ascii="宋体" w:hAnsi="宋体" w:cs="宋体" w:eastAsia="宋体" w:hint="default"/>
                <w:sz w:val="21"/>
                <w:szCs w:val="21"/>
              </w:rPr>
              <w:t>防</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实</w:t>
            </w:r>
            <w:r>
              <w:rPr>
                <w:rFonts w:ascii="宋体" w:hAnsi="宋体" w:cs="宋体" w:eastAsia="宋体" w:hint="default"/>
                <w:spacing w:val="-59"/>
                <w:sz w:val="21"/>
                <w:szCs w:val="21"/>
              </w:rPr>
              <w:t> </w:t>
            </w:r>
            <w:r>
              <w:rPr>
                <w:rFonts w:ascii="宋体" w:hAnsi="宋体" w:cs="宋体" w:eastAsia="宋体" w:hint="default"/>
                <w:sz w:val="21"/>
                <w:szCs w:val="21"/>
              </w:rPr>
              <w:t>战</w:t>
            </w:r>
            <w:r>
              <w:rPr>
                <w:rFonts w:ascii="宋体" w:hAnsi="宋体" w:cs="宋体" w:eastAsia="宋体" w:hint="default"/>
                <w:spacing w:val="-59"/>
                <w:sz w:val="21"/>
                <w:szCs w:val="21"/>
              </w:rPr>
              <w:t> </w:t>
            </w:r>
            <w:r>
              <w:rPr>
                <w:rFonts w:ascii="宋体" w:hAnsi="宋体" w:cs="宋体" w:eastAsia="宋体" w:hint="default"/>
                <w:sz w:val="21"/>
                <w:szCs w:val="21"/>
              </w:rPr>
              <w:t>应</w:t>
            </w:r>
            <w:r>
              <w:rPr>
                <w:rFonts w:ascii="宋体" w:hAnsi="宋体" w:cs="宋体" w:eastAsia="宋体" w:hint="default"/>
                <w:spacing w:val="-57"/>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6,278,792.46</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496,149.34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5,782,643.12</w:t>
            </w:r>
          </w:p>
        </w:tc>
      </w:tr>
      <w:tr>
        <w:trPr>
          <w:trHeight w:val="1099"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pacing w:val="-57"/>
                <w:sz w:val="21"/>
                <w:szCs w:val="21"/>
              </w:rPr>
              <w:t> </w:t>
            </w:r>
            <w:r>
              <w:rPr>
                <w:rFonts w:ascii="宋体" w:hAnsi="宋体" w:cs="宋体" w:eastAsia="宋体" w:hint="default"/>
                <w:sz w:val="21"/>
                <w:szCs w:val="21"/>
              </w:rPr>
              <w:t>持</w:t>
            </w:r>
            <w:r>
              <w:rPr>
                <w:rFonts w:ascii="宋体" w:hAnsi="宋体" w:cs="宋体" w:eastAsia="宋体" w:hint="default"/>
                <w:spacing w:val="-59"/>
                <w:sz w:val="21"/>
                <w:szCs w:val="21"/>
              </w:rPr>
              <w:t> </w:t>
            </w:r>
            <w:r>
              <w:rPr>
                <w:rFonts w:ascii="宋体" w:hAnsi="宋体" w:cs="宋体" w:eastAsia="宋体" w:hint="default"/>
                <w:sz w:val="21"/>
                <w:szCs w:val="21"/>
              </w:rPr>
              <w:t>国</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7"/>
                <w:sz w:val="21"/>
                <w:szCs w:val="21"/>
              </w:rPr>
              <w:t> </w:t>
            </w:r>
            <w:r>
              <w:rPr>
                <w:rFonts w:ascii="宋体" w:hAnsi="宋体" w:cs="宋体" w:eastAsia="宋体" w:hint="default"/>
                <w:sz w:val="21"/>
                <w:szCs w:val="21"/>
              </w:rPr>
              <w:t>化</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党</w:t>
            </w:r>
            <w:r>
              <w:rPr>
                <w:rFonts w:ascii="宋体" w:hAnsi="宋体" w:cs="宋体" w:eastAsia="宋体" w:hint="default"/>
                <w:spacing w:val="-59"/>
                <w:sz w:val="21"/>
                <w:szCs w:val="21"/>
              </w:rPr>
              <w:t> </w:t>
            </w:r>
            <w:r>
              <w:rPr>
                <w:rFonts w:ascii="宋体" w:hAnsi="宋体" w:cs="宋体" w:eastAsia="宋体" w:hint="default"/>
                <w:sz w:val="21"/>
                <w:szCs w:val="21"/>
              </w:rPr>
              <w:t>委</w:t>
            </w:r>
            <w:r>
              <w:rPr>
                <w:rFonts w:ascii="宋体" w:hAnsi="宋体" w:cs="宋体" w:eastAsia="宋体" w:hint="default"/>
                <w:spacing w:val="-59"/>
                <w:sz w:val="21"/>
                <w:szCs w:val="21"/>
              </w:rPr>
              <w:t> </w:t>
            </w: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spacing w:val="-57"/>
                <w:sz w:val="21"/>
                <w:szCs w:val="21"/>
              </w:rPr>
              <w:t> </w:t>
            </w:r>
            <w:r>
              <w:rPr>
                <w:rFonts w:ascii="宋体" w:hAnsi="宋体" w:cs="宋体" w:eastAsia="宋体" w:hint="default"/>
                <w:sz w:val="21"/>
                <w:szCs w:val="21"/>
              </w:rPr>
              <w:t>解</w:t>
            </w:r>
            <w:r>
              <w:rPr>
                <w:rFonts w:ascii="宋体" w:hAnsi="宋体" w:cs="宋体" w:eastAsia="宋体" w:hint="default"/>
                <w:spacing w:val="-59"/>
                <w:sz w:val="21"/>
                <w:szCs w:val="21"/>
              </w:rPr>
              <w:t> </w:t>
            </w:r>
            <w:r>
              <w:rPr>
                <w:rFonts w:ascii="宋体" w:hAnsi="宋体" w:cs="宋体" w:eastAsia="宋体" w:hint="default"/>
                <w:sz w:val="21"/>
                <w:szCs w:val="21"/>
              </w:rPr>
              <w:t>决</w:t>
            </w:r>
            <w:r>
              <w:rPr>
                <w:rFonts w:ascii="宋体" w:hAnsi="宋体" w:cs="宋体" w:eastAsia="宋体" w:hint="default"/>
                <w:spacing w:val="-59"/>
                <w:sz w:val="21"/>
                <w:szCs w:val="21"/>
              </w:rPr>
              <w:t> </w:t>
            </w:r>
            <w:r>
              <w:rPr>
                <w:rFonts w:ascii="宋体" w:hAnsi="宋体" w:cs="宋体" w:eastAsia="宋体" w:hint="default"/>
                <w:sz w:val="21"/>
                <w:szCs w:val="21"/>
              </w:rPr>
              <w:t>方</w:t>
            </w:r>
            <w:r>
              <w:rPr>
                <w:rFonts w:ascii="宋体" w:hAnsi="宋体" w:cs="宋体" w:eastAsia="宋体" w:hint="default"/>
                <w:spacing w:val="-57"/>
                <w:sz w:val="21"/>
                <w:szCs w:val="21"/>
              </w:rPr>
              <w:t> </w:t>
            </w:r>
            <w:r>
              <w:rPr>
                <w:rFonts w:ascii="宋体" w:hAnsi="宋体" w:cs="宋体" w:eastAsia="宋体" w:hint="default"/>
                <w:sz w:val="21"/>
                <w:szCs w:val="21"/>
              </w:rPr>
              <w:t>案</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32"/>
              <w:jc w:val="right"/>
              <w:rPr>
                <w:rFonts w:ascii="Times New Roman" w:hAnsi="Times New Roman" w:cs="Times New Roman" w:eastAsia="Times New Roman" w:hint="default"/>
                <w:sz w:val="21"/>
                <w:szCs w:val="21"/>
              </w:rPr>
            </w:pPr>
            <w:r>
              <w:rPr>
                <w:rFonts w:ascii="Times New Roman"/>
                <w:spacing w:val="-1"/>
                <w:sz w:val="21"/>
              </w:rPr>
              <w:t>2,731,706.80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3,074,787.31</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5,806,494.11</w:t>
            </w:r>
          </w:p>
        </w:tc>
      </w:tr>
      <w:tr>
        <w:trPr>
          <w:trHeight w:val="1373"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57"/>
                <w:sz w:val="21"/>
                <w:szCs w:val="21"/>
              </w:rPr>
              <w:t> </w:t>
            </w:r>
            <w:r>
              <w:rPr>
                <w:rFonts w:ascii="宋体" w:hAnsi="宋体" w:cs="宋体" w:eastAsia="宋体" w:hint="default"/>
                <w:sz w:val="21"/>
                <w:szCs w:val="21"/>
              </w:rPr>
              <w:t>联</w:t>
            </w:r>
            <w:r>
              <w:rPr>
                <w:rFonts w:ascii="宋体" w:hAnsi="宋体" w:cs="宋体" w:eastAsia="宋体" w:hint="default"/>
                <w:spacing w:val="-59"/>
                <w:sz w:val="21"/>
                <w:szCs w:val="21"/>
              </w:rPr>
              <w:t> </w:t>
            </w:r>
            <w:r>
              <w:rPr>
                <w:rFonts w:ascii="宋体" w:hAnsi="宋体" w:cs="宋体" w:eastAsia="宋体" w:hint="default"/>
                <w:sz w:val="21"/>
                <w:szCs w:val="21"/>
              </w:rPr>
              <w:t>网</w:t>
            </w:r>
            <w:r>
              <w:rPr>
                <w:rFonts w:ascii="宋体" w:hAnsi="宋体" w:cs="宋体" w:eastAsia="宋体" w:hint="default"/>
                <w:spacing w:val="-59"/>
                <w:sz w:val="21"/>
                <w:szCs w:val="21"/>
              </w:rPr>
              <w:t> </w:t>
            </w:r>
            <w:r>
              <w:rPr>
                <w:rFonts w:ascii="宋体" w:hAnsi="宋体" w:cs="宋体" w:eastAsia="宋体" w:hint="default"/>
                <w:sz w:val="21"/>
                <w:szCs w:val="21"/>
              </w:rPr>
              <w:t>用</w:t>
            </w:r>
            <w:r>
              <w:rPr>
                <w:rFonts w:ascii="宋体" w:hAnsi="宋体" w:cs="宋体" w:eastAsia="宋体" w:hint="default"/>
                <w:spacing w:val="-57"/>
                <w:sz w:val="21"/>
                <w:szCs w:val="21"/>
              </w:rPr>
              <w:t> </w:t>
            </w:r>
            <w:r>
              <w:rPr>
                <w:rFonts w:ascii="宋体" w:hAnsi="宋体" w:cs="宋体" w:eastAsia="宋体" w:hint="default"/>
                <w:sz w:val="21"/>
                <w:szCs w:val="21"/>
              </w:rPr>
              <w:t>户</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57"/>
                <w:sz w:val="21"/>
                <w:szCs w:val="21"/>
              </w:rPr>
              <w:t> </w:t>
            </w: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防</w:t>
            </w:r>
            <w:r>
              <w:rPr>
                <w:rFonts w:ascii="宋体" w:hAnsi="宋体" w:cs="宋体" w:eastAsia="宋体" w:hint="default"/>
                <w:spacing w:val="-59"/>
                <w:sz w:val="21"/>
                <w:szCs w:val="21"/>
              </w:rPr>
              <w:t> </w:t>
            </w:r>
            <w:r>
              <w:rPr>
                <w:rFonts w:ascii="宋体" w:hAnsi="宋体" w:cs="宋体" w:eastAsia="宋体" w:hint="default"/>
                <w:sz w:val="21"/>
                <w:szCs w:val="21"/>
              </w:rPr>
              <w:t>泄</w:t>
            </w:r>
            <w:r>
              <w:rPr>
                <w:rFonts w:ascii="宋体" w:hAnsi="宋体" w:cs="宋体" w:eastAsia="宋体" w:hint="default"/>
                <w:spacing w:val="-57"/>
                <w:sz w:val="21"/>
                <w:szCs w:val="21"/>
              </w:rPr>
              <w:t> </w:t>
            </w:r>
            <w:r>
              <w:rPr>
                <w:rFonts w:ascii="宋体" w:hAnsi="宋体" w:cs="宋体" w:eastAsia="宋体" w:hint="default"/>
                <w:sz w:val="21"/>
                <w:szCs w:val="21"/>
              </w:rPr>
              <w:t>露</w:t>
            </w:r>
            <w:r>
              <w:rPr>
                <w:rFonts w:ascii="宋体" w:hAnsi="宋体" w:cs="宋体" w:eastAsia="宋体" w:hint="default"/>
                <w:w w:val="100"/>
                <w:sz w:val="21"/>
                <w:szCs w:val="21"/>
              </w:rPr>
              <w:t> </w:t>
            </w:r>
            <w:r>
              <w:rPr>
                <w:rFonts w:ascii="宋体" w:hAnsi="宋体" w:cs="宋体" w:eastAsia="宋体" w:hint="default"/>
                <w:sz w:val="21"/>
                <w:szCs w:val="21"/>
              </w:rPr>
              <w:t>智</w:t>
            </w:r>
            <w:r>
              <w:rPr>
                <w:rFonts w:ascii="宋体" w:hAnsi="宋体" w:cs="宋体" w:eastAsia="宋体" w:hint="default"/>
                <w:spacing w:val="-57"/>
                <w:sz w:val="21"/>
                <w:szCs w:val="21"/>
              </w:rPr>
              <w:t> </w:t>
            </w:r>
            <w:r>
              <w:rPr>
                <w:rFonts w:ascii="宋体" w:hAnsi="宋体" w:cs="宋体" w:eastAsia="宋体" w:hint="default"/>
                <w:sz w:val="21"/>
                <w:szCs w:val="21"/>
              </w:rPr>
              <w:t>能</w:t>
            </w:r>
            <w:r>
              <w:rPr>
                <w:rFonts w:ascii="宋体" w:hAnsi="宋体" w:cs="宋体" w:eastAsia="宋体" w:hint="default"/>
                <w:spacing w:val="-59"/>
                <w:sz w:val="21"/>
                <w:szCs w:val="21"/>
              </w:rPr>
              <w:t> </w:t>
            </w:r>
            <w:r>
              <w:rPr>
                <w:rFonts w:ascii="宋体" w:hAnsi="宋体" w:cs="宋体" w:eastAsia="宋体" w:hint="default"/>
                <w:sz w:val="21"/>
                <w:szCs w:val="21"/>
              </w:rPr>
              <w:t>分</w:t>
            </w:r>
            <w:r>
              <w:rPr>
                <w:rFonts w:ascii="宋体" w:hAnsi="宋体" w:cs="宋体" w:eastAsia="宋体" w:hint="default"/>
                <w:spacing w:val="-59"/>
                <w:sz w:val="21"/>
                <w:szCs w:val="21"/>
              </w:rPr>
              <w:t> </w:t>
            </w:r>
            <w:r>
              <w:rPr>
                <w:rFonts w:ascii="宋体" w:hAnsi="宋体" w:cs="宋体" w:eastAsia="宋体" w:hint="default"/>
                <w:sz w:val="21"/>
                <w:szCs w:val="21"/>
              </w:rPr>
              <w:t>析</w:t>
            </w:r>
            <w:r>
              <w:rPr>
                <w:rFonts w:ascii="宋体" w:hAnsi="宋体" w:cs="宋体" w:eastAsia="宋体" w:hint="default"/>
                <w:spacing w:val="-57"/>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警 系</w:t>
            </w:r>
            <w:r>
              <w:rPr>
                <w:rFonts w:ascii="宋体" w:hAnsi="宋体" w:cs="宋体" w:eastAsia="宋体" w:hint="default"/>
                <w:spacing w:val="86"/>
                <w:sz w:val="21"/>
                <w:szCs w:val="21"/>
              </w:rPr>
              <w:t> </w:t>
            </w:r>
            <w:r>
              <w:rPr>
                <w:rFonts w:ascii="宋体" w:hAnsi="宋体" w:cs="宋体" w:eastAsia="宋体" w:hint="default"/>
                <w:sz w:val="21"/>
                <w:szCs w:val="21"/>
              </w:rPr>
              <w:t>统</w:t>
            </w:r>
            <w:r>
              <w:rPr>
                <w:rFonts w:ascii="宋体" w:hAnsi="宋体" w:cs="宋体" w:eastAsia="宋体" w:hint="default"/>
                <w:w w:val="100"/>
                <w:sz w:val="21"/>
                <w:szCs w:val="21"/>
              </w:rPr>
              <w:t> </w:t>
            </w:r>
            <w:r>
              <w:rPr>
                <w:rFonts w:ascii="宋体" w:hAnsi="宋体" w:cs="宋体" w:eastAsia="宋体" w:hint="default"/>
                <w:sz w:val="21"/>
                <w:szCs w:val="21"/>
              </w:rPr>
              <w:t>(V1.X)</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1,017,815.94</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245,035.88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772,780.06</w:t>
            </w:r>
          </w:p>
        </w:tc>
      </w:tr>
      <w:tr>
        <w:trPr>
          <w:trHeight w:val="1099"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57"/>
                <w:sz w:val="21"/>
                <w:szCs w:val="21"/>
              </w:rPr>
              <w:t> </w:t>
            </w:r>
            <w:r>
              <w:rPr>
                <w:rFonts w:ascii="宋体" w:hAnsi="宋体" w:cs="宋体" w:eastAsia="宋体" w:hint="default"/>
                <w:sz w:val="21"/>
                <w:szCs w:val="21"/>
              </w:rPr>
              <w:t>于</w:t>
            </w:r>
            <w:r>
              <w:rPr>
                <w:rFonts w:ascii="宋体" w:hAnsi="宋体" w:cs="宋体" w:eastAsia="宋体" w:hint="default"/>
                <w:spacing w:val="-59"/>
                <w:sz w:val="21"/>
                <w:szCs w:val="21"/>
              </w:rPr>
              <w:t> </w:t>
            </w:r>
            <w:r>
              <w:rPr>
                <w:rFonts w:ascii="宋体" w:hAnsi="宋体" w:cs="宋体" w:eastAsia="宋体" w:hint="default"/>
                <w:sz w:val="21"/>
                <w:szCs w:val="21"/>
              </w:rPr>
              <w:t>传</w:t>
            </w:r>
            <w:r>
              <w:rPr>
                <w:rFonts w:ascii="宋体" w:hAnsi="宋体" w:cs="宋体" w:eastAsia="宋体" w:hint="default"/>
                <w:spacing w:val="-59"/>
                <w:sz w:val="21"/>
                <w:szCs w:val="21"/>
              </w:rPr>
              <w:t> </w:t>
            </w:r>
            <w:r>
              <w:rPr>
                <w:rFonts w:ascii="宋体" w:hAnsi="宋体" w:cs="宋体" w:eastAsia="宋体" w:hint="default"/>
                <w:sz w:val="21"/>
                <w:szCs w:val="21"/>
              </w:rPr>
              <w:t>感</w:t>
            </w:r>
            <w:r>
              <w:rPr>
                <w:rFonts w:ascii="宋体" w:hAnsi="宋体" w:cs="宋体" w:eastAsia="宋体" w:hint="default"/>
                <w:spacing w:val="-57"/>
                <w:sz w:val="21"/>
                <w:szCs w:val="21"/>
              </w:rPr>
              <w:t> </w:t>
            </w:r>
            <w:r>
              <w:rPr>
                <w:rFonts w:ascii="宋体" w:hAnsi="宋体" w:cs="宋体" w:eastAsia="宋体" w:hint="default"/>
                <w:sz w:val="21"/>
                <w:szCs w:val="21"/>
              </w:rPr>
              <w:t>器</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57"/>
                <w:sz w:val="21"/>
                <w:szCs w:val="21"/>
              </w:rPr>
              <w:t> </w:t>
            </w:r>
            <w:r>
              <w:rPr>
                <w:rFonts w:ascii="宋体" w:hAnsi="宋体" w:cs="宋体" w:eastAsia="宋体" w:hint="default"/>
                <w:sz w:val="21"/>
                <w:szCs w:val="21"/>
              </w:rPr>
              <w:t>合</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互</w:t>
            </w:r>
            <w:r>
              <w:rPr>
                <w:rFonts w:ascii="宋体" w:hAnsi="宋体" w:cs="宋体" w:eastAsia="宋体" w:hint="default"/>
                <w:spacing w:val="-57"/>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pacing w:val="12"/>
                <w:sz w:val="21"/>
                <w:szCs w:val="21"/>
              </w:rPr>
              <w:t>网</w:t>
            </w:r>
            <w:r>
              <w:rPr>
                <w:rFonts w:ascii="宋体" w:hAnsi="宋体" w:cs="宋体" w:eastAsia="宋体" w:hint="default"/>
                <w:spacing w:val="12"/>
                <w:sz w:val="21"/>
                <w:szCs w:val="21"/>
              </w:rPr>
              <w:t>+</w:t>
            </w:r>
            <w:r>
              <w:rPr>
                <w:rFonts w:ascii="宋体" w:hAnsi="宋体" w:cs="宋体" w:eastAsia="宋体" w:hint="default"/>
                <w:spacing w:val="12"/>
                <w:sz w:val="21"/>
                <w:szCs w:val="21"/>
              </w:rPr>
              <w:t>智能云服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务终端</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906,351.44</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906,351.44</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spacing w:val="-57"/>
                <w:sz w:val="21"/>
                <w:szCs w:val="21"/>
              </w:rPr>
              <w:t> </w:t>
            </w:r>
            <w:r>
              <w:rPr>
                <w:rFonts w:ascii="宋体" w:hAnsi="宋体" w:cs="宋体" w:eastAsia="宋体" w:hint="default"/>
                <w:sz w:val="21"/>
                <w:szCs w:val="21"/>
              </w:rPr>
              <w:t>务</w:t>
            </w:r>
            <w:r>
              <w:rPr>
                <w:rFonts w:ascii="宋体" w:hAnsi="宋体" w:cs="宋体" w:eastAsia="宋体" w:hint="default"/>
                <w:spacing w:val="-59"/>
                <w:sz w:val="21"/>
                <w:szCs w:val="21"/>
              </w:rPr>
              <w:t> </w:t>
            </w:r>
            <w:r>
              <w:rPr>
                <w:rFonts w:ascii="宋体" w:hAnsi="宋体" w:cs="宋体" w:eastAsia="宋体" w:hint="default"/>
                <w:sz w:val="21"/>
                <w:szCs w:val="21"/>
              </w:rPr>
              <w:t>云</w:t>
            </w:r>
            <w:r>
              <w:rPr>
                <w:rFonts w:ascii="宋体" w:hAnsi="宋体" w:cs="宋体" w:eastAsia="宋体" w:hint="default"/>
                <w:spacing w:val="-59"/>
                <w:sz w:val="21"/>
                <w:szCs w:val="21"/>
              </w:rPr>
              <w:t> </w:t>
            </w:r>
            <w:r>
              <w:rPr>
                <w:rFonts w:ascii="宋体" w:hAnsi="宋体" w:cs="宋体" w:eastAsia="宋体" w:hint="default"/>
                <w:sz w:val="21"/>
                <w:szCs w:val="21"/>
              </w:rPr>
              <w:t>应</w:t>
            </w:r>
            <w:r>
              <w:rPr>
                <w:rFonts w:ascii="宋体" w:hAnsi="宋体" w:cs="宋体" w:eastAsia="宋体" w:hint="default"/>
                <w:spacing w:val="-57"/>
                <w:sz w:val="21"/>
                <w:szCs w:val="21"/>
              </w:rPr>
              <w:t> </w:t>
            </w:r>
            <w:r>
              <w:rPr>
                <w:rFonts w:ascii="宋体" w:hAnsi="宋体" w:cs="宋体" w:eastAsia="宋体" w:hint="default"/>
                <w:sz w:val="21"/>
                <w:szCs w:val="21"/>
              </w:rPr>
              <w:t>用</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pacing w:val="-57"/>
                <w:sz w:val="21"/>
                <w:szCs w:val="21"/>
              </w:rPr>
              <w:t> </w:t>
            </w:r>
            <w:r>
              <w:rPr>
                <w:rFonts w:ascii="宋体" w:hAnsi="宋体" w:cs="宋体" w:eastAsia="宋体" w:hint="default"/>
                <w:sz w:val="21"/>
                <w:szCs w:val="21"/>
              </w:rPr>
              <w:t>台</w:t>
            </w:r>
            <w:r>
              <w:rPr>
                <w:rFonts w:ascii="宋体" w:hAnsi="宋体" w:cs="宋体" w:eastAsia="宋体" w:hint="default"/>
                <w:spacing w:val="-59"/>
                <w:sz w:val="21"/>
                <w:szCs w:val="21"/>
              </w:rPr>
              <w:t> </w:t>
            </w:r>
            <w:r>
              <w:rPr>
                <w:rFonts w:ascii="宋体" w:hAnsi="宋体" w:cs="宋体" w:eastAsia="宋体" w:hint="default"/>
                <w:sz w:val="21"/>
                <w:szCs w:val="21"/>
              </w:rPr>
              <w:t>研</w:t>
            </w:r>
            <w:r>
              <w:rPr>
                <w:rFonts w:ascii="宋体" w:hAnsi="宋体" w:cs="宋体" w:eastAsia="宋体" w:hint="default"/>
                <w:spacing w:val="-59"/>
                <w:sz w:val="21"/>
                <w:szCs w:val="21"/>
              </w:rPr>
              <w:t> </w:t>
            </w:r>
            <w:r>
              <w:rPr>
                <w:rFonts w:ascii="宋体" w:hAnsi="宋体" w:cs="宋体" w:eastAsia="宋体" w:hint="default"/>
                <w:sz w:val="21"/>
                <w:szCs w:val="21"/>
              </w:rPr>
              <w:t>发</w:t>
            </w:r>
            <w:r>
              <w:rPr>
                <w:rFonts w:ascii="宋体" w:hAnsi="宋体" w:cs="宋体" w:eastAsia="宋体" w:hint="default"/>
                <w:spacing w:val="-57"/>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3,974,375.23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6,860,129.65</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2,505,461.35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8,329,043.53</w:t>
            </w:r>
          </w:p>
        </w:tc>
      </w:tr>
      <w:tr>
        <w:trPr>
          <w:trHeight w:val="82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spacing w:val="-59"/>
                <w:sz w:val="21"/>
                <w:szCs w:val="21"/>
              </w:rPr>
              <w:t> </w:t>
            </w:r>
            <w:r>
              <w:rPr>
                <w:rFonts w:ascii="宋体" w:hAnsi="宋体" w:cs="宋体" w:eastAsia="宋体" w:hint="default"/>
                <w:sz w:val="21"/>
                <w:szCs w:val="21"/>
              </w:rPr>
              <w:t>道</w:t>
            </w:r>
            <w:r>
              <w:rPr>
                <w:rFonts w:ascii="宋体" w:hAnsi="宋体" w:cs="宋体" w:eastAsia="宋体" w:hint="default"/>
                <w:spacing w:val="-59"/>
                <w:sz w:val="21"/>
                <w:szCs w:val="21"/>
              </w:rPr>
              <w:t> </w:t>
            </w:r>
            <w:r>
              <w:rPr>
                <w:rFonts w:ascii="宋体" w:hAnsi="宋体" w:cs="宋体" w:eastAsia="宋体" w:hint="default"/>
                <w:sz w:val="21"/>
                <w:szCs w:val="21"/>
              </w:rPr>
              <w:t>路</w:t>
            </w:r>
            <w:r>
              <w:rPr>
                <w:rFonts w:ascii="宋体" w:hAnsi="宋体" w:cs="宋体" w:eastAsia="宋体" w:hint="default"/>
                <w:spacing w:val="-57"/>
                <w:sz w:val="21"/>
                <w:szCs w:val="21"/>
              </w:rPr>
              <w:t> </w:t>
            </w:r>
            <w:r>
              <w:rPr>
                <w:rFonts w:ascii="宋体" w:hAnsi="宋体" w:cs="宋体" w:eastAsia="宋体" w:hint="default"/>
                <w:sz w:val="21"/>
                <w:szCs w:val="21"/>
              </w:rPr>
              <w:t>违</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57"/>
                <w:sz w:val="21"/>
                <w:szCs w:val="21"/>
              </w:rPr>
              <w:t> </w:t>
            </w:r>
            <w:r>
              <w:rPr>
                <w:rFonts w:ascii="宋体" w:hAnsi="宋体" w:cs="宋体" w:eastAsia="宋体" w:hint="default"/>
                <w:sz w:val="21"/>
                <w:szCs w:val="21"/>
              </w:rPr>
              <w:t>停</w:t>
            </w:r>
            <w:r>
              <w:rPr>
                <w:rFonts w:ascii="宋体" w:hAnsi="宋体" w:cs="宋体" w:eastAsia="宋体" w:hint="default"/>
                <w:spacing w:val="-59"/>
                <w:sz w:val="21"/>
                <w:szCs w:val="21"/>
              </w:rPr>
              <w:t> </w:t>
            </w:r>
            <w:r>
              <w:rPr>
                <w:rFonts w:ascii="宋体" w:hAnsi="宋体" w:cs="宋体" w:eastAsia="宋体" w:hint="default"/>
                <w:sz w:val="21"/>
                <w:szCs w:val="21"/>
              </w:rPr>
              <w:t>车</w:t>
            </w:r>
            <w:r>
              <w:rPr>
                <w:rFonts w:ascii="宋体" w:hAnsi="宋体" w:cs="宋体" w:eastAsia="宋体" w:hint="default"/>
                <w:spacing w:val="-59"/>
                <w:sz w:val="21"/>
                <w:szCs w:val="21"/>
              </w:rPr>
              <w:t> </w:t>
            </w:r>
            <w:r>
              <w:rPr>
                <w:rFonts w:ascii="宋体" w:hAnsi="宋体" w:cs="宋体" w:eastAsia="宋体" w:hint="default"/>
                <w:sz w:val="21"/>
                <w:szCs w:val="21"/>
              </w:rPr>
              <w:t>智</w:t>
            </w:r>
            <w:r>
              <w:rPr>
                <w:rFonts w:ascii="宋体" w:hAnsi="宋体" w:cs="宋体" w:eastAsia="宋体" w:hint="default"/>
                <w:spacing w:val="-57"/>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取证系统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1,090,756.19</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1,090,756.19</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13,865,334.70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37,963,155.7</w:t>
            </w:r>
          </w:p>
        </w:tc>
        <w:tc>
          <w:tcPr>
            <w:tcW w:w="43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18,539,947.08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7,102,286.06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26,186,257.26</w:t>
            </w:r>
          </w:p>
        </w:tc>
      </w:tr>
    </w:tbl>
    <w:p>
      <w:pPr>
        <w:spacing w:line="240" w:lineRule="auto" w:before="12"/>
        <w:rPr>
          <w:rFonts w:ascii="宋体" w:hAnsi="宋体" w:cs="宋体" w:eastAsia="宋体" w:hint="default"/>
          <w:sz w:val="19"/>
          <w:szCs w:val="19"/>
        </w:rPr>
      </w:pPr>
    </w:p>
    <w:p>
      <w:pPr>
        <w:pStyle w:val="Heading2"/>
        <w:spacing w:line="240" w:lineRule="auto" w:before="36"/>
        <w:ind w:left="558" w:right="0"/>
        <w:jc w:val="left"/>
        <w:rPr>
          <w:b w:val="0"/>
          <w:bCs w:val="0"/>
        </w:rPr>
      </w:pPr>
      <w:r>
        <w:rPr>
          <w:rFonts w:ascii="宋体" w:hAnsi="宋体" w:cs="宋体" w:eastAsia="宋体" w:hint="default"/>
        </w:rPr>
        <w:t>26</w:t>
      </w:r>
      <w:r>
        <w:rPr/>
        <w:t>、</w:t>
      </w:r>
      <w:r>
        <w:rPr>
          <w:spacing w:val="-26"/>
        </w:rPr>
        <w:t> </w:t>
      </w:r>
      <w:r>
        <w:rPr/>
        <w:t>商誉</w:t>
      </w:r>
      <w:r>
        <w:rPr>
          <w:b w:val="0"/>
          <w:bCs w:val="0"/>
        </w:rPr>
      </w:r>
    </w:p>
    <w:p>
      <w:pPr>
        <w:pStyle w:val="BodyText"/>
        <w:spacing w:line="240" w:lineRule="auto" w:before="58"/>
        <w:ind w:left="5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240" w:right="700"/>
        </w:sectPr>
      </w:pPr>
    </w:p>
    <w:p>
      <w:pPr>
        <w:pStyle w:val="Heading2"/>
        <w:spacing w:line="240" w:lineRule="auto" w:before="36"/>
        <w:ind w:left="558" w:right="-18"/>
        <w:jc w:val="left"/>
        <w:rPr>
          <w:b w:val="0"/>
          <w:bCs w:val="0"/>
        </w:rPr>
      </w:pPr>
      <w:r>
        <w:rPr>
          <w:rFonts w:ascii="宋体" w:hAnsi="宋体" w:cs="宋体" w:eastAsia="宋体" w:hint="default"/>
        </w:rPr>
        <w:t>27</w:t>
      </w:r>
      <w:r>
        <w:rPr/>
        <w:t>、</w:t>
      </w:r>
      <w:r>
        <w:rPr>
          <w:spacing w:val="-24"/>
        </w:rPr>
        <w:t> </w:t>
      </w:r>
      <w:r>
        <w:rPr/>
        <w:t>长期待摊费用</w:t>
      </w:r>
      <w:r>
        <w:rPr>
          <w:b w:val="0"/>
          <w:bCs w:val="0"/>
        </w:rPr>
      </w:r>
    </w:p>
    <w:p>
      <w:pPr>
        <w:pStyle w:val="BodyText"/>
        <w:spacing w:line="240" w:lineRule="auto" w:before="56"/>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558" w:right="0"/>
        <w:jc w:val="left"/>
      </w:pPr>
      <w:r>
        <w:rPr/>
        <w:t>单位：元币种：人民币</w:t>
      </w:r>
    </w:p>
    <w:p>
      <w:pPr>
        <w:spacing w:after="0" w:line="240" w:lineRule="auto"/>
        <w:jc w:val="left"/>
        <w:sectPr>
          <w:type w:val="continuous"/>
          <w:pgSz w:w="11910" w:h="16840"/>
          <w:pgMar w:top="1120" w:bottom="1160" w:left="1240" w:right="700"/>
          <w:cols w:num="2" w:equalWidth="0">
            <w:col w:w="2330" w:space="4403"/>
            <w:col w:w="3237"/>
          </w:cols>
        </w:sectPr>
      </w:pPr>
    </w:p>
    <w:p>
      <w:pPr>
        <w:spacing w:line="240" w:lineRule="auto" w:before="4"/>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737,401.45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371,370.00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554,582.31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554,189.14</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458.30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10,541.70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737,401.45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382,370.00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555,040.61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564,730.84</w:t>
            </w:r>
          </w:p>
        </w:tc>
      </w:tr>
    </w:tbl>
    <w:p>
      <w:pPr>
        <w:pStyle w:val="BodyText"/>
        <w:spacing w:line="239" w:lineRule="exact"/>
        <w:ind w:left="558" w:right="0"/>
        <w:jc w:val="left"/>
      </w:pPr>
      <w:r>
        <w:rPr/>
        <w:t>其他说明：</w:t>
      </w:r>
    </w:p>
    <w:p>
      <w:pPr>
        <w:pStyle w:val="BodyText"/>
        <w:spacing w:line="273" w:lineRule="exact"/>
        <w:ind w:left="558" w:right="0"/>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240" w:right="700"/>
        </w:sectPr>
      </w:pPr>
    </w:p>
    <w:p>
      <w:pPr>
        <w:pStyle w:val="Heading2"/>
        <w:spacing w:line="290" w:lineRule="auto" w:before="36"/>
        <w:ind w:left="558" w:right="-17"/>
        <w:jc w:val="left"/>
        <w:rPr>
          <w:b w:val="0"/>
          <w:bCs w:val="0"/>
        </w:rPr>
      </w:pPr>
      <w:r>
        <w:rPr>
          <w:rFonts w:ascii="宋体" w:hAnsi="宋体" w:cs="宋体" w:eastAsia="宋体" w:hint="default"/>
        </w:rPr>
        <w:t>28</w:t>
      </w:r>
      <w:r>
        <w:rPr/>
        <w:t>、</w:t>
      </w:r>
      <w:r>
        <w:rPr>
          <w:spacing w:val="-27"/>
        </w:rPr>
        <w:t> </w:t>
      </w:r>
      <w:r>
        <w:rPr/>
        <w:t>递延所得税资产</w:t>
      </w:r>
      <w:r>
        <w:rPr>
          <w:rFonts w:ascii="宋体" w:hAnsi="宋体" w:cs="宋体" w:eastAsia="宋体" w:hint="default"/>
        </w:rPr>
        <w:t>/</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left="5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609" w:val="left" w:leader="none"/>
        </w:tabs>
        <w:spacing w:line="240" w:lineRule="auto"/>
        <w:ind w:left="558" w:right="0"/>
        <w:jc w:val="left"/>
      </w:pPr>
      <w:r>
        <w:rPr>
          <w:spacing w:val="-1"/>
        </w:rPr>
        <w:t>单位：元</w:t>
        <w:tab/>
      </w:r>
      <w:r>
        <w:rPr>
          <w:spacing w:val="-2"/>
        </w:rPr>
        <w:t>币种：人民币</w:t>
      </w:r>
    </w:p>
    <w:p>
      <w:pPr>
        <w:spacing w:after="0" w:line="240" w:lineRule="auto"/>
        <w:jc w:val="left"/>
        <w:sectPr>
          <w:type w:val="continuous"/>
          <w:pgSz w:w="11910" w:h="16840"/>
          <w:pgMar w:top="1120" w:bottom="1160" w:left="1240" w:right="700"/>
          <w:cols w:num="2" w:equalWidth="0">
            <w:col w:w="4121" w:space="2401"/>
            <w:col w:w="3448"/>
          </w:cols>
        </w:sectPr>
      </w:pPr>
    </w:p>
    <w:p>
      <w:pPr>
        <w:spacing w:line="240" w:lineRule="auto" w:before="4"/>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31" w:right="0"/>
              <w:jc w:val="left"/>
              <w:rPr>
                <w:rFonts w:ascii="Times New Roman" w:hAnsi="Times New Roman" w:cs="Times New Roman" w:eastAsia="Times New Roman" w:hint="default"/>
                <w:sz w:val="21"/>
                <w:szCs w:val="21"/>
              </w:rPr>
            </w:pPr>
            <w:r>
              <w:rPr>
                <w:rFonts w:ascii="Times New Roman"/>
                <w:sz w:val="21"/>
              </w:rPr>
              <w:t>17,870,941.81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31" w:right="0"/>
              <w:jc w:val="left"/>
              <w:rPr>
                <w:rFonts w:ascii="Times New Roman" w:hAnsi="Times New Roman" w:cs="Times New Roman" w:eastAsia="Times New Roman" w:hint="default"/>
                <w:sz w:val="21"/>
                <w:szCs w:val="21"/>
              </w:rPr>
            </w:pPr>
            <w:r>
              <w:rPr>
                <w:rFonts w:ascii="Times New Roman"/>
                <w:sz w:val="21"/>
              </w:rPr>
              <w:t>2,728,689.27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40" w:right="0"/>
              <w:jc w:val="left"/>
              <w:rPr>
                <w:rFonts w:ascii="Times New Roman" w:hAnsi="Times New Roman" w:cs="Times New Roman" w:eastAsia="Times New Roman" w:hint="default"/>
                <w:sz w:val="21"/>
                <w:szCs w:val="21"/>
              </w:rPr>
            </w:pPr>
            <w:r>
              <w:rPr>
                <w:rFonts w:ascii="Times New Roman"/>
                <w:sz w:val="21"/>
              </w:rPr>
              <w:t>12,862,126.62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29" w:right="0"/>
              <w:jc w:val="left"/>
              <w:rPr>
                <w:rFonts w:ascii="Times New Roman" w:hAnsi="Times New Roman" w:cs="Times New Roman" w:eastAsia="Times New Roman" w:hint="default"/>
                <w:sz w:val="21"/>
                <w:szCs w:val="21"/>
              </w:rPr>
            </w:pPr>
            <w:r>
              <w:rPr>
                <w:rFonts w:ascii="Times New Roman"/>
                <w:sz w:val="21"/>
              </w:rPr>
              <w:t>1,947,535.49</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160" w:left="124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2,362,485.47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590,621.37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12,094,483.52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pacing w:val="-1"/>
                <w:sz w:val="21"/>
              </w:rPr>
              <w:t>2,199,577.85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8,756,934.16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1,466,404.57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5,131,035.25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871,607.73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2,650,000.00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397,500.00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3,341,666.67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507,916.67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399,542.16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49,942.77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485,717.92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60,714.74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待弥补亏损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25,049,780.68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5,805,245.87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13,312,635.76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2,947,316.93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13,419,376.32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2,062,614.56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10,496,898.48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1,614,157.41</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70,509,060.60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13,101,018.41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57,724,564.22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10,148,826.82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6"/>
          <w:pgSz w:w="11910" w:h="16840"/>
          <w:pgMar w:footer="974" w:header="0"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160" w:left="1580" w:right="1040"/>
          <w:cols w:num="2" w:equalWidth="0">
            <w:col w:w="3336" w:space="318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6"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w:t>
            </w:r>
            <w:r>
              <w:rPr>
                <w:rFonts w:ascii="宋体" w:hAnsi="宋体" w:cs="宋体" w:eastAsia="宋体" w:hint="default"/>
                <w:sz w:val="21"/>
                <w:szCs w:val="21"/>
              </w:rPr>
              <w:t>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925,642.47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138,846.37</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925,642.47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138,846.37</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pStyle w:val="Heading2"/>
        <w:spacing w:line="240" w:lineRule="auto" w:before="36"/>
        <w:ind w:right="227"/>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145"/>
        <w:ind w:left="218" w:right="227"/>
        <w:jc w:val="left"/>
      </w:pPr>
      <w:r>
        <w:rPr/>
        <w:t>□适用</w:t>
      </w:r>
      <w:r>
        <w:rPr>
          <w:spacing w:val="-1"/>
        </w:rPr>
        <w:t> </w:t>
      </w:r>
      <w:r>
        <w:rPr/>
        <w:t>√不适用</w:t>
      </w:r>
    </w:p>
    <w:p>
      <w:pPr>
        <w:pStyle w:val="Heading2"/>
        <w:spacing w:line="240" w:lineRule="auto" w:before="145"/>
        <w:ind w:right="22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145"/>
        <w:ind w:left="218" w:right="227"/>
        <w:jc w:val="left"/>
      </w:pPr>
      <w:r>
        <w:rPr/>
        <w:t>□适用</w:t>
      </w:r>
      <w:r>
        <w:rPr>
          <w:spacing w:val="-1"/>
        </w:rPr>
        <w:t> </w:t>
      </w:r>
      <w:r>
        <w:rPr/>
        <w:t>√不适用</w:t>
      </w:r>
    </w:p>
    <w:p>
      <w:pPr>
        <w:pStyle w:val="Heading2"/>
        <w:spacing w:line="240" w:lineRule="auto" w:before="145"/>
        <w:ind w:right="22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145"/>
        <w:ind w:left="218" w:right="227"/>
        <w:jc w:val="left"/>
      </w:pPr>
      <w:r>
        <w:rPr/>
        <w:t>□适用</w:t>
      </w:r>
      <w:r>
        <w:rPr>
          <w:spacing w:val="-1"/>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29</w:t>
      </w:r>
      <w:r>
        <w:rPr/>
        <w:t>、</w:t>
      </w:r>
      <w:r>
        <w:rPr>
          <w:spacing w:val="-27"/>
        </w:rPr>
        <w:t> </w:t>
      </w:r>
      <w:r>
        <w:rPr/>
        <w:t>以公允价值计量且其变动计入当期损益的金融负债</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30</w:t>
      </w:r>
      <w:r>
        <w:rPr/>
        <w:t>、</w:t>
      </w:r>
      <w:r>
        <w:rPr>
          <w:spacing w:val="-24"/>
        </w:rPr>
        <w:t> </w:t>
      </w:r>
      <w:r>
        <w:rPr/>
        <w:t>衍生金融负债</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31</w:t>
      </w:r>
      <w:r>
        <w:rPr/>
        <w:t>、</w:t>
      </w:r>
      <w:r>
        <w:rPr>
          <w:spacing w:val="-25"/>
        </w:rPr>
        <w:t> </w:t>
      </w:r>
      <w:r>
        <w:rPr/>
        <w:t>应付票据</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1795" w:space="4938"/>
            <w:col w:w="2557"/>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2,066,809.00</w:t>
            </w:r>
          </w:p>
        </w:tc>
      </w:tr>
      <w:tr>
        <w:trPr>
          <w:trHeight w:val="355"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
              <w:jc w:val="right"/>
              <w:rPr>
                <w:rFonts w:ascii="Times New Roman" w:hAnsi="Times New Roman" w:cs="Times New Roman" w:eastAsia="Times New Roman" w:hint="default"/>
                <w:sz w:val="21"/>
                <w:szCs w:val="21"/>
              </w:rPr>
            </w:pPr>
            <w:r>
              <w:rPr>
                <w:rFonts w:ascii="Times New Roman"/>
                <w:spacing w:val="-1"/>
                <w:sz w:val="21"/>
              </w:rPr>
              <w:t>47,802,071.25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63,705,995.94</w:t>
            </w:r>
          </w:p>
        </w:tc>
      </w:tr>
      <w:tr>
        <w:trPr>
          <w:trHeight w:val="355"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47,802,071.25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65,772,804.94</w:t>
            </w:r>
          </w:p>
        </w:tc>
      </w:tr>
    </w:tbl>
    <w:p>
      <w:pPr>
        <w:pStyle w:val="BodyText"/>
        <w:spacing w:line="241" w:lineRule="exact"/>
        <w:ind w:left="218" w:right="227"/>
        <w:jc w:val="left"/>
      </w:pPr>
      <w:r>
        <w:rPr/>
        <w:t>本期末已到期未支付的应付票据总额为</w:t>
      </w:r>
      <w:r>
        <w:rPr>
          <w:spacing w:val="-52"/>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32</w:t>
      </w:r>
      <w:r>
        <w:rPr/>
        <w:t>、</w:t>
      </w:r>
      <w:r>
        <w:rPr>
          <w:spacing w:val="-25"/>
        </w:rPr>
        <w:t> </w:t>
      </w:r>
      <w:r>
        <w:rPr/>
        <w:t>应付账款</w:t>
      </w:r>
      <w:r>
        <w:rPr>
          <w:b w:val="0"/>
          <w:bCs w:val="0"/>
        </w:rPr>
      </w:r>
    </w:p>
    <w:p>
      <w:pPr>
        <w:pStyle w:val="Heading2"/>
        <w:spacing w:line="240" w:lineRule="auto" w:before="56"/>
        <w:ind w:right="227"/>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left="218" w:right="227"/>
        <w:jc w:val="left"/>
      </w:pPr>
      <w:r>
        <w:rPr/>
        <w:t>√适用</w:t>
      </w:r>
      <w:r>
        <w:rPr>
          <w:spacing w:val="-1"/>
        </w:rPr>
        <w:t> </w:t>
      </w:r>
      <w:r>
        <w:rPr/>
        <w:t>□不适用</w:t>
      </w:r>
    </w:p>
    <w:p>
      <w:pPr>
        <w:spacing w:after="0" w:line="240" w:lineRule="auto"/>
        <w:jc w:val="left"/>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65,316,010.83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36,898,424.02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8,122,217.41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3,427,830.13</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1,002,930.15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1,686,883.95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2,221,287.90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1,532,780.00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76,662,446.29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43,545,918.10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7"/>
          <w:pgSz w:w="11910" w:h="16840"/>
          <w:pgMar w:footer="974" w:header="0" w:top="1120" w:bottom="1160" w:left="1580" w:right="1040"/>
          <w:pgNumType w:start="121"/>
        </w:sectPr>
      </w:pPr>
    </w:p>
    <w:p>
      <w:pPr>
        <w:pStyle w:val="Heading2"/>
        <w:spacing w:line="240" w:lineRule="auto" w:before="36"/>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1"/>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3567" w:space="316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供应商一</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1,580,613.06</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供应商二</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1,457,280.00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供应商三</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1,230,858.62</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供应商四</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1,151,282.05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未到合同约定付款期限</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5,420,033.73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580" w:right="1040"/>
        </w:sectPr>
      </w:pPr>
    </w:p>
    <w:p>
      <w:pPr>
        <w:pStyle w:val="Heading2"/>
        <w:spacing w:line="240" w:lineRule="auto" w:before="36"/>
        <w:ind w:right="-19"/>
        <w:jc w:val="left"/>
        <w:rPr>
          <w:b w:val="0"/>
          <w:bCs w:val="0"/>
        </w:rPr>
      </w:pPr>
      <w:r>
        <w:rPr>
          <w:rFonts w:ascii="宋体" w:hAnsi="宋体" w:cs="宋体" w:eastAsia="宋体" w:hint="default"/>
        </w:rPr>
        <w:t>33</w:t>
      </w:r>
      <w:r>
        <w:rPr/>
        <w:t>、</w:t>
      </w:r>
      <w:r>
        <w:rPr>
          <w:spacing w:val="-25"/>
        </w:rPr>
        <w:t> </w:t>
      </w:r>
      <w:r>
        <w:rPr/>
        <w:t>预收款项</w:t>
      </w:r>
      <w:r>
        <w:rPr>
          <w:b w:val="0"/>
          <w:bCs w:val="0"/>
        </w:rPr>
      </w:r>
    </w:p>
    <w:p>
      <w:pPr>
        <w:pStyle w:val="Heading2"/>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2225" w:space="4508"/>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140,844,467.88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94,761,794.36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33,993,785.77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29,602,278.09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8,479,303.61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1,837,814.47</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486,051.28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535,343.07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183,803,608.54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126,737,229.99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160" w:left="1580" w:right="1040"/>
        </w:sectPr>
      </w:pPr>
    </w:p>
    <w:p>
      <w:pPr>
        <w:pStyle w:val="Heading2"/>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3507" w:space="322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预收客户一</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12,259,621.24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预收客户二</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11,953,561.20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预收客户三</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5,444,444.45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项目未验收</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29,657,626.89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580" w:right="1040"/>
        </w:sectPr>
      </w:pPr>
    </w:p>
    <w:p>
      <w:pPr>
        <w:pStyle w:val="Heading2"/>
        <w:spacing w:line="290" w:lineRule="auto" w:before="36"/>
        <w:ind w:right="-16"/>
        <w:jc w:val="left"/>
        <w:rPr>
          <w:b w:val="0"/>
          <w:bCs w:val="0"/>
        </w:rPr>
      </w:pPr>
      <w:r>
        <w:rPr>
          <w:rFonts w:ascii="宋体" w:hAnsi="宋体" w:cs="宋体" w:eastAsia="宋体" w:hint="default"/>
        </w:rPr>
        <w:t>34</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2544" w:space="418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19"/>
        <w:gridCol w:w="1610"/>
        <w:gridCol w:w="1608"/>
        <w:gridCol w:w="1610"/>
        <w:gridCol w:w="1621"/>
      </w:tblGrid>
      <w:tr>
        <w:trPr>
          <w:trHeight w:val="413" w:hRule="exact"/>
        </w:trPr>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8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319"/>
        <w:gridCol w:w="1610"/>
        <w:gridCol w:w="1608"/>
        <w:gridCol w:w="1610"/>
        <w:gridCol w:w="1621"/>
      </w:tblGrid>
      <w:tr>
        <w:trPr>
          <w:trHeight w:val="413" w:hRule="exact"/>
        </w:trPr>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39"/>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21"/>
                <w:szCs w:val="21"/>
              </w:rPr>
            </w:pPr>
            <w:r>
              <w:rPr>
                <w:rFonts w:ascii="Times New Roman"/>
                <w:spacing w:val="-1"/>
                <w:sz w:val="21"/>
              </w:rPr>
              <w:t>12,783,422.70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Times New Roman" w:hAnsi="Times New Roman" w:cs="Times New Roman" w:eastAsia="Times New Roman" w:hint="default"/>
                <w:sz w:val="21"/>
                <w:szCs w:val="21"/>
              </w:rPr>
            </w:pPr>
            <w:r>
              <w:rPr>
                <w:rFonts w:ascii="Times New Roman"/>
                <w:spacing w:val="-1"/>
                <w:sz w:val="21"/>
              </w:rPr>
              <w:t>80,000,855.14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Times New Roman" w:hAnsi="Times New Roman" w:cs="Times New Roman" w:eastAsia="Times New Roman" w:hint="default"/>
                <w:sz w:val="21"/>
                <w:szCs w:val="21"/>
              </w:rPr>
            </w:pPr>
            <w:r>
              <w:rPr>
                <w:rFonts w:ascii="Times New Roman"/>
                <w:spacing w:val="-1"/>
                <w:sz w:val="21"/>
              </w:rPr>
              <w:t>76,463,061.03</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6"/>
              <w:jc w:val="right"/>
              <w:rPr>
                <w:rFonts w:ascii="Times New Roman" w:hAnsi="Times New Roman" w:cs="Times New Roman" w:eastAsia="Times New Roman" w:hint="default"/>
                <w:sz w:val="21"/>
                <w:szCs w:val="21"/>
              </w:rPr>
            </w:pPr>
            <w:r>
              <w:rPr>
                <w:rFonts w:ascii="Times New Roman"/>
                <w:spacing w:val="-1"/>
                <w:sz w:val="21"/>
              </w:rPr>
              <w:t>16,321,216.81</w:t>
            </w:r>
          </w:p>
        </w:tc>
      </w:tr>
      <w:tr>
        <w:trPr>
          <w:trHeight w:val="559" w:hRule="exact"/>
        </w:trPr>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4"/>
                <w:w w:val="100"/>
                <w:sz w:val="21"/>
                <w:szCs w:val="21"/>
              </w:rPr>
              <w:t>、</w:t>
            </w:r>
            <w:r>
              <w:rPr>
                <w:rFonts w:ascii="宋体" w:hAnsi="宋体" w:cs="宋体" w:eastAsia="宋体" w:hint="default"/>
                <w:w w:val="100"/>
                <w:sz w:val="21"/>
                <w:szCs w:val="21"/>
              </w:rPr>
              <w:t>离</w:t>
            </w:r>
            <w:r>
              <w:rPr>
                <w:rFonts w:ascii="宋体" w:hAnsi="宋体" w:cs="宋体" w:eastAsia="宋体" w:hint="default"/>
                <w:spacing w:val="-3"/>
                <w:w w:val="100"/>
                <w:sz w:val="21"/>
                <w:szCs w:val="21"/>
              </w:rPr>
              <w:t>职</w:t>
            </w:r>
            <w:r>
              <w:rPr>
                <w:rFonts w:ascii="宋体" w:hAnsi="宋体" w:cs="宋体" w:eastAsia="宋体" w:hint="default"/>
                <w:w w:val="100"/>
                <w:sz w:val="21"/>
                <w:szCs w:val="21"/>
              </w:rPr>
              <w:t>后</w:t>
            </w:r>
            <w:r>
              <w:rPr>
                <w:rFonts w:ascii="宋体" w:hAnsi="宋体" w:cs="宋体" w:eastAsia="宋体" w:hint="default"/>
                <w:spacing w:val="-3"/>
                <w:w w:val="100"/>
                <w:sz w:val="21"/>
                <w:szCs w:val="21"/>
              </w:rPr>
              <w:t>福</w:t>
            </w:r>
            <w:r>
              <w:rPr>
                <w:rFonts w:ascii="宋体" w:hAnsi="宋体" w:cs="宋体" w:eastAsia="宋体" w:hint="default"/>
                <w:spacing w:val="-1"/>
                <w:w w:val="100"/>
                <w:sz w:val="21"/>
                <w:szCs w:val="21"/>
              </w:rPr>
              <w:t>利</w:t>
            </w:r>
            <w:r>
              <w:rPr>
                <w:rFonts w:ascii="宋体" w:hAnsi="宋体" w:cs="宋体" w:eastAsia="宋体" w:hint="default"/>
                <w:spacing w:val="-3"/>
                <w:w w:val="100"/>
                <w:sz w:val="21"/>
                <w:szCs w:val="21"/>
              </w:rPr>
              <w:t>-</w:t>
            </w:r>
            <w:r>
              <w:rPr>
                <w:rFonts w:ascii="宋体" w:hAnsi="宋体" w:cs="宋体" w:eastAsia="宋体" w:hint="default"/>
                <w:w w:val="100"/>
                <w:sz w:val="21"/>
                <w:szCs w:val="21"/>
              </w:rPr>
              <w:t>设</w:t>
            </w:r>
            <w:r>
              <w:rPr>
                <w:rFonts w:ascii="宋体" w:hAnsi="宋体" w:cs="宋体" w:eastAsia="宋体" w:hint="default"/>
                <w:spacing w:val="-3"/>
                <w:w w:val="100"/>
                <w:sz w:val="21"/>
                <w:szCs w:val="21"/>
              </w:rPr>
              <w:t>定</w:t>
            </w:r>
            <w:r>
              <w:rPr>
                <w:rFonts w:ascii="宋体" w:hAnsi="宋体" w:cs="宋体" w:eastAsia="宋体" w:hint="default"/>
                <w:w w:val="100"/>
                <w:sz w:val="21"/>
                <w:szCs w:val="21"/>
              </w:rPr>
              <w:t>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存计划</w:t>
            </w:r>
          </w:p>
        </w:tc>
        <w:tc>
          <w:tcPr>
            <w:tcW w:w="161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21,582.55</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7,615,740.41</w:t>
            </w:r>
          </w:p>
        </w:tc>
        <w:tc>
          <w:tcPr>
            <w:tcW w:w="16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7,627,431.07</w:t>
            </w:r>
          </w:p>
        </w:tc>
        <w:tc>
          <w:tcPr>
            <w:tcW w:w="16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9,891.89</w:t>
            </w:r>
          </w:p>
        </w:tc>
      </w:tr>
      <w:tr>
        <w:trPr>
          <w:trHeight w:val="413" w:hRule="exact"/>
        </w:trPr>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39"/>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610"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610"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39"/>
              <w:jc w:val="right"/>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5"/>
              <w:ind w:left="288" w:right="0"/>
              <w:jc w:val="left"/>
              <w:rPr>
                <w:rFonts w:ascii="Times New Roman" w:hAnsi="Times New Roman" w:cs="Times New Roman" w:eastAsia="Times New Roman" w:hint="default"/>
                <w:sz w:val="21"/>
                <w:szCs w:val="21"/>
              </w:rPr>
            </w:pPr>
            <w:r>
              <w:rPr>
                <w:rFonts w:ascii="Times New Roman"/>
                <w:sz w:val="21"/>
              </w:rPr>
              <w:t>12,805,005.25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87,616,595.55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84,090,492.10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16,331,108.70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20" w:bottom="1160" w:left="1580" w:right="1040"/>
        </w:sectPr>
      </w:pPr>
    </w:p>
    <w:p>
      <w:pPr>
        <w:pStyle w:val="Heading2"/>
        <w:spacing w:line="240" w:lineRule="auto" w:before="26"/>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18" w:right="0"/>
        <w:jc w:val="left"/>
      </w:pPr>
      <w:r>
        <w:rPr/>
        <w:t>单位：元币种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2122" w:space="4717"/>
            <w:col w:w="24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40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12,522,370.62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66,952,297.06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63,317,183.09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16,157,484.59</w:t>
            </w:r>
          </w:p>
        </w:tc>
      </w:tr>
      <w:tr>
        <w:trPr>
          <w:trHeight w:val="40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240.00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1,319,308.87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1,319,548.87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23,549.28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3,432,121.37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3,439,202.70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16,467.95</w:t>
            </w:r>
          </w:p>
        </w:tc>
      </w:tr>
      <w:tr>
        <w:trPr>
          <w:trHeight w:val="40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23,226.26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3,059,636.27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3,066,196.78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16,665.75</w:t>
            </w:r>
          </w:p>
        </w:tc>
      </w:tr>
      <w:tr>
        <w:trPr>
          <w:trHeight w:val="40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124.01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181,721.63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184,410.10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-2,564.46</w:t>
            </w:r>
          </w:p>
        </w:tc>
      </w:tr>
      <w:tr>
        <w:trPr>
          <w:trHeight w:val="40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199.01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190,763.47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188,595.82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2,366.66</w:t>
            </w:r>
          </w:p>
        </w:tc>
      </w:tr>
      <w:tr>
        <w:trPr>
          <w:trHeight w:val="40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125,502.21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7,587,660.20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7,750,370.79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-37,208.38</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111,760.59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709,467.64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636,755.58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184,472.65</w:t>
            </w:r>
          </w:p>
        </w:tc>
      </w:tr>
      <w:tr>
        <w:trPr>
          <w:trHeight w:val="40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12,783,422.70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80,000,855.14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76,463,061.03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16,321,216.81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pStyle w:val="Heading2"/>
        <w:spacing w:line="240" w:lineRule="auto" w:before="2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2333" w:space="4400"/>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17,920.89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7,016,265.68</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7,035,941.27</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-1,754.70</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3,661.66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599,474.73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591,489.80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11,646.59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21,582.55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7,615,740.41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7,627,431.07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9,891.89</w:t>
            </w:r>
          </w:p>
        </w:tc>
      </w:tr>
    </w:tbl>
    <w:p>
      <w:pPr>
        <w:pStyle w:val="BodyText"/>
        <w:spacing w:line="240" w:lineRule="exact"/>
        <w:ind w:left="218" w:right="227"/>
        <w:jc w:val="left"/>
      </w:pPr>
      <w:r>
        <w:rPr/>
        <w:t>其他说明：</w:t>
      </w:r>
    </w:p>
    <w:p>
      <w:pPr>
        <w:pStyle w:val="BodyText"/>
        <w:spacing w:line="274" w:lineRule="exact"/>
        <w:ind w:left="218" w:right="227"/>
        <w:jc w:val="left"/>
      </w:pPr>
      <w:r>
        <w:rPr/>
        <w:t>无。</w:t>
      </w:r>
    </w:p>
    <w:p>
      <w:pPr>
        <w:spacing w:line="240" w:lineRule="auto" w:before="3"/>
        <w:rPr>
          <w:rFonts w:ascii="宋体" w:hAnsi="宋体" w:cs="宋体" w:eastAsia="宋体" w:hint="default"/>
          <w:sz w:val="22"/>
          <w:szCs w:val="22"/>
        </w:rPr>
      </w:pPr>
    </w:p>
    <w:p>
      <w:pPr>
        <w:pStyle w:val="Heading2"/>
        <w:spacing w:line="240" w:lineRule="auto" w:before="36"/>
        <w:ind w:right="227"/>
        <w:jc w:val="left"/>
        <w:rPr>
          <w:b w:val="0"/>
          <w:bCs w:val="0"/>
        </w:rPr>
      </w:pPr>
      <w:r>
        <w:rPr>
          <w:rFonts w:ascii="宋体" w:hAnsi="宋体" w:cs="宋体" w:eastAsia="宋体" w:hint="default"/>
        </w:rPr>
        <w:t>35</w:t>
      </w:r>
      <w:r>
        <w:rPr/>
        <w:t>、</w:t>
      </w:r>
      <w:r>
        <w:rPr>
          <w:spacing w:val="-25"/>
        </w:rPr>
        <w:t> </w:t>
      </w:r>
      <w:r>
        <w:rPr/>
        <w:t>应交税费</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837,510.53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7,092,733.59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79,218.70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77,041.02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5,553,824.15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8,047,250.82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209,196.98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100,063.60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176,101.83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218,700.86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125,014.77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155,444.10</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289.58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18,536.49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6,720.53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3"/>
              <w:jc w:val="right"/>
              <w:rPr>
                <w:rFonts w:ascii="Times New Roman" w:hAnsi="Times New Roman" w:cs="Times New Roman" w:eastAsia="Times New Roman" w:hint="default"/>
                <w:sz w:val="21"/>
                <w:szCs w:val="21"/>
              </w:rPr>
            </w:pPr>
            <w:r>
              <w:rPr>
                <w:rFonts w:ascii="Times New Roman"/>
                <w:spacing w:val="-1"/>
                <w:sz w:val="21"/>
              </w:rPr>
              <w:t>4,678.30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3,350.68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26,626.48</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1,975.15</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9"/>
              <w:jc w:val="right"/>
              <w:rPr>
                <w:rFonts w:ascii="Times New Roman" w:hAnsi="Times New Roman" w:cs="Times New Roman" w:eastAsia="Times New Roman" w:hint="default"/>
                <w:sz w:val="21"/>
                <w:szCs w:val="21"/>
              </w:rPr>
            </w:pPr>
            <w:r>
              <w:rPr>
                <w:rFonts w:ascii="Times New Roman"/>
                <w:spacing w:val="-1"/>
                <w:sz w:val="21"/>
              </w:rPr>
              <w:t>7,032,683.38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15,701,594.78</w:t>
            </w:r>
          </w:p>
        </w:tc>
      </w:tr>
    </w:tbl>
    <w:p>
      <w:pPr>
        <w:spacing w:line="240" w:lineRule="auto" w:before="7"/>
        <w:rPr>
          <w:rFonts w:ascii="宋体" w:hAnsi="宋体" w:cs="宋体" w:eastAsia="宋体" w:hint="default"/>
          <w:sz w:val="15"/>
          <w:szCs w:val="15"/>
        </w:rPr>
      </w:pPr>
    </w:p>
    <w:p>
      <w:pPr>
        <w:pStyle w:val="BodyText"/>
        <w:spacing w:line="272" w:lineRule="exact" w:before="64"/>
        <w:ind w:left="218" w:right="7998"/>
        <w:jc w:val="left"/>
      </w:pPr>
      <w:r>
        <w:rPr/>
        <w:t>其他说明：</w:t>
      </w:r>
      <w:r>
        <w:rPr>
          <w:spacing w:val="-102"/>
        </w:rPr>
        <w:t> </w:t>
      </w:r>
      <w:r>
        <w:rPr>
          <w:spacing w:val="-102"/>
        </w:rPr>
      </w:r>
      <w:r>
        <w:rPr/>
        <w:t>无。</w:t>
      </w:r>
    </w:p>
    <w:p>
      <w:pPr>
        <w:spacing w:line="240" w:lineRule="auto" w:before="5"/>
        <w:rPr>
          <w:rFonts w:ascii="宋体" w:hAnsi="宋体" w:cs="宋体" w:eastAsia="宋体" w:hint="default"/>
          <w:sz w:val="23"/>
          <w:szCs w:val="23"/>
        </w:rPr>
      </w:pPr>
    </w:p>
    <w:p>
      <w:pPr>
        <w:pStyle w:val="Heading2"/>
        <w:spacing w:line="240" w:lineRule="auto"/>
        <w:ind w:right="227"/>
        <w:jc w:val="left"/>
        <w:rPr>
          <w:b w:val="0"/>
          <w:bCs w:val="0"/>
        </w:rPr>
      </w:pPr>
      <w:r>
        <w:rPr>
          <w:rFonts w:ascii="宋体" w:hAnsi="宋体" w:cs="宋体" w:eastAsia="宋体" w:hint="default"/>
        </w:rPr>
        <w:t>36</w:t>
      </w:r>
      <w:r>
        <w:rPr/>
        <w:t>、</w:t>
      </w:r>
      <w:r>
        <w:rPr>
          <w:spacing w:val="-25"/>
        </w:rPr>
        <w:t> </w:t>
      </w:r>
      <w:r>
        <w:rPr/>
        <w:t>应付利息</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37</w:t>
      </w:r>
      <w:r>
        <w:rPr/>
        <w:t>、</w:t>
      </w:r>
      <w:r>
        <w:rPr>
          <w:spacing w:val="-25"/>
        </w:rPr>
        <w:t> </w:t>
      </w:r>
      <w:r>
        <w:rPr/>
        <w:t>应付股利</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38</w:t>
      </w:r>
      <w:r>
        <w:rPr/>
        <w:t>、</w:t>
      </w:r>
      <w:r>
        <w:rPr>
          <w:spacing w:val="-25"/>
        </w:rPr>
        <w:t> </w:t>
      </w: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3276" w:space="345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20,420,407.43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12,429,821.79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4,722,059.05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309,674.41</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108,699.01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51,336.64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275,400.00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271,900.00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25,526,565.49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13,062,732.84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pStyle w:val="Heading2"/>
        <w:spacing w:line="240" w:lineRule="auto" w:before="26"/>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3718" w:space="301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其他应付客户一</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1,566,742.00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其他应付客户二</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1,064,398.00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计提免租期租金</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其他应付客户三</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374,000.00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装修质保金</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3,005,140.00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218" w:right="8208"/>
        <w:jc w:val="left"/>
      </w:pPr>
      <w:r>
        <w:rPr/>
        <w:t>其他说明</w:t>
      </w:r>
      <w:r>
        <w:rPr>
          <w:w w:val="100"/>
        </w:rPr>
        <w:t> </w:t>
      </w:r>
      <w:r>
        <w:rPr/>
        <w:t>无。</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39</w:t>
      </w:r>
      <w:r>
        <w:rPr/>
        <w:t>、</w:t>
      </w:r>
      <w:r>
        <w:rPr>
          <w:spacing w:val="-26"/>
        </w:rPr>
        <w:t> </w:t>
      </w:r>
      <w:r>
        <w:rPr/>
        <w:t>划分为持有待售的负债</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40</w:t>
      </w:r>
      <w:r>
        <w:rPr/>
        <w:t>、 </w:t>
      </w:r>
      <w:r>
        <w:rPr>
          <w:rFonts w:ascii="Calibri" w:hAnsi="Calibri" w:cs="Calibri" w:eastAsia="Calibri" w:hint="default"/>
        </w:rPr>
        <w:t>1</w:t>
      </w:r>
      <w:r>
        <w:rPr>
          <w:rFonts w:ascii="Calibri" w:hAnsi="Calibri" w:cs="Calibri" w:eastAsia="Calibri" w:hint="default"/>
          <w:spacing w:val="-19"/>
        </w:rPr>
        <w:t> </w:t>
      </w:r>
      <w:r>
        <w:rPr/>
        <w:t>年内到期的非流动负债</w:t>
      </w:r>
      <w:r>
        <w:rPr>
          <w:b w:val="0"/>
          <w:bCs w:val="0"/>
        </w:rPr>
      </w:r>
    </w:p>
    <w:p>
      <w:pPr>
        <w:pStyle w:val="BodyText"/>
        <w:spacing w:line="240" w:lineRule="auto" w:before="32"/>
        <w:ind w:left="218" w:right="227"/>
        <w:jc w:val="left"/>
      </w:pPr>
      <w:r>
        <w:rPr/>
        <w:t>□适用</w:t>
      </w:r>
      <w:r>
        <w:rPr>
          <w:spacing w:val="-1"/>
        </w:rPr>
        <w:t> </w:t>
      </w:r>
      <w:r>
        <w:rPr/>
        <w:t>√不适用</w:t>
      </w:r>
    </w:p>
    <w:p>
      <w:pPr>
        <w:spacing w:after="0" w:line="240" w:lineRule="auto"/>
        <w:jc w:val="left"/>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line="290" w:lineRule="auto" w:before="36"/>
        <w:ind w:left="158" w:right="7199" w:firstLine="0"/>
        <w:jc w:val="left"/>
        <w:rPr>
          <w:rFonts w:ascii="宋体" w:hAnsi="宋体" w:cs="宋体" w:eastAsia="宋体" w:hint="default"/>
          <w:sz w:val="21"/>
          <w:szCs w:val="21"/>
        </w:rPr>
      </w:pP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40" w:lineRule="auto"/>
        <w:ind w:left="158" w:right="3302"/>
        <w:jc w:val="left"/>
        <w:rPr>
          <w:b w:val="0"/>
          <w:bCs w:val="0"/>
        </w:rPr>
      </w:pPr>
      <w:r>
        <w:rPr>
          <w:rFonts w:ascii="宋体" w:hAnsi="宋体" w:cs="宋体" w:eastAsia="宋体" w:hint="default"/>
        </w:rPr>
        <w:t>42</w:t>
      </w:r>
      <w:r>
        <w:rPr/>
        <w:t>、</w:t>
      </w:r>
      <w:r>
        <w:rPr>
          <w:spacing w:val="-25"/>
        </w:rPr>
        <w:t> </w:t>
      </w:r>
      <w:r>
        <w:rPr/>
        <w:t>长期借款</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43</w:t>
      </w:r>
      <w:r>
        <w:rPr/>
        <w:t>、</w:t>
      </w:r>
      <w:r>
        <w:rPr>
          <w:spacing w:val="-25"/>
        </w:rPr>
        <w:t> </w:t>
      </w:r>
      <w:r>
        <w:rPr/>
        <w:t>应付债券</w:t>
      </w:r>
      <w:r>
        <w:rPr>
          <w:b w:val="0"/>
          <w:bCs w:val="0"/>
        </w:rPr>
      </w:r>
    </w:p>
    <w:p>
      <w:pPr>
        <w:pStyle w:val="BodyText"/>
        <w:spacing w:line="240" w:lineRule="auto" w:before="58"/>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44</w:t>
      </w:r>
      <w:r>
        <w:rPr/>
        <w:t>、</w:t>
      </w:r>
      <w:r>
        <w:rPr>
          <w:spacing w:val="-25"/>
        </w:rPr>
        <w:t> </w:t>
      </w:r>
      <w:r>
        <w:rPr/>
        <w:t>长期应付款</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45</w:t>
      </w:r>
      <w:r>
        <w:rPr/>
        <w:t>、</w:t>
      </w:r>
      <w:r>
        <w:rPr>
          <w:spacing w:val="-24"/>
        </w:rPr>
        <w:t> </w:t>
      </w:r>
      <w:r>
        <w:rPr/>
        <w:t>长期应付职工薪酬</w:t>
      </w:r>
      <w:r>
        <w:rPr>
          <w:b w:val="0"/>
          <w:bCs w:val="0"/>
        </w:rPr>
      </w:r>
    </w:p>
    <w:p>
      <w:pPr>
        <w:pStyle w:val="BodyText"/>
        <w:spacing w:line="240" w:lineRule="auto" w:before="58"/>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46</w:t>
      </w:r>
      <w:r>
        <w:rPr/>
        <w:t>、</w:t>
      </w:r>
      <w:r>
        <w:rPr>
          <w:spacing w:val="-25"/>
        </w:rPr>
        <w:t> </w:t>
      </w:r>
      <w:r>
        <w:rPr/>
        <w:t>专项应付款</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47</w:t>
      </w:r>
      <w:r>
        <w:rPr/>
        <w:t>、</w:t>
      </w:r>
      <w:r>
        <w:rPr>
          <w:spacing w:val="-25"/>
        </w:rPr>
        <w:t> </w:t>
      </w:r>
      <w:r>
        <w:rPr/>
        <w:t>预计负债</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640" w:right="1120"/>
        </w:sectPr>
      </w:pPr>
    </w:p>
    <w:p>
      <w:pPr>
        <w:pStyle w:val="Heading2"/>
        <w:spacing w:line="240" w:lineRule="auto" w:before="36"/>
        <w:ind w:left="158" w:right="-18"/>
        <w:jc w:val="left"/>
        <w:rPr>
          <w:b w:val="0"/>
          <w:bCs w:val="0"/>
        </w:rPr>
      </w:pPr>
      <w:r>
        <w:rPr>
          <w:rFonts w:ascii="宋体" w:hAnsi="宋体" w:cs="宋体" w:eastAsia="宋体" w:hint="default"/>
        </w:rPr>
        <w:t>48</w:t>
      </w:r>
      <w:r>
        <w:rPr/>
        <w:t>、</w:t>
      </w:r>
      <w:r>
        <w:rPr>
          <w:spacing w:val="-25"/>
        </w:rPr>
        <w:t> </w:t>
      </w:r>
      <w:r>
        <w:rPr/>
        <w:t>递延收益</w:t>
      </w:r>
      <w:r>
        <w:rPr>
          <w:b w:val="0"/>
          <w:bCs w:val="0"/>
        </w:rPr>
      </w:r>
    </w:p>
    <w:p>
      <w:pPr>
        <w:pStyle w:val="BodyText"/>
        <w:spacing w:line="240" w:lineRule="auto" w:before="58"/>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160" w:left="1640" w:right="1120"/>
          <w:cols w:num="2" w:equalWidth="0">
            <w:col w:w="1735" w:space="5206"/>
            <w:col w:w="220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41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1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02" w:right="0"/>
              <w:jc w:val="left"/>
              <w:rPr>
                <w:rFonts w:ascii="Times New Roman" w:hAnsi="Times New Roman" w:cs="Times New Roman" w:eastAsia="Times New Roman" w:hint="default"/>
                <w:sz w:val="21"/>
                <w:szCs w:val="21"/>
              </w:rPr>
            </w:pPr>
            <w:r>
              <w:rPr>
                <w:rFonts w:ascii="Times New Roman"/>
                <w:sz w:val="21"/>
              </w:rPr>
              <w:t>3,341,666.67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16" w:right="0"/>
              <w:jc w:val="left"/>
              <w:rPr>
                <w:rFonts w:ascii="Times New Roman" w:hAnsi="Times New Roman" w:cs="Times New Roman" w:eastAsia="Times New Roman" w:hint="default"/>
                <w:sz w:val="21"/>
                <w:szCs w:val="21"/>
              </w:rPr>
            </w:pPr>
            <w:r>
              <w:rPr>
                <w:rFonts w:ascii="Times New Roman"/>
                <w:sz w:val="21"/>
              </w:rPr>
              <w:t>6,170,000.00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00" w:right="0"/>
              <w:jc w:val="left"/>
              <w:rPr>
                <w:rFonts w:ascii="Times New Roman" w:hAnsi="Times New Roman" w:cs="Times New Roman" w:eastAsia="Times New Roman" w:hint="default"/>
                <w:sz w:val="21"/>
                <w:szCs w:val="21"/>
              </w:rPr>
            </w:pPr>
            <w:r>
              <w:rPr>
                <w:rFonts w:ascii="Times New Roman"/>
                <w:sz w:val="21"/>
              </w:rPr>
              <w:t>6,861,666.67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347" w:right="0"/>
              <w:jc w:val="left"/>
              <w:rPr>
                <w:rFonts w:ascii="Times New Roman" w:hAnsi="Times New Roman" w:cs="Times New Roman" w:eastAsia="Times New Roman" w:hint="default"/>
                <w:sz w:val="21"/>
                <w:szCs w:val="21"/>
              </w:rPr>
            </w:pPr>
            <w:r>
              <w:rPr>
                <w:rFonts w:ascii="Times New Roman"/>
                <w:sz w:val="21"/>
              </w:rPr>
              <w:t>2,650,000.00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政府拨款</w:t>
            </w:r>
          </w:p>
        </w:tc>
      </w:tr>
      <w:tr>
        <w:trPr>
          <w:trHeight w:val="41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02" w:right="0"/>
              <w:jc w:val="left"/>
              <w:rPr>
                <w:rFonts w:ascii="Times New Roman" w:hAnsi="Times New Roman" w:cs="Times New Roman" w:eastAsia="Times New Roman" w:hint="default"/>
                <w:sz w:val="21"/>
                <w:szCs w:val="21"/>
              </w:rPr>
            </w:pPr>
            <w:r>
              <w:rPr>
                <w:rFonts w:ascii="Times New Roman"/>
                <w:sz w:val="21"/>
              </w:rPr>
              <w:t>3,341,666.67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16" w:right="0"/>
              <w:jc w:val="left"/>
              <w:rPr>
                <w:rFonts w:ascii="Times New Roman" w:hAnsi="Times New Roman" w:cs="Times New Roman" w:eastAsia="Times New Roman" w:hint="default"/>
                <w:sz w:val="21"/>
                <w:szCs w:val="21"/>
              </w:rPr>
            </w:pPr>
            <w:r>
              <w:rPr>
                <w:rFonts w:ascii="Times New Roman"/>
                <w:sz w:val="21"/>
              </w:rPr>
              <w:t>6,170,000.00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00" w:right="0"/>
              <w:jc w:val="left"/>
              <w:rPr>
                <w:rFonts w:ascii="Times New Roman" w:hAnsi="Times New Roman" w:cs="Times New Roman" w:eastAsia="Times New Roman" w:hint="default"/>
                <w:sz w:val="21"/>
                <w:szCs w:val="21"/>
              </w:rPr>
            </w:pPr>
            <w:r>
              <w:rPr>
                <w:rFonts w:ascii="Times New Roman"/>
                <w:sz w:val="21"/>
              </w:rPr>
              <w:t>6,861,666.67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347" w:right="0"/>
              <w:jc w:val="left"/>
              <w:rPr>
                <w:rFonts w:ascii="Times New Roman" w:hAnsi="Times New Roman" w:cs="Times New Roman" w:eastAsia="Times New Roman" w:hint="default"/>
                <w:sz w:val="21"/>
                <w:szCs w:val="21"/>
              </w:rPr>
            </w:pPr>
            <w:r>
              <w:rPr>
                <w:rFonts w:ascii="Times New Roman"/>
                <w:sz w:val="21"/>
              </w:rPr>
              <w:t>2,650,000.00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58" w:right="3302"/>
        <w:jc w:val="left"/>
      </w:pPr>
      <w:r>
        <w:rPr/>
        <w:t>涉及政府补助的项目：</w:t>
      </w:r>
    </w:p>
    <w:p>
      <w:pPr>
        <w:pStyle w:val="BodyText"/>
        <w:spacing w:line="240" w:lineRule="auto" w:before="56"/>
        <w:ind w:left="0" w:right="150"/>
        <w:jc w:val="right"/>
      </w:pPr>
      <w:r>
        <w:rPr>
          <w:spacing w:val="-2"/>
        </w:rPr>
        <w:t>单位：元币种：人民币</w:t>
      </w:r>
    </w:p>
    <w:p>
      <w:pPr>
        <w:spacing w:line="240" w:lineRule="auto" w:before="1"/>
        <w:rPr>
          <w:rFonts w:ascii="宋体" w:hAnsi="宋体" w:cs="宋体" w:eastAsia="宋体" w:hint="default"/>
          <w:sz w:val="7"/>
          <w:szCs w:val="7"/>
        </w:rPr>
      </w:pPr>
    </w:p>
    <w:tbl>
      <w:tblPr>
        <w:tblW w:w="0" w:type="auto"/>
        <w:jc w:val="left"/>
        <w:tblInd w:w="122" w:type="dxa"/>
        <w:tblLayout w:type="fixed"/>
        <w:tblCellMar>
          <w:top w:w="0" w:type="dxa"/>
          <w:left w:w="0" w:type="dxa"/>
          <w:bottom w:w="0" w:type="dxa"/>
          <w:right w:w="0" w:type="dxa"/>
        </w:tblCellMar>
        <w:tblLook w:val="01E0"/>
      </w:tblPr>
      <w:tblGrid>
        <w:gridCol w:w="2425"/>
        <w:gridCol w:w="1286"/>
        <w:gridCol w:w="1287"/>
        <w:gridCol w:w="1286"/>
        <w:gridCol w:w="427"/>
        <w:gridCol w:w="1289"/>
        <w:gridCol w:w="895"/>
      </w:tblGrid>
      <w:tr>
        <w:trPr>
          <w:trHeight w:val="110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1" w:right="111" w:hanging="212"/>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3"/>
              <w:ind w:left="124" w:right="96"/>
              <w:jc w:val="center"/>
              <w:rPr>
                <w:rFonts w:ascii="宋体" w:hAnsi="宋体" w:cs="宋体" w:eastAsia="宋体" w:hint="default"/>
                <w:sz w:val="21"/>
                <w:szCs w:val="21"/>
              </w:rPr>
            </w:pPr>
            <w:r>
              <w:rPr>
                <w:rFonts w:ascii="宋体" w:hAnsi="宋体" w:cs="宋体" w:eastAsia="宋体" w:hint="default"/>
                <w:sz w:val="21"/>
                <w:szCs w:val="21"/>
              </w:rPr>
              <w:t>本期计入营</w:t>
            </w:r>
            <w:r>
              <w:rPr>
                <w:rFonts w:ascii="宋体" w:hAnsi="宋体" w:cs="宋体" w:eastAsia="宋体" w:hint="default"/>
                <w:w w:val="100"/>
                <w:sz w:val="21"/>
                <w:szCs w:val="21"/>
              </w:rPr>
              <w:t> </w:t>
            </w:r>
            <w:r>
              <w:rPr>
                <w:rFonts w:ascii="宋体" w:hAnsi="宋体" w:cs="宋体" w:eastAsia="宋体" w:hint="default"/>
                <w:sz w:val="21"/>
                <w:szCs w:val="21"/>
              </w:rPr>
              <w:t>业外收入金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37" w:lineRule="auto"/>
              <w:ind w:left="74" w:right="72"/>
              <w:jc w:val="center"/>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099"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2"/>
                <w:sz w:val="21"/>
                <w:szCs w:val="21"/>
              </w:rPr>
              <w:t>电子信息产业发展基金招</w:t>
            </w:r>
          </w:p>
          <w:p>
            <w:pPr>
              <w:pStyle w:val="TableParagraph"/>
              <w:spacing w:line="237" w:lineRule="auto"/>
              <w:ind w:left="26" w:right="21"/>
              <w:jc w:val="both"/>
              <w:rPr>
                <w:rFonts w:ascii="宋体" w:hAnsi="宋体" w:cs="宋体" w:eastAsia="宋体" w:hint="default"/>
                <w:sz w:val="21"/>
                <w:szCs w:val="21"/>
              </w:rPr>
            </w:pPr>
            <w:r>
              <w:rPr>
                <w:rFonts w:ascii="宋体" w:hAnsi="宋体" w:cs="宋体" w:eastAsia="宋体" w:hint="default"/>
                <w:spacing w:val="12"/>
                <w:sz w:val="21"/>
                <w:szCs w:val="21"/>
              </w:rPr>
              <w:t>标项目</w:t>
            </w:r>
            <w:r>
              <w:rPr>
                <w:rFonts w:ascii="宋体" w:hAnsi="宋体" w:cs="宋体" w:eastAsia="宋体" w:hint="default"/>
                <w:spacing w:val="12"/>
                <w:sz w:val="21"/>
                <w:szCs w:val="21"/>
              </w:rPr>
              <w:t>-</w:t>
            </w:r>
            <w:r>
              <w:rPr>
                <w:rFonts w:ascii="宋体" w:hAnsi="宋体" w:cs="宋体" w:eastAsia="宋体" w:hint="default"/>
                <w:spacing w:val="12"/>
                <w:sz w:val="21"/>
                <w:szCs w:val="21"/>
              </w:rPr>
              <w:t>企业内部风险管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理控制信息系统研发及产</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业化</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12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信息安全专项</w:t>
            </w:r>
            <w:r>
              <w:rPr>
                <w:rFonts w:ascii="宋体" w:hAnsi="宋体" w:cs="宋体" w:eastAsia="宋体" w:hint="default"/>
                <w:spacing w:val="12"/>
                <w:sz w:val="21"/>
                <w:szCs w:val="21"/>
              </w:rPr>
              <w:t>-</w:t>
            </w:r>
            <w:r>
              <w:rPr>
                <w:rFonts w:ascii="宋体" w:hAnsi="宋体" w:cs="宋体" w:eastAsia="宋体" w:hint="default"/>
                <w:spacing w:val="12"/>
                <w:sz w:val="21"/>
                <w:szCs w:val="21"/>
              </w:rPr>
              <w:t>电子政务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云计算安全管理服务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937,500.00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937,500.00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省科技重大专项专题</w:t>
            </w:r>
            <w:r>
              <w:rPr>
                <w:rFonts w:ascii="宋体" w:hAnsi="宋体" w:cs="宋体" w:eastAsia="宋体" w:hint="default"/>
                <w:spacing w:val="12"/>
                <w:sz w:val="21"/>
                <w:szCs w:val="21"/>
              </w:rPr>
              <w:t>-</w:t>
            </w:r>
            <w:r>
              <w:rPr>
                <w:rFonts w:ascii="宋体" w:hAnsi="宋体" w:cs="宋体" w:eastAsia="宋体" w:hint="default"/>
                <w:spacing w:val="12"/>
                <w:sz w:val="21"/>
                <w:szCs w:val="21"/>
              </w:rPr>
              <w:t>用</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2"/>
                <w:sz w:val="21"/>
                <w:szCs w:val="21"/>
              </w:rPr>
              <w:t>于企业产品设计的云平台</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关键技术研发与应用</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787,500.00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450,000.00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787,500.00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450,000.00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0" w:right="125" w:hanging="10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省创意产业科技项目</w:t>
            </w:r>
            <w:r>
              <w:rPr>
                <w:rFonts w:ascii="宋体" w:hAnsi="宋体" w:cs="宋体" w:eastAsia="宋体" w:hint="default"/>
                <w:spacing w:val="12"/>
                <w:sz w:val="21"/>
                <w:szCs w:val="21"/>
              </w:rPr>
              <w:t>-</w:t>
            </w:r>
            <w:r>
              <w:rPr>
                <w:rFonts w:ascii="宋体" w:hAnsi="宋体" w:cs="宋体" w:eastAsia="宋体" w:hint="default"/>
                <w:spacing w:val="12"/>
                <w:sz w:val="21"/>
                <w:szCs w:val="21"/>
              </w:rPr>
              <w:t>南</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音数字化系统</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bl>
    <w:p>
      <w:pPr>
        <w:spacing w:after="0" w:line="273" w:lineRule="exact"/>
        <w:jc w:val="center"/>
        <w:rPr>
          <w:rFonts w:ascii="宋体" w:hAnsi="宋体" w:cs="宋体" w:eastAsia="宋体" w:hint="default"/>
          <w:sz w:val="21"/>
          <w:szCs w:val="21"/>
        </w:rPr>
        <w:sectPr>
          <w:type w:val="continuous"/>
          <w:pgSz w:w="11910" w:h="16840"/>
          <w:pgMar w:top="1120" w:bottom="116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425"/>
        <w:gridCol w:w="1286"/>
        <w:gridCol w:w="1287"/>
        <w:gridCol w:w="1286"/>
        <w:gridCol w:w="427"/>
        <w:gridCol w:w="1289"/>
        <w:gridCol w:w="895"/>
      </w:tblGrid>
      <w:tr>
        <w:trPr>
          <w:trHeight w:val="82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泉州市科技计划项目</w:t>
            </w:r>
            <w:r>
              <w:rPr>
                <w:rFonts w:ascii="宋体" w:hAnsi="宋体" w:cs="宋体" w:eastAsia="宋体" w:hint="default"/>
                <w:spacing w:val="12"/>
                <w:sz w:val="21"/>
                <w:szCs w:val="21"/>
              </w:rPr>
              <w:t>-</w:t>
            </w:r>
            <w:r>
              <w:rPr>
                <w:rFonts w:ascii="宋体" w:hAnsi="宋体" w:cs="宋体" w:eastAsia="宋体" w:hint="default"/>
                <w:spacing w:val="12"/>
                <w:sz w:val="21"/>
                <w:szCs w:val="21"/>
              </w:rPr>
              <w:t>泉</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2"/>
                <w:sz w:val="21"/>
                <w:szCs w:val="21"/>
              </w:rPr>
              <w:t>州市科技项目电子监察系</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统</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0" w:right="12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82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泉州市服务业发展引导资</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12"/>
                <w:sz w:val="21"/>
                <w:szCs w:val="21"/>
              </w:rPr>
              <w:t>金项目</w:t>
            </w:r>
            <w:r>
              <w:rPr>
                <w:rFonts w:ascii="宋体" w:hAnsi="宋体" w:cs="宋体" w:eastAsia="宋体" w:hint="default"/>
                <w:spacing w:val="12"/>
                <w:sz w:val="21"/>
                <w:szCs w:val="21"/>
              </w:rPr>
              <w:t>-</w:t>
            </w:r>
            <w:r>
              <w:rPr>
                <w:rFonts w:ascii="宋体" w:hAnsi="宋体" w:cs="宋体" w:eastAsia="宋体" w:hint="default"/>
                <w:spacing w:val="12"/>
                <w:sz w:val="21"/>
                <w:szCs w:val="21"/>
              </w:rPr>
              <w:t>智能交通大数据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管理平台研发及推广</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400,000.00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0" w:right="125" w:hanging="106"/>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37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2"/>
                <w:sz w:val="21"/>
                <w:szCs w:val="21"/>
              </w:rPr>
              <w:t>省软件产业发展专项资金</w:t>
            </w:r>
          </w:p>
          <w:p>
            <w:pPr>
              <w:pStyle w:val="TableParagraph"/>
              <w:spacing w:line="237" w:lineRule="auto"/>
              <w:ind w:left="26" w:right="19"/>
              <w:jc w:val="both"/>
              <w:rPr>
                <w:rFonts w:ascii="宋体" w:hAnsi="宋体" w:cs="宋体" w:eastAsia="宋体" w:hint="default"/>
                <w:sz w:val="21"/>
                <w:szCs w:val="21"/>
              </w:rPr>
            </w:pPr>
            <w:r>
              <w:rPr>
                <w:rFonts w:ascii="宋体" w:hAnsi="宋体" w:cs="宋体" w:eastAsia="宋体" w:hint="default"/>
                <w:spacing w:val="2"/>
                <w:sz w:val="21"/>
                <w:szCs w:val="21"/>
              </w:rPr>
              <w:t>项目、市科学技术奖、区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民营企业“二次创业”项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目（电子证照共享服务平</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台）</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750,000.00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30" w:right="12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10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2"/>
                <w:sz w:val="21"/>
                <w:szCs w:val="21"/>
              </w:rPr>
              <w:t>福建省专利技术实施与产</w:t>
            </w:r>
          </w:p>
          <w:p>
            <w:pPr>
              <w:pStyle w:val="TableParagraph"/>
              <w:spacing w:line="237" w:lineRule="auto" w:before="2"/>
              <w:ind w:left="26" w:right="20"/>
              <w:jc w:val="both"/>
              <w:rPr>
                <w:rFonts w:ascii="宋体" w:hAnsi="宋体" w:cs="宋体" w:eastAsia="宋体" w:hint="default"/>
                <w:sz w:val="21"/>
                <w:szCs w:val="21"/>
              </w:rPr>
            </w:pPr>
            <w:r>
              <w:rPr>
                <w:rFonts w:ascii="宋体" w:hAnsi="宋体" w:cs="宋体" w:eastAsia="宋体" w:hint="default"/>
                <w:spacing w:val="12"/>
                <w:sz w:val="21"/>
                <w:szCs w:val="21"/>
              </w:rPr>
              <w:t>业化计划项目</w:t>
            </w:r>
            <w:r>
              <w:rPr>
                <w:rFonts w:ascii="宋体" w:hAnsi="宋体" w:cs="宋体" w:eastAsia="宋体" w:hint="default"/>
                <w:spacing w:val="12"/>
                <w:sz w:val="21"/>
                <w:szCs w:val="21"/>
              </w:rPr>
              <w:t>-</w:t>
            </w:r>
            <w:r>
              <w:rPr>
                <w:rFonts w:ascii="宋体" w:hAnsi="宋体" w:cs="宋体" w:eastAsia="宋体" w:hint="default"/>
                <w:spacing w:val="12"/>
                <w:sz w:val="21"/>
                <w:szCs w:val="21"/>
              </w:rPr>
              <w:t>一种面向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用户资源的自定义方法专</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利技术的产业化运用研究</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30" w:right="12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82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省区域发展项目</w:t>
            </w:r>
            <w:r>
              <w:rPr>
                <w:rFonts w:ascii="宋体" w:hAnsi="宋体" w:cs="宋体" w:eastAsia="宋体" w:hint="default"/>
                <w:spacing w:val="12"/>
                <w:sz w:val="21"/>
                <w:szCs w:val="21"/>
              </w:rPr>
              <w:t>-</w:t>
            </w:r>
            <w:r>
              <w:rPr>
                <w:rFonts w:ascii="宋体" w:hAnsi="宋体" w:cs="宋体" w:eastAsia="宋体" w:hint="default"/>
                <w:spacing w:val="12"/>
                <w:sz w:val="21"/>
                <w:szCs w:val="21"/>
              </w:rPr>
              <w:t>城市智</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2"/>
                <w:sz w:val="21"/>
                <w:szCs w:val="21"/>
              </w:rPr>
              <w:t>能交通物联网即插即用式</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智能接口研发与应用示范</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375,000.00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625,000.00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12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82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6.18</w:t>
            </w:r>
            <w:r>
              <w:rPr>
                <w:rFonts w:ascii="宋体" w:hAnsi="宋体" w:cs="宋体" w:eastAsia="宋体" w:hint="default"/>
                <w:spacing w:val="-52"/>
                <w:sz w:val="21"/>
                <w:szCs w:val="21"/>
              </w:rPr>
              <w:t> </w:t>
            </w:r>
            <w:r>
              <w:rPr>
                <w:rFonts w:ascii="宋体" w:hAnsi="宋体" w:cs="宋体" w:eastAsia="宋体" w:hint="default"/>
                <w:sz w:val="21"/>
                <w:szCs w:val="21"/>
              </w:rPr>
              <w:t>项目成果转化扶持专</w:t>
            </w:r>
          </w:p>
          <w:p>
            <w:pPr>
              <w:pStyle w:val="TableParagraph"/>
              <w:spacing w:line="240" w:lineRule="auto"/>
              <w:ind w:left="26" w:right="20"/>
              <w:jc w:val="left"/>
              <w:rPr>
                <w:rFonts w:ascii="宋体" w:hAnsi="宋体" w:cs="宋体" w:eastAsia="宋体" w:hint="default"/>
                <w:sz w:val="21"/>
                <w:szCs w:val="21"/>
              </w:rPr>
            </w:pPr>
            <w:r>
              <w:rPr>
                <w:rFonts w:ascii="宋体" w:hAnsi="宋体" w:cs="宋体" w:eastAsia="宋体" w:hint="default"/>
                <w:spacing w:val="12"/>
                <w:sz w:val="21"/>
                <w:szCs w:val="21"/>
              </w:rPr>
              <w:t>项</w:t>
            </w:r>
            <w:r>
              <w:rPr>
                <w:rFonts w:ascii="宋体" w:hAnsi="宋体" w:cs="宋体" w:eastAsia="宋体" w:hint="default"/>
                <w:spacing w:val="12"/>
                <w:sz w:val="21"/>
                <w:szCs w:val="21"/>
              </w:rPr>
              <w:t>-</w:t>
            </w:r>
            <w:r>
              <w:rPr>
                <w:rFonts w:ascii="宋体" w:hAnsi="宋体" w:cs="宋体" w:eastAsia="宋体" w:hint="default"/>
                <w:spacing w:val="12"/>
                <w:sz w:val="21"/>
                <w:szCs w:val="21"/>
              </w:rPr>
              <w:t>视频图像分布式联网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与智能化应用平台</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75,000.00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0" w:right="12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82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福建省产业技术联合创新</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12"/>
                <w:sz w:val="21"/>
                <w:szCs w:val="21"/>
              </w:rPr>
              <w:t>专项</w:t>
            </w:r>
            <w:r>
              <w:rPr>
                <w:rFonts w:ascii="宋体" w:hAnsi="宋体" w:cs="宋体" w:eastAsia="宋体" w:hint="default"/>
                <w:spacing w:val="12"/>
                <w:sz w:val="21"/>
                <w:szCs w:val="21"/>
              </w:rPr>
              <w:t>-</w:t>
            </w:r>
            <w:r>
              <w:rPr>
                <w:rFonts w:ascii="宋体" w:hAnsi="宋体" w:cs="宋体" w:eastAsia="宋体" w:hint="default"/>
                <w:spacing w:val="12"/>
                <w:sz w:val="21"/>
                <w:szCs w:val="21"/>
              </w:rPr>
              <w:t>基于传感器融合的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互联网</w:t>
            </w:r>
            <w:r>
              <w:rPr>
                <w:rFonts w:ascii="宋体" w:hAnsi="宋体" w:cs="宋体" w:eastAsia="宋体" w:hint="default"/>
                <w:sz w:val="21"/>
                <w:szCs w:val="21"/>
              </w:rPr>
              <w:t>+</w:t>
            </w:r>
            <w:r>
              <w:rPr>
                <w:rFonts w:ascii="宋体" w:hAnsi="宋体" w:cs="宋体" w:eastAsia="宋体" w:hint="default"/>
                <w:sz w:val="21"/>
                <w:szCs w:val="21"/>
              </w:rPr>
              <w:t>智能云服务终端</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12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省软件产业发展专项资金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移动</w:t>
            </w:r>
            <w:r>
              <w:rPr>
                <w:rFonts w:ascii="宋体" w:hAnsi="宋体" w:cs="宋体" w:eastAsia="宋体" w:hint="default"/>
                <w:spacing w:val="-52"/>
                <w:sz w:val="21"/>
                <w:szCs w:val="21"/>
              </w:rPr>
              <w:t> </w:t>
            </w:r>
            <w:r>
              <w:rPr>
                <w:rFonts w:ascii="宋体" w:hAnsi="宋体" w:cs="宋体" w:eastAsia="宋体" w:hint="default"/>
                <w:sz w:val="21"/>
                <w:szCs w:val="21"/>
              </w:rPr>
              <w:t>UCAP</w:t>
            </w:r>
            <w:r>
              <w:rPr>
                <w:rFonts w:ascii="宋体" w:hAnsi="宋体" w:cs="宋体" w:eastAsia="宋体" w:hint="default"/>
                <w:spacing w:val="-52"/>
                <w:sz w:val="21"/>
                <w:szCs w:val="21"/>
              </w:rPr>
              <w:t> </w:t>
            </w:r>
            <w:r>
              <w:rPr>
                <w:rFonts w:ascii="宋体" w:hAnsi="宋体" w:cs="宋体" w:eastAsia="宋体" w:hint="default"/>
                <w:sz w:val="21"/>
                <w:szCs w:val="21"/>
              </w:rPr>
              <w:t>平台</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500,000.00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1099"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2"/>
                <w:sz w:val="21"/>
                <w:szCs w:val="21"/>
              </w:rPr>
              <w:t>区科学技术一等奖（电子</w:t>
            </w:r>
          </w:p>
          <w:p>
            <w:pPr>
              <w:pStyle w:val="TableParagraph"/>
              <w:spacing w:line="237" w:lineRule="auto" w:before="2"/>
              <w:ind w:left="26" w:right="21"/>
              <w:jc w:val="both"/>
              <w:rPr>
                <w:rFonts w:ascii="宋体" w:hAnsi="宋体" w:cs="宋体" w:eastAsia="宋体" w:hint="default"/>
                <w:sz w:val="21"/>
                <w:szCs w:val="21"/>
              </w:rPr>
            </w:pPr>
            <w:r>
              <w:rPr>
                <w:rFonts w:ascii="宋体" w:hAnsi="宋体" w:cs="宋体" w:eastAsia="宋体" w:hint="default"/>
                <w:spacing w:val="2"/>
                <w:sz w:val="21"/>
                <w:szCs w:val="21"/>
              </w:rPr>
              <w:t>证照服务平台）和三等奖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奖金（高速卡口智能交通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管控系统）</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2"/>
              <w:jc w:val="right"/>
              <w:rPr>
                <w:rFonts w:ascii="Times New Roman" w:hAnsi="Times New Roman" w:cs="Times New Roman" w:eastAsia="Times New Roman" w:hint="default"/>
                <w:sz w:val="21"/>
                <w:szCs w:val="21"/>
              </w:rPr>
            </w:pPr>
            <w:r>
              <w:rPr>
                <w:rFonts w:ascii="Times New Roman"/>
                <w:spacing w:val="-1"/>
                <w:sz w:val="21"/>
              </w:rPr>
              <w:t>70,000.00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21"/>
              <w:jc w:val="right"/>
              <w:rPr>
                <w:rFonts w:ascii="Times New Roman" w:hAnsi="Times New Roman" w:cs="Times New Roman" w:eastAsia="Times New Roman" w:hint="default"/>
                <w:sz w:val="21"/>
                <w:szCs w:val="21"/>
              </w:rPr>
            </w:pPr>
            <w:r>
              <w:rPr>
                <w:rFonts w:ascii="Times New Roman"/>
                <w:spacing w:val="-1"/>
                <w:sz w:val="21"/>
              </w:rPr>
              <w:t>70,000.00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0" w:right="125" w:hanging="106"/>
              <w:jc w:val="left"/>
              <w:rPr>
                <w:rFonts w:ascii="宋体" w:hAnsi="宋体" w:cs="宋体" w:eastAsia="宋体" w:hint="default"/>
                <w:sz w:val="21"/>
                <w:szCs w:val="21"/>
              </w:rPr>
            </w:pP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市科技创新领军人才奖励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扶持企业改制上市专项资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金奖励</w:t>
            </w:r>
            <w:r>
              <w:rPr>
                <w:rFonts w:ascii="宋体" w:hAnsi="宋体" w:cs="宋体" w:eastAsia="宋体" w:hint="default"/>
                <w:sz w:val="21"/>
                <w:szCs w:val="21"/>
              </w:rPr>
              <w:t>-</w:t>
            </w:r>
            <w:r>
              <w:rPr>
                <w:rFonts w:ascii="宋体" w:hAnsi="宋体" w:cs="宋体" w:eastAsia="宋体" w:hint="default"/>
                <w:sz w:val="21"/>
                <w:szCs w:val="21"/>
              </w:rPr>
              <w:t>挂牌上市</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500,000.00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鼓楼区科技计划项目</w:t>
            </w:r>
            <w:r>
              <w:rPr>
                <w:rFonts w:ascii="宋体" w:hAnsi="宋体" w:cs="宋体" w:eastAsia="宋体" w:hint="default"/>
                <w:spacing w:val="12"/>
                <w:sz w:val="21"/>
                <w:szCs w:val="21"/>
              </w:rPr>
              <w:t>-</w:t>
            </w:r>
            <w:r>
              <w:rPr>
                <w:rFonts w:ascii="宋体" w:hAnsi="宋体" w:cs="宋体" w:eastAsia="宋体" w:hint="default"/>
                <w:spacing w:val="12"/>
                <w:sz w:val="21"/>
                <w:szCs w:val="21"/>
              </w:rPr>
              <w:t>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技云服务平台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66,666.67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66,666.67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35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3,341,666.67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1"/>
                <w:szCs w:val="21"/>
              </w:rPr>
            </w:pPr>
            <w:r>
              <w:rPr>
                <w:rFonts w:ascii="Times New Roman"/>
                <w:spacing w:val="-1"/>
                <w:sz w:val="21"/>
              </w:rPr>
              <w:t>6,170,000.00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6,861,666.67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1"/>
                <w:szCs w:val="21"/>
              </w:rPr>
            </w:pPr>
            <w:r>
              <w:rPr>
                <w:rFonts w:ascii="Times New Roman"/>
                <w:spacing w:val="-1"/>
                <w:sz w:val="21"/>
              </w:rPr>
              <w:t>2,650,000.00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before="36"/>
        <w:ind w:right="0"/>
        <w:jc w:val="left"/>
        <w:rPr>
          <w:b w:val="0"/>
          <w:bCs w:val="0"/>
        </w:rPr>
      </w:pPr>
      <w:r>
        <w:rPr>
          <w:rFonts w:ascii="宋体" w:hAnsi="宋体" w:cs="宋体" w:eastAsia="宋体" w:hint="default"/>
        </w:rPr>
        <w:t>49</w:t>
      </w:r>
      <w:r>
        <w:rPr/>
        <w:t>、</w:t>
      </w:r>
      <w:r>
        <w:rPr>
          <w:spacing w:val="-26"/>
        </w:rPr>
        <w:t> </w:t>
      </w:r>
      <w:r>
        <w:rPr/>
        <w:t>股本</w:t>
      </w:r>
      <w:r>
        <w:rPr>
          <w:b w:val="0"/>
          <w:bCs w:val="0"/>
        </w:rPr>
      </w:r>
    </w:p>
    <w:p>
      <w:pPr>
        <w:pStyle w:val="BodyText"/>
        <w:spacing w:line="240" w:lineRule="auto" w:before="58"/>
        <w:ind w:left="0" w:right="25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03"/>
        <w:gridCol w:w="1729"/>
        <w:gridCol w:w="869"/>
        <w:gridCol w:w="746"/>
        <w:gridCol w:w="941"/>
        <w:gridCol w:w="826"/>
        <w:gridCol w:w="934"/>
        <w:gridCol w:w="1728"/>
      </w:tblGrid>
      <w:tr>
        <w:trPr>
          <w:trHeight w:val="408" w:hRule="exact"/>
        </w:trPr>
        <w:tc>
          <w:tcPr>
            <w:tcW w:w="1303" w:type="dxa"/>
            <w:vMerge w:val="restart"/>
            <w:tcBorders>
              <w:top w:val="single" w:sz="4" w:space="0" w:color="000000"/>
              <w:left w:val="single" w:sz="4" w:space="0" w:color="000000"/>
              <w:right w:val="single" w:sz="4" w:space="0" w:color="000000"/>
            </w:tcBorders>
          </w:tcPr>
          <w:p>
            <w:pPr/>
          </w:p>
        </w:tc>
        <w:tc>
          <w:tcPr>
            <w:tcW w:w="172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3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4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303"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8"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18"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28" w:type="dxa"/>
            <w:vMerge/>
            <w:tcBorders>
              <w:left w:val="single" w:sz="4" w:space="0" w:color="000000"/>
              <w:bottom w:val="single" w:sz="4" w:space="0" w:color="000000"/>
              <w:right w:val="single" w:sz="4" w:space="0" w:color="000000"/>
            </w:tcBorders>
          </w:tcPr>
          <w:p>
            <w:pPr/>
          </w:p>
        </w:tc>
      </w:tr>
      <w:tr>
        <w:trPr>
          <w:trHeight w:val="40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02" w:right="0"/>
              <w:jc w:val="left"/>
              <w:rPr>
                <w:rFonts w:ascii="Times New Roman" w:hAnsi="Times New Roman" w:cs="Times New Roman" w:eastAsia="Times New Roman" w:hint="default"/>
                <w:sz w:val="21"/>
                <w:szCs w:val="21"/>
              </w:rPr>
            </w:pPr>
            <w:r>
              <w:rPr>
                <w:rFonts w:ascii="Times New Roman"/>
                <w:sz w:val="21"/>
              </w:rPr>
              <w:t>100,000,000.00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02" w:right="0"/>
              <w:jc w:val="left"/>
              <w:rPr>
                <w:rFonts w:ascii="Times New Roman" w:hAnsi="Times New Roman" w:cs="Times New Roman" w:eastAsia="Times New Roman" w:hint="default"/>
                <w:sz w:val="21"/>
                <w:szCs w:val="21"/>
              </w:rPr>
            </w:pPr>
            <w:r>
              <w:rPr>
                <w:rFonts w:ascii="Times New Roman"/>
                <w:sz w:val="21"/>
              </w:rPr>
              <w:t>100,000,000.00</w:t>
            </w:r>
          </w:p>
        </w:tc>
      </w:tr>
    </w:tbl>
    <w:p>
      <w:pPr>
        <w:pStyle w:val="BodyText"/>
        <w:spacing w:line="292" w:lineRule="auto" w:before="26"/>
        <w:ind w:left="218" w:right="8018"/>
        <w:jc w:val="left"/>
      </w:pPr>
      <w:r>
        <w:rPr/>
        <w:t>其他说明：</w:t>
      </w:r>
      <w:r>
        <w:rPr>
          <w:spacing w:val="-102"/>
        </w:rPr>
        <w:t> </w:t>
      </w:r>
      <w:r>
        <w:rPr>
          <w:spacing w:val="-102"/>
        </w:rPr>
      </w:r>
      <w:r>
        <w:rPr/>
        <w:t>无。</w:t>
      </w:r>
    </w:p>
    <w:p>
      <w:pPr>
        <w:spacing w:after="0" w:line="292" w:lineRule="auto"/>
        <w:jc w:val="left"/>
        <w:sectPr>
          <w:pgSz w:w="11910" w:h="16840"/>
          <w:pgMar w:header="0" w:footer="974" w:top="1120" w:bottom="1160" w:left="1580" w:right="1020"/>
        </w:sectPr>
      </w:pPr>
    </w:p>
    <w:p>
      <w:pPr>
        <w:spacing w:line="240" w:lineRule="auto" w:before="1"/>
        <w:rPr>
          <w:rFonts w:ascii="宋体" w:hAnsi="宋体" w:cs="宋体" w:eastAsia="宋体" w:hint="default"/>
          <w:sz w:val="25"/>
          <w:szCs w:val="25"/>
        </w:rPr>
      </w:pPr>
    </w:p>
    <w:p>
      <w:pPr>
        <w:pStyle w:val="Heading2"/>
        <w:spacing w:line="240" w:lineRule="auto" w:before="36"/>
        <w:ind w:left="158" w:right="3302"/>
        <w:jc w:val="left"/>
        <w:rPr>
          <w:b w:val="0"/>
          <w:bCs w:val="0"/>
        </w:rPr>
      </w:pPr>
      <w:r>
        <w:rPr>
          <w:rFonts w:ascii="宋体" w:hAnsi="宋体" w:cs="宋体" w:eastAsia="宋体" w:hint="default"/>
        </w:rPr>
        <w:t>50</w:t>
      </w:r>
      <w:r>
        <w:rPr/>
        <w:t>、</w:t>
      </w:r>
      <w:r>
        <w:rPr>
          <w:spacing w:val="-24"/>
        </w:rPr>
        <w:t> </w:t>
      </w:r>
      <w:r>
        <w:rPr/>
        <w:t>其他权益工具</w:t>
      </w:r>
      <w:r>
        <w:rPr>
          <w:b w:val="0"/>
          <w:bCs w:val="0"/>
        </w:rPr>
      </w:r>
    </w:p>
    <w:p>
      <w:pPr>
        <w:pStyle w:val="BodyText"/>
        <w:spacing w:line="240" w:lineRule="auto" w:before="58"/>
        <w:ind w:left="158" w:right="330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left="158" w:right="3302"/>
        <w:jc w:val="left"/>
        <w:rPr>
          <w:b w:val="0"/>
          <w:bCs w:val="0"/>
        </w:rPr>
      </w:pPr>
      <w:r>
        <w:rPr>
          <w:rFonts w:ascii="宋体" w:hAnsi="宋体" w:cs="宋体" w:eastAsia="宋体" w:hint="default"/>
        </w:rPr>
        <w:t>51</w:t>
      </w:r>
      <w:r>
        <w:rPr/>
        <w:t>、</w:t>
      </w:r>
      <w:r>
        <w:rPr>
          <w:spacing w:val="-25"/>
        </w:rPr>
        <w:t> </w:t>
      </w:r>
      <w:r>
        <w:rPr/>
        <w:t>资本公积</w:t>
      </w:r>
      <w:r>
        <w:rPr>
          <w:b w:val="0"/>
          <w:bCs w:val="0"/>
        </w:rPr>
      </w:r>
    </w:p>
    <w:p>
      <w:pPr>
        <w:pStyle w:val="BodyText"/>
        <w:spacing w:line="240" w:lineRule="auto" w:before="56"/>
        <w:ind w:left="0" w:right="15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39"/>
        <w:gridCol w:w="1788"/>
        <w:gridCol w:w="1534"/>
        <w:gridCol w:w="1574"/>
        <w:gridCol w:w="1801"/>
      </w:tblGrid>
      <w:tr>
        <w:trPr>
          <w:trHeight w:val="410" w:hRule="exact"/>
        </w:trPr>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7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13" w:hRule="exact"/>
        </w:trPr>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4" w:right="-3"/>
              <w:jc w:val="left"/>
              <w:rPr>
                <w:rFonts w:ascii="宋体" w:hAnsi="宋体" w:cs="宋体" w:eastAsia="宋体" w:hint="default"/>
                <w:sz w:val="21"/>
                <w:szCs w:val="21"/>
              </w:rPr>
            </w:pPr>
            <w:r>
              <w:rPr>
                <w:rFonts w:ascii="宋体" w:hAnsi="宋体" w:cs="宋体" w:eastAsia="宋体" w:hint="default"/>
                <w:spacing w:val="-2"/>
                <w:sz w:val="21"/>
                <w:szCs w:val="21"/>
              </w:rPr>
              <w:t>资本溢价（股本溢价）</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36" w:right="0"/>
              <w:jc w:val="left"/>
              <w:rPr>
                <w:rFonts w:ascii="Times New Roman" w:hAnsi="Times New Roman" w:cs="Times New Roman" w:eastAsia="Times New Roman" w:hint="default"/>
                <w:sz w:val="21"/>
                <w:szCs w:val="21"/>
              </w:rPr>
            </w:pPr>
            <w:r>
              <w:rPr>
                <w:rFonts w:ascii="Times New Roman"/>
                <w:sz w:val="21"/>
              </w:rPr>
              <w:t>406,823,402.40</w:t>
            </w:r>
          </w:p>
        </w:tc>
        <w:tc>
          <w:tcPr>
            <w:tcW w:w="15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451" w:right="0"/>
              <w:jc w:val="left"/>
              <w:rPr>
                <w:rFonts w:ascii="Times New Roman" w:hAnsi="Times New Roman" w:cs="Times New Roman" w:eastAsia="Times New Roman" w:hint="default"/>
                <w:sz w:val="21"/>
                <w:szCs w:val="21"/>
              </w:rPr>
            </w:pPr>
            <w:r>
              <w:rPr>
                <w:rFonts w:ascii="Times New Roman"/>
                <w:sz w:val="21"/>
              </w:rPr>
              <w:t>406,823,402.40</w:t>
            </w:r>
          </w:p>
        </w:tc>
      </w:tr>
      <w:tr>
        <w:trPr>
          <w:trHeight w:val="413" w:hRule="exact"/>
        </w:trPr>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8"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436" w:right="0"/>
              <w:jc w:val="left"/>
              <w:rPr>
                <w:rFonts w:ascii="Times New Roman" w:hAnsi="Times New Roman" w:cs="Times New Roman" w:eastAsia="Times New Roman" w:hint="default"/>
                <w:sz w:val="21"/>
                <w:szCs w:val="21"/>
              </w:rPr>
            </w:pPr>
            <w:r>
              <w:rPr>
                <w:rFonts w:ascii="Times New Roman"/>
                <w:sz w:val="21"/>
              </w:rPr>
              <w:t>406,823,402.40</w:t>
            </w:r>
          </w:p>
        </w:tc>
        <w:tc>
          <w:tcPr>
            <w:tcW w:w="1534"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451" w:right="0"/>
              <w:jc w:val="left"/>
              <w:rPr>
                <w:rFonts w:ascii="Times New Roman" w:hAnsi="Times New Roman" w:cs="Times New Roman" w:eastAsia="Times New Roman" w:hint="default"/>
                <w:sz w:val="21"/>
                <w:szCs w:val="21"/>
              </w:rPr>
            </w:pPr>
            <w:r>
              <w:rPr>
                <w:rFonts w:ascii="Times New Roman"/>
                <w:sz w:val="21"/>
              </w:rPr>
              <w:t>406,823,402.40</w:t>
            </w:r>
          </w:p>
        </w:tc>
      </w:tr>
    </w:tbl>
    <w:p>
      <w:pPr>
        <w:pStyle w:val="BodyText"/>
        <w:spacing w:line="240" w:lineRule="exact"/>
        <w:ind w:left="158" w:right="3302"/>
        <w:jc w:val="left"/>
      </w:pPr>
      <w:r>
        <w:rPr/>
        <w:t>其他说明，包括本期增减变动情况、变动原因说明：</w:t>
      </w:r>
    </w:p>
    <w:p>
      <w:pPr>
        <w:pStyle w:val="BodyText"/>
        <w:spacing w:line="273" w:lineRule="exact"/>
        <w:ind w:left="158" w:right="3302"/>
        <w:jc w:val="left"/>
      </w:pPr>
      <w:r>
        <w:rPr/>
        <w:t>无。</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52</w:t>
      </w:r>
      <w:r>
        <w:rPr/>
        <w:t>、</w:t>
      </w:r>
      <w:r>
        <w:rPr>
          <w:spacing w:val="-25"/>
        </w:rPr>
        <w:t> </w:t>
      </w:r>
      <w:r>
        <w:rPr/>
        <w:t>库存股</w:t>
      </w:r>
      <w:r>
        <w:rPr>
          <w:b w:val="0"/>
          <w:bCs w:val="0"/>
        </w:rPr>
      </w:r>
    </w:p>
    <w:p>
      <w:pPr>
        <w:pStyle w:val="BodyText"/>
        <w:spacing w:line="240" w:lineRule="auto" w:before="58"/>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53</w:t>
      </w:r>
      <w:r>
        <w:rPr/>
        <w:t>、</w:t>
      </w:r>
      <w:r>
        <w:rPr>
          <w:spacing w:val="-24"/>
        </w:rPr>
        <w:t> </w:t>
      </w:r>
      <w:r>
        <w:rPr/>
        <w:t>其他综合收益</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54</w:t>
      </w:r>
      <w:r>
        <w:rPr/>
        <w:t>、</w:t>
      </w:r>
      <w:r>
        <w:rPr>
          <w:spacing w:val="-25"/>
        </w:rPr>
        <w:t> </w:t>
      </w:r>
      <w:r>
        <w:rPr/>
        <w:t>专项储备</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left="158" w:right="3302"/>
        <w:jc w:val="left"/>
        <w:rPr>
          <w:b w:val="0"/>
          <w:bCs w:val="0"/>
        </w:rPr>
      </w:pPr>
      <w:r>
        <w:rPr>
          <w:rFonts w:ascii="宋体" w:hAnsi="宋体" w:cs="宋体" w:eastAsia="宋体" w:hint="default"/>
        </w:rPr>
        <w:t>55</w:t>
      </w:r>
      <w:r>
        <w:rPr/>
        <w:t>、</w:t>
      </w:r>
      <w:r>
        <w:rPr>
          <w:spacing w:val="-25"/>
        </w:rPr>
        <w:t> </w:t>
      </w:r>
      <w:r>
        <w:rPr/>
        <w:t>盈余公积</w:t>
      </w:r>
      <w:r>
        <w:rPr>
          <w:b w:val="0"/>
          <w:bCs w:val="0"/>
        </w:rPr>
      </w:r>
    </w:p>
    <w:p>
      <w:pPr>
        <w:pStyle w:val="BodyText"/>
        <w:spacing w:line="240" w:lineRule="auto" w:before="58"/>
        <w:ind w:left="0" w:right="15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9"/>
              <w:jc w:val="right"/>
              <w:rPr>
                <w:rFonts w:ascii="Times New Roman" w:hAnsi="Times New Roman" w:cs="Times New Roman" w:eastAsia="Times New Roman" w:hint="default"/>
                <w:sz w:val="21"/>
                <w:szCs w:val="21"/>
              </w:rPr>
            </w:pPr>
            <w:r>
              <w:rPr>
                <w:rFonts w:ascii="Times New Roman"/>
                <w:spacing w:val="-1"/>
                <w:sz w:val="21"/>
              </w:rPr>
              <w:t>31,603,309.37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84" w:right="0"/>
              <w:jc w:val="left"/>
              <w:rPr>
                <w:rFonts w:ascii="Times New Roman" w:hAnsi="Times New Roman" w:cs="Times New Roman" w:eastAsia="Times New Roman" w:hint="default"/>
                <w:sz w:val="21"/>
                <w:szCs w:val="21"/>
              </w:rPr>
            </w:pPr>
            <w:r>
              <w:rPr>
                <w:rFonts w:ascii="Times New Roman"/>
                <w:sz w:val="21"/>
              </w:rPr>
              <w:t>7,263,100.99</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7"/>
              <w:jc w:val="right"/>
              <w:rPr>
                <w:rFonts w:ascii="Times New Roman" w:hAnsi="Times New Roman" w:cs="Times New Roman" w:eastAsia="Times New Roman" w:hint="default"/>
                <w:sz w:val="21"/>
                <w:szCs w:val="21"/>
              </w:rPr>
            </w:pPr>
            <w:r>
              <w:rPr>
                <w:rFonts w:ascii="Times New Roman"/>
                <w:spacing w:val="-1"/>
                <w:sz w:val="21"/>
              </w:rPr>
              <w:t>38,866,410.36</w:t>
            </w:r>
          </w:p>
        </w:tc>
      </w:tr>
      <w:tr>
        <w:trPr>
          <w:trHeight w:val="355"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9"/>
              <w:jc w:val="right"/>
              <w:rPr>
                <w:rFonts w:ascii="Times New Roman" w:hAnsi="Times New Roman" w:cs="Times New Roman" w:eastAsia="Times New Roman" w:hint="default"/>
                <w:sz w:val="21"/>
                <w:szCs w:val="21"/>
              </w:rPr>
            </w:pPr>
            <w:r>
              <w:rPr>
                <w:rFonts w:ascii="Times New Roman"/>
                <w:spacing w:val="-1"/>
                <w:sz w:val="21"/>
              </w:rPr>
              <w:t>31,603,309.37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84" w:right="0"/>
              <w:jc w:val="left"/>
              <w:rPr>
                <w:rFonts w:ascii="Times New Roman" w:hAnsi="Times New Roman" w:cs="Times New Roman" w:eastAsia="Times New Roman" w:hint="default"/>
                <w:sz w:val="21"/>
                <w:szCs w:val="21"/>
              </w:rPr>
            </w:pPr>
            <w:r>
              <w:rPr>
                <w:rFonts w:ascii="Times New Roman"/>
                <w:sz w:val="21"/>
              </w:rPr>
              <w:t>7,263,100.99</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7"/>
              <w:jc w:val="right"/>
              <w:rPr>
                <w:rFonts w:ascii="Times New Roman" w:hAnsi="Times New Roman" w:cs="Times New Roman" w:eastAsia="Times New Roman" w:hint="default"/>
                <w:sz w:val="21"/>
                <w:szCs w:val="21"/>
              </w:rPr>
            </w:pPr>
            <w:r>
              <w:rPr>
                <w:rFonts w:ascii="Times New Roman"/>
                <w:spacing w:val="-1"/>
                <w:sz w:val="21"/>
              </w:rPr>
              <w:t>38,866,410.36</w:t>
            </w:r>
          </w:p>
        </w:tc>
      </w:tr>
    </w:tbl>
    <w:p>
      <w:pPr>
        <w:pStyle w:val="BodyText"/>
        <w:spacing w:line="290" w:lineRule="auto" w:before="26"/>
        <w:ind w:left="158" w:right="3595"/>
        <w:jc w:val="left"/>
      </w:pPr>
      <w:r>
        <w:rPr>
          <w:spacing w:val="-2"/>
        </w:rPr>
        <w:t>盈余公积说明，包括本期增减变动情况、变动原因说明：</w:t>
      </w:r>
      <w:r>
        <w:rPr>
          <w:spacing w:val="-55"/>
        </w:rPr>
        <w:t> </w:t>
      </w:r>
      <w:r>
        <w:rPr>
          <w:spacing w:val="-55"/>
        </w:rPr>
      </w:r>
      <w:r>
        <w:rPr/>
        <w:t>无。</w:t>
      </w:r>
    </w:p>
    <w:p>
      <w:pPr>
        <w:spacing w:line="240" w:lineRule="auto" w:before="1"/>
        <w:rPr>
          <w:rFonts w:ascii="宋体" w:hAnsi="宋体" w:cs="宋体" w:eastAsia="宋体" w:hint="default"/>
          <w:sz w:val="19"/>
          <w:szCs w:val="19"/>
        </w:rPr>
      </w:pPr>
    </w:p>
    <w:p>
      <w:pPr>
        <w:pStyle w:val="Heading2"/>
        <w:spacing w:line="240" w:lineRule="auto" w:before="36"/>
        <w:ind w:left="158" w:right="3302"/>
        <w:jc w:val="left"/>
        <w:rPr>
          <w:b w:val="0"/>
          <w:bCs w:val="0"/>
        </w:rPr>
      </w:pPr>
      <w:r>
        <w:rPr>
          <w:rFonts w:ascii="宋体" w:hAnsi="宋体" w:cs="宋体" w:eastAsia="宋体" w:hint="default"/>
        </w:rPr>
        <w:t>56</w:t>
      </w:r>
      <w:r>
        <w:rPr/>
        <w:t>、</w:t>
      </w:r>
      <w:r>
        <w:rPr>
          <w:spacing w:val="-25"/>
        </w:rPr>
        <w:t> </w:t>
      </w:r>
      <w:r>
        <w:rPr/>
        <w:t>未分配利润</w:t>
      </w:r>
      <w:r>
        <w:rPr>
          <w:b w:val="0"/>
          <w:bCs w:val="0"/>
        </w:rPr>
      </w:r>
    </w:p>
    <w:p>
      <w:pPr>
        <w:pStyle w:val="BodyText"/>
        <w:spacing w:line="240" w:lineRule="auto" w:before="58"/>
        <w:ind w:left="0" w:right="15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7"/>
        <w:gridCol w:w="2689"/>
      </w:tblGrid>
      <w:tr>
        <w:trPr>
          <w:trHeight w:val="355"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55"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Times New Roman" w:hAnsi="Times New Roman" w:cs="Times New Roman" w:eastAsia="Times New Roman" w:hint="default"/>
                <w:sz w:val="21"/>
                <w:szCs w:val="21"/>
              </w:rPr>
            </w:pPr>
            <w:r>
              <w:rPr>
                <w:rFonts w:ascii="Times New Roman"/>
                <w:spacing w:val="-1"/>
                <w:sz w:val="21"/>
              </w:rPr>
              <w:t>265,548,006.81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188,173,718.97</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Times New Roman" w:hAnsi="Times New Roman" w:cs="Times New Roman" w:eastAsia="Times New Roman" w:hint="default"/>
                <w:sz w:val="21"/>
                <w:szCs w:val="21"/>
              </w:rPr>
            </w:pPr>
            <w:r>
              <w:rPr>
                <w:rFonts w:ascii="Times New Roman"/>
                <w:spacing w:val="-1"/>
                <w:sz w:val="21"/>
              </w:rPr>
              <w:t>265,548,006.81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Times New Roman" w:hAnsi="Times New Roman" w:cs="Times New Roman" w:eastAsia="Times New Roman" w:hint="default"/>
                <w:sz w:val="21"/>
                <w:szCs w:val="21"/>
              </w:rPr>
            </w:pPr>
            <w:r>
              <w:rPr>
                <w:rFonts w:ascii="Times New Roman"/>
                <w:spacing w:val="-1"/>
                <w:sz w:val="21"/>
              </w:rPr>
              <w:t>188,173,718.97</w:t>
            </w:r>
          </w:p>
        </w:tc>
      </w:tr>
      <w:tr>
        <w:trPr>
          <w:trHeight w:val="562"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
                <w:sz w:val="21"/>
              </w:rPr>
              <w:t>63,140,346.92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
                <w:sz w:val="21"/>
              </w:rPr>
              <w:t>86,886,642.29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20" w:bottom="116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430"/>
        <w:gridCol w:w="2777"/>
        <w:gridCol w:w="2689"/>
      </w:tblGrid>
      <w:tr>
        <w:trPr>
          <w:trHeight w:val="35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7,263,100.99</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Times New Roman" w:hAnsi="Times New Roman" w:cs="Times New Roman" w:eastAsia="Times New Roman" w:hint="default"/>
                <w:sz w:val="21"/>
                <w:szCs w:val="21"/>
              </w:rPr>
            </w:pPr>
            <w:r>
              <w:rPr>
                <w:rFonts w:ascii="Times New Roman"/>
                <w:spacing w:val="-1"/>
                <w:sz w:val="21"/>
              </w:rPr>
              <w:t>9,512,354.45</w:t>
            </w:r>
          </w:p>
        </w:tc>
      </w:tr>
      <w:tr>
        <w:trPr>
          <w:trHeight w:val="355"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18,000,000.00</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303,425,252.74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Times New Roman" w:hAnsi="Times New Roman" w:cs="Times New Roman" w:eastAsia="Times New Roman" w:hint="default"/>
                <w:sz w:val="21"/>
                <w:szCs w:val="21"/>
              </w:rPr>
            </w:pPr>
            <w:r>
              <w:rPr>
                <w:rFonts w:ascii="Times New Roman"/>
                <w:spacing w:val="-1"/>
                <w:sz w:val="21"/>
              </w:rPr>
              <w:t>265,548,006.81</w:t>
            </w:r>
          </w:p>
        </w:tc>
      </w:tr>
    </w:tbl>
    <w:p>
      <w:pPr>
        <w:pStyle w:val="BodyText"/>
        <w:spacing w:line="240" w:lineRule="auto" w:before="26"/>
        <w:ind w:left="218" w:right="227"/>
        <w:jc w:val="left"/>
      </w:pPr>
      <w:r>
        <w:rPr/>
        <w:t>调整期初未分配利润明细：</w:t>
      </w:r>
    </w:p>
    <w:p>
      <w:pPr>
        <w:pStyle w:val="BodyText"/>
        <w:spacing w:line="281" w:lineRule="exact" w:before="58"/>
        <w:ind w:left="218" w:right="227"/>
        <w:jc w:val="left"/>
      </w:pPr>
      <w:r>
        <w:rPr>
          <w:rFonts w:ascii="Times New Roman" w:hAnsi="Times New Roman" w:cs="Times New Roman" w:eastAsia="Times New Roman" w:hint="default"/>
        </w:rPr>
        <w:t>1</w:t>
      </w:r>
      <w:r>
        <w:rPr/>
        <w:t>、由于《企业会计准则》及其相关新规定进行追溯调整，影响期初未分配利润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元。</w:t>
      </w:r>
      <w:r>
        <w:rPr/>
      </w:r>
    </w:p>
    <w:p>
      <w:pPr>
        <w:pStyle w:val="BodyText"/>
        <w:spacing w:line="272" w:lineRule="exact"/>
        <w:ind w:left="218" w:right="227"/>
        <w:jc w:val="left"/>
      </w:pPr>
      <w:r>
        <w:rPr>
          <w:rFonts w:ascii="Times New Roman" w:hAnsi="Times New Roman" w:cs="Times New Roman" w:eastAsia="Times New Roman" w:hint="default"/>
        </w:rPr>
        <w:t>2</w:t>
      </w:r>
      <w:r>
        <w:rPr/>
        <w:t>、由于会计政策变更，影响期初未分配利润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73" w:lineRule="exact"/>
        <w:ind w:left="218" w:right="227"/>
        <w:jc w:val="left"/>
      </w:pPr>
      <w:r>
        <w:rPr>
          <w:rFonts w:ascii="Times New Roman" w:hAnsi="Times New Roman" w:cs="Times New Roman" w:eastAsia="Times New Roman" w:hint="default"/>
        </w:rPr>
        <w:t>3</w:t>
      </w:r>
      <w:r>
        <w:rPr/>
        <w:t>、由于重大会计差错更正，影响期初未分配利润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73" w:lineRule="exact"/>
        <w:ind w:left="218" w:right="227"/>
        <w:jc w:val="left"/>
      </w:pPr>
      <w:r>
        <w:rPr>
          <w:rFonts w:ascii="Times New Roman" w:hAnsi="Times New Roman" w:cs="Times New Roman" w:eastAsia="Times New Roman" w:hint="default"/>
        </w:rPr>
        <w:t>4</w:t>
      </w:r>
      <w:r>
        <w:rPr/>
        <w:t>、由于同一控制导致的合并范围变更，影响期初未分配利润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pStyle w:val="BodyText"/>
        <w:spacing w:line="282" w:lineRule="exact"/>
        <w:ind w:left="218" w:right="227"/>
        <w:jc w:val="left"/>
      </w:pPr>
      <w:r>
        <w:rPr>
          <w:rFonts w:ascii="Times New Roman" w:hAnsi="Times New Roman" w:cs="Times New Roman" w:eastAsia="Times New Roman" w:hint="default"/>
        </w:rPr>
        <w:t>5</w:t>
      </w:r>
      <w:r>
        <w:rPr/>
        <w:t>、其他调整合计影响期初未分配利润</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spacing w:line="240" w:lineRule="auto" w:before="3"/>
        <w:rPr>
          <w:rFonts w:ascii="宋体" w:hAnsi="宋体" w:cs="宋体" w:eastAsia="宋体" w:hint="default"/>
          <w:sz w:val="21"/>
          <w:szCs w:val="21"/>
        </w:rPr>
      </w:pPr>
    </w:p>
    <w:p>
      <w:pPr>
        <w:pStyle w:val="Heading2"/>
        <w:spacing w:line="240" w:lineRule="auto" w:before="36"/>
        <w:ind w:right="227"/>
        <w:jc w:val="left"/>
        <w:rPr>
          <w:b w:val="0"/>
          <w:bCs w:val="0"/>
        </w:rPr>
      </w:pPr>
      <w:r>
        <w:rPr>
          <w:rFonts w:ascii="宋体" w:hAnsi="宋体" w:cs="宋体" w:eastAsia="宋体" w:hint="default"/>
        </w:rPr>
        <w:t>57</w:t>
      </w:r>
      <w:r>
        <w:rPr/>
        <w:t>、</w:t>
      </w:r>
      <w:r>
        <w:rPr>
          <w:spacing w:val="-23"/>
        </w:rPr>
        <w:t> </w:t>
      </w:r>
      <w:r>
        <w:rPr/>
        <w:t>营业收入和营业成本</w:t>
      </w:r>
      <w:r>
        <w:rPr>
          <w:b w:val="0"/>
          <w:bCs w:val="0"/>
        </w:rPr>
      </w:r>
    </w:p>
    <w:p>
      <w:pPr>
        <w:pStyle w:val="BodyText"/>
        <w:spacing w:line="240" w:lineRule="auto" w:before="56"/>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350"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50"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340,823,237.82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226,411,266.32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321,908,165.02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167,605,092.94</w:t>
            </w:r>
          </w:p>
        </w:tc>
      </w:tr>
      <w:tr>
        <w:trPr>
          <w:trHeight w:val="350"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1,670,064.45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1,406,054.08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1,407,392.00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536,253.07</w:t>
            </w:r>
          </w:p>
        </w:tc>
      </w:tr>
      <w:tr>
        <w:trPr>
          <w:trHeight w:val="350"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342,493,302.27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227,817,320.40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323,315,557.02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168,141,346.01</w:t>
            </w:r>
          </w:p>
        </w:tc>
      </w:tr>
    </w:tbl>
    <w:p>
      <w:pPr>
        <w:spacing w:line="240" w:lineRule="auto" w:before="13"/>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58</w:t>
      </w:r>
      <w:r>
        <w:rPr/>
        <w:t>、</w:t>
      </w:r>
      <w:r>
        <w:rPr>
          <w:spacing w:val="-24"/>
        </w:rPr>
        <w:t> </w:t>
      </w:r>
      <w:r>
        <w:rPr/>
        <w:t>营业税金及附加</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355"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20,667.48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1,808,369.24</w:t>
            </w:r>
          </w:p>
        </w:tc>
      </w:tr>
      <w:tr>
        <w:trPr>
          <w:trHeight w:val="355"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1,501,001.50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1,554,139.48</w:t>
            </w:r>
          </w:p>
        </w:tc>
      </w:tr>
      <w:tr>
        <w:trPr>
          <w:trHeight w:val="355"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1,072,365.85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1,111,407.86</w:t>
            </w:r>
          </w:p>
        </w:tc>
      </w:tr>
      <w:tr>
        <w:trPr>
          <w:trHeight w:val="355"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Times New Roman" w:hAnsi="Times New Roman" w:cs="Times New Roman" w:eastAsia="Times New Roman" w:hint="default"/>
                <w:sz w:val="21"/>
                <w:szCs w:val="21"/>
              </w:rPr>
            </w:pPr>
            <w:r>
              <w:rPr>
                <w:rFonts w:ascii="Times New Roman"/>
                <w:spacing w:val="-1"/>
                <w:sz w:val="21"/>
              </w:rPr>
              <w:t>2,594,034.83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Times New Roman" w:hAnsi="Times New Roman" w:cs="Times New Roman" w:eastAsia="Times New Roman" w:hint="default"/>
                <w:sz w:val="21"/>
                <w:szCs w:val="21"/>
              </w:rPr>
            </w:pPr>
            <w:r>
              <w:rPr>
                <w:rFonts w:ascii="Times New Roman"/>
                <w:spacing w:val="-1"/>
                <w:sz w:val="21"/>
              </w:rPr>
              <w:t>4,473,916.58</w:t>
            </w:r>
          </w:p>
        </w:tc>
      </w:tr>
    </w:tbl>
    <w:p>
      <w:pPr>
        <w:pStyle w:val="BodyText"/>
        <w:spacing w:line="290" w:lineRule="auto" w:before="26"/>
        <w:ind w:left="21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59</w:t>
      </w:r>
      <w:r>
        <w:rPr/>
        <w:t>、</w:t>
      </w:r>
      <w:r>
        <w:rPr>
          <w:spacing w:val="-25"/>
        </w:rPr>
        <w:t> </w:t>
      </w:r>
      <w:r>
        <w:rPr/>
        <w:t>销售费用</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5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15,201,479.00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10,816,320.28</w:t>
            </w:r>
          </w:p>
        </w:tc>
      </w:tr>
      <w:tr>
        <w:trPr>
          <w:trHeight w:val="35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5,699,892.03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3,862,071.55</w:t>
            </w:r>
          </w:p>
        </w:tc>
      </w:tr>
      <w:tr>
        <w:trPr>
          <w:trHeight w:val="35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2,699,331.71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2,235,692.71</w:t>
            </w:r>
          </w:p>
        </w:tc>
      </w:tr>
      <w:tr>
        <w:trPr>
          <w:trHeight w:val="34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2,217,867.99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1,351,987.40</w:t>
            </w:r>
          </w:p>
        </w:tc>
      </w:tr>
      <w:tr>
        <w:trPr>
          <w:trHeight w:val="35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水电</w:t>
            </w:r>
            <w:r>
              <w:rPr>
                <w:rFonts w:ascii="宋体" w:hAnsi="宋体" w:cs="宋体" w:eastAsia="宋体" w:hint="default"/>
                <w:sz w:val="21"/>
                <w:szCs w:val="21"/>
              </w:rPr>
              <w:t>/</w:t>
            </w:r>
            <w:r>
              <w:rPr>
                <w:rFonts w:ascii="宋体" w:hAnsi="宋体" w:cs="宋体" w:eastAsia="宋体" w:hint="default"/>
                <w:sz w:val="21"/>
                <w:szCs w:val="21"/>
              </w:rPr>
              <w:t>物业</w:t>
            </w:r>
            <w:r>
              <w:rPr>
                <w:rFonts w:ascii="宋体" w:hAnsi="宋体" w:cs="宋体" w:eastAsia="宋体" w:hint="default"/>
                <w:sz w:val="21"/>
                <w:szCs w:val="21"/>
              </w:rPr>
              <w:t>/</w:t>
            </w:r>
            <w:r>
              <w:rPr>
                <w:rFonts w:ascii="宋体" w:hAnsi="宋体" w:cs="宋体" w:eastAsia="宋体" w:hint="default"/>
                <w:sz w:val="21"/>
                <w:szCs w:val="21"/>
              </w:rPr>
              <w:t>房租费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1,517,870.79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704,725.00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35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1,204,414.18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1,279,605.31</w:t>
            </w:r>
          </w:p>
        </w:tc>
      </w:tr>
      <w:tr>
        <w:trPr>
          <w:trHeight w:val="35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资产折旧摊销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206,327.51</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28,747,183.21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20,250,402.25</w:t>
            </w:r>
          </w:p>
        </w:tc>
      </w:tr>
    </w:tbl>
    <w:p>
      <w:pPr>
        <w:spacing w:line="240" w:lineRule="auto" w:before="2"/>
        <w:rPr>
          <w:rFonts w:ascii="宋体" w:hAnsi="宋体" w:cs="宋体" w:eastAsia="宋体" w:hint="default"/>
          <w:sz w:val="20"/>
          <w:szCs w:val="20"/>
        </w:rPr>
      </w:pPr>
    </w:p>
    <w:p>
      <w:pPr>
        <w:pStyle w:val="BodyText"/>
        <w:spacing w:line="290" w:lineRule="auto" w:before="36"/>
        <w:ind w:left="21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60</w:t>
      </w:r>
      <w:r>
        <w:rPr/>
        <w:t>、</w:t>
      </w:r>
      <w:r>
        <w:rPr>
          <w:spacing w:val="-25"/>
        </w:rPr>
        <w:t> </w:t>
      </w:r>
      <w:r>
        <w:rPr/>
        <w:t>管理费用</w:t>
      </w:r>
      <w:r>
        <w:rPr>
          <w:b w:val="0"/>
          <w:bCs w:val="0"/>
        </w:rPr>
      </w:r>
    </w:p>
    <w:p>
      <w:pPr>
        <w:pStyle w:val="BodyText"/>
        <w:spacing w:line="240" w:lineRule="auto" w:before="5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21"/>
                <w:szCs w:val="21"/>
              </w:rPr>
            </w:pPr>
            <w:r>
              <w:rPr>
                <w:rFonts w:ascii="Times New Roman"/>
                <w:spacing w:val="-1"/>
                <w:sz w:val="21"/>
              </w:rPr>
              <w:t>7,102,286.06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pacing w:val="-1"/>
                <w:sz w:val="21"/>
              </w:rPr>
              <w:t>12,027,421.52</w:t>
            </w:r>
          </w:p>
        </w:tc>
      </w:tr>
      <w:tr>
        <w:trPr>
          <w:trHeight w:val="34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17,173,101.58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15,173,833.99</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4,552,289.80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3,987,228.03</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1,162,876.88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1,677,941.95</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5,599,110.86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2,663,255.89</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w:t>
            </w:r>
            <w:r>
              <w:rPr>
                <w:rFonts w:ascii="Times New Roman" w:hAnsi="Times New Roman" w:cs="Times New Roman" w:eastAsia="Times New Roman" w:hint="default"/>
                <w:sz w:val="21"/>
                <w:szCs w:val="21"/>
              </w:rPr>
              <w:t>/</w:t>
            </w:r>
            <w:r>
              <w:rPr>
                <w:rFonts w:ascii="宋体" w:hAnsi="宋体" w:cs="宋体" w:eastAsia="宋体" w:hint="default"/>
                <w:sz w:val="21"/>
                <w:szCs w:val="21"/>
              </w:rPr>
              <w:t>物业</w:t>
            </w:r>
            <w:r>
              <w:rPr>
                <w:rFonts w:ascii="Times New Roman" w:hAnsi="Times New Roman" w:cs="Times New Roman" w:eastAsia="Times New Roman" w:hint="default"/>
                <w:sz w:val="21"/>
                <w:szCs w:val="21"/>
              </w:rPr>
              <w:t>/</w:t>
            </w:r>
            <w:r>
              <w:rPr>
                <w:rFonts w:ascii="宋体" w:hAnsi="宋体" w:cs="宋体" w:eastAsia="宋体" w:hint="default"/>
                <w:sz w:val="21"/>
                <w:szCs w:val="21"/>
              </w:rPr>
              <w:t>房租费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4,549,972.43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3,267,622.46</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6,685,858.57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3,355,656.59</w:t>
            </w:r>
          </w:p>
        </w:tc>
      </w:tr>
      <w:tr>
        <w:trPr>
          <w:trHeight w:val="34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4,706,326.58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4,223,769.83</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税费及附加</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1,436,921.02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1,774,417.00</w:t>
            </w:r>
          </w:p>
        </w:tc>
      </w:tr>
      <w:tr>
        <w:trPr>
          <w:trHeight w:val="35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1,140,719.49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3,170,011.98</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1,508,648.84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1,456,653.18</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523,168.65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1,585,854.55</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56,141,280.76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54,363,666.97</w:t>
            </w:r>
          </w:p>
        </w:tc>
      </w:tr>
    </w:tbl>
    <w:p>
      <w:pPr>
        <w:pStyle w:val="BodyText"/>
        <w:spacing w:line="239" w:lineRule="exact"/>
        <w:ind w:left="218" w:right="227"/>
        <w:jc w:val="left"/>
      </w:pPr>
      <w:r>
        <w:rPr/>
        <w:t>其他说明：</w:t>
      </w:r>
    </w:p>
    <w:p>
      <w:pPr>
        <w:pStyle w:val="BodyText"/>
        <w:spacing w:line="273" w:lineRule="exact"/>
        <w:ind w:left="218" w:right="227"/>
        <w:jc w:val="left"/>
      </w:pPr>
      <w:r>
        <w:rPr/>
        <w:t>无。</w:t>
      </w:r>
    </w:p>
    <w:p>
      <w:pPr>
        <w:spacing w:line="240" w:lineRule="auto" w:before="6"/>
        <w:rPr>
          <w:rFonts w:ascii="宋体" w:hAnsi="宋体" w:cs="宋体" w:eastAsia="宋体" w:hint="default"/>
          <w:sz w:val="22"/>
          <w:szCs w:val="22"/>
        </w:rPr>
      </w:pPr>
    </w:p>
    <w:p>
      <w:pPr>
        <w:pStyle w:val="Heading2"/>
        <w:spacing w:line="240" w:lineRule="auto" w:before="36"/>
        <w:ind w:right="227"/>
        <w:jc w:val="left"/>
        <w:rPr>
          <w:b w:val="0"/>
          <w:bCs w:val="0"/>
        </w:rPr>
      </w:pPr>
      <w:r>
        <w:rPr>
          <w:rFonts w:ascii="宋体" w:hAnsi="宋体" w:cs="宋体" w:eastAsia="宋体" w:hint="default"/>
        </w:rPr>
        <w:t>61</w:t>
      </w:r>
      <w:r>
        <w:rPr/>
        <w:t>、</w:t>
      </w:r>
      <w:r>
        <w:rPr>
          <w:spacing w:val="-25"/>
        </w:rPr>
        <w:t> </w:t>
      </w:r>
      <w:r>
        <w:rPr/>
        <w:t>财务费用</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-6,199,311.83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-4,791,956.21</w:t>
            </w:r>
          </w:p>
        </w:tc>
      </w:tr>
      <w:tr>
        <w:trPr>
          <w:trHeight w:val="34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346,724.45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130,599.63</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82,333.34</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-5,852,587.38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-4,579,023.24</w:t>
            </w:r>
          </w:p>
        </w:tc>
      </w:tr>
    </w:tbl>
    <w:p>
      <w:pPr>
        <w:pStyle w:val="BodyText"/>
        <w:spacing w:line="240" w:lineRule="exact"/>
        <w:ind w:left="218" w:right="227"/>
        <w:jc w:val="left"/>
      </w:pPr>
      <w:r>
        <w:rPr/>
        <w:t>其他说明：</w:t>
      </w:r>
    </w:p>
    <w:p>
      <w:pPr>
        <w:pStyle w:val="BodyText"/>
        <w:spacing w:line="274" w:lineRule="exact"/>
        <w:ind w:left="218" w:right="227"/>
        <w:jc w:val="left"/>
      </w:pP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62</w:t>
      </w:r>
      <w:r>
        <w:rPr/>
        <w:t>、</w:t>
      </w:r>
      <w:r>
        <w:rPr>
          <w:spacing w:val="-24"/>
        </w:rPr>
        <w:t> </w:t>
      </w:r>
      <w:r>
        <w:rPr/>
        <w:t>资产减值损失</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1990" w:space="47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58" w:right="0"/>
              <w:jc w:val="left"/>
              <w:rPr>
                <w:rFonts w:ascii="Times New Roman" w:hAnsi="Times New Roman" w:cs="Times New Roman" w:eastAsia="Times New Roman" w:hint="default"/>
                <w:sz w:val="21"/>
                <w:szCs w:val="21"/>
              </w:rPr>
            </w:pPr>
            <w:r>
              <w:rPr>
                <w:rFonts w:ascii="Times New Roman"/>
                <w:sz w:val="21"/>
              </w:rPr>
              <w:t>5,008,815.19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2,651,446.16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116,596.21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8" w:right="0"/>
              <w:jc w:val="left"/>
              <w:rPr>
                <w:rFonts w:ascii="Times New Roman" w:hAnsi="Times New Roman" w:cs="Times New Roman" w:eastAsia="Times New Roman" w:hint="default"/>
                <w:sz w:val="21"/>
                <w:szCs w:val="21"/>
              </w:rPr>
            </w:pPr>
            <w:r>
              <w:rPr>
                <w:rFonts w:ascii="Times New Roman"/>
                <w:sz w:val="21"/>
              </w:rPr>
              <w:t>5,008,815.19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63" w:right="0"/>
              <w:jc w:val="left"/>
              <w:rPr>
                <w:rFonts w:ascii="Times New Roman" w:hAnsi="Times New Roman" w:cs="Times New Roman" w:eastAsia="Times New Roman" w:hint="default"/>
                <w:sz w:val="21"/>
                <w:szCs w:val="21"/>
              </w:rPr>
            </w:pPr>
            <w:r>
              <w:rPr>
                <w:rFonts w:ascii="Times New Roman"/>
                <w:sz w:val="21"/>
              </w:rPr>
              <w:t>2,768,042.37</w:t>
            </w:r>
          </w:p>
        </w:tc>
      </w:tr>
    </w:tbl>
    <w:p>
      <w:pPr>
        <w:pStyle w:val="BodyText"/>
        <w:spacing w:line="290" w:lineRule="auto" w:before="26"/>
        <w:ind w:left="21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63</w:t>
      </w:r>
      <w:r>
        <w:rPr/>
        <w:t>、</w:t>
      </w:r>
      <w:r>
        <w:rPr>
          <w:spacing w:val="-24"/>
        </w:rPr>
        <w:t> </w:t>
      </w:r>
      <w:r>
        <w:rPr/>
        <w:t>公允价值变动收益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2412" w:space="432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925,642.47</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925,642.47</w:t>
            </w: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left="218" w:right="799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64</w:t>
      </w:r>
      <w:r>
        <w:rPr/>
        <w:t>、</w:t>
      </w:r>
      <w:r>
        <w:rPr>
          <w:spacing w:val="-25"/>
        </w:rPr>
        <w:t> </w:t>
      </w:r>
      <w:r>
        <w:rPr/>
        <w:t>投资收益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-17,677.78</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58" w:right="0"/>
              <w:jc w:val="left"/>
              <w:rPr>
                <w:rFonts w:ascii="Times New Roman" w:hAnsi="Times New Roman" w:cs="Times New Roman" w:eastAsia="Times New Roman" w:hint="default"/>
                <w:sz w:val="21"/>
                <w:szCs w:val="21"/>
              </w:rPr>
            </w:pPr>
            <w:r>
              <w:rPr>
                <w:rFonts w:ascii="Times New Roman"/>
                <w:sz w:val="21"/>
              </w:rPr>
              <w:t>3,908,469.04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35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银行理财产品产生的投资收益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9,062,712.26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1,004,794.52</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12,971,181.30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987,116.74</w:t>
            </w:r>
          </w:p>
        </w:tc>
      </w:tr>
    </w:tbl>
    <w:p>
      <w:pPr>
        <w:spacing w:line="240" w:lineRule="auto" w:before="1"/>
        <w:rPr>
          <w:rFonts w:ascii="宋体" w:hAnsi="宋体" w:cs="宋体" w:eastAsia="宋体" w:hint="default"/>
          <w:sz w:val="5"/>
          <w:szCs w:val="5"/>
        </w:rPr>
      </w:pPr>
    </w:p>
    <w:p>
      <w:pPr>
        <w:pStyle w:val="BodyText"/>
        <w:spacing w:line="300" w:lineRule="auto" w:before="36"/>
        <w:ind w:left="218"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18"/>
          <w:szCs w:val="18"/>
        </w:rPr>
      </w:pPr>
    </w:p>
    <w:p>
      <w:pPr>
        <w:pStyle w:val="Heading2"/>
        <w:spacing w:line="240" w:lineRule="auto" w:before="36"/>
        <w:ind w:right="227"/>
        <w:jc w:val="left"/>
        <w:rPr>
          <w:b w:val="0"/>
          <w:bCs w:val="0"/>
        </w:rPr>
      </w:pPr>
      <w:r>
        <w:rPr>
          <w:rFonts w:ascii="宋体" w:hAnsi="宋体" w:cs="宋体" w:eastAsia="宋体" w:hint="default"/>
        </w:rPr>
        <w:t>65</w:t>
      </w:r>
      <w:r>
        <w:rPr/>
        <w:t>、</w:t>
      </w:r>
      <w:r>
        <w:rPr>
          <w:spacing w:val="-25"/>
        </w:rPr>
        <w:t> </w:t>
      </w:r>
      <w:r>
        <w:rPr/>
        <w:t>营业外收入</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26,279,532.46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21,310,440.40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18,044,066.67</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307,536.77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53,264.29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307,536.77</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26,587,069.23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21,363,704.69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18,351,603.44</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58"/>
          <w:pgSz w:w="11910" w:h="16840"/>
          <w:pgMar w:footer="974" w:header="0" w:top="1120" w:bottom="1160" w:left="1580" w:right="1040"/>
        </w:sectPr>
      </w:pPr>
    </w:p>
    <w:p>
      <w:pPr>
        <w:pStyle w:val="BodyText"/>
        <w:spacing w:line="273" w:lineRule="exact" w:before="36"/>
        <w:ind w:left="218" w:right="0"/>
        <w:jc w:val="left"/>
      </w:pPr>
      <w:r>
        <w:rPr>
          <w:spacing w:val="-2"/>
        </w:rPr>
        <w:t>计入当期损益的政府补助</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2532" w:space="4201"/>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715"/>
        <w:gridCol w:w="1418"/>
        <w:gridCol w:w="1438"/>
        <w:gridCol w:w="1325"/>
      </w:tblGrid>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hAnsi="宋体" w:cs="宋体" w:eastAsia="宋体" w:hint="default"/>
                <w:spacing w:val="-2"/>
                <w:sz w:val="21"/>
                <w:szCs w:val="21"/>
              </w:rPr>
              <w:t>本期发生金额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3"/>
              <w:jc w:val="right"/>
              <w:rPr>
                <w:rFonts w:ascii="宋体" w:hAnsi="宋体" w:cs="宋体" w:eastAsia="宋体" w:hint="default"/>
                <w:sz w:val="21"/>
                <w:szCs w:val="21"/>
              </w:rPr>
            </w:pPr>
            <w:r>
              <w:rPr>
                <w:rFonts w:ascii="宋体" w:hAnsi="宋体" w:cs="宋体" w:eastAsia="宋体" w:hint="default"/>
                <w:spacing w:val="-1"/>
                <w:sz w:val="21"/>
                <w:szCs w:val="21"/>
              </w:rPr>
              <w:t>上期发生金额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国家移动互联网及第四代移动通信（</w:t>
            </w:r>
            <w:r>
              <w:rPr>
                <w:rFonts w:ascii="Times New Roman" w:hAnsi="Times New Roman" w:cs="Times New Roman" w:eastAsia="Times New Roman" w:hint="default"/>
                <w:spacing w:val="-5"/>
                <w:sz w:val="21"/>
                <w:szCs w:val="21"/>
              </w:rPr>
              <w:t>TD-LTE</w:t>
            </w:r>
            <w:r>
              <w:rPr>
                <w:rFonts w:ascii="宋体" w:hAnsi="宋体" w:cs="宋体" w:eastAsia="宋体" w:hint="default"/>
                <w:spacing w:val="-5"/>
                <w:sz w:val="21"/>
                <w:szCs w:val="21"/>
              </w:rPr>
              <w:t>）产业</w:t>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化专项</w:t>
            </w:r>
            <w:r>
              <w:rPr>
                <w:rFonts w:ascii="Times New Roman" w:hAnsi="Times New Roman" w:cs="Times New Roman" w:eastAsia="Times New Roman" w:hint="default"/>
                <w:sz w:val="21"/>
                <w:szCs w:val="21"/>
              </w:rPr>
              <w:t>-</w:t>
            </w:r>
            <w:r>
              <w:rPr>
                <w:rFonts w:ascii="宋体" w:hAnsi="宋体" w:cs="宋体" w:eastAsia="宋体" w:hint="default"/>
                <w:sz w:val="21"/>
                <w:szCs w:val="21"/>
              </w:rPr>
              <w:t>移动互联网大数据关键技术研发及产业化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收到的增值税返还</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8,235,465.79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9,502,603.16</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泉州市丰泽区财政局款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1,300,000.00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福建省产业技术联合创新专项</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基于传感器融合的</w:t>
            </w:r>
            <w:r>
              <w:rPr>
                <w:rFonts w:ascii="宋体" w:hAnsi="宋体" w:cs="宋体" w:eastAsia="宋体" w:hint="default"/>
                <w:sz w:val="21"/>
                <w:szCs w:val="21"/>
              </w:rPr>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智能云服务终端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电子信息产业发展基金招标项目</w:t>
            </w:r>
            <w:r>
              <w:rPr>
                <w:rFonts w:ascii="宋体" w:hAnsi="宋体" w:cs="宋体" w:eastAsia="宋体" w:hint="default"/>
                <w:spacing w:val="3"/>
                <w:sz w:val="21"/>
                <w:szCs w:val="21"/>
              </w:rPr>
              <w:t>-</w:t>
            </w:r>
            <w:r>
              <w:rPr>
                <w:rFonts w:ascii="宋体" w:hAnsi="宋体" w:cs="宋体" w:eastAsia="宋体" w:hint="default"/>
                <w:spacing w:val="3"/>
                <w:sz w:val="21"/>
                <w:szCs w:val="21"/>
              </w:rPr>
              <w:t>企业内部风险管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理控制信息系统研发及产业化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信息安全专项</w:t>
            </w:r>
            <w:r>
              <w:rPr>
                <w:rFonts w:ascii="宋体" w:hAnsi="宋体" w:cs="宋体" w:eastAsia="宋体" w:hint="default"/>
                <w:sz w:val="21"/>
                <w:szCs w:val="21"/>
              </w:rPr>
              <w:t>-</w:t>
            </w:r>
            <w:r>
              <w:rPr>
                <w:rFonts w:ascii="宋体" w:hAnsi="宋体" w:cs="宋体" w:eastAsia="宋体" w:hint="default"/>
                <w:sz w:val="21"/>
                <w:szCs w:val="21"/>
              </w:rPr>
              <w:t>电子政务云计算安全管理服务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937,500.00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省科技重大专项专题</w:t>
            </w:r>
            <w:r>
              <w:rPr>
                <w:rFonts w:ascii="宋体" w:hAnsi="宋体" w:cs="宋体" w:eastAsia="宋体" w:hint="default"/>
                <w:spacing w:val="3"/>
                <w:sz w:val="21"/>
                <w:szCs w:val="21"/>
              </w:rPr>
              <w:t>-</w:t>
            </w:r>
            <w:r>
              <w:rPr>
                <w:rFonts w:ascii="宋体" w:hAnsi="宋体" w:cs="宋体" w:eastAsia="宋体" w:hint="default"/>
                <w:spacing w:val="3"/>
                <w:sz w:val="21"/>
                <w:szCs w:val="21"/>
              </w:rPr>
              <w:t>用于企业产品设计的云平台</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关键技术研发与应用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787,500.00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省软件产业发展专项资金项目、市科学技术奖、区</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pacing w:val="3"/>
                <w:sz w:val="21"/>
                <w:szCs w:val="21"/>
              </w:rPr>
              <w:t>民营企业“二次创业”项目</w:t>
            </w:r>
            <w:r>
              <w:rPr>
                <w:rFonts w:ascii="宋体" w:hAnsi="宋体" w:cs="宋体" w:eastAsia="宋体" w:hint="default"/>
                <w:spacing w:val="3"/>
                <w:sz w:val="21"/>
                <w:szCs w:val="21"/>
              </w:rPr>
              <w:t>-</w:t>
            </w:r>
            <w:r>
              <w:rPr>
                <w:rFonts w:ascii="宋体" w:hAnsi="宋体" w:cs="宋体" w:eastAsia="宋体" w:hint="default"/>
                <w:spacing w:val="3"/>
                <w:sz w:val="21"/>
                <w:szCs w:val="21"/>
              </w:rPr>
              <w:t>电子证照共享服务平</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center"/>
        <w:rPr>
          <w:rFonts w:ascii="宋体" w:hAnsi="宋体" w:cs="宋体" w:eastAsia="宋体" w:hint="default"/>
          <w:sz w:val="21"/>
          <w:szCs w:val="21"/>
        </w:rPr>
        <w:sectPr>
          <w:type w:val="continuous"/>
          <w:pgSz w:w="11910" w:h="16840"/>
          <w:pgMar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715"/>
        <w:gridCol w:w="1418"/>
        <w:gridCol w:w="1438"/>
        <w:gridCol w:w="1325"/>
      </w:tblGrid>
      <w:tr>
        <w:trPr>
          <w:trHeight w:val="351"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区拨</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年规模企业发展扶持资金款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585,900.00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省软件产业发展专项资金项目</w:t>
            </w:r>
            <w:r>
              <w:rPr>
                <w:rFonts w:ascii="宋体" w:hAnsi="宋体" w:cs="宋体" w:eastAsia="宋体" w:hint="default"/>
                <w:sz w:val="21"/>
                <w:szCs w:val="21"/>
              </w:rPr>
              <w:t>-</w:t>
            </w:r>
            <w:r>
              <w:rPr>
                <w:rFonts w:ascii="宋体" w:hAnsi="宋体" w:cs="宋体" w:eastAsia="宋体" w:hint="default"/>
                <w:sz w:val="21"/>
                <w:szCs w:val="21"/>
              </w:rPr>
              <w:t>移动</w:t>
            </w:r>
            <w:r>
              <w:rPr>
                <w:rFonts w:ascii="宋体" w:hAnsi="宋体" w:cs="宋体" w:eastAsia="宋体" w:hint="default"/>
                <w:spacing w:val="-53"/>
                <w:sz w:val="21"/>
                <w:szCs w:val="21"/>
              </w:rPr>
              <w:t> </w:t>
            </w:r>
            <w:r>
              <w:rPr>
                <w:rFonts w:ascii="宋体" w:hAnsi="宋体" w:cs="宋体" w:eastAsia="宋体" w:hint="default"/>
                <w:sz w:val="21"/>
                <w:szCs w:val="21"/>
              </w:rPr>
              <w:t>UCAP</w:t>
            </w:r>
            <w:r>
              <w:rPr>
                <w:rFonts w:ascii="宋体" w:hAnsi="宋体" w:cs="宋体" w:eastAsia="宋体" w:hint="default"/>
                <w:spacing w:val="-53"/>
                <w:sz w:val="21"/>
                <w:szCs w:val="21"/>
              </w:rPr>
              <w:t> </w:t>
            </w:r>
            <w:r>
              <w:rPr>
                <w:rFonts w:ascii="宋体" w:hAnsi="宋体" w:cs="宋体" w:eastAsia="宋体" w:hint="default"/>
                <w:sz w:val="21"/>
                <w:szCs w:val="21"/>
              </w:rPr>
              <w:t>平台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持企业改制上市专项资金奖励</w:t>
            </w:r>
            <w:r>
              <w:rPr>
                <w:rFonts w:ascii="宋体" w:hAnsi="宋体" w:cs="宋体" w:eastAsia="宋体" w:hint="default"/>
                <w:sz w:val="21"/>
                <w:szCs w:val="21"/>
              </w:rPr>
              <w:t>-</w:t>
            </w:r>
            <w:r>
              <w:rPr>
                <w:rFonts w:ascii="宋体" w:hAnsi="宋体" w:cs="宋体" w:eastAsia="宋体" w:hint="default"/>
                <w:sz w:val="21"/>
                <w:szCs w:val="21"/>
              </w:rPr>
              <w:t>挂牌上市款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泉州市服务业发展引导资金项目</w:t>
            </w:r>
            <w:r>
              <w:rPr>
                <w:rFonts w:ascii="宋体" w:hAnsi="宋体" w:cs="宋体" w:eastAsia="宋体" w:hint="default"/>
                <w:spacing w:val="3"/>
                <w:sz w:val="21"/>
                <w:szCs w:val="21"/>
              </w:rPr>
              <w:t>-</w:t>
            </w:r>
            <w:r>
              <w:rPr>
                <w:rFonts w:ascii="宋体" w:hAnsi="宋体" w:cs="宋体" w:eastAsia="宋体" w:hint="default"/>
                <w:spacing w:val="3"/>
                <w:sz w:val="21"/>
                <w:szCs w:val="21"/>
              </w:rPr>
              <w:t>智能交通大数据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管理平台研发及推广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省区域发展项目</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城市智能交通物联网即插即用式</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智能接口研发与应用示范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375,000.00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省软件产业发展专项资金</w:t>
            </w:r>
            <w:r>
              <w:rPr>
                <w:rFonts w:ascii="Times New Roman" w:hAnsi="Times New Roman" w:cs="Times New Roman" w:eastAsia="Times New Roman" w:hint="default"/>
                <w:sz w:val="21"/>
                <w:szCs w:val="21"/>
              </w:rPr>
              <w:t>-</w:t>
            </w:r>
            <w:r>
              <w:rPr>
                <w:rFonts w:ascii="宋体" w:hAnsi="宋体" w:cs="宋体" w:eastAsia="宋体" w:hint="default"/>
                <w:sz w:val="21"/>
                <w:szCs w:val="21"/>
              </w:rPr>
              <w:t>软件企业上市奖励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福建省专利技术实施与产业化计划项目</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一种面向</w:t>
            </w:r>
            <w:r>
              <w:rPr>
                <w:rFonts w:ascii="宋体" w:hAnsi="宋体" w:cs="宋体" w:eastAsia="宋体" w:hint="default"/>
                <w:sz w:val="21"/>
                <w:szCs w:val="21"/>
              </w:rPr>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用户资源的自定义方法专利技术的产业化运用研究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1"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省创意产业科技项目</w:t>
            </w:r>
            <w:r>
              <w:rPr>
                <w:rFonts w:ascii="Times New Roman" w:hAnsi="Times New Roman" w:cs="Times New Roman" w:eastAsia="Times New Roman" w:hint="default"/>
                <w:sz w:val="21"/>
                <w:szCs w:val="21"/>
              </w:rPr>
              <w:t>-</w:t>
            </w:r>
            <w:r>
              <w:rPr>
                <w:rFonts w:ascii="宋体" w:hAnsi="宋体" w:cs="宋体" w:eastAsia="宋体" w:hint="default"/>
                <w:sz w:val="21"/>
                <w:szCs w:val="21"/>
              </w:rPr>
              <w:t>南音数字化系统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市科技创新领军人才奖励资金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100,000.00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6.18 </w:t>
            </w:r>
            <w:r>
              <w:rPr>
                <w:rFonts w:ascii="Times New Roman" w:hAnsi="Times New Roman" w:cs="Times New Roman" w:eastAsia="Times New Roman" w:hint="default"/>
                <w:spacing w:val="48"/>
                <w:sz w:val="21"/>
                <w:szCs w:val="21"/>
              </w:rPr>
              <w:t> </w:t>
            </w:r>
            <w:r>
              <w:rPr>
                <w:rFonts w:ascii="宋体" w:hAnsi="宋体" w:cs="宋体" w:eastAsia="宋体" w:hint="default"/>
                <w:spacing w:val="3"/>
                <w:sz w:val="21"/>
                <w:szCs w:val="21"/>
              </w:rPr>
              <w:t>项目成果转化扶持专项</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视频图像分布式联网</w:t>
            </w:r>
            <w:r>
              <w:rPr>
                <w:rFonts w:ascii="宋体" w:hAnsi="宋体" w:cs="宋体" w:eastAsia="宋体" w:hint="default"/>
                <w:sz w:val="21"/>
                <w:szCs w:val="21"/>
              </w:rPr>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与智能化应用平台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75,000.00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区科学技术一等奖（电子证照服务平台）和三等奖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奖金（高速卡口智能交通管控系统）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鼓楼区科技计划项目</w:t>
            </w:r>
            <w:r>
              <w:rPr>
                <w:rFonts w:ascii="Times New Roman" w:hAnsi="Times New Roman" w:cs="Times New Roman" w:eastAsia="Times New Roman" w:hint="default"/>
                <w:sz w:val="21"/>
                <w:szCs w:val="21"/>
              </w:rPr>
              <w:t>-</w:t>
            </w:r>
            <w:r>
              <w:rPr>
                <w:rFonts w:ascii="宋体" w:hAnsi="宋体" w:cs="宋体" w:eastAsia="宋体" w:hint="default"/>
                <w:sz w:val="21"/>
                <w:szCs w:val="21"/>
              </w:rPr>
              <w:t>科技云服务平台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66,666.67</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小发明小创造扶持资金</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视频图像分布式联网与智</w:t>
            </w:r>
            <w:r>
              <w:rPr>
                <w:rFonts w:ascii="宋体" w:hAnsi="宋体" w:cs="宋体" w:eastAsia="宋体" w:hint="default"/>
                <w:sz w:val="21"/>
                <w:szCs w:val="21"/>
              </w:rPr>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能化应用平台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泉州市科技计划项目</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泉州市科技项目电子监察系</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6"/>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展</w:t>
            </w:r>
            <w:r>
              <w:rPr>
                <w:rFonts w:ascii="宋体" w:hAnsi="宋体" w:cs="宋体" w:eastAsia="宋体" w:hint="default"/>
                <w:spacing w:val="-73"/>
                <w:sz w:val="21"/>
                <w:szCs w:val="21"/>
              </w:rPr>
              <w:t> </w:t>
            </w:r>
            <w:r>
              <w:rPr>
                <w:rFonts w:ascii="宋体" w:hAnsi="宋体" w:cs="宋体" w:eastAsia="宋体" w:hint="default"/>
                <w:sz w:val="21"/>
                <w:szCs w:val="21"/>
              </w:rPr>
              <w:t>专</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企</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认</w:t>
            </w:r>
            <w:r>
              <w:rPr>
                <w:rFonts w:ascii="宋体" w:hAnsi="宋体" w:cs="宋体" w:eastAsia="宋体" w:hint="default"/>
                <w:spacing w:val="-73"/>
                <w:sz w:val="21"/>
                <w:szCs w:val="21"/>
              </w:rPr>
              <w:t> </w:t>
            </w:r>
            <w:r>
              <w:rPr>
                <w:rFonts w:ascii="宋体" w:hAnsi="宋体" w:cs="宋体" w:eastAsia="宋体" w:hint="default"/>
                <w:sz w:val="21"/>
                <w:szCs w:val="21"/>
              </w:rPr>
              <w:t>证</w:t>
            </w:r>
            <w:r>
              <w:rPr>
                <w:rFonts w:ascii="宋体" w:hAnsi="宋体" w:cs="宋体" w:eastAsia="宋体" w:hint="default"/>
                <w:spacing w:val="-76"/>
                <w:sz w:val="21"/>
                <w:szCs w:val="21"/>
              </w:rPr>
              <w:t> </w:t>
            </w:r>
            <w:r>
              <w:rPr>
                <w:rFonts w:ascii="宋体" w:hAnsi="宋体" w:cs="宋体" w:eastAsia="宋体" w:hint="default"/>
                <w:sz w:val="21"/>
                <w:szCs w:val="21"/>
              </w:rPr>
              <w:t>奖</w:t>
            </w:r>
            <w:r>
              <w:rPr>
                <w:rFonts w:ascii="宋体" w:hAnsi="宋体" w:cs="宋体" w:eastAsia="宋体" w:hint="default"/>
                <w:spacing w:val="-73"/>
                <w:sz w:val="21"/>
                <w:szCs w:val="21"/>
              </w:rPr>
              <w:t> </w:t>
            </w:r>
            <w:r>
              <w:rPr>
                <w:rFonts w:ascii="宋体" w:hAnsi="宋体" w:cs="宋体" w:eastAsia="宋体" w:hint="default"/>
                <w:sz w:val="21"/>
                <w:szCs w:val="21"/>
              </w:rPr>
              <w:t>励</w:t>
            </w:r>
          </w:p>
          <w:p>
            <w:pPr>
              <w:pStyle w:val="TableParagraph"/>
              <w:spacing w:line="282"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(ISO20000</w:t>
            </w:r>
            <w:r>
              <w:rPr>
                <w:rFonts w:ascii="宋体" w:hAnsi="宋体" w:cs="宋体" w:eastAsia="宋体" w:hint="default"/>
                <w:sz w:val="21"/>
                <w:szCs w:val="21"/>
              </w:rPr>
              <w:t>、</w:t>
            </w:r>
            <w:r>
              <w:rPr>
                <w:rFonts w:ascii="Times New Roman" w:hAnsi="Times New Roman" w:cs="Times New Roman" w:eastAsia="Times New Roman" w:hint="default"/>
                <w:sz w:val="21"/>
                <w:szCs w:val="21"/>
              </w:rPr>
              <w:t>ISO27001)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26,000.00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泉州市丰泽区总工会劳模款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10,000.00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泉州市知识产权局专利资助款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9,500.00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区科技局专利授权奖励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1,000.00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年第三批产业技术研究与开发资金</w:t>
            </w:r>
            <w:r>
              <w:rPr>
                <w:rFonts w:ascii="Times New Roman" w:hAnsi="Times New Roman" w:cs="Times New Roman" w:eastAsia="Times New Roman" w:hint="default"/>
                <w:sz w:val="21"/>
                <w:szCs w:val="21"/>
              </w:rPr>
              <w:t>-</w:t>
            </w:r>
            <w:r>
              <w:rPr>
                <w:rFonts w:ascii="宋体" w:hAnsi="宋体" w:cs="宋体" w:eastAsia="宋体" w:hint="default"/>
                <w:sz w:val="21"/>
                <w:szCs w:val="21"/>
              </w:rPr>
              <w:t>电子政务</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云计算安全管理服务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2,250,000.00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企业内部风险管理控制信息系统研发及产业化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2,000,000.00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8"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企业改制上奖励资金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1"/>
                <w:szCs w:val="21"/>
              </w:rPr>
            </w:pPr>
            <w:r>
              <w:rPr>
                <w:rFonts w:ascii="Times New Roman"/>
                <w:spacing w:val="-1"/>
                <w:sz w:val="21"/>
              </w:rPr>
              <w:t>1,721,400.00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电子政务内网网站及业务应用系统监管技术与产品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研究</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870,000.00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电子产业发展资金</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基于企业内部控制基本规范的</w:t>
            </w:r>
          </w:p>
          <w:p>
            <w:pPr>
              <w:pStyle w:val="TableParagraph"/>
              <w:spacing w:line="281"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 </w:t>
            </w:r>
            <w:r>
              <w:rPr>
                <w:rFonts w:ascii="宋体" w:hAnsi="宋体" w:cs="宋体" w:eastAsia="宋体" w:hint="default"/>
                <w:sz w:val="21"/>
                <w:szCs w:val="21"/>
              </w:rPr>
              <w:t>治理管理系统研发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1"/>
                <w:sz w:val="21"/>
              </w:rPr>
              <w:t>833,333.33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农产品区域物流信息服务平台的研发与应用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1"/>
                <w:szCs w:val="21"/>
              </w:rPr>
            </w:pPr>
            <w:r>
              <w:rPr>
                <w:rFonts w:ascii="Times New Roman"/>
                <w:spacing w:val="-1"/>
                <w:sz w:val="21"/>
              </w:rPr>
              <w:t>830,000.00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8"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公车管理服务平台</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1"/>
                <w:szCs w:val="21"/>
              </w:rPr>
            </w:pPr>
            <w:r>
              <w:rPr>
                <w:rFonts w:ascii="Times New Roman"/>
                <w:spacing w:val="-1"/>
                <w:sz w:val="21"/>
              </w:rPr>
              <w:t>700,000.00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省创意产业科技项目“南音数字化系统”</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300,000.00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智能交通大数据管理平台研发及推广</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400,000.00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省科技重大专项专题项目</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用于企业产品设计的云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平台关键技术研发与应用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562,500.00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农产品区域物流信息服务平台的研发与应用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280,000.00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泉州市科技云服务平台补贴收入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176,470.58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1"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关于推荐民营企业“二次创业”的实施意见</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164,000.00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泉州市科技计划项目管理系统的建设与应用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74" w:lineRule="exact"/>
        <w:jc w:val="center"/>
        <w:rPr>
          <w:rFonts w:ascii="宋体" w:hAnsi="宋体" w:cs="宋体" w:eastAsia="宋体" w:hint="default"/>
          <w:sz w:val="21"/>
          <w:szCs w:val="21"/>
        </w:rPr>
        <w:sectPr>
          <w:footerReference w:type="default" r:id="rId59"/>
          <w:pgSz w:w="11910" w:h="16840"/>
          <w:pgMar w:footer="974" w:header="0" w:top="1120" w:bottom="1160" w:left="1660" w:right="1120"/>
          <w:pgNumType w:start="13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4715"/>
        <w:gridCol w:w="1418"/>
        <w:gridCol w:w="1438"/>
        <w:gridCol w:w="1325"/>
      </w:tblGrid>
      <w:tr>
        <w:trPr>
          <w:trHeight w:val="351"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电子证照共享服务平台</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150,000.00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海西物流监管云平台</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100,000.00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泉州市科技项目电子监察系统</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50,000.00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福建省知识产权优势企业奖励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50,000.00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6"/>
                <w:sz w:val="21"/>
                <w:szCs w:val="21"/>
              </w:rPr>
              <w:t> </w:t>
            </w:r>
            <w:r>
              <w:rPr>
                <w:rFonts w:ascii="宋体" w:hAnsi="宋体" w:cs="宋体" w:eastAsia="宋体" w:hint="default"/>
                <w:spacing w:val="-2"/>
                <w:sz w:val="21"/>
                <w:szCs w:val="21"/>
              </w:rPr>
              <w:t>年泉州市“两化”融合示范建设重点培育企业</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奖励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区科技计划项目</w:t>
            </w:r>
            <w:r>
              <w:rPr>
                <w:rFonts w:ascii="Times New Roman" w:hAnsi="Times New Roman" w:cs="Times New Roman" w:eastAsia="Times New Roman" w:hint="default"/>
                <w:sz w:val="21"/>
                <w:szCs w:val="21"/>
              </w:rPr>
              <w:t>-</w:t>
            </w:r>
            <w:r>
              <w:rPr>
                <w:rFonts w:ascii="宋体" w:hAnsi="宋体" w:cs="宋体" w:eastAsia="宋体" w:hint="default"/>
                <w:sz w:val="21"/>
                <w:szCs w:val="21"/>
              </w:rPr>
              <w:t>科技支服务平台</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133,333.33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0"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首届福建创新创业奖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1"/>
                <w:szCs w:val="21"/>
              </w:rPr>
            </w:pPr>
            <w:r>
              <w:rPr>
                <w:rFonts w:ascii="Times New Roman"/>
                <w:spacing w:val="-1"/>
                <w:sz w:val="21"/>
              </w:rPr>
              <w:t>20,000.00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8"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年产业发展专项资金（西安）</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1"/>
                <w:szCs w:val="21"/>
              </w:rPr>
            </w:pPr>
            <w:r>
              <w:rPr>
                <w:rFonts w:ascii="Times New Roman"/>
                <w:spacing w:val="-1"/>
                <w:sz w:val="21"/>
              </w:rPr>
              <w:t>56,800.00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51" w:hRule="exact"/>
        </w:trPr>
        <w:tc>
          <w:tcPr>
            <w:tcW w:w="4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75" w:right="0"/>
              <w:jc w:val="left"/>
              <w:rPr>
                <w:rFonts w:ascii="Times New Roman" w:hAnsi="Times New Roman" w:cs="Times New Roman" w:eastAsia="Times New Roman" w:hint="default"/>
                <w:sz w:val="21"/>
                <w:szCs w:val="21"/>
              </w:rPr>
            </w:pPr>
            <w:r>
              <w:rPr>
                <w:rFonts w:ascii="Times New Roman"/>
                <w:sz w:val="21"/>
              </w:rPr>
              <w:t>26,279,532.46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21,310,440.40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w w:val="100"/>
                <w:sz w:val="21"/>
              </w:rPr>
              <w:t>/</w:t>
            </w:r>
          </w:p>
        </w:tc>
      </w:tr>
    </w:tbl>
    <w:p>
      <w:pPr>
        <w:spacing w:line="240" w:lineRule="auto" w:before="7"/>
        <w:rPr>
          <w:rFonts w:ascii="Times New Roman" w:hAnsi="Times New Roman" w:cs="Times New Roman" w:eastAsia="Times New Roman" w:hint="default"/>
          <w:sz w:val="29"/>
          <w:szCs w:val="29"/>
        </w:rPr>
      </w:pPr>
    </w:p>
    <w:p>
      <w:pPr>
        <w:pStyle w:val="BodyText"/>
        <w:spacing w:line="300" w:lineRule="auto" w:before="36"/>
        <w:ind w:left="218" w:right="7958"/>
        <w:jc w:val="left"/>
      </w:pPr>
      <w:r>
        <w:rPr/>
        <w:t>其他说明：</w:t>
      </w:r>
      <w:r>
        <w:rPr>
          <w:spacing w:val="-102"/>
        </w:rPr>
        <w:t> </w:t>
      </w:r>
      <w:r>
        <w:rPr>
          <w:spacing w:val="-102"/>
        </w:rPr>
      </w:r>
      <w:r>
        <w:rPr/>
        <w:t>无。</w:t>
      </w:r>
    </w:p>
    <w:p>
      <w:pPr>
        <w:spacing w:line="240" w:lineRule="auto" w:before="6"/>
        <w:rPr>
          <w:rFonts w:ascii="宋体" w:hAnsi="宋体" w:cs="宋体" w:eastAsia="宋体" w:hint="default"/>
          <w:sz w:val="18"/>
          <w:szCs w:val="18"/>
        </w:rPr>
      </w:pPr>
    </w:p>
    <w:p>
      <w:pPr>
        <w:pStyle w:val="Heading2"/>
        <w:spacing w:line="240" w:lineRule="auto" w:before="36"/>
        <w:ind w:right="0"/>
        <w:jc w:val="left"/>
        <w:rPr>
          <w:b w:val="0"/>
          <w:bCs w:val="0"/>
        </w:rPr>
      </w:pPr>
      <w:r>
        <w:rPr>
          <w:rFonts w:ascii="宋体" w:hAnsi="宋体" w:cs="宋体" w:eastAsia="宋体" w:hint="default"/>
        </w:rPr>
        <w:t>66</w:t>
      </w:r>
      <w:r>
        <w:rPr/>
        <w:t>、</w:t>
      </w:r>
      <w:r>
        <w:rPr>
          <w:spacing w:val="-25"/>
        </w:rPr>
        <w:t> </w:t>
      </w:r>
      <w:r>
        <w:rPr/>
        <w:t>营业外支出</w:t>
      </w:r>
      <w:r>
        <w:rPr>
          <w:b w:val="0"/>
          <w:bCs w:val="0"/>
        </w:rPr>
      </w:r>
    </w:p>
    <w:p>
      <w:pPr>
        <w:pStyle w:val="BodyText"/>
        <w:spacing w:line="240" w:lineRule="auto" w:before="56"/>
        <w:ind w:left="0" w:right="19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06"/>
        <w:gridCol w:w="1743"/>
        <w:gridCol w:w="3049"/>
      </w:tblGrid>
      <w:tr>
        <w:trPr>
          <w:trHeight w:val="35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9"/>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34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179,315.68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72,267.30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179,315.68</w:t>
            </w:r>
          </w:p>
        </w:tc>
      </w:tr>
      <w:tr>
        <w:trPr>
          <w:trHeight w:val="35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179,315.68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72,267.30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179,315.68</w:t>
            </w:r>
          </w:p>
        </w:tc>
      </w:tr>
      <w:tr>
        <w:trPr>
          <w:trHeight w:val="35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60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175,000.00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56,600.00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175,000.00</w:t>
            </w:r>
          </w:p>
        </w:tc>
      </w:tr>
      <w:tr>
        <w:trPr>
          <w:trHeight w:val="34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252,894.04</w:t>
            </w:r>
          </w:p>
        </w:tc>
        <w:tc>
          <w:tcPr>
            <w:tcW w:w="1743"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252,894.04</w:t>
            </w:r>
          </w:p>
        </w:tc>
      </w:tr>
      <w:tr>
        <w:trPr>
          <w:trHeight w:val="35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607,209.72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128,867.30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607,209.72</w:t>
            </w:r>
          </w:p>
        </w:tc>
      </w:tr>
    </w:tbl>
    <w:p>
      <w:pPr>
        <w:pStyle w:val="BodyText"/>
        <w:spacing w:line="290" w:lineRule="auto" w:before="26"/>
        <w:ind w:left="218" w:right="7958"/>
        <w:jc w:val="left"/>
      </w:pPr>
      <w:r>
        <w:rPr/>
        <w:t>其他说明：</w:t>
      </w:r>
      <w:r>
        <w:rPr>
          <w:spacing w:val="-102"/>
        </w:rPr>
        <w:t> </w:t>
      </w:r>
      <w:r>
        <w:rPr>
          <w:spacing w:val="-102"/>
        </w:rPr>
      </w:r>
      <w:r>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20" w:bottom="1160" w:left="1580" w:right="1080"/>
        </w:sectPr>
      </w:pPr>
    </w:p>
    <w:p>
      <w:pPr>
        <w:pStyle w:val="Heading2"/>
        <w:spacing w:line="290" w:lineRule="auto" w:before="36"/>
        <w:ind w:right="-20"/>
        <w:jc w:val="left"/>
        <w:rPr>
          <w:b w:val="0"/>
          <w:bCs w:val="0"/>
        </w:rPr>
      </w:pPr>
      <w:r>
        <w:rPr>
          <w:rFonts w:ascii="宋体" w:hAnsi="宋体" w:cs="宋体" w:eastAsia="宋体" w:hint="default"/>
        </w:rPr>
        <w:t>67</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left="218" w:right="0"/>
        <w:jc w:val="left"/>
      </w:pPr>
      <w:r>
        <w:rPr/>
        <w:t>单位：元币种：人民币</w:t>
      </w:r>
    </w:p>
    <w:p>
      <w:pPr>
        <w:spacing w:after="0" w:line="240" w:lineRule="auto"/>
        <w:jc w:val="left"/>
        <w:sectPr>
          <w:type w:val="continuous"/>
          <w:pgSz w:w="11910" w:h="16840"/>
          <w:pgMar w:top="1120" w:bottom="1160" w:left="1580" w:right="1080"/>
          <w:cols w:num="2" w:equalWidth="0">
            <w:col w:w="1911" w:space="4822"/>
            <w:col w:w="2517"/>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35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9,649,650.03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15,834,592.04</w:t>
            </w:r>
          </w:p>
        </w:tc>
      </w:tr>
      <w:tr>
        <w:trPr>
          <w:trHeight w:val="35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-2,813,345.22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-1,881,221.96</w:t>
            </w:r>
          </w:p>
        </w:tc>
      </w:tr>
      <w:tr>
        <w:trPr>
          <w:trHeight w:val="35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Times New Roman" w:hAnsi="Times New Roman" w:cs="Times New Roman" w:eastAsia="Times New Roman" w:hint="default"/>
                <w:sz w:val="21"/>
                <w:szCs w:val="21"/>
              </w:rPr>
            </w:pPr>
            <w:r>
              <w:rPr>
                <w:rFonts w:ascii="Times New Roman"/>
                <w:spacing w:val="-1"/>
                <w:sz w:val="21"/>
              </w:rPr>
              <w:t>6,836,304.81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4"/>
              <w:jc w:val="right"/>
              <w:rPr>
                <w:rFonts w:ascii="Times New Roman" w:hAnsi="Times New Roman" w:cs="Times New Roman" w:eastAsia="Times New Roman" w:hint="default"/>
                <w:sz w:val="21"/>
                <w:szCs w:val="21"/>
              </w:rPr>
            </w:pPr>
            <w:r>
              <w:rPr>
                <w:rFonts w:ascii="Times New Roman"/>
                <w:spacing w:val="-1"/>
                <w:sz w:val="21"/>
              </w:rPr>
              <w:t>13,953,370.08</w:t>
            </w:r>
          </w:p>
        </w:tc>
      </w:tr>
    </w:tbl>
    <w:p>
      <w:pPr>
        <w:pStyle w:val="Heading2"/>
        <w:spacing w:line="240" w:lineRule="auto" w:before="26"/>
        <w:ind w:right="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8"/>
        <w:ind w:left="0" w:right="19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01"/>
        <w:gridCol w:w="4592"/>
      </w:tblGrid>
      <w:tr>
        <w:trPr>
          <w:trHeight w:val="35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5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67,913,938.54</w:t>
            </w:r>
          </w:p>
        </w:tc>
      </w:tr>
      <w:tr>
        <w:trPr>
          <w:trHeight w:val="355"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10,187,090.78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35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55"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55"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-3,002,073.36</w:t>
            </w:r>
          </w:p>
        </w:tc>
      </w:tr>
      <w:tr>
        <w:trPr>
          <w:trHeight w:val="355"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411,344.93</w:t>
            </w:r>
          </w:p>
        </w:tc>
      </w:tr>
      <w:tr>
        <w:trPr>
          <w:trHeight w:val="355"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研发加计扣除的影响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-760,057.74</w:t>
            </w:r>
          </w:p>
        </w:tc>
      </w:tr>
      <w:tr>
        <w:trPr>
          <w:trHeight w:val="559"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35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6,836,304.81</w:t>
            </w:r>
          </w:p>
        </w:tc>
      </w:tr>
    </w:tbl>
    <w:p>
      <w:pPr>
        <w:spacing w:line="240" w:lineRule="auto" w:before="13"/>
        <w:rPr>
          <w:rFonts w:ascii="宋体" w:hAnsi="宋体" w:cs="宋体" w:eastAsia="宋体" w:hint="default"/>
          <w:sz w:val="19"/>
          <w:szCs w:val="19"/>
        </w:rPr>
      </w:pPr>
    </w:p>
    <w:p>
      <w:pPr>
        <w:pStyle w:val="BodyText"/>
        <w:spacing w:line="290" w:lineRule="auto" w:before="36"/>
        <w:ind w:left="158" w:right="7918"/>
        <w:jc w:val="left"/>
      </w:pPr>
      <w:r>
        <w:rPr/>
        <w:t>其他说明：</w:t>
      </w:r>
      <w:r>
        <w:rPr>
          <w:spacing w:val="-102"/>
        </w:rPr>
        <w:t> </w:t>
      </w:r>
      <w:r>
        <w:rPr>
          <w:spacing w:val="-102"/>
        </w:rPr>
      </w:r>
      <w:r>
        <w:rPr/>
        <w:t>无。</w:t>
      </w:r>
    </w:p>
    <w:p>
      <w:pPr>
        <w:spacing w:line="240" w:lineRule="auto" w:before="9"/>
        <w:rPr>
          <w:rFonts w:ascii="宋体" w:hAnsi="宋体" w:cs="宋体" w:eastAsia="宋体" w:hint="default"/>
          <w:sz w:val="21"/>
          <w:szCs w:val="21"/>
        </w:rPr>
      </w:pPr>
    </w:p>
    <w:p>
      <w:pPr>
        <w:pStyle w:val="Heading2"/>
        <w:spacing w:line="290" w:lineRule="auto"/>
        <w:ind w:left="158" w:right="7199"/>
        <w:jc w:val="left"/>
        <w:rPr>
          <w:rFonts w:ascii="宋体" w:hAnsi="宋体" w:cs="宋体" w:eastAsia="宋体" w:hint="default"/>
          <w:b w:val="0"/>
          <w:bCs w:val="0"/>
        </w:rPr>
      </w:pPr>
      <w:r>
        <w:rPr>
          <w:rFonts w:ascii="宋体" w:hAnsi="宋体" w:cs="宋体" w:eastAsia="宋体" w:hint="default"/>
        </w:rPr>
        <w:t>68</w:t>
      </w:r>
      <w:r>
        <w:rPr/>
        <w:t>、</w:t>
      </w:r>
      <w:r>
        <w:rPr>
          <w:spacing w:val="-24"/>
        </w:rPr>
        <w:t> </w:t>
      </w:r>
      <w:r>
        <w:rPr/>
        <w:t>其他综合收益</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20" w:bottom="1160" w:left="1640" w:right="1120"/>
        </w:sectPr>
      </w:pPr>
    </w:p>
    <w:p>
      <w:pPr>
        <w:pStyle w:val="Heading2"/>
        <w:spacing w:line="240" w:lineRule="auto" w:before="36"/>
        <w:ind w:left="158" w:right="-2"/>
        <w:jc w:val="left"/>
        <w:rPr>
          <w:b w:val="0"/>
          <w:bCs w:val="0"/>
        </w:rPr>
      </w:pPr>
      <w:r>
        <w:rPr>
          <w:rFonts w:ascii="宋体" w:hAnsi="宋体" w:cs="宋体" w:eastAsia="宋体" w:hint="default"/>
        </w:rPr>
        <w:t>69</w:t>
      </w:r>
      <w:r>
        <w:rPr/>
        <w:t>、</w:t>
      </w:r>
      <w:r>
        <w:rPr>
          <w:spacing w:val="-24"/>
        </w:rPr>
        <w:t> </w:t>
      </w:r>
      <w:r>
        <w:rPr/>
        <w:t>现金流量表项目</w:t>
      </w:r>
      <w:r>
        <w:rPr>
          <w:b w:val="0"/>
          <w:bCs w:val="0"/>
        </w:rPr>
      </w:r>
    </w:p>
    <w:p>
      <w:pPr>
        <w:pStyle w:val="Heading2"/>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158" w:right="0"/>
        <w:jc w:val="left"/>
      </w:pPr>
      <w:r>
        <w:rPr/>
        <w:t>单位：元币种：人民币</w:t>
      </w:r>
    </w:p>
    <w:p>
      <w:pPr>
        <w:spacing w:after="0" w:line="240" w:lineRule="auto"/>
        <w:jc w:val="left"/>
        <w:sectPr>
          <w:type w:val="continuous"/>
          <w:pgSz w:w="11910" w:h="16840"/>
          <w:pgMar w:top="1120" w:bottom="1160" w:left="1640" w:right="1120"/>
          <w:cols w:num="2" w:equalWidth="0">
            <w:col w:w="4234" w:space="2499"/>
            <w:col w:w="241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35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非税费返还的政府其他补助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17,352,400.00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7,802,200.00</w:t>
            </w:r>
          </w:p>
        </w:tc>
      </w:tr>
      <w:tr>
        <w:trPr>
          <w:trHeight w:val="355"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9,115,447.27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1,401,045.05</w:t>
            </w:r>
          </w:p>
        </w:tc>
      </w:tr>
      <w:tr>
        <w:trPr>
          <w:trHeight w:val="355"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1,609,033.00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2,076,763.00</w:t>
            </w:r>
          </w:p>
        </w:tc>
      </w:tr>
      <w:tr>
        <w:trPr>
          <w:trHeight w:val="355"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68,641,872.40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42,750,425.64</w:t>
            </w:r>
          </w:p>
        </w:tc>
      </w:tr>
      <w:tr>
        <w:trPr>
          <w:trHeight w:val="355"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96,718,752.67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54,030,433.69</w:t>
            </w:r>
          </w:p>
        </w:tc>
      </w:tr>
    </w:tbl>
    <w:p>
      <w:pPr>
        <w:pStyle w:val="BodyText"/>
        <w:spacing w:line="290" w:lineRule="auto" w:before="26"/>
        <w:ind w:left="158" w:right="4844"/>
        <w:jc w:val="left"/>
      </w:pPr>
      <w:r>
        <w:rPr>
          <w:spacing w:val="-2"/>
        </w:rPr>
        <w:t>收到的其他与经营活动有关的现金说明：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pStyle w:val="Heading2"/>
        <w:tabs>
          <w:tab w:pos="858" w:val="left" w:leader="none"/>
        </w:tabs>
        <w:spacing w:line="240" w:lineRule="auto" w:before="36"/>
        <w:ind w:left="158" w:right="3302"/>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spacing w:line="240" w:lineRule="auto" w:before="57"/>
        <w:ind w:left="0" w:right="15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6,957,685.54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5,218,750.61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12,234,296.51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8,651,598.38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90,695,306.61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51,373,726.98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支付银行手续费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346,724.45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130,599.63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427,894.79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56,600.00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110,661,907.90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65,431,275.60</w:t>
            </w:r>
          </w:p>
        </w:tc>
      </w:tr>
    </w:tbl>
    <w:p>
      <w:pPr>
        <w:pStyle w:val="BodyText"/>
        <w:spacing w:line="290" w:lineRule="auto" w:before="26"/>
        <w:ind w:left="158" w:right="4844"/>
        <w:jc w:val="left"/>
      </w:pPr>
      <w:r>
        <w:rPr>
          <w:spacing w:val="-2"/>
        </w:rPr>
        <w:t>支付的其他与经营活动有关的现金说明：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pStyle w:val="Heading2"/>
        <w:tabs>
          <w:tab w:pos="997" w:val="left" w:leader="none"/>
        </w:tabs>
        <w:spacing w:line="240" w:lineRule="auto" w:before="36"/>
        <w:ind w:left="158" w:right="3302"/>
        <w:jc w:val="left"/>
        <w:rPr>
          <w:b w:val="0"/>
          <w:bCs w:val="0"/>
        </w:rPr>
      </w:pPr>
      <w:r>
        <w:rPr>
          <w:rFonts w:ascii="宋体" w:hAnsi="宋体" w:cs="宋体" w:eastAsia="宋体" w:hint="default"/>
          <w:w w:val="95"/>
        </w:rPr>
        <w:t>(3).</w:t>
        <w:tab/>
      </w:r>
      <w:r>
        <w:rPr/>
        <w:t>收到的其他与筹资活动有关的现金</w:t>
      </w:r>
      <w:r>
        <w:rPr>
          <w:b w:val="0"/>
          <w:bCs w:val="0"/>
        </w:rPr>
      </w:r>
    </w:p>
    <w:p>
      <w:pPr>
        <w:pStyle w:val="BodyText"/>
        <w:spacing w:line="240" w:lineRule="auto" w:before="58"/>
        <w:ind w:left="0" w:right="150"/>
        <w:jc w:val="right"/>
      </w:pPr>
      <w:r>
        <w:rPr>
          <w:spacing w:val="-2"/>
        </w:rPr>
        <w:t>单位：元币种：人民币</w:t>
      </w:r>
    </w:p>
    <w:p>
      <w:pPr>
        <w:spacing w:after="0" w:line="240" w:lineRule="auto"/>
        <w:jc w:val="right"/>
        <w:sectPr>
          <w:type w:val="continuous"/>
          <w:pgSz w:w="11910" w:h="16840"/>
          <w:pgMar w:top="1120" w:bottom="116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收回票据保证金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1,698,139.83</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1,698,139.83</w:t>
            </w: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90" w:lineRule="auto" w:before="26"/>
        <w:ind w:left="218" w:right="5055"/>
        <w:jc w:val="left"/>
      </w:pPr>
      <w:r>
        <w:rPr>
          <w:spacing w:val="-2"/>
        </w:rPr>
        <w:t>收到的其他与筹资活动有关的现金说明：</w:t>
      </w:r>
      <w:r>
        <w:rPr>
          <w:spacing w:val="-69"/>
        </w:rPr>
        <w:t> </w:t>
      </w:r>
      <w:r>
        <w:rPr>
          <w:spacing w:val="-69"/>
        </w:rPr>
      </w:r>
      <w:r>
        <w:rPr/>
        <w:t>无。</w:t>
      </w:r>
    </w:p>
    <w:p>
      <w:pPr>
        <w:spacing w:line="240" w:lineRule="auto" w:before="1"/>
        <w:rPr>
          <w:rFonts w:ascii="宋体" w:hAnsi="宋体" w:cs="宋体" w:eastAsia="宋体" w:hint="default"/>
          <w:sz w:val="19"/>
          <w:szCs w:val="19"/>
        </w:rPr>
      </w:pPr>
    </w:p>
    <w:p>
      <w:pPr>
        <w:pStyle w:val="Heading2"/>
        <w:tabs>
          <w:tab w:pos="1057" w:val="left" w:leader="none"/>
        </w:tabs>
        <w:spacing w:line="240" w:lineRule="auto" w:before="36"/>
        <w:ind w:right="227"/>
        <w:jc w:val="left"/>
        <w:rPr>
          <w:b w:val="0"/>
          <w:bCs w:val="0"/>
        </w:rPr>
      </w:pPr>
      <w:r>
        <w:rPr>
          <w:rFonts w:ascii="宋体" w:hAnsi="宋体" w:cs="宋体" w:eastAsia="宋体" w:hint="default"/>
          <w:w w:val="95"/>
        </w:rPr>
        <w:t>(4).</w:t>
        <w:tab/>
      </w:r>
      <w:r>
        <w:rPr/>
        <w:t>支付的其他与筹资活动有关的现金</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支付票据保证金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6,894,740.49</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21,427,913.82</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z w:val="21"/>
                <w:szCs w:val="21"/>
              </w:rPr>
              <w:t>费用</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2,453,167.00</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6,894,740.49</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23,881,080.82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20" w:bottom="1160" w:left="1580" w:right="1040"/>
        </w:sectPr>
      </w:pPr>
    </w:p>
    <w:p>
      <w:pPr>
        <w:pStyle w:val="BodyText"/>
        <w:spacing w:line="290" w:lineRule="auto" w:before="26"/>
        <w:ind w:left="218" w:right="0"/>
        <w:jc w:val="left"/>
      </w:pPr>
      <w:r>
        <w:rPr>
          <w:spacing w:val="-2"/>
        </w:rPr>
        <w:t>支付的其他与筹资活动有关的现金说明：</w:t>
      </w:r>
      <w:r>
        <w:rPr>
          <w:spacing w:val="-69"/>
        </w:rPr>
        <w:t> </w:t>
      </w:r>
      <w:r>
        <w:rPr>
          <w:spacing w:val="-69"/>
        </w:rPr>
      </w:r>
      <w:r>
        <w:rPr/>
        <w:t>无。</w:t>
      </w:r>
    </w:p>
    <w:p>
      <w:pPr>
        <w:pStyle w:val="Heading2"/>
        <w:spacing w:line="290" w:lineRule="auto" w:before="12"/>
        <w:ind w:right="1362"/>
        <w:jc w:val="left"/>
        <w:rPr>
          <w:b w:val="0"/>
          <w:bCs w:val="0"/>
        </w:rPr>
      </w:pPr>
      <w:r>
        <w:rPr>
          <w:rFonts w:ascii="宋体" w:hAnsi="宋体" w:cs="宋体" w:eastAsia="宋体" w:hint="default"/>
        </w:rPr>
        <w:t>70</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4004" w:space="272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61,077,633.73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86,165,790.13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5,008,815.19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2,768,042.37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5,896,896.13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4,888,333.92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6,095,423.11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5,977,358.44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555,040.61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1,147,828.81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179,315.68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72,267.30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-925,642.47</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82,333.34</w:t>
            </w: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-12,971,181.30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-987,116.74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-2,952,191.59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-1,881,221.96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138,846.37</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-28,044,565.10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-57,728,675.41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-68,924,371.20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14,797,220.14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65,363,961.51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49,348,407.56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30,497,980.67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104,650,567.90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451,304,169.47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576,577,893.01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576,577,893.01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159,179,522.54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-125,273,723.54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417,398,370.47</w:t>
            </w:r>
          </w:p>
        </w:tc>
      </w:tr>
    </w:tbl>
    <w:p>
      <w:pPr>
        <w:pStyle w:val="Heading2"/>
        <w:spacing w:line="240" w:lineRule="auto" w:before="26"/>
        <w:ind w:right="227"/>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right="227"/>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451,304,169.47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576,577,893.01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80,486.30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55,661.90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451,125,172.02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576,522,231.11</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98,511.15</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451,304,169.47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576,577,893.01</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left="218"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1"/>
          <w:szCs w:val="21"/>
        </w:rPr>
      </w:pPr>
    </w:p>
    <w:p>
      <w:pPr>
        <w:pStyle w:val="Heading2"/>
        <w:spacing w:line="240" w:lineRule="auto"/>
        <w:ind w:right="227"/>
        <w:jc w:val="left"/>
        <w:rPr>
          <w:b w:val="0"/>
          <w:bCs w:val="0"/>
        </w:rPr>
      </w:pPr>
      <w:r>
        <w:rPr>
          <w:rFonts w:ascii="宋体" w:hAnsi="宋体" w:cs="宋体" w:eastAsia="宋体" w:hint="default"/>
        </w:rPr>
        <w:t>71</w:t>
      </w:r>
      <w:r>
        <w:rPr/>
        <w:t>、</w:t>
      </w:r>
      <w:r>
        <w:rPr>
          <w:spacing w:val="-28"/>
        </w:rPr>
        <w:t> </w:t>
      </w:r>
      <w:r>
        <w:rPr/>
        <w:t>所有者权益变动表项目注释</w:t>
      </w:r>
      <w:r>
        <w:rPr>
          <w:b w:val="0"/>
          <w:bCs w:val="0"/>
        </w:rPr>
      </w:r>
    </w:p>
    <w:p>
      <w:pPr>
        <w:pStyle w:val="BodyText"/>
        <w:spacing w:line="272" w:lineRule="exact" w:before="86"/>
        <w:ind w:left="218" w:right="2220"/>
        <w:jc w:val="left"/>
      </w:pPr>
      <w:r>
        <w:rPr>
          <w:spacing w:val="-2"/>
        </w:rPr>
        <w:t>说明对上年期末余额进行调整的“其他”项目名称及调整金额等事项：</w:t>
      </w:r>
      <w:r>
        <w:rPr>
          <w:spacing w:val="-45"/>
        </w:rPr>
        <w:t> </w:t>
      </w:r>
      <w:r>
        <w:rPr>
          <w:spacing w:val="-45"/>
        </w:rPr>
      </w:r>
      <w:r>
        <w:rPr/>
        <w:t>无。</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580" w:right="1040"/>
        </w:sectPr>
      </w:pPr>
    </w:p>
    <w:p>
      <w:pPr>
        <w:pStyle w:val="Heading2"/>
        <w:spacing w:line="240" w:lineRule="auto" w:before="36"/>
        <w:ind w:right="-17"/>
        <w:jc w:val="left"/>
        <w:rPr>
          <w:b w:val="0"/>
          <w:bCs w:val="0"/>
        </w:rPr>
      </w:pPr>
      <w:r>
        <w:rPr>
          <w:rFonts w:ascii="宋体" w:hAnsi="宋体" w:cs="宋体" w:eastAsia="宋体" w:hint="default"/>
        </w:rPr>
        <w:t>72</w:t>
      </w:r>
      <w:r>
        <w:rPr/>
        <w:t>、</w:t>
      </w:r>
      <w:r>
        <w:rPr>
          <w:spacing w:val="-27"/>
        </w:rPr>
        <w:t> </w:t>
      </w:r>
      <w:r>
        <w:rPr/>
        <w:t>所有权或使用权受到限制的资产</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3675" w:space="3058"/>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41"/>
        <w:gridCol w:w="2285"/>
        <w:gridCol w:w="4470"/>
      </w:tblGrid>
      <w:tr>
        <w:trPr>
          <w:trHeight w:val="34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9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5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4" w:right="0"/>
              <w:jc w:val="left"/>
              <w:rPr>
                <w:rFonts w:ascii="Times New Roman" w:hAnsi="Times New Roman" w:cs="Times New Roman" w:eastAsia="Times New Roman" w:hint="default"/>
                <w:sz w:val="21"/>
                <w:szCs w:val="21"/>
              </w:rPr>
            </w:pPr>
            <w:r>
              <w:rPr>
                <w:rFonts w:ascii="Times New Roman"/>
                <w:sz w:val="21"/>
              </w:rPr>
              <w:t>44,441,471.22</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银行汇票保证金及银行保函保证金</w:t>
            </w:r>
          </w:p>
        </w:tc>
      </w:tr>
      <w:tr>
        <w:trPr>
          <w:trHeight w:val="35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85" w:type="dxa"/>
            <w:tcBorders>
              <w:top w:val="single" w:sz="4" w:space="0" w:color="000000"/>
              <w:left w:val="single" w:sz="4" w:space="0" w:color="000000"/>
              <w:bottom w:val="single" w:sz="4" w:space="0" w:color="000000"/>
              <w:right w:val="single" w:sz="4" w:space="0" w:color="000000"/>
            </w:tcBorders>
          </w:tcPr>
          <w:p>
            <w:pPr/>
          </w:p>
        </w:tc>
        <w:tc>
          <w:tcPr>
            <w:tcW w:w="44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41"/>
        <w:gridCol w:w="2285"/>
        <w:gridCol w:w="4470"/>
      </w:tblGrid>
      <w:tr>
        <w:trPr>
          <w:trHeight w:val="35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85" w:type="dxa"/>
            <w:tcBorders>
              <w:top w:val="single" w:sz="4" w:space="0" w:color="000000"/>
              <w:left w:val="single" w:sz="4" w:space="0" w:color="000000"/>
              <w:bottom w:val="single" w:sz="4" w:space="0" w:color="000000"/>
              <w:right w:val="single" w:sz="4" w:space="0" w:color="000000"/>
            </w:tcBorders>
          </w:tcPr>
          <w:p>
            <w:pPr/>
          </w:p>
        </w:tc>
        <w:tc>
          <w:tcPr>
            <w:tcW w:w="447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214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8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63,268,808.51</w:t>
            </w:r>
          </w:p>
        </w:tc>
        <w:tc>
          <w:tcPr>
            <w:tcW w:w="447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楼银行授信抵押、产权证正在办理</w:t>
            </w:r>
          </w:p>
        </w:tc>
      </w:tr>
      <w:tr>
        <w:trPr>
          <w:trHeight w:val="355" w:hRule="exact"/>
        </w:trPr>
        <w:tc>
          <w:tcPr>
            <w:tcW w:w="2141" w:type="dxa"/>
            <w:tcBorders>
              <w:top w:val="single" w:sz="6" w:space="0" w:color="000000"/>
              <w:left w:val="single" w:sz="6" w:space="0" w:color="000000"/>
              <w:bottom w:val="single" w:sz="4" w:space="0" w:color="000000"/>
              <w:right w:val="single" w:sz="6" w:space="0" w:color="000000"/>
            </w:tcBorders>
          </w:tcPr>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34,547,762.14</w:t>
            </w:r>
          </w:p>
        </w:tc>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楼银行授信抵押、产权证正在办理</w:t>
            </w:r>
          </w:p>
        </w:tc>
      </w:tr>
      <w:tr>
        <w:trPr>
          <w:trHeight w:val="35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8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21,108,308.48</w:t>
            </w:r>
          </w:p>
        </w:tc>
        <w:tc>
          <w:tcPr>
            <w:tcW w:w="4470" w:type="dxa"/>
            <w:tcBorders>
              <w:top w:val="single" w:sz="6" w:space="0" w:color="000000"/>
              <w:left w:val="single" w:sz="4" w:space="0" w:color="000000"/>
              <w:bottom w:val="single" w:sz="6"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南威大厦</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楼土地使用权银行授信抵押</w:t>
            </w:r>
          </w:p>
        </w:tc>
      </w:tr>
      <w:tr>
        <w:trPr>
          <w:trHeight w:val="35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163,366,350.35</w:t>
            </w:r>
          </w:p>
        </w:tc>
        <w:tc>
          <w:tcPr>
            <w:tcW w:w="4470" w:type="dxa"/>
            <w:tcBorders>
              <w:top w:val="single" w:sz="6" w:space="0" w:color="000000"/>
              <w:left w:val="single" w:sz="4" w:space="0" w:color="000000"/>
              <w:bottom w:val="single" w:sz="6"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58" w:right="3302"/>
        <w:jc w:val="left"/>
      </w:pPr>
      <w:r>
        <w:rPr/>
        <w:t>其他说明：</w:t>
      </w:r>
    </w:p>
    <w:p>
      <w:pPr>
        <w:pStyle w:val="BodyText"/>
        <w:spacing w:line="297" w:lineRule="auto" w:before="133"/>
        <w:ind w:left="158" w:right="147"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spacing w:val="-3"/>
        </w:rPr>
        <w:t>日，公司与中国光大银行股份有限公司泉州分行签定最高额抵押合同，以公</w:t>
      </w:r>
      <w:r>
        <w:rPr>
          <w:w w:val="100"/>
        </w:rPr>
        <w:t> </w:t>
      </w:r>
      <w:r>
        <w:rPr/>
        <w:t>司拥有的泉州丰泽区法石段沿海大通道北侧 </w:t>
      </w:r>
      <w:r>
        <w:rPr>
          <w:rFonts w:ascii="Times New Roman" w:hAnsi="Times New Roman" w:cs="Times New Roman" w:eastAsia="Times New Roman" w:hint="default"/>
        </w:rPr>
        <w:t>3,950.30M2 </w:t>
      </w:r>
      <w:r>
        <w:rPr/>
        <w:t>土地使用权及南威大厦</w:t>
      </w:r>
      <w:r>
        <w:rPr>
          <w:spacing w:val="-77"/>
        </w:rPr>
        <w:t> </w:t>
      </w:r>
      <w:r>
        <w:rPr>
          <w:rFonts w:ascii="Times New Roman" w:hAnsi="Times New Roman" w:cs="Times New Roman" w:eastAsia="Times New Roman" w:hint="default"/>
        </w:rPr>
        <w:t>2#</w:t>
      </w:r>
      <w:r>
        <w:rPr/>
        <w:t>楼（在建工程</w:t>
      </w:r>
      <w:r>
        <w:rPr>
          <w:w w:val="100"/>
        </w:rPr>
        <w:t> </w:t>
      </w:r>
      <w:r>
        <w:rPr>
          <w:spacing w:val="-8"/>
          <w:w w:val="100"/>
        </w:rPr>
        <w:t>转固定资产及投资性房地产）为</w:t>
      </w:r>
      <w:r>
        <w:rPr>
          <w:spacing w:val="-50"/>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3"/>
          <w:w w:val="100"/>
        </w:rPr>
        <w:t> </w:t>
      </w:r>
      <w:r>
        <w:rPr>
          <w:w w:val="100"/>
        </w:rPr>
        <w:t>年</w:t>
      </w:r>
      <w:r>
        <w:rPr>
          <w:spacing w:val="-53"/>
          <w:w w:val="100"/>
        </w:rPr>
        <w:t> </w:t>
      </w:r>
      <w:r>
        <w:rPr>
          <w:rFonts w:ascii="Times New Roman" w:hAnsi="Times New Roman" w:cs="Times New Roman" w:eastAsia="Times New Roman" w:hint="default"/>
          <w:w w:val="100"/>
        </w:rPr>
        <w:t>12 </w:t>
      </w:r>
      <w:r>
        <w:rPr>
          <w:w w:val="100"/>
        </w:rPr>
        <w:t>月</w:t>
      </w:r>
      <w:r>
        <w:rPr>
          <w:spacing w:val="-50"/>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spacing w:val="3"/>
          <w:w w:val="100"/>
        </w:rPr>
        <w:t> </w:t>
      </w:r>
      <w:r>
        <w:rPr>
          <w:spacing w:val="-2"/>
          <w:w w:val="100"/>
        </w:rPr>
        <w:t>日公司与中国光大银行股份有限公司泉州分行签</w:t>
      </w:r>
      <w:r>
        <w:rPr>
          <w:w w:val="100"/>
        </w:rPr>
        <w:t> </w:t>
      </w:r>
      <w:r>
        <w:rPr/>
        <w:t>定的编号为</w:t>
      </w:r>
      <w:r>
        <w:rPr>
          <w:spacing w:val="-43"/>
        </w:rPr>
        <w:t> </w:t>
      </w:r>
      <w:r>
        <w:rPr>
          <w:rFonts w:ascii="Times New Roman" w:hAnsi="Times New Roman" w:cs="Times New Roman" w:eastAsia="Times New Roman" w:hint="default"/>
        </w:rPr>
        <w:t>QZMZ14038</w:t>
      </w:r>
      <w:r>
        <w:rPr>
          <w:rFonts w:ascii="Times New Roman" w:hAnsi="Times New Roman" w:cs="Times New Roman" w:eastAsia="Times New Roman" w:hint="default"/>
          <w:spacing w:val="8"/>
        </w:rPr>
        <w:t> </w:t>
      </w:r>
      <w:r>
        <w:rPr/>
        <w:t>号综合授信协议（最高授信额度人民币</w:t>
      </w:r>
      <w:r>
        <w:rPr>
          <w:spacing w:val="-43"/>
        </w:rPr>
        <w:t> </w:t>
      </w:r>
      <w:r>
        <w:rPr>
          <w:rFonts w:ascii="Times New Roman" w:hAnsi="Times New Roman" w:cs="Times New Roman" w:eastAsia="Times New Roman" w:hint="default"/>
        </w:rPr>
        <w:t>9,802.00</w:t>
      </w:r>
      <w:r>
        <w:rPr>
          <w:rFonts w:ascii="Times New Roman" w:hAnsi="Times New Roman" w:cs="Times New Roman" w:eastAsia="Times New Roman" w:hint="default"/>
          <w:spacing w:val="10"/>
        </w:rPr>
        <w:t> </w:t>
      </w:r>
      <w:r>
        <w:rPr/>
        <w:t>万元整，有效使用期限</w:t>
      </w:r>
      <w:r>
        <w:rPr>
          <w:w w:val="100"/>
        </w:rPr>
        <w:t> 为</w:t>
      </w:r>
      <w:r>
        <w:rPr>
          <w:spacing w:val="-54"/>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w w:val="100"/>
        </w:rPr>
        <w:t> </w:t>
      </w:r>
      <w:r>
        <w:rPr>
          <w:w w:val="100"/>
        </w:rPr>
        <w:t>年</w:t>
      </w:r>
      <w:r>
        <w:rPr>
          <w:spacing w:val="-56"/>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 </w:t>
      </w:r>
      <w:r>
        <w:rPr>
          <w:w w:val="100"/>
        </w:rPr>
        <w:t>月</w:t>
      </w:r>
      <w:r>
        <w:rPr>
          <w:spacing w:val="-54"/>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 </w:t>
      </w:r>
      <w:r>
        <w:rPr>
          <w:w w:val="100"/>
        </w:rPr>
        <w:t>日至</w:t>
      </w:r>
      <w:r>
        <w:rPr>
          <w:spacing w:val="-55"/>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w w:val="100"/>
        </w:rPr>
        <w:t> </w:t>
      </w:r>
      <w:r>
        <w:rPr>
          <w:w w:val="100"/>
        </w:rPr>
        <w:t>年</w:t>
      </w:r>
      <w:r>
        <w:rPr>
          <w:spacing w:val="-56"/>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w w:val="100"/>
        </w:rPr>
        <w:t> </w:t>
      </w:r>
      <w:r>
        <w:rPr>
          <w:w w:val="100"/>
        </w:rPr>
        <w:t>月</w:t>
      </w:r>
      <w:r>
        <w:rPr>
          <w:spacing w:val="-54"/>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w w:val="100"/>
        </w:rPr>
        <w:t> </w:t>
      </w:r>
      <w:r>
        <w:rPr>
          <w:spacing w:val="-9"/>
          <w:w w:val="100"/>
        </w:rPr>
        <w:t>日）；同日，公司与中国光大银行股份有限公司泉州分行</w:t>
      </w:r>
      <w:r>
        <w:rPr>
          <w:w w:val="100"/>
        </w:rPr>
        <w:t> </w:t>
      </w:r>
      <w:r>
        <w:rPr/>
        <w:t>签定的编号</w:t>
      </w:r>
      <w:r>
        <w:rPr>
          <w:spacing w:val="-55"/>
        </w:rPr>
        <w:t> </w:t>
      </w:r>
      <w:r>
        <w:rPr>
          <w:rFonts w:ascii="Times New Roman" w:hAnsi="Times New Roman" w:cs="Times New Roman" w:eastAsia="Times New Roman" w:hint="default"/>
        </w:rPr>
        <w:t>QZEZ13032</w:t>
      </w:r>
      <w:r>
        <w:rPr>
          <w:rFonts w:ascii="Times New Roman" w:hAnsi="Times New Roman" w:cs="Times New Roman" w:eastAsia="Times New Roman" w:hint="default"/>
          <w:spacing w:val="-2"/>
        </w:rPr>
        <w:t> </w:t>
      </w:r>
      <w:r>
        <w:rPr/>
        <w:t>综合授信协议下的最高授信额度人民币</w:t>
      </w:r>
      <w:r>
        <w:rPr>
          <w:spacing w:val="-55"/>
        </w:rPr>
        <w:t> </w:t>
      </w:r>
      <w:r>
        <w:rPr>
          <w:rFonts w:ascii="Times New Roman" w:hAnsi="Times New Roman" w:cs="Times New Roman" w:eastAsia="Times New Roman" w:hint="default"/>
        </w:rPr>
        <w:t>12,500.00</w:t>
      </w:r>
      <w:r>
        <w:rPr>
          <w:rFonts w:ascii="Times New Roman" w:hAnsi="Times New Roman" w:cs="Times New Roman" w:eastAsia="Times New Roman" w:hint="default"/>
          <w:spacing w:val="-3"/>
        </w:rPr>
        <w:t> </w:t>
      </w:r>
      <w:r>
        <w:rPr/>
        <w:t>万元整的授信额度提供</w:t>
      </w:r>
      <w:r>
        <w:rPr>
          <w:w w:val="100"/>
        </w:rPr>
        <w:t> </w:t>
      </w:r>
      <w:r>
        <w:rPr/>
        <w:t>抵押。该最高授信额度的有效使用期限为</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日至</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日。抵押期限到</w:t>
      </w:r>
    </w:p>
    <w:p>
      <w:pPr>
        <w:pStyle w:val="BodyText"/>
        <w:spacing w:line="240" w:lineRule="auto" w:before="13"/>
        <w:ind w:left="158" w:right="0"/>
        <w:jc w:val="left"/>
      </w:pPr>
      <w:r>
        <w:rPr>
          <w:w w:val="100"/>
        </w:rPr>
        <w:t>被担</w:t>
      </w:r>
      <w:r>
        <w:rPr>
          <w:spacing w:val="-3"/>
          <w:w w:val="100"/>
        </w:rPr>
        <w:t>保</w:t>
      </w:r>
      <w:r>
        <w:rPr>
          <w:w w:val="100"/>
        </w:rPr>
        <w:t>债</w:t>
      </w:r>
      <w:r>
        <w:rPr>
          <w:spacing w:val="-3"/>
          <w:w w:val="100"/>
        </w:rPr>
        <w:t>务</w:t>
      </w:r>
      <w:r>
        <w:rPr>
          <w:w w:val="100"/>
        </w:rPr>
        <w:t>全</w:t>
      </w:r>
      <w:r>
        <w:rPr>
          <w:spacing w:val="-3"/>
          <w:w w:val="100"/>
        </w:rPr>
        <w:t>部</w:t>
      </w:r>
      <w:r>
        <w:rPr>
          <w:w w:val="100"/>
        </w:rPr>
        <w:t>清</w:t>
      </w:r>
      <w:r>
        <w:rPr>
          <w:spacing w:val="-3"/>
          <w:w w:val="100"/>
        </w:rPr>
        <w:t>偿</w:t>
      </w:r>
      <w:r>
        <w:rPr>
          <w:w w:val="100"/>
        </w:rPr>
        <w:t>为</w:t>
      </w:r>
      <w:r>
        <w:rPr>
          <w:spacing w:val="-3"/>
          <w:w w:val="100"/>
        </w:rPr>
        <w:t>止</w:t>
      </w:r>
      <w:r>
        <w:rPr>
          <w:spacing w:val="-108"/>
          <w:w w:val="100"/>
        </w:rPr>
        <w:t>。</w:t>
      </w:r>
      <w:r>
        <w:rPr>
          <w:w w:val="100"/>
        </w:rPr>
        <w:t>截止</w:t>
      </w:r>
      <w:r>
        <w:rPr>
          <w:spacing w:val="-70"/>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7"/>
        </w:rPr>
        <w:t> </w:t>
      </w:r>
      <w:r>
        <w:rPr>
          <w:w w:val="100"/>
        </w:rPr>
        <w:t>月</w:t>
      </w:r>
      <w:r>
        <w:rPr>
          <w:spacing w:val="-69"/>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9"/>
        </w:rPr>
        <w:t> </w:t>
      </w:r>
      <w:r>
        <w:rPr>
          <w:w w:val="100"/>
        </w:rPr>
        <w:t>日</w:t>
      </w:r>
      <w:r>
        <w:rPr>
          <w:spacing w:val="-3"/>
          <w:w w:val="100"/>
        </w:rPr>
        <w:t>授</w:t>
      </w:r>
      <w:r>
        <w:rPr>
          <w:w w:val="100"/>
        </w:rPr>
        <w:t>信相</w:t>
      </w:r>
      <w:r>
        <w:rPr>
          <w:spacing w:val="-3"/>
          <w:w w:val="100"/>
        </w:rPr>
        <w:t>关</w:t>
      </w:r>
      <w:r>
        <w:rPr>
          <w:w w:val="100"/>
        </w:rPr>
        <w:t>的</w:t>
      </w:r>
      <w:r>
        <w:rPr>
          <w:spacing w:val="-3"/>
          <w:w w:val="100"/>
        </w:rPr>
        <w:t>汇</w:t>
      </w:r>
      <w:r>
        <w:rPr>
          <w:w w:val="100"/>
        </w:rPr>
        <w:t>票</w:t>
      </w:r>
      <w:r>
        <w:rPr>
          <w:spacing w:val="-3"/>
          <w:w w:val="100"/>
        </w:rPr>
        <w:t>业</w:t>
      </w:r>
      <w:r>
        <w:rPr>
          <w:w w:val="100"/>
        </w:rPr>
        <w:t>务</w:t>
      </w:r>
      <w:r>
        <w:rPr>
          <w:spacing w:val="-3"/>
          <w:w w:val="100"/>
        </w:rPr>
        <w:t>尚</w:t>
      </w:r>
      <w:r>
        <w:rPr>
          <w:w w:val="100"/>
        </w:rPr>
        <w:t>未</w:t>
      </w:r>
      <w:r>
        <w:rPr>
          <w:spacing w:val="-3"/>
          <w:w w:val="100"/>
        </w:rPr>
        <w:t>结</w:t>
      </w:r>
      <w:r>
        <w:rPr>
          <w:w w:val="100"/>
        </w:rPr>
        <w:t>清</w:t>
      </w:r>
      <w:r>
        <w:rPr>
          <w:spacing w:val="-106"/>
          <w:w w:val="100"/>
        </w:rPr>
        <w:t>，</w:t>
      </w:r>
      <w:r>
        <w:rPr>
          <w:spacing w:val="-3"/>
          <w:w w:val="100"/>
        </w:rPr>
        <w:t>故</w:t>
      </w:r>
      <w:r>
        <w:rPr>
          <w:w w:val="100"/>
        </w:rPr>
        <w:t>未</w:t>
      </w:r>
      <w:r>
        <w:rPr>
          <w:spacing w:val="-3"/>
          <w:w w:val="100"/>
        </w:rPr>
        <w:t>解</w:t>
      </w:r>
      <w:r>
        <w:rPr>
          <w:w w:val="100"/>
        </w:rPr>
        <w:t>除</w:t>
      </w:r>
      <w:r>
        <w:rPr>
          <w:spacing w:val="-3"/>
          <w:w w:val="100"/>
        </w:rPr>
        <w:t>抵押</w:t>
      </w:r>
      <w:r>
        <w:rPr>
          <w:w w:val="100"/>
        </w:rPr>
        <w:t>。</w:t>
      </w:r>
    </w:p>
    <w:p>
      <w:pPr>
        <w:spacing w:line="240" w:lineRule="auto" w:before="12"/>
        <w:rPr>
          <w:rFonts w:ascii="宋体" w:hAnsi="宋体" w:cs="宋体" w:eastAsia="宋体" w:hint="default"/>
          <w:sz w:val="24"/>
          <w:szCs w:val="24"/>
        </w:rPr>
      </w:pPr>
    </w:p>
    <w:p>
      <w:pPr>
        <w:pStyle w:val="Heading2"/>
        <w:spacing w:line="240" w:lineRule="auto"/>
        <w:ind w:left="158" w:right="3302"/>
        <w:jc w:val="left"/>
        <w:rPr>
          <w:b w:val="0"/>
          <w:bCs w:val="0"/>
        </w:rPr>
      </w:pPr>
      <w:r>
        <w:rPr>
          <w:rFonts w:ascii="宋体" w:hAnsi="宋体" w:cs="宋体" w:eastAsia="宋体" w:hint="default"/>
        </w:rPr>
        <w:t>73</w:t>
      </w:r>
      <w:r>
        <w:rPr/>
        <w:t>、</w:t>
      </w:r>
      <w:r>
        <w:rPr>
          <w:spacing w:val="-24"/>
        </w:rPr>
        <w:t> </w:t>
      </w:r>
      <w:r>
        <w:rPr/>
        <w:t>外币货币性项目</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74</w:t>
      </w:r>
      <w:r>
        <w:rPr/>
        <w:t>、</w:t>
      </w:r>
      <w:r>
        <w:rPr>
          <w:spacing w:val="-26"/>
        </w:rPr>
        <w:t> </w:t>
      </w:r>
      <w:r>
        <w:rPr/>
        <w:t>套期</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357" w:lineRule="auto" w:before="0"/>
        <w:ind w:left="158" w:right="8044"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1"/>
        <w:rPr>
          <w:rFonts w:ascii="宋体" w:hAnsi="宋体" w:cs="宋体" w:eastAsia="宋体" w:hint="default"/>
          <w:sz w:val="18"/>
          <w:szCs w:val="18"/>
        </w:rPr>
      </w:pPr>
    </w:p>
    <w:p>
      <w:pPr>
        <w:pStyle w:val="Heading2"/>
        <w:spacing w:line="240" w:lineRule="auto"/>
        <w:ind w:left="158" w:right="3302"/>
        <w:jc w:val="left"/>
        <w:rPr>
          <w:b w:val="0"/>
          <w:bCs w:val="0"/>
        </w:rPr>
      </w:pPr>
      <w:r>
        <w:rPr/>
        <w:t>八、合并范围的变更</w:t>
      </w:r>
      <w:r>
        <w:rPr>
          <w:b w:val="0"/>
          <w:bCs w:val="0"/>
        </w:rPr>
      </w:r>
    </w:p>
    <w:p>
      <w:pPr>
        <w:pStyle w:val="Heading2"/>
        <w:spacing w:line="240" w:lineRule="auto" w:before="58"/>
        <w:ind w:left="158" w:right="3302"/>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58" w:right="3302"/>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9" w:val="left" w:leader="none"/>
        </w:tabs>
        <w:spacing w:line="240" w:lineRule="auto"/>
        <w:ind w:left="158" w:right="3302"/>
        <w:jc w:val="left"/>
        <w:rPr>
          <w:b w:val="0"/>
          <w:bCs w:val="0"/>
        </w:rPr>
      </w:pPr>
      <w:r>
        <w:rPr>
          <w:rFonts w:ascii="宋体" w:hAnsi="宋体" w:cs="宋体" w:eastAsia="宋体" w:hint="default"/>
          <w:w w:val="95"/>
        </w:rPr>
        <w:t>(1).</w:t>
        <w:tab/>
      </w:r>
      <w:r>
        <w:rPr/>
        <w:t>本期发生的同一控制下企业合并</w:t>
      </w:r>
      <w:r>
        <w:rPr>
          <w:b w:val="0"/>
          <w:bCs w:val="0"/>
        </w:rPr>
      </w:r>
    </w:p>
    <w:p>
      <w:pPr>
        <w:pStyle w:val="BodyText"/>
        <w:spacing w:line="240" w:lineRule="auto" w:before="56"/>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9" w:val="left" w:leader="none"/>
        </w:tabs>
        <w:spacing w:line="240" w:lineRule="auto"/>
        <w:ind w:left="158" w:right="3302"/>
        <w:jc w:val="left"/>
        <w:rPr>
          <w:b w:val="0"/>
          <w:bCs w:val="0"/>
        </w:rPr>
      </w:pPr>
      <w:r>
        <w:rPr>
          <w:rFonts w:ascii="宋体" w:hAnsi="宋体" w:cs="宋体" w:eastAsia="宋体" w:hint="default"/>
          <w:w w:val="95"/>
        </w:rPr>
        <w:t>(2).</w:t>
        <w:tab/>
      </w:r>
      <w:r>
        <w:rPr/>
        <w:t>合并成本</w:t>
      </w:r>
      <w:r>
        <w:rPr>
          <w:b w:val="0"/>
          <w:bCs w:val="0"/>
        </w:rPr>
      </w:r>
    </w:p>
    <w:p>
      <w:pPr>
        <w:pStyle w:val="BodyText"/>
        <w:spacing w:line="240" w:lineRule="auto" w:before="58"/>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789" w:val="left" w:leader="none"/>
        </w:tabs>
        <w:spacing w:line="240" w:lineRule="auto"/>
        <w:ind w:left="158" w:right="3302"/>
        <w:jc w:val="left"/>
        <w:rPr>
          <w:b w:val="0"/>
          <w:bCs w:val="0"/>
        </w:rPr>
      </w:pPr>
      <w:r>
        <w:rPr>
          <w:rFonts w:ascii="宋体" w:hAnsi="宋体" w:cs="宋体" w:eastAsia="宋体" w:hint="default"/>
          <w:w w:val="95"/>
        </w:rPr>
        <w:t>(3).</w:t>
        <w:tab/>
      </w:r>
      <w:r>
        <w:rPr/>
        <w:t>合并日被合并方资产、负债的账面价值</w:t>
      </w:r>
      <w:r>
        <w:rPr>
          <w:b w:val="0"/>
          <w:bCs w:val="0"/>
        </w:rPr>
      </w:r>
    </w:p>
    <w:p>
      <w:pPr>
        <w:pStyle w:val="BodyText"/>
        <w:spacing w:line="240" w:lineRule="auto" w:before="56"/>
        <w:ind w:left="158" w:right="3302"/>
        <w:jc w:val="left"/>
      </w:pPr>
      <w:r>
        <w:rPr/>
        <w:t>□适用</w:t>
      </w:r>
      <w:r>
        <w:rPr>
          <w:spacing w:val="-1"/>
        </w:rPr>
        <w:t> </w:t>
      </w:r>
      <w:r>
        <w:rPr/>
        <w:t>√不适用</w:t>
      </w:r>
    </w:p>
    <w:p>
      <w:pPr>
        <w:spacing w:after="0" w:line="240" w:lineRule="auto"/>
        <w:jc w:val="left"/>
        <w:sectPr>
          <w:pgSz w:w="11910" w:h="16840"/>
          <w:pgMar w:header="0" w:footer="974" w:top="1120" w:bottom="1160" w:left="1640" w:right="1120"/>
        </w:sectPr>
      </w:pPr>
    </w:p>
    <w:p>
      <w:pPr>
        <w:spacing w:line="240" w:lineRule="auto" w:before="1"/>
        <w:rPr>
          <w:rFonts w:ascii="宋体" w:hAnsi="宋体" w:cs="宋体" w:eastAsia="宋体" w:hint="default"/>
          <w:sz w:val="25"/>
          <w:szCs w:val="25"/>
        </w:rPr>
      </w:pPr>
    </w:p>
    <w:p>
      <w:pPr>
        <w:pStyle w:val="Heading2"/>
        <w:spacing w:line="240" w:lineRule="auto" w:before="36"/>
        <w:ind w:right="227"/>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18" w:right="340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9" w:lineRule="exact"/>
        <w:ind w:left="218" w:right="227"/>
        <w:jc w:val="left"/>
      </w:pPr>
      <w:r>
        <w:rPr/>
        <w:t>□适用√不适用</w:t>
      </w:r>
    </w:p>
    <w:p>
      <w:pPr>
        <w:spacing w:line="240" w:lineRule="auto" w:before="8"/>
        <w:rPr>
          <w:rFonts w:ascii="宋体" w:hAnsi="宋体" w:cs="宋体" w:eastAsia="宋体" w:hint="default"/>
          <w:sz w:val="20"/>
          <w:szCs w:val="20"/>
        </w:rPr>
      </w:pPr>
    </w:p>
    <w:p>
      <w:pPr>
        <w:pStyle w:val="BodyText"/>
        <w:spacing w:line="273" w:lineRule="exact"/>
        <w:ind w:left="218" w:right="227"/>
        <w:jc w:val="left"/>
      </w:pPr>
      <w:r>
        <w:rPr/>
        <w:t>是否存在通过多次交易分步处置对子公司投资且在本期丧失控制权的情形</w:t>
      </w:r>
    </w:p>
    <w:p>
      <w:pPr>
        <w:pStyle w:val="BodyText"/>
        <w:spacing w:line="273" w:lineRule="exact"/>
        <w:ind w:left="218" w:right="227"/>
        <w:jc w:val="left"/>
      </w:pPr>
      <w:r>
        <w:rPr/>
        <w:t>□适用√不适用</w:t>
      </w:r>
    </w:p>
    <w:p>
      <w:pPr>
        <w:spacing w:line="240" w:lineRule="auto" w:before="2"/>
        <w:rPr>
          <w:rFonts w:ascii="宋体" w:hAnsi="宋体" w:cs="宋体" w:eastAsia="宋体" w:hint="default"/>
          <w:sz w:val="24"/>
          <w:szCs w:val="24"/>
        </w:rPr>
      </w:pPr>
    </w:p>
    <w:p>
      <w:pPr>
        <w:spacing w:line="290" w:lineRule="auto" w:before="0"/>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314" w:lineRule="auto" w:before="29"/>
        <w:ind w:left="218" w:right="228" w:firstLine="419"/>
        <w:jc w:val="both"/>
      </w:pPr>
      <w:r>
        <w:rPr>
          <w:spacing w:val="-2"/>
        </w:rPr>
        <w:t>本年公司投资设立子公司而增加并表单位如下：上海南信信息科技有限公司、重庆南威信息</w:t>
      </w:r>
      <w:r>
        <w:rPr>
          <w:w w:val="100"/>
        </w:rPr>
        <w:t> </w:t>
      </w:r>
      <w:r>
        <w:rPr>
          <w:spacing w:val="-1"/>
        </w:rPr>
        <w:t>技术有限公司、北京万创聚力科技有限公司、平潭力信软件有限公司、福建网链科技有限公司、</w:t>
      </w:r>
      <w:r>
        <w:rPr>
          <w:spacing w:val="-55"/>
        </w:rPr>
        <w:t> </w:t>
      </w:r>
      <w:r>
        <w:rPr>
          <w:spacing w:val="-55"/>
        </w:rPr>
      </w:r>
      <w:r>
        <w:rPr>
          <w:spacing w:val="-1"/>
        </w:rPr>
        <w:t>安徽国正信息科技有限公司、浙江易政信息技术有限公司。具体持股情况详见“九、在其他主体</w:t>
      </w:r>
      <w:r>
        <w:rPr>
          <w:spacing w:val="-55"/>
        </w:rPr>
        <w:t> </w:t>
      </w:r>
      <w:r>
        <w:rPr>
          <w:spacing w:val="-55"/>
        </w:rPr>
      </w:r>
      <w:r>
        <w:rPr/>
        <w:t>中的权益”。</w:t>
      </w:r>
    </w:p>
    <w:p>
      <w:pPr>
        <w:spacing w:line="240" w:lineRule="auto" w:before="11"/>
        <w:rPr>
          <w:rFonts w:ascii="宋体" w:hAnsi="宋体" w:cs="宋体" w:eastAsia="宋体" w:hint="default"/>
          <w:sz w:val="19"/>
          <w:szCs w:val="19"/>
        </w:rPr>
      </w:pPr>
    </w:p>
    <w:p>
      <w:pPr>
        <w:spacing w:line="290" w:lineRule="auto" w:before="0"/>
        <w:ind w:left="218" w:right="8207"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7"/>
        <w:rPr>
          <w:rFonts w:ascii="宋体" w:hAnsi="宋体" w:cs="宋体" w:eastAsia="宋体" w:hint="default"/>
          <w:sz w:val="20"/>
          <w:szCs w:val="20"/>
        </w:rPr>
      </w:pPr>
    </w:p>
    <w:p>
      <w:pPr>
        <w:pStyle w:val="Heading2"/>
        <w:spacing w:line="292" w:lineRule="auto"/>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0"/>
        <w:ind w:left="218" w:right="227"/>
        <w:jc w:val="left"/>
      </w:pPr>
      <w:r>
        <w:rPr/>
        <w:t>√适用</w:t>
      </w:r>
      <w:r>
        <w:rPr>
          <w:spacing w:val="-1"/>
        </w:rPr>
        <w:t> </w:t>
      </w:r>
      <w:r>
        <w:rPr/>
        <w:t>□不适用</w:t>
      </w:r>
    </w:p>
    <w:p>
      <w:pPr>
        <w:pStyle w:val="Heading2"/>
        <w:tabs>
          <w:tab w:pos="861" w:val="left" w:leader="none"/>
        </w:tabs>
        <w:spacing w:line="240" w:lineRule="auto" w:before="56"/>
        <w:ind w:right="227"/>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183"/>
        <w:gridCol w:w="1042"/>
        <w:gridCol w:w="855"/>
        <w:gridCol w:w="1104"/>
        <w:gridCol w:w="1023"/>
        <w:gridCol w:w="734"/>
        <w:gridCol w:w="1109"/>
      </w:tblGrid>
      <w:tr>
        <w:trPr>
          <w:trHeight w:val="286" w:hRule="exact"/>
        </w:trPr>
        <w:tc>
          <w:tcPr>
            <w:tcW w:w="3183" w:type="dxa"/>
            <w:vMerge w:val="restart"/>
            <w:tcBorders>
              <w:top w:val="single" w:sz="4" w:space="0" w:color="000000"/>
              <w:left w:val="single" w:sz="4" w:space="0" w:color="000000"/>
              <w:right w:val="single" w:sz="6" w:space="0" w:color="000000"/>
            </w:tcBorders>
          </w:tcPr>
          <w:p>
            <w:pPr>
              <w:pStyle w:val="TableParagraph"/>
              <w:spacing w:line="240" w:lineRule="auto" w:before="112"/>
              <w:ind w:left="108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42" w:type="dxa"/>
            <w:vMerge w:val="restart"/>
            <w:tcBorders>
              <w:top w:val="single" w:sz="4" w:space="0" w:color="000000"/>
              <w:left w:val="single" w:sz="6" w:space="0" w:color="000000"/>
              <w:right w:val="single" w:sz="6" w:space="0" w:color="000000"/>
            </w:tcBorders>
          </w:tcPr>
          <w:p>
            <w:pPr>
              <w:pStyle w:val="TableParagraph"/>
              <w:spacing w:line="274" w:lineRule="exact" w:before="1"/>
              <w:ind w:left="324" w:right="17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55" w:type="dxa"/>
            <w:vMerge w:val="restart"/>
            <w:tcBorders>
              <w:top w:val="single" w:sz="4" w:space="0" w:color="000000"/>
              <w:left w:val="single" w:sz="6" w:space="0" w:color="000000"/>
              <w:right w:val="single" w:sz="6"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04" w:type="dxa"/>
            <w:vMerge w:val="restart"/>
            <w:tcBorders>
              <w:top w:val="single" w:sz="4" w:space="0" w:color="000000"/>
              <w:left w:val="single" w:sz="6" w:space="0" w:color="000000"/>
              <w:right w:val="single" w:sz="6" w:space="0" w:color="000000"/>
            </w:tcBorders>
          </w:tcPr>
          <w:p>
            <w:pPr>
              <w:pStyle w:val="TableParagraph"/>
              <w:spacing w:line="240" w:lineRule="auto" w:before="112"/>
              <w:ind w:left="13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109" w:type="dxa"/>
            <w:vMerge w:val="restart"/>
            <w:tcBorders>
              <w:top w:val="single" w:sz="4" w:space="0" w:color="000000"/>
              <w:left w:val="single" w:sz="6" w:space="0" w:color="000000"/>
              <w:right w:val="single" w:sz="4" w:space="0" w:color="000000"/>
            </w:tcBorders>
          </w:tcPr>
          <w:p>
            <w:pPr>
              <w:pStyle w:val="TableParagraph"/>
              <w:spacing w:line="274" w:lineRule="exact" w:before="1"/>
              <w:ind w:left="323" w:right="348"/>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293" w:hRule="exact"/>
        </w:trPr>
        <w:tc>
          <w:tcPr>
            <w:tcW w:w="3183" w:type="dxa"/>
            <w:vMerge/>
            <w:tcBorders>
              <w:left w:val="single" w:sz="4" w:space="0" w:color="000000"/>
              <w:bottom w:val="single" w:sz="6" w:space="0" w:color="000000"/>
              <w:right w:val="single" w:sz="6" w:space="0" w:color="000000"/>
            </w:tcBorders>
          </w:tcPr>
          <w:p>
            <w:pPr/>
          </w:p>
        </w:tc>
        <w:tc>
          <w:tcPr>
            <w:tcW w:w="1042" w:type="dxa"/>
            <w:vMerge/>
            <w:tcBorders>
              <w:left w:val="single" w:sz="6" w:space="0" w:color="000000"/>
              <w:bottom w:val="single" w:sz="6" w:space="0" w:color="000000"/>
              <w:right w:val="single" w:sz="6" w:space="0" w:color="000000"/>
            </w:tcBorders>
          </w:tcPr>
          <w:p>
            <w:pPr/>
          </w:p>
        </w:tc>
        <w:tc>
          <w:tcPr>
            <w:tcW w:w="855" w:type="dxa"/>
            <w:vMerge/>
            <w:tcBorders>
              <w:left w:val="single" w:sz="6" w:space="0" w:color="000000"/>
              <w:bottom w:val="single" w:sz="6" w:space="0" w:color="000000"/>
              <w:right w:val="single" w:sz="6" w:space="0" w:color="000000"/>
            </w:tcBorders>
          </w:tcPr>
          <w:p>
            <w:pPr/>
          </w:p>
        </w:tc>
        <w:tc>
          <w:tcPr>
            <w:tcW w:w="1104" w:type="dxa"/>
            <w:vMerge/>
            <w:tcBorders>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09" w:type="dxa"/>
            <w:vMerge/>
            <w:tcBorders>
              <w:left w:val="single" w:sz="6" w:space="0" w:color="000000"/>
              <w:bottom w:val="single" w:sz="6" w:space="0" w:color="000000"/>
              <w:right w:val="single" w:sz="4" w:space="0" w:color="000000"/>
            </w:tcBorders>
          </w:tcPr>
          <w:p>
            <w:pP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北京南威科技有限公司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宁德南威软件有限公司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宁德</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宁德</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3"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厦门市南威软件科技有限公司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厦门</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厦门</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福州</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福州</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6"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西安南威信息科技有限责任公司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西安</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70%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成都南威软件有限公司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福建神威系统集成有限责任公司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福州</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福州</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55%</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昌吉州南威软件有限公司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昌吉</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昌吉</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江西南威软件有限公司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南平南威软件有限公司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南平</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南平</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海南科特尔科技有限公司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上海南信信息科技有限公司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70%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重庆南威信息技术有限公司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重庆</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北京万创聚力科技有限公司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60%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3"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平潭力信软件有限公司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平潭</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平潭</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福建网链科技有限公司</w:t>
            </w:r>
          </w:p>
        </w:tc>
        <w:tc>
          <w:tcPr>
            <w:tcW w:w="10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泉州</w:t>
            </w:r>
          </w:p>
        </w:tc>
        <w:tc>
          <w:tcPr>
            <w:tcW w:w="85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泉州</w:t>
            </w:r>
          </w:p>
        </w:tc>
        <w:tc>
          <w:tcPr>
            <w:tcW w:w="11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102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70%</w:t>
            </w:r>
          </w:p>
        </w:tc>
        <w:tc>
          <w:tcPr>
            <w:tcW w:w="734" w:type="dxa"/>
            <w:tcBorders>
              <w:top w:val="single" w:sz="6" w:space="0" w:color="000000"/>
              <w:left w:val="single" w:sz="6" w:space="0" w:color="000000"/>
              <w:bottom w:val="single" w:sz="4" w:space="0" w:color="000000"/>
              <w:right w:val="single" w:sz="6" w:space="0" w:color="000000"/>
            </w:tcBorders>
          </w:tcPr>
          <w:p>
            <w:pPr/>
          </w:p>
        </w:tc>
        <w:tc>
          <w:tcPr>
            <w:tcW w:w="110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right"/>
        <w:rPr>
          <w:rFonts w:ascii="宋体" w:hAnsi="宋体" w:cs="宋体" w:eastAsia="宋体" w:hint="default"/>
          <w:sz w:val="21"/>
          <w:szCs w:val="21"/>
        </w:rPr>
        <w:sectPr>
          <w:pgSz w:w="11910" w:h="16840"/>
          <w:pgMar w:header="0" w:footer="974" w:top="1120" w:bottom="116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183"/>
        <w:gridCol w:w="1042"/>
        <w:gridCol w:w="855"/>
        <w:gridCol w:w="1104"/>
        <w:gridCol w:w="1023"/>
        <w:gridCol w:w="734"/>
        <w:gridCol w:w="1109"/>
      </w:tblGrid>
      <w:tr>
        <w:trPr>
          <w:trHeight w:val="356"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安徽国正信息科技有限公司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合肥</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软件开发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浙江易政信息技术有限公司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5" w:hRule="exact"/>
        </w:trPr>
        <w:tc>
          <w:tcPr>
            <w:tcW w:w="318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南京迅奇信信息技术有限公司</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100%</w:t>
            </w:r>
          </w:p>
        </w:tc>
        <w:tc>
          <w:tcPr>
            <w:tcW w:w="73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r>
        <w:trPr>
          <w:trHeight w:val="353" w:hRule="exact"/>
        </w:trPr>
        <w:tc>
          <w:tcPr>
            <w:tcW w:w="3183"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北京南威水科技术有限公司</w:t>
            </w:r>
          </w:p>
        </w:tc>
        <w:tc>
          <w:tcPr>
            <w:tcW w:w="10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85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技术开发</w:t>
            </w:r>
          </w:p>
        </w:tc>
        <w:tc>
          <w:tcPr>
            <w:tcW w:w="102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z w:val="21"/>
              </w:rPr>
              <w:t>51%</w:t>
            </w:r>
          </w:p>
        </w:tc>
        <w:tc>
          <w:tcPr>
            <w:tcW w:w="734" w:type="dxa"/>
            <w:tcBorders>
              <w:top w:val="single" w:sz="6" w:space="0" w:color="000000"/>
              <w:left w:val="single" w:sz="6" w:space="0" w:color="000000"/>
              <w:bottom w:val="single" w:sz="4" w:space="0" w:color="000000"/>
              <w:right w:val="single" w:sz="6" w:space="0" w:color="000000"/>
            </w:tcBorders>
          </w:tcPr>
          <w:p>
            <w:pPr/>
          </w:p>
        </w:tc>
        <w:tc>
          <w:tcPr>
            <w:tcW w:w="110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
              <w:ind w:right="336"/>
              <w:jc w:val="righ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7"/>
        <w:rPr>
          <w:rFonts w:ascii="宋体" w:hAnsi="宋体" w:cs="宋体" w:eastAsia="宋体" w:hint="default"/>
          <w:b/>
          <w:bCs/>
          <w:sz w:val="15"/>
          <w:szCs w:val="15"/>
        </w:rPr>
      </w:pPr>
    </w:p>
    <w:p>
      <w:pPr>
        <w:pStyle w:val="BodyText"/>
        <w:spacing w:line="240" w:lineRule="auto" w:before="36"/>
        <w:ind w:left="218" w:right="227"/>
        <w:jc w:val="left"/>
      </w:pPr>
      <w:r>
        <w:rPr/>
        <w:t>其他说明：</w:t>
      </w:r>
    </w:p>
    <w:p>
      <w:pPr>
        <w:pStyle w:val="BodyText"/>
        <w:spacing w:line="297" w:lineRule="auto" w:before="73"/>
        <w:ind w:left="218" w:right="236" w:firstLine="419"/>
        <w:jc w:val="left"/>
      </w:pPr>
      <w:r>
        <w:rPr/>
        <w:t>南京迅奇信信息技术有限公司和北京南威水科技有限公司系</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月底成立并办理工商</w:t>
      </w:r>
      <w:r>
        <w:rPr>
          <w:w w:val="100"/>
        </w:rPr>
        <w:t> </w:t>
      </w:r>
      <w:r>
        <w:rPr/>
        <w:t>登记，公司对上述两个子公司未实际投资，也没有生产经营，故未纳入合并报表范围。</w:t>
      </w:r>
    </w:p>
    <w:p>
      <w:pPr>
        <w:spacing w:line="240" w:lineRule="auto" w:before="7"/>
        <w:rPr>
          <w:rFonts w:ascii="宋体" w:hAnsi="宋体" w:cs="宋体" w:eastAsia="宋体" w:hint="default"/>
          <w:sz w:val="19"/>
          <w:szCs w:val="19"/>
        </w:rPr>
      </w:pPr>
    </w:p>
    <w:p>
      <w:pPr>
        <w:pStyle w:val="Heading2"/>
        <w:tabs>
          <w:tab w:pos="861" w:val="left" w:leader="none"/>
        </w:tabs>
        <w:spacing w:line="240" w:lineRule="auto" w:before="36"/>
        <w:ind w:right="22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7"/>
        <w:ind w:left="0" w:right="230"/>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2"/>
        <w:gridCol w:w="1298"/>
        <w:gridCol w:w="1716"/>
        <w:gridCol w:w="1352"/>
        <w:gridCol w:w="1668"/>
      </w:tblGrid>
      <w:tr>
        <w:trPr>
          <w:trHeight w:val="828" w:hRule="exact"/>
        </w:trPr>
        <w:tc>
          <w:tcPr>
            <w:tcW w:w="290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1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298"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before="130"/>
              <w:ind w:left="326" w:right="113" w:hanging="212"/>
              <w:jc w:val="left"/>
              <w:rPr>
                <w:rFonts w:ascii="宋体" w:hAnsi="宋体" w:cs="宋体" w:eastAsia="宋体" w:hint="default"/>
                <w:sz w:val="21"/>
                <w:szCs w:val="21"/>
              </w:rPr>
            </w:pPr>
            <w:r>
              <w:rPr>
                <w:rFonts w:ascii="宋体" w:hAnsi="宋体" w:cs="宋体" w:eastAsia="宋体" w:hint="default"/>
                <w:sz w:val="21"/>
                <w:szCs w:val="21"/>
              </w:rPr>
              <w:t>少数股东持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股比例</w:t>
            </w:r>
          </w:p>
        </w:tc>
        <w:tc>
          <w:tcPr>
            <w:tcW w:w="1716"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before="130"/>
              <w:ind w:left="323" w:right="111" w:hanging="209"/>
              <w:jc w:val="left"/>
              <w:rPr>
                <w:rFonts w:ascii="宋体" w:hAnsi="宋体" w:cs="宋体" w:eastAsia="宋体" w:hint="default"/>
                <w:sz w:val="21"/>
                <w:szCs w:val="21"/>
              </w:rPr>
            </w:pPr>
            <w:r>
              <w:rPr>
                <w:rFonts w:ascii="宋体" w:hAnsi="宋体" w:cs="宋体" w:eastAsia="宋体" w:hint="default"/>
                <w:sz w:val="21"/>
                <w:szCs w:val="21"/>
              </w:rPr>
              <w:t>本期归属于少数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股东的损益</w:t>
            </w:r>
          </w:p>
        </w:tc>
        <w:tc>
          <w:tcPr>
            <w:tcW w:w="1352"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本期向少数</w:t>
            </w:r>
          </w:p>
          <w:p>
            <w:pPr>
              <w:pStyle w:val="TableParagraph"/>
              <w:spacing w:line="240" w:lineRule="auto"/>
              <w:ind w:left="247" w:right="140" w:hanging="106"/>
              <w:jc w:val="left"/>
              <w:rPr>
                <w:rFonts w:ascii="宋体" w:hAnsi="宋体" w:cs="宋体" w:eastAsia="宋体" w:hint="default"/>
                <w:sz w:val="21"/>
                <w:szCs w:val="21"/>
              </w:rPr>
            </w:pPr>
            <w:r>
              <w:rPr>
                <w:rFonts w:ascii="宋体" w:hAnsi="宋体" w:cs="宋体" w:eastAsia="宋体" w:hint="default"/>
                <w:sz w:val="21"/>
                <w:szCs w:val="21"/>
              </w:rPr>
              <w:t>股东宣告分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派的股利</w:t>
            </w:r>
          </w:p>
        </w:tc>
        <w:tc>
          <w:tcPr>
            <w:tcW w:w="1668" w:type="dxa"/>
            <w:tcBorders>
              <w:top w:val="single" w:sz="4" w:space="0" w:color="000000"/>
              <w:left w:val="single" w:sz="6" w:space="0" w:color="000000"/>
              <w:bottom w:val="single" w:sz="6" w:space="0" w:color="000000"/>
              <w:right w:val="single" w:sz="4" w:space="0" w:color="000000"/>
            </w:tcBorders>
          </w:tcPr>
          <w:p>
            <w:pPr>
              <w:pStyle w:val="TableParagraph"/>
              <w:spacing w:line="272" w:lineRule="exact" w:before="130"/>
              <w:ind w:left="412" w:right="189" w:hanging="212"/>
              <w:jc w:val="left"/>
              <w:rPr>
                <w:rFonts w:ascii="宋体" w:hAnsi="宋体" w:cs="宋体" w:eastAsia="宋体" w:hint="default"/>
                <w:sz w:val="21"/>
                <w:szCs w:val="21"/>
              </w:rPr>
            </w:pPr>
            <w:r>
              <w:rPr>
                <w:rFonts w:ascii="宋体" w:hAnsi="宋体" w:cs="宋体" w:eastAsia="宋体" w:hint="default"/>
                <w:sz w:val="21"/>
                <w:szCs w:val="21"/>
              </w:rPr>
              <w:t>期末少数股东</w:t>
            </w:r>
            <w:r>
              <w:rPr>
                <w:rFonts w:ascii="宋体" w:hAnsi="宋体" w:cs="宋体" w:eastAsia="宋体" w:hint="default"/>
                <w:w w:val="100"/>
                <w:sz w:val="21"/>
                <w:szCs w:val="21"/>
              </w:rPr>
              <w:t> </w:t>
            </w:r>
            <w:r>
              <w:rPr>
                <w:rFonts w:ascii="宋体" w:hAnsi="宋体" w:cs="宋体" w:eastAsia="宋体" w:hint="default"/>
                <w:sz w:val="21"/>
                <w:szCs w:val="21"/>
              </w:rPr>
              <w:t>权益余额</w:t>
            </w:r>
          </w:p>
        </w:tc>
      </w:tr>
      <w:tr>
        <w:trPr>
          <w:trHeight w:val="559" w:hRule="exact"/>
        </w:trPr>
        <w:tc>
          <w:tcPr>
            <w:tcW w:w="29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西安南威信息科技有限责任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30.00%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-537,358.73</w:t>
            </w:r>
          </w:p>
        </w:tc>
        <w:tc>
          <w:tcPr>
            <w:tcW w:w="1352"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854,844.39</w:t>
            </w:r>
          </w:p>
        </w:tc>
      </w:tr>
      <w:tr>
        <w:trPr>
          <w:trHeight w:val="562" w:hRule="exact"/>
        </w:trPr>
        <w:tc>
          <w:tcPr>
            <w:tcW w:w="29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福建神威系统集成有限责任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45.00%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-1,062,926.23</w:t>
            </w:r>
          </w:p>
        </w:tc>
        <w:tc>
          <w:tcPr>
            <w:tcW w:w="1352"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17,921,670.63</w:t>
            </w:r>
          </w:p>
        </w:tc>
      </w:tr>
      <w:tr>
        <w:trPr>
          <w:trHeight w:val="286" w:hRule="exact"/>
        </w:trPr>
        <w:tc>
          <w:tcPr>
            <w:tcW w:w="29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北京万创聚力科技有限公司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40.00%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-124,490.89</w:t>
            </w:r>
          </w:p>
        </w:tc>
        <w:tc>
          <w:tcPr>
            <w:tcW w:w="1352"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1,875,509.11</w:t>
            </w:r>
          </w:p>
        </w:tc>
      </w:tr>
      <w:tr>
        <w:trPr>
          <w:trHeight w:val="288" w:hRule="exact"/>
        </w:trPr>
        <w:tc>
          <w:tcPr>
            <w:tcW w:w="29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福建网链科技有限公司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30.00%</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-106,286.86</w:t>
            </w:r>
          </w:p>
        </w:tc>
        <w:tc>
          <w:tcPr>
            <w:tcW w:w="1352" w:type="dxa"/>
            <w:tcBorders>
              <w:top w:val="single" w:sz="6" w:space="0" w:color="000000"/>
              <w:left w:val="single" w:sz="6" w:space="0" w:color="000000"/>
              <w:bottom w:val="single" w:sz="6" w:space="0" w:color="000000"/>
              <w:right w:val="single" w:sz="6" w:space="0" w:color="000000"/>
            </w:tcBorders>
          </w:tcPr>
          <w:p>
            <w:pPr/>
          </w:p>
        </w:tc>
        <w:tc>
          <w:tcPr>
            <w:tcW w:w="16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1,893,713.14</w:t>
            </w:r>
          </w:p>
        </w:tc>
      </w:tr>
      <w:tr>
        <w:trPr>
          <w:trHeight w:val="286" w:hRule="exact"/>
        </w:trPr>
        <w:tc>
          <w:tcPr>
            <w:tcW w:w="290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上海南信信息科技有限公司</w:t>
            </w:r>
          </w:p>
        </w:tc>
        <w:tc>
          <w:tcPr>
            <w:tcW w:w="129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30.00%</w:t>
            </w:r>
          </w:p>
        </w:tc>
        <w:tc>
          <w:tcPr>
            <w:tcW w:w="17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-231,650.48</w:t>
            </w:r>
          </w:p>
        </w:tc>
        <w:tc>
          <w:tcPr>
            <w:tcW w:w="1352" w:type="dxa"/>
            <w:tcBorders>
              <w:top w:val="single" w:sz="6" w:space="0" w:color="000000"/>
              <w:left w:val="single" w:sz="6" w:space="0" w:color="000000"/>
              <w:bottom w:val="single" w:sz="4" w:space="0" w:color="000000"/>
              <w:right w:val="single" w:sz="6" w:space="0" w:color="000000"/>
            </w:tcBorders>
          </w:tcPr>
          <w:p>
            <w:pPr/>
          </w:p>
        </w:tc>
        <w:tc>
          <w:tcPr>
            <w:tcW w:w="166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668,349.52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tabs>
          <w:tab w:pos="963" w:val="left" w:leader="none"/>
        </w:tabs>
        <w:spacing w:line="240" w:lineRule="auto"/>
        <w:ind w:left="320"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8"/>
        <w:ind w:left="0" w:right="319"/>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74"/>
        <w:gridCol w:w="1296"/>
        <w:gridCol w:w="1154"/>
        <w:gridCol w:w="1297"/>
        <w:gridCol w:w="1296"/>
        <w:gridCol w:w="574"/>
        <w:gridCol w:w="1299"/>
        <w:gridCol w:w="1296"/>
        <w:gridCol w:w="1157"/>
        <w:gridCol w:w="1298"/>
        <w:gridCol w:w="1152"/>
        <w:gridCol w:w="626"/>
        <w:gridCol w:w="951"/>
      </w:tblGrid>
      <w:tr>
        <w:trPr>
          <w:trHeight w:val="410" w:hRule="exact"/>
        </w:trPr>
        <w:tc>
          <w:tcPr>
            <w:tcW w:w="874" w:type="dxa"/>
            <w:vMerge w:val="restart"/>
            <w:tcBorders>
              <w:top w:val="single" w:sz="4" w:space="0" w:color="000000"/>
              <w:left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72" w:lineRule="exact"/>
              <w:ind w:left="230" w:right="10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6915"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481"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31" w:hRule="exact"/>
        </w:trPr>
        <w:tc>
          <w:tcPr>
            <w:tcW w:w="874" w:type="dxa"/>
            <w:vMerge/>
            <w:tcBorders>
              <w:left w:val="single" w:sz="4"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40" w:lineRule="auto"/>
              <w:ind w:left="201" w:right="36" w:hanging="104"/>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40" w:lineRule="auto"/>
              <w:ind w:left="227" w:right="65" w:hanging="106"/>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951"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30"/>
              <w:ind w:left="362" w:right="151" w:hanging="212"/>
              <w:jc w:val="left"/>
              <w:rPr>
                <w:rFonts w:ascii="宋体" w:hAnsi="宋体" w:cs="宋体" w:eastAsia="宋体" w:hint="default"/>
                <w:sz w:val="21"/>
                <w:szCs w:val="21"/>
              </w:rPr>
            </w:pPr>
            <w:r>
              <w:rPr>
                <w:rFonts w:ascii="宋体" w:hAnsi="宋体" w:cs="宋体" w:eastAsia="宋体" w:hint="default"/>
                <w:sz w:val="21"/>
                <w:szCs w:val="21"/>
              </w:rPr>
              <w:t>负债合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1378" w:hRule="exact"/>
        </w:trPr>
        <w:tc>
          <w:tcPr>
            <w:tcW w:w="87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西安南</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pacing w:val="7"/>
                <w:sz w:val="21"/>
                <w:szCs w:val="21"/>
              </w:rPr>
              <w:t>威信息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科技有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限责任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2,978,161.86</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729,738.05</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3,707,899.91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858,418.64</w:t>
            </w:r>
          </w:p>
        </w:tc>
        <w:tc>
          <w:tcPr>
            <w:tcW w:w="574" w:type="dxa"/>
            <w:tcBorders>
              <w:top w:val="single" w:sz="6" w:space="0" w:color="000000"/>
              <w:left w:val="single" w:sz="6" w:space="0" w:color="000000"/>
              <w:bottom w:val="single" w:sz="6" w:space="0" w:color="000000"/>
              <w:right w:val="single" w:sz="6" w:space="0" w:color="000000"/>
            </w:tcBorders>
          </w:tcPr>
          <w:p>
            <w:pP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858,418.64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5,009,599.96</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568,739.29</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5,578,339.25</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937,662.21</w:t>
            </w:r>
          </w:p>
        </w:tc>
        <w:tc>
          <w:tcPr>
            <w:tcW w:w="626"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937,662.21</w:t>
            </w:r>
          </w:p>
        </w:tc>
      </w:tr>
      <w:tr>
        <w:trPr>
          <w:trHeight w:val="1378" w:hRule="exact"/>
        </w:trPr>
        <w:tc>
          <w:tcPr>
            <w:tcW w:w="87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福建神</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pacing w:val="7"/>
                <w:sz w:val="21"/>
                <w:szCs w:val="21"/>
              </w:rPr>
              <w:t>威系统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集成有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限责任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63,381,367.60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2,807,530.38</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66,188,897.98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23,765,741.04</w:t>
            </w:r>
          </w:p>
        </w:tc>
        <w:tc>
          <w:tcPr>
            <w:tcW w:w="574" w:type="dxa"/>
            <w:tcBorders>
              <w:top w:val="single" w:sz="6" w:space="0" w:color="000000"/>
              <w:left w:val="single" w:sz="6" w:space="0" w:color="000000"/>
              <w:bottom w:val="single" w:sz="6" w:space="0" w:color="000000"/>
              <w:right w:val="single" w:sz="6" w:space="0" w:color="000000"/>
            </w:tcBorders>
          </w:tcPr>
          <w:p>
            <w:pP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23,765,741.04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18,764,649.43</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2,140,178.47</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20,904,827.90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-130,387.33</w:t>
            </w:r>
          </w:p>
        </w:tc>
        <w:tc>
          <w:tcPr>
            <w:tcW w:w="626"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130,387.33</w:t>
            </w:r>
          </w:p>
        </w:tc>
      </w:tr>
      <w:tr>
        <w:trPr>
          <w:trHeight w:val="1104" w:hRule="exact"/>
        </w:trPr>
        <w:tc>
          <w:tcPr>
            <w:tcW w:w="87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北京万</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pacing w:val="7"/>
                <w:sz w:val="21"/>
                <w:szCs w:val="21"/>
              </w:rPr>
              <w:t>创聚力</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科技有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5,034,272.04</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293,039.78</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5,327,311.82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638,539.04</w:t>
            </w:r>
          </w:p>
        </w:tc>
        <w:tc>
          <w:tcPr>
            <w:tcW w:w="574" w:type="dxa"/>
            <w:tcBorders>
              <w:top w:val="single" w:sz="6" w:space="0" w:color="000000"/>
              <w:left w:val="single" w:sz="6" w:space="0" w:color="000000"/>
              <w:bottom w:val="single" w:sz="6" w:space="0" w:color="000000"/>
              <w:right w:val="single" w:sz="6" w:space="0" w:color="000000"/>
            </w:tcBorders>
          </w:tcPr>
          <w:p>
            <w:pP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638,539.04</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4" w:space="0" w:color="000000"/>
            </w:tcBorders>
          </w:tcPr>
          <w:p>
            <w:pPr/>
          </w:p>
        </w:tc>
      </w:tr>
      <w:tr>
        <w:trPr>
          <w:trHeight w:val="1105" w:hRule="exact"/>
        </w:trPr>
        <w:tc>
          <w:tcPr>
            <w:tcW w:w="87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福建网</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pacing w:val="7"/>
                <w:sz w:val="21"/>
                <w:szCs w:val="21"/>
              </w:rPr>
              <w:t>链科技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7,042,374.59</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181,266.96</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7,223,641.55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911,264.09</w:t>
            </w:r>
          </w:p>
        </w:tc>
        <w:tc>
          <w:tcPr>
            <w:tcW w:w="574" w:type="dxa"/>
            <w:tcBorders>
              <w:top w:val="single" w:sz="6" w:space="0" w:color="000000"/>
              <w:left w:val="single" w:sz="6" w:space="0" w:color="000000"/>
              <w:bottom w:val="single" w:sz="6" w:space="0" w:color="000000"/>
              <w:right w:val="single" w:sz="6" w:space="0" w:color="000000"/>
            </w:tcBorders>
          </w:tcPr>
          <w:p>
            <w:pP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911,264.09</w:t>
            </w:r>
          </w:p>
        </w:tc>
        <w:tc>
          <w:tcPr>
            <w:tcW w:w="1296"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626" w:type="dxa"/>
            <w:tcBorders>
              <w:top w:val="single" w:sz="6" w:space="0" w:color="000000"/>
              <w:left w:val="single" w:sz="6" w:space="0" w:color="000000"/>
              <w:bottom w:val="single" w:sz="6" w:space="0" w:color="000000"/>
              <w:right w:val="single" w:sz="6" w:space="0" w:color="000000"/>
            </w:tcBorders>
          </w:tcPr>
          <w:p>
            <w:pPr/>
          </w:p>
        </w:tc>
        <w:tc>
          <w:tcPr>
            <w:tcW w:w="951" w:type="dxa"/>
            <w:tcBorders>
              <w:top w:val="single" w:sz="6" w:space="0" w:color="000000"/>
              <w:left w:val="single" w:sz="6" w:space="0" w:color="000000"/>
              <w:bottom w:val="single" w:sz="6" w:space="0" w:color="000000"/>
              <w:right w:val="single" w:sz="4" w:space="0" w:color="000000"/>
            </w:tcBorders>
          </w:tcPr>
          <w:p>
            <w:pPr/>
          </w:p>
        </w:tc>
      </w:tr>
      <w:tr>
        <w:trPr>
          <w:trHeight w:val="1102" w:hRule="exact"/>
        </w:trPr>
        <w:tc>
          <w:tcPr>
            <w:tcW w:w="87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上海南</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pacing w:val="7"/>
                <w:sz w:val="21"/>
                <w:szCs w:val="21"/>
              </w:rPr>
              <w:t>信信息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科技有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2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2,425,232.80</w:t>
            </w:r>
          </w:p>
        </w:tc>
        <w:tc>
          <w:tcPr>
            <w:tcW w:w="115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284,049.85</w:t>
            </w:r>
          </w:p>
        </w:tc>
        <w:tc>
          <w:tcPr>
            <w:tcW w:w="129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2,709,282.65</w:t>
            </w:r>
          </w:p>
        </w:tc>
        <w:tc>
          <w:tcPr>
            <w:tcW w:w="12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481,450.92</w:t>
            </w:r>
          </w:p>
        </w:tc>
        <w:tc>
          <w:tcPr>
            <w:tcW w:w="574" w:type="dxa"/>
            <w:tcBorders>
              <w:top w:val="single" w:sz="6" w:space="0" w:color="000000"/>
              <w:left w:val="single" w:sz="6" w:space="0" w:color="000000"/>
              <w:bottom w:val="single" w:sz="4" w:space="0" w:color="000000"/>
              <w:right w:val="single" w:sz="6" w:space="0" w:color="000000"/>
            </w:tcBorders>
          </w:tcPr>
          <w:p>
            <w:pPr/>
          </w:p>
        </w:tc>
        <w:tc>
          <w:tcPr>
            <w:tcW w:w="129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481,450.92</w:t>
            </w:r>
          </w:p>
        </w:tc>
        <w:tc>
          <w:tcPr>
            <w:tcW w:w="1296" w:type="dxa"/>
            <w:tcBorders>
              <w:top w:val="single" w:sz="6" w:space="0" w:color="000000"/>
              <w:left w:val="single" w:sz="6" w:space="0" w:color="000000"/>
              <w:bottom w:val="single" w:sz="4" w:space="0" w:color="000000"/>
              <w:right w:val="single" w:sz="6" w:space="0" w:color="000000"/>
            </w:tcBorders>
          </w:tcPr>
          <w:p>
            <w:pPr/>
          </w:p>
        </w:tc>
        <w:tc>
          <w:tcPr>
            <w:tcW w:w="1157" w:type="dxa"/>
            <w:tcBorders>
              <w:top w:val="single" w:sz="6" w:space="0" w:color="000000"/>
              <w:left w:val="single" w:sz="6" w:space="0" w:color="000000"/>
              <w:bottom w:val="single" w:sz="4" w:space="0" w:color="000000"/>
              <w:right w:val="single" w:sz="6" w:space="0" w:color="000000"/>
            </w:tcBorders>
          </w:tcPr>
          <w:p>
            <w:pPr/>
          </w:p>
        </w:tc>
        <w:tc>
          <w:tcPr>
            <w:tcW w:w="1298" w:type="dxa"/>
            <w:tcBorders>
              <w:top w:val="single" w:sz="6" w:space="0" w:color="000000"/>
              <w:left w:val="single" w:sz="6" w:space="0" w:color="000000"/>
              <w:bottom w:val="single" w:sz="4" w:space="0" w:color="000000"/>
              <w:right w:val="single" w:sz="6" w:space="0" w:color="000000"/>
            </w:tcBorders>
          </w:tcPr>
          <w:p>
            <w:pPr/>
          </w:p>
        </w:tc>
        <w:tc>
          <w:tcPr>
            <w:tcW w:w="1152" w:type="dxa"/>
            <w:tcBorders>
              <w:top w:val="single" w:sz="6" w:space="0" w:color="000000"/>
              <w:left w:val="single" w:sz="6" w:space="0" w:color="000000"/>
              <w:bottom w:val="single" w:sz="4" w:space="0" w:color="000000"/>
              <w:right w:val="single" w:sz="6" w:space="0" w:color="000000"/>
            </w:tcBorders>
          </w:tcPr>
          <w:p>
            <w:pPr/>
          </w:p>
        </w:tc>
        <w:tc>
          <w:tcPr>
            <w:tcW w:w="626" w:type="dxa"/>
            <w:tcBorders>
              <w:top w:val="single" w:sz="6" w:space="0" w:color="000000"/>
              <w:left w:val="single" w:sz="6" w:space="0" w:color="000000"/>
              <w:bottom w:val="single" w:sz="4" w:space="0" w:color="000000"/>
              <w:right w:val="single" w:sz="6" w:space="0" w:color="000000"/>
            </w:tcBorders>
          </w:tcPr>
          <w:p>
            <w:pPr/>
          </w:p>
        </w:tc>
        <w:tc>
          <w:tcPr>
            <w:tcW w:w="951" w:type="dxa"/>
            <w:tcBorders>
              <w:top w:val="single" w:sz="6" w:space="0" w:color="000000"/>
              <w:left w:val="single" w:sz="6" w:space="0" w:color="000000"/>
              <w:bottom w:val="single" w:sz="4" w:space="0" w:color="000000"/>
              <w:right w:val="single" w:sz="4" w:space="0" w:color="000000"/>
            </w:tcBorders>
          </w:tcPr>
          <w:p>
            <w:pPr/>
          </w:p>
        </w:tc>
      </w:tr>
    </w:tbl>
    <w:p>
      <w:pPr>
        <w:spacing w:after="0"/>
        <w:sectPr>
          <w:headerReference w:type="default" r:id="rId60"/>
          <w:footerReference w:type="default" r:id="rId61"/>
          <w:pgSz w:w="16840" w:h="11910" w:orient="landscape"/>
          <w:pgMar w:header="882" w:footer="975" w:top="1120" w:bottom="1160" w:left="1120" w:right="1200"/>
          <w:pgNumType w:start="1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1582"/>
        <w:gridCol w:w="1572"/>
        <w:gridCol w:w="1438"/>
        <w:gridCol w:w="1721"/>
        <w:gridCol w:w="1577"/>
        <w:gridCol w:w="1505"/>
        <w:gridCol w:w="1659"/>
        <w:gridCol w:w="1550"/>
        <w:gridCol w:w="1390"/>
      </w:tblGrid>
      <w:tr>
        <w:trPr>
          <w:trHeight w:val="410" w:hRule="exact"/>
        </w:trPr>
        <w:tc>
          <w:tcPr>
            <w:tcW w:w="1582" w:type="dxa"/>
            <w:vMerge w:val="restart"/>
            <w:tcBorders>
              <w:top w:val="single" w:sz="4" w:space="0" w:color="000000"/>
              <w:left w:val="single" w:sz="4"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6308"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104"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auto" w:before="9"/>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1" w:hRule="exact"/>
        </w:trPr>
        <w:tc>
          <w:tcPr>
            <w:tcW w:w="1582" w:type="dxa"/>
            <w:vMerge/>
            <w:tcBorders>
              <w:left w:val="single" w:sz="4"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9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2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50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34"/>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金流量</w:t>
            </w:r>
          </w:p>
        </w:tc>
      </w:tr>
      <w:tr>
        <w:trPr>
          <w:trHeight w:val="956"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西安南威信息</w:t>
            </w:r>
          </w:p>
          <w:p>
            <w:pPr>
              <w:pStyle w:val="TableParagraph"/>
              <w:spacing w:line="273" w:lineRule="auto" w:before="39"/>
              <w:ind w:left="103" w:right="79"/>
              <w:jc w:val="left"/>
              <w:rPr>
                <w:rFonts w:ascii="宋体" w:hAnsi="宋体" w:cs="宋体" w:eastAsia="宋体" w:hint="default"/>
                <w:sz w:val="21"/>
                <w:szCs w:val="21"/>
              </w:rPr>
            </w:pPr>
            <w:r>
              <w:rPr>
                <w:rFonts w:ascii="宋体" w:hAnsi="宋体" w:cs="宋体" w:eastAsia="宋体" w:hint="default"/>
                <w:spacing w:val="15"/>
                <w:sz w:val="21"/>
                <w:szCs w:val="21"/>
              </w:rPr>
              <w:t>科技有限责任</w:t>
            </w:r>
            <w:r>
              <w:rPr>
                <w:rFonts w:ascii="宋体" w:hAnsi="宋体" w:cs="宋体" w:eastAsia="宋体" w:hint="default"/>
                <w:spacing w:val="-90"/>
                <w:sz w:val="21"/>
                <w:szCs w:val="21"/>
              </w:rPr>
              <w:t> </w:t>
            </w:r>
            <w:r>
              <w:rPr>
                <w:rFonts w:ascii="宋体" w:hAnsi="宋体" w:cs="宋体" w:eastAsia="宋体" w:hint="default"/>
                <w:sz w:val="21"/>
                <w:szCs w:val="21"/>
              </w:rPr>
              <w:t>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329,754.73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-1,791,195.77</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-1,791,195.77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-1,121,156.26</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1,628,270.44</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-437,917.78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-437,917.78</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2,736,981.90</w:t>
            </w:r>
          </w:p>
        </w:tc>
      </w:tr>
      <w:tr>
        <w:trPr>
          <w:trHeight w:val="955"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福建神威系统</w:t>
            </w:r>
          </w:p>
          <w:p>
            <w:pPr>
              <w:pStyle w:val="TableParagraph"/>
              <w:spacing w:line="273" w:lineRule="auto" w:before="39"/>
              <w:ind w:left="103" w:right="100"/>
              <w:jc w:val="left"/>
              <w:rPr>
                <w:rFonts w:ascii="宋体" w:hAnsi="宋体" w:cs="宋体" w:eastAsia="宋体" w:hint="default"/>
                <w:sz w:val="21"/>
                <w:szCs w:val="21"/>
              </w:rPr>
            </w:pPr>
            <w:r>
              <w:rPr>
                <w:rFonts w:ascii="宋体" w:hAnsi="宋体" w:cs="宋体" w:eastAsia="宋体" w:hint="default"/>
                <w:spacing w:val="15"/>
                <w:sz w:val="21"/>
                <w:szCs w:val="21"/>
              </w:rPr>
              <w:t>集成有限责任</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w:t>
            </w:r>
          </w:p>
        </w:tc>
        <w:tc>
          <w:tcPr>
            <w:tcW w:w="157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-2,362,058.29</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-2,362,058.29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-12,591,718.54</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-1,309,948.51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-1,309,948.51</w:t>
            </w:r>
          </w:p>
        </w:tc>
        <w:tc>
          <w:tcPr>
            <w:tcW w:w="139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-2,072,587.51</w:t>
            </w:r>
          </w:p>
        </w:tc>
      </w:tr>
      <w:tr>
        <w:trPr>
          <w:trHeight w:val="641"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北京万创聚力</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7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6"/>
              <w:jc w:val="right"/>
              <w:rPr>
                <w:rFonts w:ascii="Times New Roman" w:hAnsi="Times New Roman" w:cs="Times New Roman" w:eastAsia="Times New Roman" w:hint="default"/>
                <w:sz w:val="21"/>
                <w:szCs w:val="21"/>
              </w:rPr>
            </w:pPr>
            <w:r>
              <w:rPr>
                <w:rFonts w:ascii="Times New Roman"/>
                <w:spacing w:val="-1"/>
                <w:sz w:val="21"/>
              </w:rPr>
              <w:t>-311,227.22</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6"/>
              <w:jc w:val="right"/>
              <w:rPr>
                <w:rFonts w:ascii="Times New Roman" w:hAnsi="Times New Roman" w:cs="Times New Roman" w:eastAsia="Times New Roman" w:hint="default"/>
                <w:sz w:val="21"/>
                <w:szCs w:val="21"/>
              </w:rPr>
            </w:pPr>
            <w:r>
              <w:rPr>
                <w:rFonts w:ascii="Times New Roman"/>
                <w:spacing w:val="-1"/>
                <w:sz w:val="21"/>
              </w:rPr>
              <w:t>-311,227.22</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5"/>
              <w:jc w:val="right"/>
              <w:rPr>
                <w:rFonts w:ascii="Times New Roman" w:hAnsi="Times New Roman" w:cs="Times New Roman" w:eastAsia="Times New Roman" w:hint="default"/>
                <w:sz w:val="21"/>
                <w:szCs w:val="21"/>
              </w:rPr>
            </w:pPr>
            <w:r>
              <w:rPr>
                <w:rFonts w:ascii="Times New Roman"/>
                <w:spacing w:val="-1"/>
                <w:sz w:val="21"/>
              </w:rPr>
              <w:t>-112,597.37</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4" w:space="0" w:color="000000"/>
            </w:tcBorders>
          </w:tcPr>
          <w:p>
            <w:pPr/>
          </w:p>
        </w:tc>
      </w:tr>
      <w:tr>
        <w:trPr>
          <w:trHeight w:val="641" w:hRule="exact"/>
        </w:trPr>
        <w:tc>
          <w:tcPr>
            <w:tcW w:w="158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福建网链科技</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2"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-354,289.54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-354,289.54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3"/>
              <w:jc w:val="right"/>
              <w:rPr>
                <w:rFonts w:ascii="Times New Roman" w:hAnsi="Times New Roman" w:cs="Times New Roman" w:eastAsia="Times New Roman" w:hint="default"/>
                <w:sz w:val="21"/>
                <w:szCs w:val="21"/>
              </w:rPr>
            </w:pPr>
            <w:r>
              <w:rPr>
                <w:rFonts w:ascii="Times New Roman"/>
                <w:spacing w:val="-1"/>
                <w:sz w:val="21"/>
              </w:rPr>
              <w:t>46,073.07</w:t>
            </w:r>
          </w:p>
        </w:tc>
        <w:tc>
          <w:tcPr>
            <w:tcW w:w="1505"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4" w:space="0" w:color="000000"/>
            </w:tcBorders>
          </w:tcPr>
          <w:p>
            <w:pPr/>
          </w:p>
        </w:tc>
      </w:tr>
      <w:tr>
        <w:trPr>
          <w:trHeight w:val="639" w:hRule="exact"/>
        </w:trPr>
        <w:tc>
          <w:tcPr>
            <w:tcW w:w="158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上海南信信息</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7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9"/>
              <w:ind w:right="96"/>
              <w:jc w:val="right"/>
              <w:rPr>
                <w:rFonts w:ascii="Times New Roman" w:hAnsi="Times New Roman" w:cs="Times New Roman" w:eastAsia="Times New Roman" w:hint="default"/>
                <w:sz w:val="21"/>
                <w:szCs w:val="21"/>
              </w:rPr>
            </w:pPr>
            <w:r>
              <w:rPr>
                <w:rFonts w:ascii="Times New Roman"/>
                <w:spacing w:val="-1"/>
                <w:sz w:val="21"/>
              </w:rPr>
              <w:t>871,844.66</w:t>
            </w:r>
          </w:p>
        </w:tc>
        <w:tc>
          <w:tcPr>
            <w:tcW w:w="14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9"/>
              <w:ind w:right="96"/>
              <w:jc w:val="right"/>
              <w:rPr>
                <w:rFonts w:ascii="Times New Roman" w:hAnsi="Times New Roman" w:cs="Times New Roman" w:eastAsia="Times New Roman" w:hint="default"/>
                <w:sz w:val="21"/>
                <w:szCs w:val="21"/>
              </w:rPr>
            </w:pPr>
            <w:r>
              <w:rPr>
                <w:rFonts w:ascii="Times New Roman"/>
                <w:spacing w:val="-1"/>
                <w:sz w:val="21"/>
              </w:rPr>
              <w:t>-772,168.27</w:t>
            </w:r>
          </w:p>
        </w:tc>
        <w:tc>
          <w:tcPr>
            <w:tcW w:w="172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9"/>
              <w:ind w:right="96"/>
              <w:jc w:val="right"/>
              <w:rPr>
                <w:rFonts w:ascii="Times New Roman" w:hAnsi="Times New Roman" w:cs="Times New Roman" w:eastAsia="Times New Roman" w:hint="default"/>
                <w:sz w:val="21"/>
                <w:szCs w:val="21"/>
              </w:rPr>
            </w:pPr>
            <w:r>
              <w:rPr>
                <w:rFonts w:ascii="Times New Roman"/>
                <w:spacing w:val="-1"/>
                <w:sz w:val="21"/>
              </w:rPr>
              <w:t>-772,168.27</w:t>
            </w:r>
          </w:p>
        </w:tc>
        <w:tc>
          <w:tcPr>
            <w:tcW w:w="15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9"/>
              <w:ind w:right="95"/>
              <w:jc w:val="right"/>
              <w:rPr>
                <w:rFonts w:ascii="Times New Roman" w:hAnsi="Times New Roman" w:cs="Times New Roman" w:eastAsia="Times New Roman" w:hint="default"/>
                <w:sz w:val="21"/>
                <w:szCs w:val="21"/>
              </w:rPr>
            </w:pPr>
            <w:r>
              <w:rPr>
                <w:rFonts w:ascii="Times New Roman"/>
                <w:spacing w:val="-1"/>
                <w:sz w:val="21"/>
              </w:rPr>
              <w:t>-825,485.06</w:t>
            </w:r>
          </w:p>
        </w:tc>
        <w:tc>
          <w:tcPr>
            <w:tcW w:w="1505" w:type="dxa"/>
            <w:tcBorders>
              <w:top w:val="single" w:sz="6" w:space="0" w:color="000000"/>
              <w:left w:val="single" w:sz="6" w:space="0" w:color="000000"/>
              <w:bottom w:val="single" w:sz="4" w:space="0" w:color="000000"/>
              <w:right w:val="single" w:sz="6" w:space="0" w:color="000000"/>
            </w:tcBorders>
          </w:tcPr>
          <w:p>
            <w:pPr/>
          </w:p>
        </w:tc>
        <w:tc>
          <w:tcPr>
            <w:tcW w:w="1659" w:type="dxa"/>
            <w:tcBorders>
              <w:top w:val="single" w:sz="6" w:space="0" w:color="000000"/>
              <w:left w:val="single" w:sz="6" w:space="0" w:color="000000"/>
              <w:bottom w:val="single" w:sz="4" w:space="0" w:color="000000"/>
              <w:right w:val="single" w:sz="6" w:space="0" w:color="000000"/>
            </w:tcBorders>
          </w:tcPr>
          <w:p>
            <w:pPr/>
          </w:p>
        </w:tc>
        <w:tc>
          <w:tcPr>
            <w:tcW w:w="1550" w:type="dxa"/>
            <w:tcBorders>
              <w:top w:val="single" w:sz="6" w:space="0" w:color="000000"/>
              <w:left w:val="single" w:sz="6" w:space="0" w:color="000000"/>
              <w:bottom w:val="single" w:sz="4" w:space="0" w:color="000000"/>
              <w:right w:val="single" w:sz="6" w:space="0" w:color="000000"/>
            </w:tcBorders>
          </w:tcPr>
          <w:p>
            <w:pPr/>
          </w:p>
        </w:tc>
        <w:tc>
          <w:tcPr>
            <w:tcW w:w="1390" w:type="dxa"/>
            <w:tcBorders>
              <w:top w:val="single" w:sz="6" w:space="0" w:color="000000"/>
              <w:left w:val="single" w:sz="6" w:space="0" w:color="000000"/>
              <w:bottom w:val="single" w:sz="4" w:space="0" w:color="000000"/>
              <w:right w:val="single" w:sz="4" w:space="0" w:color="000000"/>
            </w:tcBorders>
          </w:tcPr>
          <w:p>
            <w:pPr/>
          </w:p>
        </w:tc>
      </w:tr>
    </w:tbl>
    <w:p>
      <w:pPr>
        <w:spacing w:after="0"/>
        <w:sectPr>
          <w:pgSz w:w="16840" w:h="11910" w:orient="landscape"/>
          <w:pgMar w:header="882" w:footer="975" w:top="1120" w:bottom="1160" w:left="1260" w:right="13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Heading2"/>
        <w:tabs>
          <w:tab w:pos="861" w:val="left" w:leader="none"/>
        </w:tabs>
        <w:spacing w:line="290" w:lineRule="auto"/>
        <w:ind w:right="3574"/>
        <w:jc w:val="left"/>
        <w:rPr>
          <w:rFonts w:ascii="宋体" w:hAnsi="宋体" w:cs="宋体" w:eastAsia="宋体" w:hint="default"/>
          <w:b w:val="0"/>
          <w:bCs w:val="0"/>
        </w:rPr>
      </w:pPr>
      <w:r>
        <w:rPr>
          <w:rFonts w:ascii="宋体" w:hAnsi="宋体" w:cs="宋体" w:eastAsia="宋体" w:hint="default"/>
          <w:w w:val="95"/>
        </w:rPr>
        <w:t>(4).</w:t>
        <w:tab/>
      </w:r>
      <w:r>
        <w:rPr>
          <w:spacing w:val="-1"/>
        </w:rPr>
        <w:t>使用企业集团资产和清偿企业集团债务的重大限制：</w:t>
      </w:r>
      <w:r>
        <w:rPr>
          <w:spacing w:val="-87"/>
        </w:rPr>
        <w:t> </w:t>
      </w:r>
      <w:r>
        <w:rPr>
          <w:spacing w:val="-87"/>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861" w:val="left" w:leader="none"/>
        </w:tabs>
        <w:spacing w:line="290" w:lineRule="auto"/>
        <w:ind w:right="2096"/>
        <w:jc w:val="left"/>
        <w:rPr>
          <w:rFonts w:ascii="宋体" w:hAnsi="宋体" w:cs="宋体" w:eastAsia="宋体" w:hint="default"/>
          <w:b w:val="0"/>
          <w:bCs w:val="0"/>
        </w:rPr>
      </w:pPr>
      <w:r>
        <w:rPr>
          <w:rFonts w:ascii="宋体" w:hAnsi="宋体" w:cs="宋体" w:eastAsia="宋体" w:hint="default"/>
          <w:w w:val="95"/>
        </w:rPr>
        <w:t>(5).</w:t>
        <w:tab/>
      </w:r>
      <w:r>
        <w:rPr>
          <w:spacing w:val="-1"/>
        </w:rPr>
        <w:t>向纳入合并财务报表范围的结构化主体提供的财务支持或其他支持：</w:t>
      </w:r>
      <w:r>
        <w:rPr>
          <w:spacing w:val="-77"/>
        </w:rPr>
        <w:t> </w:t>
      </w:r>
      <w:r>
        <w:rPr>
          <w:spacing w:val="-77"/>
        </w:rPr>
      </w:r>
      <w:r>
        <w:rPr>
          <w:rFonts w:ascii="宋体" w:hAnsi="宋体" w:cs="宋体" w:eastAsia="宋体" w:hint="default"/>
          <w:b w:val="0"/>
          <w:bCs w:val="0"/>
        </w:rPr>
        <w:t>无。</w:t>
      </w:r>
    </w:p>
    <w:p>
      <w:pPr>
        <w:spacing w:line="240" w:lineRule="auto" w:before="3"/>
        <w:rPr>
          <w:rFonts w:ascii="宋体" w:hAnsi="宋体" w:cs="宋体" w:eastAsia="宋体" w:hint="default"/>
          <w:sz w:val="17"/>
          <w:szCs w:val="17"/>
        </w:rPr>
      </w:pPr>
    </w:p>
    <w:p>
      <w:pPr>
        <w:pStyle w:val="BodyText"/>
        <w:spacing w:line="240" w:lineRule="auto"/>
        <w:ind w:left="218" w:right="7998"/>
        <w:jc w:val="left"/>
      </w:pPr>
      <w:r>
        <w:rPr/>
        <w:t>其他说明：</w:t>
      </w:r>
      <w:r>
        <w:rPr>
          <w:spacing w:val="-102"/>
        </w:rPr>
        <w:t> </w:t>
      </w:r>
      <w:r>
        <w:rPr>
          <w:spacing w:val="-102"/>
        </w:rPr>
      </w:r>
      <w:r>
        <w:rPr/>
        <w:t>无。</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62"/>
          <w:footerReference w:type="default" r:id="rId63"/>
          <w:pgSz w:w="11910" w:h="16840"/>
          <w:pgMar w:header="882" w:footer="974" w:top="1120" w:bottom="1160" w:left="1580" w:right="1040"/>
          <w:pgNumType w:start="141"/>
        </w:sectPr>
      </w:pPr>
    </w:p>
    <w:p>
      <w:pPr>
        <w:pStyle w:val="Heading2"/>
        <w:spacing w:line="240" w:lineRule="auto" w:before="36"/>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218" w:right="-18"/>
        <w:jc w:val="left"/>
      </w:pPr>
      <w:r>
        <w:rPr/>
        <w:t>√适用</w:t>
      </w:r>
      <w:r>
        <w:rPr>
          <w:spacing w:val="-1"/>
        </w:rPr>
        <w:t> </w:t>
      </w:r>
      <w:r>
        <w:rPr/>
        <w:t>□不适用</w:t>
      </w:r>
    </w:p>
    <w:p>
      <w:pPr>
        <w:pStyle w:val="Heading2"/>
        <w:tabs>
          <w:tab w:pos="849" w:val="left" w:leader="none"/>
        </w:tabs>
        <w:spacing w:line="240" w:lineRule="auto" w:before="56"/>
        <w:ind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3591" w:space="3351"/>
            <w:col w:w="23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4" w:right="180"/>
              <w:jc w:val="both"/>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w w:val="100"/>
                <w:sz w:val="21"/>
                <w:szCs w:val="21"/>
              </w:rPr>
              <w:t> </w:t>
            </w: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45"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before="2"/>
              <w:ind w:left="199" w:right="194"/>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2" w:hRule="exact"/>
        </w:trPr>
        <w:tc>
          <w:tcPr>
            <w:tcW w:w="1222" w:type="dxa"/>
            <w:vMerge/>
            <w:tcBorders>
              <w:left w:val="single" w:sz="4" w:space="0" w:color="000000"/>
              <w:bottom w:val="single" w:sz="6" w:space="0" w:color="000000"/>
              <w:right w:val="single" w:sz="6" w:space="0" w:color="000000"/>
            </w:tcBorders>
          </w:tcPr>
          <w:p>
            <w:pPr/>
          </w:p>
        </w:tc>
        <w:tc>
          <w:tcPr>
            <w:tcW w:w="1345"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6" w:space="0" w:color="000000"/>
              <w:bottom w:val="single" w:sz="6" w:space="0" w:color="000000"/>
              <w:right w:val="single" w:sz="4" w:space="0" w:color="000000"/>
            </w:tcBorders>
          </w:tcPr>
          <w:p>
            <w:pPr/>
          </w:p>
        </w:tc>
      </w:tr>
      <w:tr>
        <w:trPr>
          <w:trHeight w:val="828"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南京伍安</w:t>
            </w:r>
          </w:p>
          <w:p>
            <w:pPr>
              <w:pStyle w:val="TableParagraph"/>
              <w:spacing w:line="240" w:lineRule="auto"/>
              <w:ind w:left="103" w:right="261"/>
              <w:jc w:val="left"/>
              <w:rPr>
                <w:rFonts w:ascii="宋体" w:hAnsi="宋体" w:cs="宋体" w:eastAsia="宋体" w:hint="default"/>
                <w:sz w:val="21"/>
                <w:szCs w:val="21"/>
              </w:rPr>
            </w:pPr>
            <w:r>
              <w:rPr>
                <w:rFonts w:ascii="宋体" w:hAnsi="宋体" w:cs="宋体" w:eastAsia="宋体" w:hint="default"/>
                <w:sz w:val="21"/>
                <w:szCs w:val="21"/>
              </w:rPr>
              <w:t>信息科技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4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南京</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32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20" w:right="0"/>
              <w:jc w:val="left"/>
              <w:rPr>
                <w:rFonts w:ascii="Times New Roman" w:hAnsi="Times New Roman" w:cs="Times New Roman" w:eastAsia="Times New Roman" w:hint="default"/>
                <w:sz w:val="21"/>
                <w:szCs w:val="21"/>
              </w:rPr>
            </w:pPr>
            <w:r>
              <w:rPr>
                <w:rFonts w:ascii="Times New Roman"/>
                <w:sz w:val="21"/>
              </w:rPr>
              <w:t>20%</w:t>
            </w:r>
          </w:p>
        </w:tc>
        <w:tc>
          <w:tcPr>
            <w:tcW w:w="1335"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exact"/>
        <w:ind w:left="218" w:right="227"/>
        <w:jc w:val="left"/>
      </w:pPr>
      <w:r>
        <w:rPr/>
        <w:t>在合营企业或联营企业的持股比例不同于表决权比例的说明：</w:t>
      </w:r>
    </w:p>
    <w:p>
      <w:pPr>
        <w:pStyle w:val="BodyText"/>
        <w:spacing w:line="274" w:lineRule="exact"/>
        <w:ind w:left="218" w:right="227"/>
        <w:jc w:val="left"/>
      </w:pPr>
      <w:r>
        <w:rPr/>
        <w:t>无。</w:t>
      </w:r>
    </w:p>
    <w:p>
      <w:pPr>
        <w:spacing w:line="240" w:lineRule="auto" w:before="10"/>
        <w:rPr>
          <w:rFonts w:ascii="宋体" w:hAnsi="宋体" w:cs="宋体" w:eastAsia="宋体" w:hint="default"/>
          <w:sz w:val="22"/>
          <w:szCs w:val="22"/>
        </w:rPr>
      </w:pPr>
    </w:p>
    <w:p>
      <w:pPr>
        <w:pStyle w:val="BodyText"/>
        <w:spacing w:line="272" w:lineRule="exact"/>
        <w:ind w:left="218"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无。</w:t>
      </w:r>
    </w:p>
    <w:p>
      <w:pPr>
        <w:spacing w:line="240" w:lineRule="auto" w:before="7"/>
        <w:rPr>
          <w:rFonts w:ascii="宋体" w:hAnsi="宋体" w:cs="宋体" w:eastAsia="宋体" w:hint="default"/>
          <w:sz w:val="20"/>
          <w:szCs w:val="20"/>
        </w:rPr>
      </w:pPr>
    </w:p>
    <w:p>
      <w:pPr>
        <w:pStyle w:val="Heading2"/>
        <w:tabs>
          <w:tab w:pos="849" w:val="left" w:leader="none"/>
        </w:tabs>
        <w:spacing w:line="240" w:lineRule="auto" w:before="36"/>
        <w:ind w:right="227"/>
        <w:jc w:val="left"/>
        <w:rPr>
          <w:b w:val="0"/>
          <w:bCs w:val="0"/>
        </w:rPr>
      </w:pPr>
      <w:r>
        <w:rPr>
          <w:rFonts w:ascii="宋体" w:hAnsi="宋体" w:cs="宋体" w:eastAsia="宋体" w:hint="default"/>
          <w:w w:val="95"/>
        </w:rPr>
        <w:t>(2).</w:t>
        <w:tab/>
      </w:r>
      <w:r>
        <w:rPr/>
        <w:t>重要联营企业的主要财务信息</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85"/>
        <w:gridCol w:w="1699"/>
        <w:gridCol w:w="1488"/>
        <w:gridCol w:w="1517"/>
        <w:gridCol w:w="1459"/>
      </w:tblGrid>
      <w:tr>
        <w:trPr>
          <w:trHeight w:val="286" w:hRule="exact"/>
        </w:trPr>
        <w:tc>
          <w:tcPr>
            <w:tcW w:w="2885" w:type="dxa"/>
            <w:vMerge w:val="restart"/>
            <w:tcBorders>
              <w:top w:val="single" w:sz="4" w:space="0" w:color="000000"/>
              <w:left w:val="single" w:sz="4" w:space="0" w:color="000000"/>
              <w:right w:val="single" w:sz="6" w:space="0" w:color="000000"/>
            </w:tcBorders>
          </w:tcPr>
          <w:p>
            <w:pPr/>
          </w:p>
        </w:tc>
        <w:tc>
          <w:tcPr>
            <w:tcW w:w="318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297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560" w:hRule="exact"/>
        </w:trPr>
        <w:tc>
          <w:tcPr>
            <w:tcW w:w="2885" w:type="dxa"/>
            <w:vMerge/>
            <w:tcBorders>
              <w:left w:val="single" w:sz="4"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南京伍安信息科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技有限公司</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南京伍安信息</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1,319,536.22</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1,606,772.58</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26,506.50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1,346,042.72</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1,606,772.58</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37,143.20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-116.50</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202,010.44</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239,153.64</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499,883.50</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181,377.82</w:t>
            </w: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181,377.82</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99" w:type="dxa"/>
            <w:tcBorders>
              <w:top w:val="single" w:sz="6" w:space="0" w:color="000000"/>
              <w:left w:val="single" w:sz="6" w:space="0" w:color="000000"/>
              <w:bottom w:val="single" w:sz="4" w:space="0" w:color="000000"/>
              <w:right w:val="single" w:sz="6" w:space="0" w:color="000000"/>
            </w:tcBorders>
          </w:tcPr>
          <w:p>
            <w:pPr/>
          </w:p>
        </w:tc>
        <w:tc>
          <w:tcPr>
            <w:tcW w:w="1488" w:type="dxa"/>
            <w:tcBorders>
              <w:top w:val="single" w:sz="6" w:space="0" w:color="000000"/>
              <w:left w:val="single" w:sz="6" w:space="0" w:color="000000"/>
              <w:bottom w:val="single" w:sz="4"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85"/>
        <w:gridCol w:w="1699"/>
        <w:gridCol w:w="1488"/>
        <w:gridCol w:w="1517"/>
        <w:gridCol w:w="1459"/>
      </w:tblGrid>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99" w:type="dxa"/>
            <w:tcBorders>
              <w:top w:val="single" w:sz="4" w:space="0" w:color="000000"/>
              <w:left w:val="single" w:sz="6" w:space="0" w:color="000000"/>
              <w:bottom w:val="single" w:sz="6" w:space="0" w:color="000000"/>
              <w:right w:val="single" w:sz="6" w:space="0" w:color="000000"/>
            </w:tcBorders>
          </w:tcPr>
          <w:p>
            <w:pPr/>
          </w:p>
        </w:tc>
        <w:tc>
          <w:tcPr>
            <w:tcW w:w="1488" w:type="dxa"/>
            <w:tcBorders>
              <w:top w:val="single" w:sz="4"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-88,388.92</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99"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-88,388.92</w:t>
            </w:r>
          </w:p>
        </w:tc>
        <w:tc>
          <w:tcPr>
            <w:tcW w:w="145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885"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699" w:type="dxa"/>
            <w:tcBorders>
              <w:top w:val="single" w:sz="6" w:space="0" w:color="000000"/>
              <w:left w:val="single" w:sz="6" w:space="0" w:color="000000"/>
              <w:bottom w:val="single" w:sz="4" w:space="0" w:color="000000"/>
              <w:right w:val="single" w:sz="6" w:space="0" w:color="000000"/>
            </w:tcBorders>
          </w:tcPr>
          <w:p>
            <w:pPr/>
          </w:p>
        </w:tc>
        <w:tc>
          <w:tcPr>
            <w:tcW w:w="1488" w:type="dxa"/>
            <w:tcBorders>
              <w:top w:val="single" w:sz="6" w:space="0" w:color="000000"/>
              <w:left w:val="single" w:sz="6" w:space="0" w:color="000000"/>
              <w:bottom w:val="single" w:sz="4" w:space="0" w:color="000000"/>
              <w:right w:val="single" w:sz="6" w:space="0" w:color="000000"/>
            </w:tcBorders>
          </w:tcPr>
          <w:p>
            <w:pPr/>
          </w:p>
        </w:tc>
        <w:tc>
          <w:tcPr>
            <w:tcW w:w="1517" w:type="dxa"/>
            <w:tcBorders>
              <w:top w:val="single" w:sz="6" w:space="0" w:color="000000"/>
              <w:left w:val="single" w:sz="6" w:space="0" w:color="000000"/>
              <w:bottom w:val="single" w:sz="4" w:space="0" w:color="000000"/>
              <w:right w:val="single" w:sz="6" w:space="0" w:color="000000"/>
            </w:tcBorders>
          </w:tcPr>
          <w:p>
            <w:pPr/>
          </w:p>
        </w:tc>
        <w:tc>
          <w:tcPr>
            <w:tcW w:w="145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left="218" w:right="227"/>
        <w:jc w:val="left"/>
      </w:pPr>
      <w:r>
        <w:rPr/>
        <w:t>其他说明</w:t>
      </w:r>
    </w:p>
    <w:p>
      <w:pPr>
        <w:pStyle w:val="BodyText"/>
        <w:spacing w:line="274" w:lineRule="exact"/>
        <w:ind w:left="218" w:right="227"/>
        <w:jc w:val="left"/>
      </w:pPr>
      <w:r>
        <w:rPr/>
        <w:t>无。</w:t>
      </w:r>
    </w:p>
    <w:p>
      <w:pPr>
        <w:spacing w:line="240" w:lineRule="auto" w:before="3"/>
        <w:rPr>
          <w:rFonts w:ascii="宋体" w:hAnsi="宋体" w:cs="宋体" w:eastAsia="宋体" w:hint="default"/>
          <w:sz w:val="25"/>
          <w:szCs w:val="25"/>
        </w:rPr>
      </w:pPr>
    </w:p>
    <w:p>
      <w:pPr>
        <w:pStyle w:val="Heading2"/>
        <w:tabs>
          <w:tab w:pos="849" w:val="left" w:leader="none"/>
        </w:tabs>
        <w:spacing w:line="290" w:lineRule="auto"/>
        <w:ind w:right="2108"/>
        <w:jc w:val="left"/>
        <w:rPr>
          <w:rFonts w:ascii="宋体" w:hAnsi="宋体" w:cs="宋体" w:eastAsia="宋体" w:hint="default"/>
          <w:b w:val="0"/>
          <w:bCs w:val="0"/>
        </w:rPr>
      </w:pPr>
      <w:r>
        <w:rPr>
          <w:rFonts w:ascii="宋体" w:hAnsi="宋体" w:cs="宋体" w:eastAsia="宋体" w:hint="default"/>
          <w:w w:val="95"/>
        </w:rPr>
        <w:t>(3).</w:t>
        <w:tab/>
      </w:r>
      <w:r>
        <w:rPr>
          <w:spacing w:val="-1"/>
        </w:rPr>
        <w:t>合营企业或联营企业向本公司转移资金的能力存在重大限制的说明：</w:t>
      </w:r>
      <w:r>
        <w:rPr>
          <w:spacing w:val="-77"/>
        </w:rPr>
        <w:t> </w:t>
      </w:r>
      <w:r>
        <w:rPr>
          <w:spacing w:val="-77"/>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849" w:val="left" w:leader="none"/>
        </w:tabs>
        <w:spacing w:line="290" w:lineRule="auto"/>
        <w:ind w:right="5271"/>
        <w:jc w:val="left"/>
        <w:rPr>
          <w:rFonts w:ascii="宋体" w:hAnsi="宋体" w:cs="宋体" w:eastAsia="宋体" w:hint="default"/>
          <w:b w:val="0"/>
          <w:bCs w:val="0"/>
        </w:rPr>
      </w:pPr>
      <w:r>
        <w:rPr>
          <w:rFonts w:ascii="宋体" w:hAnsi="宋体" w:cs="宋体" w:eastAsia="宋体" w:hint="default"/>
          <w:w w:val="95"/>
        </w:rPr>
        <w:t>(4).</w:t>
        <w:tab/>
      </w:r>
      <w:r>
        <w:rPr>
          <w:spacing w:val="-1"/>
        </w:rPr>
        <w:t>与合营企业投资相关的未确认承诺</w:t>
      </w:r>
      <w:r>
        <w:rPr>
          <w:spacing w:val="-92"/>
        </w:rPr>
        <w:t> </w:t>
      </w:r>
      <w:r>
        <w:rPr>
          <w:spacing w:val="-92"/>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849" w:val="left" w:leader="none"/>
        </w:tabs>
        <w:spacing w:line="290" w:lineRule="auto"/>
        <w:ind w:right="4427"/>
        <w:jc w:val="left"/>
        <w:rPr>
          <w:rFonts w:ascii="宋体" w:hAnsi="宋体" w:cs="宋体" w:eastAsia="宋体" w:hint="default"/>
          <w:b w:val="0"/>
          <w:bCs w:val="0"/>
        </w:rPr>
      </w:pPr>
      <w:r>
        <w:rPr>
          <w:rFonts w:ascii="宋体" w:hAnsi="宋体" w:cs="宋体" w:eastAsia="宋体" w:hint="default"/>
          <w:w w:val="95"/>
        </w:rPr>
        <w:t>(5).</w:t>
        <w:tab/>
      </w:r>
      <w:r>
        <w:rPr>
          <w:spacing w:val="-1"/>
        </w:rPr>
        <w:t>与合营企业或联营企业投资相关的或有负债</w:t>
      </w:r>
      <w:r>
        <w:rPr>
          <w:spacing w:val="-86"/>
        </w:rPr>
        <w:t> </w:t>
      </w:r>
      <w:r>
        <w:rPr>
          <w:spacing w:val="-86"/>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40" w:lineRule="auto"/>
        <w:ind w:right="227"/>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5</w:t>
      </w:r>
      <w:r>
        <w:rPr/>
        <w:t>、</w:t>
      </w:r>
      <w:r>
        <w:rPr>
          <w:spacing w:val="-4"/>
        </w:rPr>
        <w:t> </w:t>
      </w:r>
      <w:r>
        <w:rPr/>
        <w:t>在未纳入合并财务报表范围的结构化主体中的权益</w:t>
      </w:r>
      <w:r>
        <w:rPr>
          <w:b w:val="0"/>
          <w:bCs w:val="0"/>
        </w:rPr>
      </w:r>
    </w:p>
    <w:p>
      <w:pPr>
        <w:pStyle w:val="BodyText"/>
        <w:spacing w:line="272" w:lineRule="exact" w:before="86"/>
        <w:ind w:left="218" w:right="4006"/>
        <w:jc w:val="left"/>
      </w:pPr>
      <w:r>
        <w:rPr>
          <w:spacing w:val="-2"/>
        </w:rPr>
        <w:t>未纳入合并财务报表范围的结构化主体的相关说明：</w:t>
      </w:r>
      <w:r>
        <w:rPr>
          <w:spacing w:val="-62"/>
        </w:rPr>
        <w:t> </w:t>
      </w:r>
      <w:r>
        <w:rPr>
          <w:spacing w:val="-62"/>
        </w:rPr>
      </w:r>
      <w:r>
        <w:rPr/>
        <w:t>无。</w:t>
      </w:r>
    </w:p>
    <w:p>
      <w:pPr>
        <w:spacing w:line="240" w:lineRule="auto" w:before="4"/>
        <w:rPr>
          <w:rFonts w:ascii="宋体" w:hAnsi="宋体" w:cs="宋体" w:eastAsia="宋体" w:hint="default"/>
          <w:sz w:val="23"/>
          <w:szCs w:val="23"/>
        </w:rPr>
      </w:pPr>
    </w:p>
    <w:p>
      <w:pPr>
        <w:spacing w:line="292" w:lineRule="auto" w:before="0"/>
        <w:ind w:left="218" w:right="8207"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9"/>
        <w:rPr>
          <w:rFonts w:ascii="宋体" w:hAnsi="宋体" w:cs="宋体" w:eastAsia="宋体" w:hint="default"/>
          <w:sz w:val="21"/>
          <w:szCs w:val="21"/>
        </w:rPr>
      </w:pPr>
    </w:p>
    <w:p>
      <w:pPr>
        <w:pStyle w:val="Heading2"/>
        <w:spacing w:line="240" w:lineRule="auto"/>
        <w:ind w:right="227"/>
        <w:jc w:val="left"/>
        <w:rPr>
          <w:b w:val="0"/>
          <w:bCs w:val="0"/>
        </w:rPr>
      </w:pPr>
      <w:r>
        <w:rPr/>
        <w:t>十、与金融工具相关的风险</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974" w:top="1120" w:bottom="1160" w:left="1580" w:right="1040"/>
        </w:sectPr>
      </w:pPr>
    </w:p>
    <w:p>
      <w:pPr>
        <w:pStyle w:val="Heading2"/>
        <w:tabs>
          <w:tab w:pos="1057" w:val="left" w:leader="none"/>
        </w:tabs>
        <w:spacing w:line="240" w:lineRule="auto" w:before="36"/>
        <w:ind w:right="-18"/>
        <w:jc w:val="left"/>
        <w:rPr>
          <w:b w:val="0"/>
          <w:bCs w:val="0"/>
        </w:rPr>
      </w:pPr>
      <w:r>
        <w:rPr/>
        <w:t>十一、</w:t>
        <w:tab/>
        <w:t>公允价值的披露</w:t>
      </w:r>
      <w:r>
        <w:rPr>
          <w:b w:val="0"/>
          <w:bCs w:val="0"/>
        </w:rPr>
      </w:r>
    </w:p>
    <w:p>
      <w:pPr>
        <w:pStyle w:val="BodyText"/>
        <w:spacing w:line="240" w:lineRule="auto" w:before="58"/>
        <w:ind w:left="218"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4863" w:space="2079"/>
            <w:col w:w="2348"/>
          </w:cols>
        </w:sectPr>
      </w:pPr>
    </w:p>
    <w:p>
      <w:pPr>
        <w:spacing w:line="240" w:lineRule="auto" w:before="4"/>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2953"/>
        <w:gridCol w:w="1262"/>
        <w:gridCol w:w="1589"/>
        <w:gridCol w:w="1652"/>
        <w:gridCol w:w="1435"/>
      </w:tblGrid>
      <w:tr>
        <w:trPr>
          <w:trHeight w:val="283" w:hRule="exact"/>
        </w:trPr>
        <w:tc>
          <w:tcPr>
            <w:tcW w:w="29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9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5" w:hRule="exact"/>
        </w:trPr>
        <w:tc>
          <w:tcPr>
            <w:tcW w:w="2953"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第一层次公</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4" w:type="dxa"/>
        <w:tblLayout w:type="fixed"/>
        <w:tblCellMar>
          <w:top w:w="0" w:type="dxa"/>
          <w:left w:w="0" w:type="dxa"/>
          <w:bottom w:w="0" w:type="dxa"/>
          <w:right w:w="0" w:type="dxa"/>
        </w:tblCellMar>
        <w:tblLook w:val="01E0"/>
      </w:tblPr>
      <w:tblGrid>
        <w:gridCol w:w="2953"/>
        <w:gridCol w:w="1262"/>
        <w:gridCol w:w="1589"/>
        <w:gridCol w:w="1652"/>
        <w:gridCol w:w="1435"/>
      </w:tblGrid>
      <w:tr>
        <w:trPr>
          <w:trHeight w:val="557"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（一）以公允价值计量且变动计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交易性金融资产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 w:right="0"/>
              <w:jc w:val="left"/>
              <w:rPr>
                <w:rFonts w:ascii="Times New Roman" w:hAnsi="Times New Roman" w:cs="Times New Roman" w:eastAsia="Times New Roman" w:hint="default"/>
                <w:sz w:val="21"/>
                <w:szCs w:val="21"/>
              </w:rPr>
            </w:pPr>
            <w:r>
              <w:rPr>
                <w:rFonts w:ascii="Times New Roman"/>
                <w:sz w:val="21"/>
              </w:rPr>
              <w:t>85,742,297.47</w:t>
            </w: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6" w:right="0"/>
              <w:jc w:val="left"/>
              <w:rPr>
                <w:rFonts w:ascii="Times New Roman" w:hAnsi="Times New Roman" w:cs="Times New Roman" w:eastAsia="Times New Roman" w:hint="default"/>
                <w:sz w:val="21"/>
                <w:szCs w:val="21"/>
              </w:rPr>
            </w:pPr>
            <w:r>
              <w:rPr>
                <w:rFonts w:ascii="Times New Roman"/>
                <w:sz w:val="21"/>
              </w:rPr>
              <w:t>85,742,297.47</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指定以公允价值计量且其变动</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出租用的土地使用权</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出租的建筑物</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持有并准备增值后转让的土地</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消耗性生物资产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生产性生物资产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（六）指定为以公允价值计量且</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变动计入当期损益的金融负债</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2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spacing w:line="240" w:lineRule="auto" w:before="11"/>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2552"/>
        <w:gridCol w:w="2268"/>
        <w:gridCol w:w="1702"/>
        <w:gridCol w:w="2302"/>
      </w:tblGrid>
      <w:tr>
        <w:trPr>
          <w:trHeight w:val="545" w:hRule="exact"/>
        </w:trPr>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9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420" w:right="0"/>
              <w:jc w:val="left"/>
              <w:rPr>
                <w:rFonts w:ascii="宋体" w:hAnsi="宋体" w:cs="宋体" w:eastAsia="宋体" w:hint="default"/>
                <w:sz w:val="21"/>
                <w:szCs w:val="21"/>
              </w:rPr>
            </w:pPr>
            <w:r>
              <w:rPr>
                <w:rFonts w:ascii="宋体" w:hAnsi="宋体" w:cs="宋体" w:eastAsia="宋体" w:hint="default"/>
                <w:sz w:val="21"/>
                <w:szCs w:val="21"/>
              </w:rPr>
              <w:t>估值技术</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99" w:right="0"/>
              <w:jc w:val="left"/>
              <w:rPr>
                <w:rFonts w:ascii="宋体" w:hAnsi="宋体" w:cs="宋体" w:eastAsia="宋体" w:hint="default"/>
                <w:sz w:val="21"/>
                <w:szCs w:val="21"/>
              </w:rPr>
            </w:pPr>
            <w:r>
              <w:rPr>
                <w:rFonts w:ascii="宋体" w:hAnsi="宋体" w:cs="宋体" w:eastAsia="宋体" w:hint="default"/>
                <w:sz w:val="21"/>
                <w:szCs w:val="21"/>
              </w:rPr>
              <w:t>重要可观察输入值</w:t>
            </w:r>
          </w:p>
        </w:tc>
      </w:tr>
      <w:tr>
        <w:trPr>
          <w:trHeight w:val="567" w:hRule="exact"/>
        </w:trPr>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以公允价值计量且变动计</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2268"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2302"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68"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2302"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82" w:footer="974" w:top="1120" w:bottom="1160" w:left="1560" w:right="11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2552"/>
        <w:gridCol w:w="2268"/>
        <w:gridCol w:w="1702"/>
        <w:gridCol w:w="2302"/>
      </w:tblGrid>
      <w:tr>
        <w:trPr>
          <w:trHeight w:val="548" w:hRule="exact"/>
        </w:trPr>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上市公司流通股票投资</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94"/>
              <w:jc w:val="right"/>
              <w:rPr>
                <w:rFonts w:ascii="Times New Roman" w:hAnsi="Times New Roman" w:cs="Times New Roman" w:eastAsia="Times New Roman" w:hint="default"/>
                <w:sz w:val="21"/>
                <w:szCs w:val="21"/>
              </w:rPr>
            </w:pPr>
            <w:r>
              <w:rPr>
                <w:rFonts w:ascii="Times New Roman"/>
                <w:spacing w:val="-1"/>
                <w:sz w:val="21"/>
              </w:rPr>
              <w:t>28,387,685.00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hAnsi="宋体" w:cs="宋体" w:eastAsia="宋体" w:hint="default"/>
                <w:sz w:val="21"/>
                <w:szCs w:val="21"/>
              </w:rPr>
              <w:t>公开市场交易</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485" w:hRule="exact"/>
        </w:trPr>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宋体" w:hAnsi="宋体" w:cs="宋体" w:eastAsia="宋体" w:hint="default"/>
                <w:sz w:val="21"/>
                <w:szCs w:val="21"/>
              </w:rPr>
            </w:pPr>
            <w:r>
              <w:rPr>
                <w:rFonts w:ascii="宋体" w:hAnsi="宋体" w:cs="宋体" w:eastAsia="宋体" w:hint="default"/>
                <w:sz w:val="21"/>
                <w:szCs w:val="21"/>
              </w:rPr>
              <w:t>证券公司理财产品投资</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4"/>
              <w:jc w:val="right"/>
              <w:rPr>
                <w:rFonts w:ascii="Times New Roman" w:hAnsi="Times New Roman" w:cs="Times New Roman" w:eastAsia="Times New Roman" w:hint="default"/>
                <w:sz w:val="21"/>
                <w:szCs w:val="21"/>
              </w:rPr>
            </w:pPr>
            <w:r>
              <w:rPr>
                <w:rFonts w:ascii="Times New Roman"/>
                <w:spacing w:val="-1"/>
                <w:sz w:val="21"/>
              </w:rPr>
              <w:t>57,354,612.47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公开市场交易</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bl>
    <w:p>
      <w:pPr>
        <w:pStyle w:val="BodyText"/>
        <w:spacing w:line="247" w:lineRule="exact"/>
        <w:ind w:left="238" w:right="0"/>
        <w:jc w:val="left"/>
      </w:pPr>
      <w:r>
        <w:rPr/>
        <w:t>注</w:t>
      </w:r>
      <w:r>
        <w:rPr>
          <w:spacing w:val="7"/>
        </w:rPr>
        <w:t> </w:t>
      </w:r>
      <w:r>
        <w:rPr>
          <w:rFonts w:ascii="Times New Roman" w:hAnsi="Times New Roman" w:cs="Times New Roman" w:eastAsia="Times New Roman" w:hint="default"/>
        </w:rPr>
        <w:t>1</w:t>
      </w:r>
      <w:r>
        <w:rPr/>
        <w:t>：上市公司流通股票投资及证券公司理财产品投资均存在活跃市场，以公开的市场交易价格</w:t>
      </w:r>
    </w:p>
    <w:p>
      <w:pPr>
        <w:pStyle w:val="BodyText"/>
        <w:spacing w:line="265" w:lineRule="exact"/>
        <w:ind w:left="238" w:right="2895"/>
        <w:jc w:val="left"/>
      </w:pPr>
      <w:r>
        <w:rPr/>
        <w:t>基础来确定公允价值。</w:t>
      </w:r>
    </w:p>
    <w:p>
      <w:pPr>
        <w:spacing w:line="240" w:lineRule="auto" w:before="3"/>
        <w:rPr>
          <w:rFonts w:ascii="宋体" w:hAnsi="宋体" w:cs="宋体" w:eastAsia="宋体" w:hint="default"/>
          <w:sz w:val="25"/>
          <w:szCs w:val="25"/>
        </w:rPr>
      </w:pPr>
    </w:p>
    <w:p>
      <w:pPr>
        <w:pStyle w:val="Heading2"/>
        <w:spacing w:line="290" w:lineRule="auto"/>
        <w:ind w:left="238" w:right="304"/>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ind w:left="238" w:right="304"/>
        <w:jc w:val="left"/>
        <w:rPr>
          <w:rFonts w:ascii="宋体" w:hAnsi="宋体" w:cs="宋体" w:eastAsia="宋体" w:hint="default"/>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40" w:lineRule="auto"/>
        <w:ind w:left="66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56"/>
        <w:ind w:left="238" w:right="2895"/>
        <w:jc w:val="left"/>
      </w:pPr>
      <w:r>
        <w:rPr>
          <w:w w:val="100"/>
        </w:rPr>
        <w:t>无</w:t>
      </w:r>
    </w:p>
    <w:p>
      <w:pPr>
        <w:spacing w:line="240" w:lineRule="auto" w:before="3"/>
        <w:rPr>
          <w:rFonts w:ascii="宋体" w:hAnsi="宋体" w:cs="宋体" w:eastAsia="宋体" w:hint="default"/>
          <w:sz w:val="25"/>
          <w:szCs w:val="25"/>
        </w:rPr>
      </w:pPr>
    </w:p>
    <w:p>
      <w:pPr>
        <w:pStyle w:val="Heading2"/>
        <w:spacing w:line="240" w:lineRule="auto"/>
        <w:ind w:left="66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56"/>
        <w:ind w:left="238" w:right="2895"/>
        <w:jc w:val="left"/>
      </w:pPr>
      <w:r>
        <w:rPr>
          <w:w w:val="100"/>
        </w:rPr>
        <w:t>无</w:t>
      </w:r>
    </w:p>
    <w:p>
      <w:pPr>
        <w:spacing w:line="240" w:lineRule="auto" w:before="3"/>
        <w:rPr>
          <w:rFonts w:ascii="宋体" w:hAnsi="宋体" w:cs="宋体" w:eastAsia="宋体" w:hint="default"/>
          <w:sz w:val="25"/>
          <w:szCs w:val="25"/>
        </w:rPr>
      </w:pPr>
    </w:p>
    <w:p>
      <w:pPr>
        <w:pStyle w:val="Heading2"/>
        <w:spacing w:line="290" w:lineRule="auto"/>
        <w:ind w:left="238" w:right="4940"/>
        <w:jc w:val="left"/>
        <w:rPr>
          <w:rFonts w:ascii="宋体" w:hAnsi="宋体" w:cs="宋体" w:eastAsia="宋体" w:hint="default"/>
          <w:b w:val="0"/>
          <w:bCs w:val="0"/>
        </w:rPr>
      </w:pPr>
      <w:r>
        <w:rPr>
          <w:rFonts w:ascii="宋体" w:hAnsi="宋体" w:cs="宋体" w:eastAsia="宋体" w:hint="default"/>
        </w:rPr>
        <w:t>7</w:t>
      </w:r>
      <w:r>
        <w:rPr/>
        <w:t>、</w:t>
      </w:r>
      <w:r>
        <w:rPr>
          <w:spacing w:val="2"/>
        </w:rPr>
        <w:t> </w:t>
      </w:r>
      <w:r>
        <w:rPr/>
        <w:t>本期内发生的估值技术变更及变更原因</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ind w:left="238" w:right="3256"/>
        <w:jc w:val="left"/>
        <w:rPr>
          <w:rFonts w:ascii="宋体" w:hAnsi="宋体" w:cs="宋体" w:eastAsia="宋体" w:hint="default"/>
          <w:b w:val="0"/>
          <w:bCs w:val="0"/>
        </w:rPr>
      </w:pPr>
      <w:r>
        <w:rPr>
          <w:rFonts w:ascii="宋体" w:hAnsi="宋体" w:cs="宋体" w:eastAsia="宋体" w:hint="default"/>
        </w:rPr>
        <w:t>8</w:t>
      </w:r>
      <w:r>
        <w:rPr/>
        <w:t>、</w:t>
      </w:r>
      <w:r>
        <w:rPr>
          <w:spacing w:val="-1"/>
        </w:rPr>
        <w:t> </w:t>
      </w:r>
      <w:r>
        <w:rPr/>
        <w:t>不以公允价值计量的金融资产和金融负债的公允价值情况</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ind w:left="238" w:right="8102"/>
        <w:jc w:val="left"/>
        <w:rPr>
          <w:rFonts w:ascii="宋体" w:hAnsi="宋体" w:cs="宋体" w:eastAsia="宋体" w:hint="default"/>
          <w:b w:val="0"/>
          <w:bCs w:val="0"/>
        </w:rPr>
      </w:pPr>
      <w:r>
        <w:rPr>
          <w:rFonts w:ascii="宋体" w:hAnsi="宋体" w:cs="宋体" w:eastAsia="宋体" w:hint="default"/>
        </w:rPr>
        <w:t>9</w:t>
      </w:r>
      <w:r>
        <w:rPr/>
        <w:t>、</w:t>
      </w:r>
      <w:r>
        <w:rPr>
          <w:spacing w:val="2"/>
        </w:rPr>
        <w:t> </w:t>
      </w:r>
      <w:r>
        <w:rPr/>
        <w:t>其他</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1077" w:val="left" w:leader="none"/>
        </w:tabs>
        <w:spacing w:line="290" w:lineRule="auto"/>
        <w:ind w:left="238" w:right="622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4"/>
        </w:rPr>
        <w:t> </w:t>
      </w:r>
      <w:r>
        <w:rPr/>
        <w:t>本企业的实际控制人情况</w:t>
      </w:r>
      <w:r>
        <w:rPr>
          <w:b w:val="0"/>
          <w:bCs w:val="0"/>
        </w:rPr>
      </w:r>
    </w:p>
    <w:p>
      <w:pPr>
        <w:spacing w:line="240" w:lineRule="auto" w:before="7"/>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1697"/>
        <w:gridCol w:w="2269"/>
        <w:gridCol w:w="2268"/>
        <w:gridCol w:w="1275"/>
        <w:gridCol w:w="1418"/>
      </w:tblGrid>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实际控制人名称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身份证号码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在本公司任职情况</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r>
      <w:tr>
        <w:trPr>
          <w:trHeight w:val="40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吴志雄</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
              <w:jc w:val="center"/>
              <w:rPr>
                <w:rFonts w:ascii="Times New Roman" w:hAnsi="Times New Roman" w:cs="Times New Roman" w:eastAsia="Times New Roman" w:hint="default"/>
                <w:sz w:val="21"/>
                <w:szCs w:val="21"/>
              </w:rPr>
            </w:pPr>
            <w:r>
              <w:rPr>
                <w:rFonts w:ascii="Times New Roman"/>
                <w:sz w:val="21"/>
              </w:rPr>
              <w:t>3505************1X</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93" w:right="0"/>
              <w:jc w:val="left"/>
              <w:rPr>
                <w:rFonts w:ascii="Times New Roman" w:hAnsi="Times New Roman" w:cs="Times New Roman" w:eastAsia="Times New Roman" w:hint="default"/>
                <w:sz w:val="21"/>
                <w:szCs w:val="21"/>
              </w:rPr>
            </w:pPr>
            <w:r>
              <w:rPr>
                <w:rFonts w:ascii="Times New Roman"/>
                <w:sz w:val="21"/>
              </w:rPr>
              <w:t>57.50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68" w:right="0"/>
              <w:jc w:val="left"/>
              <w:rPr>
                <w:rFonts w:ascii="Times New Roman" w:hAnsi="Times New Roman" w:cs="Times New Roman" w:eastAsia="Times New Roman" w:hint="default"/>
                <w:sz w:val="21"/>
                <w:szCs w:val="21"/>
              </w:rPr>
            </w:pPr>
            <w:r>
              <w:rPr>
                <w:rFonts w:ascii="Times New Roman"/>
                <w:sz w:val="21"/>
              </w:rPr>
              <w:t>57.50</w:t>
            </w:r>
          </w:p>
        </w:tc>
      </w:tr>
    </w:tbl>
    <w:p>
      <w:pPr>
        <w:pStyle w:val="BodyText"/>
        <w:spacing w:line="241" w:lineRule="exact"/>
        <w:ind w:left="238" w:right="2895"/>
        <w:jc w:val="left"/>
      </w:pPr>
      <w:r>
        <w:rPr/>
        <w:t>本企业最终控制方是吴志雄先生。</w:t>
      </w:r>
    </w:p>
    <w:p>
      <w:pPr>
        <w:spacing w:line="240" w:lineRule="auto" w:before="3"/>
        <w:rPr>
          <w:rFonts w:ascii="宋体" w:hAnsi="宋体" w:cs="宋体" w:eastAsia="宋体" w:hint="default"/>
          <w:sz w:val="25"/>
          <w:szCs w:val="25"/>
        </w:rPr>
      </w:pPr>
    </w:p>
    <w:p>
      <w:pPr>
        <w:spacing w:line="290" w:lineRule="auto" w:before="0"/>
        <w:ind w:left="238" w:right="333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本企业子公司的情况详见“九、其他主体中的权益附注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12"/>
        <w:rPr>
          <w:rFonts w:ascii="宋体" w:hAnsi="宋体" w:cs="宋体" w:eastAsia="宋体" w:hint="default"/>
          <w:sz w:val="17"/>
          <w:szCs w:val="17"/>
        </w:rPr>
      </w:pPr>
    </w:p>
    <w:p>
      <w:pPr>
        <w:pStyle w:val="Heading2"/>
        <w:spacing w:line="240" w:lineRule="auto"/>
        <w:ind w:left="238" w:right="2895"/>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30" w:lineRule="auto" w:before="68"/>
        <w:ind w:left="238" w:right="0"/>
        <w:jc w:val="left"/>
      </w:pPr>
      <w:r>
        <w:rPr/>
        <w:t>本企业重要的合营或联营企业详见附注“九、其他主体中的权益附注</w:t>
      </w:r>
      <w:r>
        <w:rPr>
          <w:spacing w:val="-54"/>
        </w:rPr>
        <w:t> </w:t>
      </w:r>
      <w:r>
        <w:rPr>
          <w:rFonts w:ascii="Times New Roman" w:hAnsi="Times New Roman" w:cs="Times New Roman" w:eastAsia="Times New Roman" w:hint="default"/>
        </w:rPr>
        <w:t>3</w:t>
      </w:r>
      <w:r>
        <w:rPr/>
        <w:t>”。</w:t>
      </w:r>
      <w:r>
        <w:rPr>
          <w:w w:val="100"/>
        </w:rPr>
        <w:t> </w:t>
      </w: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2" w:lineRule="exact"/>
        <w:ind w:left="238" w:right="2895"/>
        <w:jc w:val="left"/>
      </w:pPr>
      <w:r>
        <w:rPr/>
        <w:t>√适用</w:t>
      </w:r>
      <w:r>
        <w:rPr>
          <w:spacing w:val="-1"/>
        </w:rPr>
        <w:t> </w:t>
      </w:r>
      <w:r>
        <w:rPr/>
        <w:t>□不适用</w:t>
      </w:r>
    </w:p>
    <w:p>
      <w:pPr>
        <w:spacing w:after="0" w:line="272" w:lineRule="exact"/>
        <w:jc w:val="left"/>
        <w:sectPr>
          <w:pgSz w:w="11910" w:h="16840"/>
          <w:pgMar w:header="882" w:footer="974" w:top="1120" w:bottom="1160" w:left="15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6"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参股公司</w:t>
            </w: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40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6"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40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福建新丝路酒店有限公司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40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泉州微软技术中心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40" w:lineRule="auto" w:before="36"/>
        <w:ind w:left="218" w:right="0"/>
        <w:jc w:val="both"/>
      </w:pPr>
      <w:r>
        <w:rPr/>
        <w:t>其他说明</w:t>
      </w:r>
    </w:p>
    <w:p>
      <w:pPr>
        <w:pStyle w:val="BodyText"/>
        <w:spacing w:line="240" w:lineRule="auto" w:before="87"/>
        <w:ind w:left="638" w:right="227"/>
        <w:jc w:val="left"/>
      </w:pPr>
      <w:r>
        <w:rPr/>
        <w:t>（</w:t>
      </w:r>
      <w:r>
        <w:rPr>
          <w:rFonts w:ascii="Times New Roman" w:hAnsi="Times New Roman" w:cs="Times New Roman" w:eastAsia="Times New Roman" w:hint="default"/>
        </w:rPr>
        <w:t>1</w:t>
      </w:r>
      <w:r>
        <w:rPr/>
        <w:t>）公司的其他关联方</w:t>
      </w:r>
    </w:p>
    <w:p>
      <w:pPr>
        <w:pStyle w:val="BodyText"/>
        <w:spacing w:line="302" w:lineRule="auto" w:before="69"/>
        <w:ind w:left="218" w:right="228" w:firstLine="419"/>
        <w:jc w:val="both"/>
      </w:pPr>
      <w:r>
        <w:rPr>
          <w:spacing w:val="-3"/>
        </w:rPr>
        <w:t>福建新微科技有限公司，法定代表人为吴志雄，注册资本为 </w:t>
      </w:r>
      <w:r>
        <w:rPr>
          <w:rFonts w:ascii="Times New Roman" w:hAnsi="Times New Roman" w:cs="Times New Roman" w:eastAsia="Times New Roman" w:hint="default"/>
        </w:rPr>
        <w:t>15,000</w:t>
      </w:r>
      <w:r>
        <w:rPr>
          <w:rFonts w:ascii="Times New Roman" w:hAnsi="Times New Roman" w:cs="Times New Roman" w:eastAsia="Times New Roman" w:hint="default"/>
          <w:spacing w:val="-3"/>
        </w:rPr>
        <w:t> </w:t>
      </w:r>
      <w:r>
        <w:rPr>
          <w:spacing w:val="-3"/>
        </w:rPr>
        <w:t>万人民币，系万石控股集</w:t>
      </w:r>
      <w:r>
        <w:rPr>
          <w:w w:val="100"/>
        </w:rPr>
        <w:t> </w:t>
      </w:r>
      <w:r>
        <w:rPr>
          <w:spacing w:val="-2"/>
        </w:rPr>
        <w:t>团有限公司全资子公司（吴志雄先生持有万石控股集团有限公司</w:t>
      </w:r>
      <w:r>
        <w:rPr/>
        <w:t> </w:t>
      </w:r>
      <w:r>
        <w:rPr>
          <w:rFonts w:ascii="Times New Roman" w:hAnsi="Times New Roman" w:cs="Times New Roman" w:eastAsia="Times New Roman" w:hint="default"/>
          <w:spacing w:val="-2"/>
        </w:rPr>
        <w:t>95%</w:t>
      </w:r>
      <w:r>
        <w:rPr>
          <w:spacing w:val="-2"/>
        </w:rPr>
        <w:t>的股份），注册地址为福建</w:t>
      </w:r>
      <w:r>
        <w:rPr>
          <w:spacing w:val="-86"/>
        </w:rPr>
        <w:t> </w:t>
      </w:r>
      <w:r>
        <w:rPr>
          <w:spacing w:val="-86"/>
        </w:rPr>
      </w:r>
      <w:r>
        <w:rPr/>
        <w:t>省泉州市丰泽区丰海路南威大厦</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号楼</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spacing w:val="-6"/>
        </w:rPr>
        <w:t>层，经营范围为“光电产品的研究、开发、销售；新型</w:t>
      </w:r>
      <w:r>
        <w:rPr>
          <w:spacing w:val="-102"/>
        </w:rPr>
        <w:t> </w:t>
      </w:r>
      <w:r>
        <w:rPr>
          <w:spacing w:val="-102"/>
        </w:rPr>
      </w:r>
      <w:r>
        <w:rPr>
          <w:spacing w:val="-1"/>
        </w:rPr>
        <w:t>环保建材的研究、开发、销售：物业管理；房屋租赁等”。福建新微科技有限公司与本公司属同</w:t>
      </w:r>
      <w:r>
        <w:rPr>
          <w:spacing w:val="-55"/>
        </w:rPr>
        <w:t> </w:t>
      </w:r>
      <w:r>
        <w:rPr>
          <w:spacing w:val="-55"/>
        </w:rPr>
      </w:r>
      <w:r>
        <w:rPr/>
        <w:t>一股东吴志雄先生控制，为本公司的关联法人。</w:t>
      </w:r>
    </w:p>
    <w:p>
      <w:pPr>
        <w:pStyle w:val="BodyText"/>
        <w:spacing w:line="240" w:lineRule="auto" w:before="30"/>
        <w:ind w:left="638" w:right="0"/>
        <w:jc w:val="left"/>
      </w:pPr>
      <w:r>
        <w:rPr/>
        <w:t>福建新丝路酒店有限公司，法定代表人为吴来法，注册资本为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万元，系万石控股集团</w:t>
      </w:r>
    </w:p>
    <w:p>
      <w:pPr>
        <w:pStyle w:val="BodyText"/>
        <w:spacing w:line="297" w:lineRule="auto" w:before="69"/>
        <w:ind w:left="218" w:right="227"/>
        <w:jc w:val="both"/>
      </w:pPr>
      <w:r>
        <w:rPr/>
        <w:t>有限公司全资子公司。公司注册地址为福建省泉州市丰泽区丰海路南威大厦</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号楼</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楼，经营范</w:t>
      </w:r>
      <w:r>
        <w:rPr>
          <w:w w:val="100"/>
        </w:rPr>
        <w:t> </w:t>
      </w:r>
      <w:r>
        <w:rPr>
          <w:spacing w:val="-1"/>
        </w:rPr>
        <w:t>围为</w:t>
      </w:r>
      <w:r>
        <w:rPr>
          <w:rFonts w:ascii="Times New Roman" w:hAnsi="Times New Roman" w:cs="Times New Roman" w:eastAsia="Times New Roman" w:hint="default"/>
          <w:spacing w:val="-1"/>
        </w:rPr>
        <w:t>“</w:t>
      </w:r>
      <w:r>
        <w:rPr>
          <w:spacing w:val="-1"/>
        </w:rPr>
        <w:t>住宿、餐饮；会务会展服务；商务信息咨询；物业管理</w:t>
      </w:r>
      <w:r>
        <w:rPr>
          <w:rFonts w:ascii="Times New Roman" w:hAnsi="Times New Roman" w:cs="Times New Roman" w:eastAsia="Times New Roman" w:hint="default"/>
          <w:spacing w:val="-1"/>
        </w:rPr>
        <w:t>”</w:t>
      </w:r>
      <w:r>
        <w:rPr>
          <w:spacing w:val="-1"/>
        </w:rPr>
        <w:t>。福建新丝路酒店有限公司与本公</w:t>
      </w:r>
      <w:r>
        <w:rPr>
          <w:spacing w:val="-27"/>
        </w:rPr>
        <w:t> </w:t>
      </w:r>
      <w:r>
        <w:rPr>
          <w:spacing w:val="-27"/>
        </w:rPr>
      </w:r>
      <w:r>
        <w:rPr/>
        <w:t>司属同一股东吴志雄先生控制，为本公司的关联法人。</w:t>
      </w:r>
    </w:p>
    <w:p>
      <w:pPr>
        <w:pStyle w:val="BodyText"/>
        <w:spacing w:line="297" w:lineRule="auto" w:before="34"/>
        <w:ind w:left="638" w:right="224"/>
        <w:jc w:val="left"/>
      </w:pPr>
      <w:r>
        <w:rPr/>
        <w:t>（</w:t>
      </w:r>
      <w:r>
        <w:rPr>
          <w:rFonts w:ascii="Times New Roman" w:hAnsi="Times New Roman" w:cs="Times New Roman" w:eastAsia="Times New Roman" w:hint="default"/>
        </w:rPr>
        <w:t>2</w:t>
      </w:r>
      <w:r>
        <w:rPr/>
        <w:t>）公司不具有收益权但实际承担其运营的特殊目的的主体情况</w:t>
      </w:r>
      <w:r>
        <w:rPr>
          <w:w w:val="100"/>
        </w:rPr>
        <w:t> </w:t>
      </w:r>
      <w:r>
        <w:rPr/>
        <w:t>泉州微软技术中心，法定代表人为张鹏程，注册资本为</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万人民币，注册地址为福建省泉</w:t>
      </w:r>
    </w:p>
    <w:p>
      <w:pPr>
        <w:pStyle w:val="BodyText"/>
        <w:spacing w:line="297" w:lineRule="auto" w:before="13"/>
        <w:ind w:left="218" w:right="227"/>
        <w:jc w:val="left"/>
      </w:pPr>
      <w:r>
        <w:rPr/>
        <w:t>州市丰泽区丰海路南威大厦</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号楼</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spacing w:val="-6"/>
        </w:rPr>
        <w:t>层，经营范围为“教育与培训、咨询服务、行业解决方案与</w:t>
      </w:r>
      <w:r>
        <w:rPr>
          <w:spacing w:val="-100"/>
        </w:rPr>
        <w:t> </w:t>
      </w:r>
      <w:r>
        <w:rPr>
          <w:spacing w:val="-100"/>
        </w:rPr>
      </w:r>
      <w:r>
        <w:rPr/>
        <w:t>应用平台的开发推广；软件的测试与体验；开拓软件外包市场。”</w:t>
      </w:r>
    </w:p>
    <w:p>
      <w:pPr>
        <w:pStyle w:val="BodyText"/>
        <w:spacing w:line="304" w:lineRule="auto" w:before="34"/>
        <w:ind w:left="218" w:right="227" w:firstLine="419"/>
        <w:jc w:val="both"/>
        <w:rPr>
          <w:rFonts w:ascii="Times New Roman" w:hAnsi="Times New Roman" w:cs="Times New Roman" w:eastAsia="Times New Roman" w:hint="default"/>
        </w:rPr>
      </w:pPr>
      <w:r>
        <w:rPr/>
        <w:t>泉州微软技术中心于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spacing w:val="-6"/>
        </w:rPr>
        <w:t>日依据《微软（中国）有限公司、福建南威软件工程发展</w:t>
      </w:r>
      <w:r>
        <w:rPr>
          <w:w w:val="100"/>
        </w:rPr>
        <w:t> </w:t>
      </w:r>
      <w:r>
        <w:rPr>
          <w:spacing w:val="-7"/>
        </w:rPr>
        <w:t>有限公司关于组建“泉州微软技术中心”的合作协议》成立，于泉州民政局注册，登记证号为“民</w:t>
      </w:r>
      <w:r>
        <w:rPr>
          <w:spacing w:val="-12"/>
        </w:rPr>
        <w:t> </w:t>
      </w:r>
      <w:r>
        <w:rPr>
          <w:spacing w:val="-12"/>
        </w:rPr>
      </w:r>
      <w:r>
        <w:rPr/>
        <w:t>证字第</w:t>
      </w:r>
      <w:r>
        <w:rPr>
          <w:spacing w:val="-40"/>
        </w:rPr>
        <w:t> </w:t>
      </w:r>
      <w:r>
        <w:rPr>
          <w:rFonts w:ascii="Times New Roman" w:hAnsi="Times New Roman" w:cs="Times New Roman" w:eastAsia="Times New Roman" w:hint="default"/>
        </w:rPr>
        <w:t>350500040006</w:t>
      </w:r>
      <w:r>
        <w:rPr>
          <w:rFonts w:ascii="Times New Roman" w:hAnsi="Times New Roman" w:cs="Times New Roman" w:eastAsia="Times New Roman" w:hint="default"/>
          <w:spacing w:val="13"/>
        </w:rPr>
        <w:t> </w:t>
      </w:r>
      <w:r>
        <w:rPr>
          <w:spacing w:val="-4"/>
        </w:rPr>
        <w:t>号”，注册时资本为</w:t>
      </w:r>
      <w:r>
        <w:rPr>
          <w:spacing w:val="-40"/>
        </w:rPr>
        <w:t> </w:t>
      </w:r>
      <w:r>
        <w:rPr>
          <w:rFonts w:ascii="Times New Roman" w:hAnsi="Times New Roman" w:cs="Times New Roman" w:eastAsia="Times New Roman" w:hint="default"/>
        </w:rPr>
        <w:t>100</w:t>
      </w:r>
      <w:r>
        <w:rPr>
          <w:rFonts w:ascii="Times New Roman" w:hAnsi="Times New Roman" w:cs="Times New Roman" w:eastAsia="Times New Roman" w:hint="default"/>
          <w:spacing w:val="13"/>
        </w:rPr>
        <w:t> </w:t>
      </w:r>
      <w:r>
        <w:rPr>
          <w:spacing w:val="-6"/>
        </w:rPr>
        <w:t>万元，举办者为公司。根据《微软（中国）有限公</w:t>
      </w:r>
      <w:r>
        <w:rPr>
          <w:spacing w:val="-98"/>
        </w:rPr>
        <w:t> </w:t>
      </w:r>
      <w:r>
        <w:rPr>
          <w:spacing w:val="-98"/>
        </w:rPr>
      </w:r>
      <w:r>
        <w:rPr>
          <w:spacing w:val="-1"/>
        </w:rPr>
        <w:t>司、福建南威软件工程发展有限公司关于组建</w:t>
      </w:r>
      <w:r>
        <w:rPr>
          <w:rFonts w:ascii="Times New Roman" w:hAnsi="Times New Roman" w:cs="Times New Roman" w:eastAsia="Times New Roman" w:hint="default"/>
          <w:spacing w:val="-1"/>
        </w:rPr>
        <w:t>“</w:t>
      </w:r>
      <w:r>
        <w:rPr>
          <w:spacing w:val="-1"/>
        </w:rPr>
        <w:t>泉州微软技术中心</w:t>
      </w:r>
      <w:r>
        <w:rPr>
          <w:rFonts w:ascii="Times New Roman" w:hAnsi="Times New Roman" w:cs="Times New Roman" w:eastAsia="Times New Roman" w:hint="default"/>
          <w:spacing w:val="-1"/>
        </w:rPr>
        <w:t>”</w:t>
      </w:r>
      <w:r>
        <w:rPr>
          <w:spacing w:val="-1"/>
        </w:rPr>
        <w:t>的合作协议》，微软（中国）</w:t>
      </w:r>
      <w:r>
        <w:rPr>
          <w:spacing w:val="-26"/>
        </w:rPr>
        <w:t> </w:t>
      </w:r>
      <w:r>
        <w:rPr>
          <w:spacing w:val="-26"/>
        </w:rPr>
      </w:r>
      <w:r>
        <w:rPr/>
        <w:t>有限公司对泉州微软技术中心可在一定条件下提前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天通知合作双方终止使用或变更“泉州微</w:t>
      </w:r>
      <w:r>
        <w:rPr>
          <w:w w:val="100"/>
        </w:rPr>
        <w:t> </w:t>
      </w:r>
      <w:r>
        <w:rPr>
          <w:spacing w:val="-1"/>
        </w:rPr>
        <w:t>软技术中心”这一名称。泉州微软技术中心的设立的宗旨是通过整合国内外先进资源，搭建技术</w:t>
      </w:r>
      <w:r>
        <w:rPr>
          <w:spacing w:val="-56"/>
        </w:rPr>
        <w:t> </w:t>
      </w:r>
      <w:r>
        <w:rPr>
          <w:spacing w:val="-56"/>
        </w:rPr>
      </w:r>
      <w:r>
        <w:rPr>
          <w:spacing w:val="-1"/>
        </w:rPr>
        <w:t>传递、技术交流、技术人才培养的平台，促进福建省、泉州市信息化的健康发展；同时，借助微</w:t>
      </w:r>
      <w:r>
        <w:rPr>
          <w:spacing w:val="-55"/>
        </w:rPr>
        <w:t> </w:t>
      </w:r>
      <w:r>
        <w:rPr>
          <w:spacing w:val="-55"/>
        </w:rPr>
      </w:r>
      <w:r>
        <w:rPr/>
        <w:t>软全球的运作经验，为福建省和泉州市信息化建设在战略层面上提供技术支持。截止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40" w:lineRule="auto" w:before="6"/>
        <w:ind w:left="218" w:right="0"/>
        <w:jc w:val="both"/>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日，公司同泉州微软技术中心间不存在担保或抵押的情况。</w:t>
      </w:r>
    </w:p>
    <w:p>
      <w:pPr>
        <w:spacing w:line="240" w:lineRule="auto" w:before="8"/>
        <w:rPr>
          <w:rFonts w:ascii="宋体" w:hAnsi="宋体" w:cs="宋体" w:eastAsia="宋体" w:hint="default"/>
          <w:sz w:val="30"/>
          <w:szCs w:val="30"/>
        </w:rPr>
      </w:pPr>
    </w:p>
    <w:p>
      <w:pPr>
        <w:pStyle w:val="Heading2"/>
        <w:spacing w:line="240" w:lineRule="auto"/>
        <w:ind w:right="0"/>
        <w:jc w:val="both"/>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2"/>
        <w:spacing w:line="240" w:lineRule="auto" w:before="56"/>
        <w:ind w:right="0"/>
        <w:jc w:val="both"/>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7"/>
        <w:ind w:left="218" w:right="5890"/>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after="0" w:line="272" w:lineRule="exact"/>
        <w:jc w:val="left"/>
        <w:sectPr>
          <w:pgSz w:w="11910" w:h="16840"/>
          <w:pgMar w:header="882" w:footer="974" w:top="1120" w:bottom="116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13"/>
        <w:gridCol w:w="1855"/>
        <w:gridCol w:w="2170"/>
        <w:gridCol w:w="2158"/>
      </w:tblGrid>
      <w:tr>
        <w:trPr>
          <w:trHeight w:val="305"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9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货物采购</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68,376.06</w:t>
            </w:r>
          </w:p>
        </w:tc>
      </w:tr>
      <w:tr>
        <w:trPr>
          <w:trHeight w:val="28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物业管理服务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1,356,430.72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5"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1,356,430.72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68,376.06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580" w:right="1040"/>
        </w:sectPr>
      </w:pPr>
    </w:p>
    <w:p>
      <w:pPr>
        <w:pStyle w:val="Heading2"/>
        <w:spacing w:line="240" w:lineRule="auto" w:before="36"/>
        <w:ind w:right="-10"/>
        <w:jc w:val="left"/>
        <w:rPr>
          <w:b w:val="0"/>
          <w:bCs w:val="0"/>
        </w:rPr>
      </w:pPr>
      <w:r>
        <w:rPr>
          <w:rFonts w:ascii="宋体" w:hAnsi="宋体" w:cs="宋体" w:eastAsia="宋体" w:hint="default"/>
        </w:rPr>
        <w:t>(2).</w:t>
      </w:r>
      <w:r>
        <w:rPr>
          <w:rFonts w:ascii="宋体" w:hAnsi="宋体" w:cs="宋体" w:eastAsia="宋体" w:hint="default"/>
          <w:spacing w:val="89"/>
        </w:rPr>
        <w:t> </w:t>
      </w:r>
      <w:r>
        <w:rPr/>
        <w:t>关联租赁情况</w:t>
      </w:r>
      <w:r>
        <w:rPr>
          <w:b w:val="0"/>
          <w:bCs w:val="0"/>
        </w:rPr>
      </w:r>
    </w:p>
    <w:p>
      <w:pPr>
        <w:pStyle w:val="BodyText"/>
        <w:spacing w:line="240" w:lineRule="auto" w:before="56"/>
        <w:ind w:left="21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2112" w:space="4621"/>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83"/>
        <w:gridCol w:w="1476"/>
        <w:gridCol w:w="2463"/>
        <w:gridCol w:w="2674"/>
      </w:tblGrid>
      <w:tr>
        <w:trPr>
          <w:trHeight w:val="34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9"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53,878.00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24,490.00</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泉州微软技术中心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739,105.25</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792,983.25</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(3).</w:t>
      </w:r>
      <w:r>
        <w:rPr>
          <w:rFonts w:ascii="宋体" w:hAnsi="宋体" w:cs="宋体" w:eastAsia="宋体" w:hint="default"/>
          <w:spacing w:val="89"/>
        </w:rPr>
        <w:t> </w:t>
      </w:r>
      <w:r>
        <w:rPr/>
        <w:t>关联担保情况</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3"/>
          <w:szCs w:val="23"/>
        </w:rPr>
      </w:pPr>
    </w:p>
    <w:p>
      <w:pPr>
        <w:pStyle w:val="Heading2"/>
        <w:spacing w:line="240" w:lineRule="auto"/>
        <w:ind w:right="227"/>
        <w:jc w:val="left"/>
        <w:rPr>
          <w:b w:val="0"/>
          <w:bCs w:val="0"/>
        </w:rPr>
      </w:pPr>
      <w:r>
        <w:rPr>
          <w:rFonts w:ascii="宋体" w:hAnsi="宋体" w:cs="宋体" w:eastAsia="宋体" w:hint="default"/>
        </w:rPr>
        <w:t>(4).</w:t>
      </w:r>
      <w:r>
        <w:rPr>
          <w:rFonts w:ascii="宋体" w:hAnsi="宋体" w:cs="宋体" w:eastAsia="宋体" w:hint="default"/>
          <w:spacing w:val="89"/>
        </w:rPr>
        <w:t> </w:t>
      </w:r>
      <w:r>
        <w:rPr/>
        <w:t>关联方资金拆借</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(5).</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580" w:right="1040"/>
        </w:sectPr>
      </w:pPr>
    </w:p>
    <w:p>
      <w:pPr>
        <w:pStyle w:val="Heading2"/>
        <w:spacing w:line="240" w:lineRule="auto" w:before="36"/>
        <w:ind w:right="-19"/>
        <w:jc w:val="left"/>
        <w:rPr>
          <w:b w:val="0"/>
          <w:bCs w:val="0"/>
        </w:rPr>
      </w:pPr>
      <w:r>
        <w:rPr>
          <w:rFonts w:ascii="宋体" w:hAnsi="宋体" w:cs="宋体" w:eastAsia="宋体" w:hint="default"/>
        </w:rPr>
        <w:t>(6).</w:t>
      </w:r>
      <w:r>
        <w:rPr>
          <w:rFonts w:ascii="宋体" w:hAnsi="宋体" w:cs="宋体" w:eastAsia="宋体" w:hint="default"/>
          <w:spacing w:val="89"/>
        </w:rPr>
        <w:t> </w:t>
      </w:r>
      <w:r>
        <w:rPr/>
        <w:t>关键管理人员报酬</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2525" w:space="420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406"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2,577,569.12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2,302,545.50</w:t>
            </w:r>
          </w:p>
        </w:tc>
      </w:tr>
    </w:tbl>
    <w:p>
      <w:pPr>
        <w:spacing w:line="240" w:lineRule="auto" w:before="2"/>
        <w:rPr>
          <w:rFonts w:ascii="宋体" w:hAnsi="宋体" w:cs="宋体" w:eastAsia="宋体" w:hint="default"/>
          <w:sz w:val="20"/>
          <w:szCs w:val="20"/>
        </w:rPr>
      </w:pPr>
    </w:p>
    <w:p>
      <w:pPr>
        <w:pStyle w:val="Heading2"/>
        <w:spacing w:line="290" w:lineRule="auto" w:before="36"/>
        <w:ind w:right="7165"/>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89"/>
        </w:rPr>
        <w:t> </w:t>
      </w:r>
      <w:r>
        <w:rPr/>
        <w:t>其他关联交易</w:t>
      </w:r>
      <w:r>
        <w:rPr>
          <w:w w:val="100"/>
        </w:rPr>
        <w:t> </w:t>
      </w:r>
      <w:r>
        <w:rPr>
          <w:rFonts w:ascii="宋体" w:hAnsi="宋体" w:cs="宋体" w:eastAsia="宋体" w:hint="default"/>
          <w:b w:val="0"/>
          <w:bCs w:val="0"/>
        </w:rPr>
        <w:t>无</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580" w:right="1040"/>
        </w:sectPr>
      </w:pPr>
    </w:p>
    <w:p>
      <w:pPr>
        <w:pStyle w:val="Heading2"/>
        <w:spacing w:line="24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8"/>
        <w:ind w:left="21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18" w:right="0"/>
        <w:jc w:val="left"/>
      </w:pPr>
      <w:r>
        <w:rPr/>
        <w:t>单位</w:t>
      </w:r>
      <w:r>
        <w:rPr>
          <w:rFonts w:ascii="宋体" w:hAnsi="宋体" w:cs="宋体" w:eastAsia="宋体" w:hint="default"/>
        </w:rPr>
        <w:t>:</w:t>
      </w:r>
      <w:r>
        <w:rPr/>
        <w:t>元币种</w:t>
      </w:r>
      <w:r>
        <w:rPr>
          <w:rFonts w:ascii="宋体" w:hAnsi="宋体" w:cs="宋体" w:eastAsia="宋体" w:hint="default"/>
        </w:rPr>
        <w:t>:</w:t>
      </w:r>
      <w:r>
        <w:rPr/>
        <w:t>人民币</w:t>
      </w:r>
    </w:p>
    <w:p>
      <w:pPr>
        <w:spacing w:after="0" w:line="240" w:lineRule="auto"/>
        <w:jc w:val="left"/>
        <w:sectPr>
          <w:type w:val="continuous"/>
          <w:pgSz w:w="11910" w:h="16840"/>
          <w:pgMar w:top="1120" w:bottom="1160" w:left="1580" w:right="1040"/>
          <w:cols w:num="2" w:equalWidth="0">
            <w:col w:w="2544" w:space="4398"/>
            <w:col w:w="234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82"/>
        <w:gridCol w:w="2285"/>
        <w:gridCol w:w="1433"/>
        <w:gridCol w:w="1426"/>
        <w:gridCol w:w="1289"/>
        <w:gridCol w:w="1181"/>
      </w:tblGrid>
      <w:tr>
        <w:trPr>
          <w:trHeight w:val="350"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74"/>
              <w:ind w:left="21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285"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1282" w:type="dxa"/>
            <w:vMerge/>
            <w:tcBorders>
              <w:left w:val="single" w:sz="4" w:space="0" w:color="000000"/>
              <w:bottom w:val="single" w:sz="4" w:space="0" w:color="000000"/>
              <w:right w:val="single" w:sz="4" w:space="0" w:color="000000"/>
            </w:tcBorders>
          </w:tcPr>
          <w:p>
            <w:pPr/>
          </w:p>
        </w:tc>
        <w:tc>
          <w:tcPr>
            <w:tcW w:w="2285"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8"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24,490.00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z w:val="21"/>
              </w:rPr>
              <w:t>734.70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82"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24,490.00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Times New Roman" w:hAnsi="Times New Roman" w:cs="Times New Roman" w:eastAsia="Times New Roman" w:hint="default"/>
                <w:sz w:val="21"/>
                <w:szCs w:val="21"/>
              </w:rPr>
            </w:pPr>
            <w:r>
              <w:rPr>
                <w:rFonts w:ascii="Times New Roman"/>
                <w:sz w:val="21"/>
              </w:rPr>
              <w:t>734.70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right="227"/>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spacing w:line="240" w:lineRule="auto" w:before="56"/>
        <w:ind w:left="0" w:right="230"/>
        <w:jc w:val="right"/>
      </w:pPr>
      <w:r>
        <w:rPr>
          <w:spacing w:val="-1"/>
        </w:rPr>
        <w:t>单位</w:t>
      </w:r>
      <w:r>
        <w:rPr>
          <w:rFonts w:ascii="宋体" w:hAnsi="宋体" w:cs="宋体" w:eastAsia="宋体" w:hint="default"/>
          <w:spacing w:val="-1"/>
        </w:rPr>
        <w:t>:</w:t>
      </w:r>
      <w:r>
        <w:rPr>
          <w:spacing w:val="-1"/>
        </w:rPr>
        <w:t>元币种</w:t>
      </w:r>
      <w:r>
        <w:rPr>
          <w:rFonts w:ascii="宋体" w:hAnsi="宋体" w:cs="宋体" w:eastAsia="宋体" w:hint="default"/>
          <w:spacing w:val="-1"/>
        </w:rPr>
        <w:t>:</w:t>
      </w:r>
      <w:r>
        <w:rPr>
          <w:spacing w:val="-1"/>
        </w:rPr>
        <w:t>人民币</w:t>
      </w:r>
    </w:p>
    <w:p>
      <w:pPr>
        <w:spacing w:after="0" w:line="240" w:lineRule="auto"/>
        <w:jc w:val="right"/>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727"/>
        <w:gridCol w:w="1858"/>
        <w:gridCol w:w="218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4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5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南京伍安信息科技有限公司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68,376.06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68,376.06</w:t>
            </w: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福建新微科技有限公司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14,694.00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14,694.00</w:t>
            </w:r>
          </w:p>
        </w:tc>
      </w:tr>
      <w:tr>
        <w:trPr>
          <w:trHeight w:val="3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泉州微软技术中心</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625,396.75</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708,466.81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83,070.06</w:t>
            </w:r>
          </w:p>
        </w:tc>
      </w:tr>
    </w:tbl>
    <w:p>
      <w:pPr>
        <w:spacing w:line="240" w:lineRule="auto" w:before="2"/>
        <w:rPr>
          <w:rFonts w:ascii="宋体" w:hAnsi="宋体" w:cs="宋体" w:eastAsia="宋体" w:hint="default"/>
          <w:sz w:val="20"/>
          <w:szCs w:val="20"/>
        </w:rPr>
      </w:pPr>
    </w:p>
    <w:p>
      <w:pPr>
        <w:pStyle w:val="Heading2"/>
        <w:spacing w:line="290" w:lineRule="auto" w:before="36"/>
        <w:ind w:left="138" w:right="7488"/>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关联方承诺</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spacing w:line="292" w:lineRule="auto" w:before="0"/>
        <w:ind w:left="138" w:right="8123"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9"/>
        <w:rPr>
          <w:rFonts w:ascii="宋体" w:hAnsi="宋体" w:cs="宋体" w:eastAsia="宋体" w:hint="default"/>
          <w:sz w:val="21"/>
          <w:szCs w:val="21"/>
        </w:rPr>
      </w:pPr>
    </w:p>
    <w:p>
      <w:pPr>
        <w:pStyle w:val="Heading2"/>
        <w:tabs>
          <w:tab w:pos="977" w:val="left" w:leader="none"/>
        </w:tabs>
        <w:spacing w:line="240" w:lineRule="auto"/>
        <w:ind w:left="138" w:right="0"/>
        <w:jc w:val="left"/>
        <w:rPr>
          <w:b w:val="0"/>
          <w:bCs w:val="0"/>
        </w:rPr>
      </w:pPr>
      <w:r>
        <w:rPr/>
        <w:t>十三、</w:t>
        <w:tab/>
        <w:t>股份支付</w:t>
      </w:r>
      <w:r>
        <w:rPr>
          <w:b w:val="0"/>
          <w:bCs w:val="0"/>
        </w:rPr>
      </w:r>
    </w:p>
    <w:p>
      <w:pPr>
        <w:pStyle w:val="Heading2"/>
        <w:spacing w:line="240" w:lineRule="auto" w:before="56"/>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2"/>
        <w:spacing w:line="290" w:lineRule="auto"/>
        <w:ind w:left="138" w:right="6016"/>
        <w:jc w:val="left"/>
        <w:rPr>
          <w:rFonts w:ascii="宋体" w:hAnsi="宋体" w:cs="宋体" w:eastAsia="宋体" w:hint="default"/>
          <w:b w:val="0"/>
          <w:bCs w:val="0"/>
        </w:rPr>
      </w:pPr>
      <w:r>
        <w:rPr>
          <w:rFonts w:ascii="宋体" w:hAnsi="宋体" w:cs="宋体" w:eastAsia="宋体" w:hint="default"/>
        </w:rPr>
        <w:t>4</w:t>
      </w:r>
      <w:r>
        <w:rPr/>
        <w:t>、 股份支付的修改、终止情况</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ind w:left="138" w:right="8122"/>
        <w:jc w:val="left"/>
        <w:rPr>
          <w:rFonts w:ascii="宋体" w:hAnsi="宋体" w:cs="宋体" w:eastAsia="宋体" w:hint="default"/>
          <w:b w:val="0"/>
          <w:bCs w:val="0"/>
        </w:rPr>
      </w:pPr>
      <w:r>
        <w:rPr>
          <w:rFonts w:ascii="宋体" w:hAnsi="宋体" w:cs="宋体" w:eastAsia="宋体" w:hint="default"/>
        </w:rPr>
        <w:t>5</w:t>
      </w:r>
      <w:r>
        <w:rPr/>
        <w:t>、</w:t>
      </w:r>
      <w:r>
        <w:rPr>
          <w:spacing w:val="2"/>
        </w:rPr>
        <w:t> </w:t>
      </w:r>
      <w:r>
        <w:rPr/>
        <w:t>其他</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tabs>
          <w:tab w:pos="977" w:val="left" w:leader="none"/>
        </w:tabs>
        <w:spacing w:line="290" w:lineRule="auto"/>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307" w:lineRule="auto" w:before="12"/>
        <w:ind w:right="3067"/>
        <w:jc w:val="left"/>
      </w:pPr>
      <w:r>
        <w:rPr/>
        <w:t>√适用</w:t>
      </w:r>
      <w:r>
        <w:rPr>
          <w:spacing w:val="-2"/>
        </w:rPr>
        <w:t> </w:t>
      </w:r>
      <w:r>
        <w:rPr/>
        <w:t>□不适用</w:t>
      </w:r>
      <w:r>
        <w:rPr>
          <w:w w:val="100"/>
        </w:rPr>
        <w:t> </w:t>
      </w:r>
      <w:r>
        <w:rPr>
          <w:spacing w:val="-2"/>
        </w:rPr>
        <w:t>资产负债表日存在的对外重要承诺、性质、金额</w:t>
      </w:r>
    </w:p>
    <w:p>
      <w:pPr>
        <w:pStyle w:val="BodyText"/>
        <w:spacing w:line="304" w:lineRule="auto" w:before="26"/>
        <w:ind w:right="148" w:firstLine="419"/>
        <w:jc w:val="both"/>
      </w:pPr>
      <w:r>
        <w:rPr/>
        <w:t>截至</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5"/>
        </w:rPr>
        <w:t>日，公司向福建省公安厅、成都市工商行政管理局、厦门经济特区房地</w:t>
      </w:r>
      <w:r>
        <w:rPr>
          <w:w w:val="100"/>
        </w:rPr>
        <w:t> </w:t>
      </w:r>
      <w:r>
        <w:rPr>
          <w:spacing w:val="-1"/>
        </w:rPr>
        <w:t>产开发集团有限公司、泉州市路桥建设开发有限公司、公安部科技信息代局、中共杭州市委办公</w:t>
      </w:r>
      <w:r>
        <w:rPr>
          <w:spacing w:val="-55"/>
        </w:rPr>
        <w:t> </w:t>
      </w:r>
      <w:r>
        <w:rPr>
          <w:spacing w:val="-55"/>
        </w:rPr>
      </w:r>
      <w:r>
        <w:rPr/>
        <w:t>厅网络中心、福州市城市地铁有限责任公司等</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家单位开具银行保函</w:t>
      </w:r>
      <w:r>
        <w:rPr>
          <w:spacing w:val="-54"/>
        </w:rPr>
        <w:t> </w:t>
      </w:r>
      <w:r>
        <w:rPr>
          <w:rFonts w:ascii="Times New Roman" w:hAnsi="Times New Roman" w:cs="Times New Roman" w:eastAsia="Times New Roman" w:hint="default"/>
        </w:rPr>
        <w:t>25,319,638.31</w:t>
      </w:r>
      <w:r>
        <w:rPr>
          <w:rFonts w:ascii="Times New Roman" w:hAnsi="Times New Roman" w:cs="Times New Roman" w:eastAsia="Times New Roman" w:hint="default"/>
          <w:spacing w:val="-3"/>
        </w:rPr>
        <w:t> </w:t>
      </w:r>
      <w:r>
        <w:rPr/>
        <w:t>元。</w:t>
      </w:r>
    </w:p>
    <w:p>
      <w:pPr>
        <w:pStyle w:val="BodyText"/>
        <w:spacing w:line="297" w:lineRule="auto" w:before="6"/>
        <w:ind w:right="147" w:firstLine="41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spacing w:val="-3"/>
        </w:rPr>
        <w:t>日，公司与中国光大银行股份有限公司泉州分行签定最高额抵押合同，以公</w:t>
      </w:r>
      <w:r>
        <w:rPr>
          <w:w w:val="100"/>
        </w:rPr>
        <w:t> </w:t>
      </w:r>
      <w:r>
        <w:rPr/>
        <w:t>司拥有的泉州丰泽区法石段沿海大通道北侧 </w:t>
      </w:r>
      <w:r>
        <w:rPr>
          <w:rFonts w:ascii="Times New Roman" w:hAnsi="Times New Roman" w:cs="Times New Roman" w:eastAsia="Times New Roman" w:hint="default"/>
        </w:rPr>
        <w:t>3,950.30M2 </w:t>
      </w:r>
      <w:r>
        <w:rPr/>
        <w:t>土地使用权及南威大厦</w:t>
      </w:r>
      <w:r>
        <w:rPr>
          <w:spacing w:val="-78"/>
        </w:rPr>
        <w:t> </w:t>
      </w:r>
      <w:r>
        <w:rPr>
          <w:rFonts w:ascii="Times New Roman" w:hAnsi="Times New Roman" w:cs="Times New Roman" w:eastAsia="Times New Roman" w:hint="default"/>
        </w:rPr>
        <w:t>2#</w:t>
      </w:r>
      <w:r>
        <w:rPr/>
        <w:t>楼（在建工程</w:t>
      </w:r>
      <w:r>
        <w:rPr>
          <w:w w:val="100"/>
        </w:rPr>
        <w:t> </w:t>
      </w:r>
      <w:r>
        <w:rPr>
          <w:spacing w:val="-8"/>
          <w:w w:val="100"/>
        </w:rPr>
        <w:t>转固定资产及投资性房地产）为</w:t>
      </w:r>
      <w:r>
        <w:rPr>
          <w:spacing w:val="-51"/>
          <w:w w:val="100"/>
        </w:rPr>
        <w:t> </w:t>
      </w:r>
      <w:r>
        <w:rPr>
          <w:rFonts w:ascii="Times New Roman" w:hAnsi="Times New Roman" w:cs="Times New Roman" w:eastAsia="Times New Roman" w:hint="default"/>
          <w:spacing w:val="-1"/>
          <w:w w:val="100"/>
        </w:rPr>
        <w:t>2014 </w:t>
      </w:r>
      <w:r>
        <w:rPr>
          <w:w w:val="100"/>
        </w:rPr>
        <w:t>年</w:t>
      </w:r>
      <w:r>
        <w:rPr>
          <w:spacing w:val="-5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spacing w:val="-2"/>
          <w:w w:val="100"/>
        </w:rPr>
        <w:t>11</w:t>
      </w:r>
      <w:r>
        <w:rPr>
          <w:rFonts w:ascii="Times New Roman" w:hAnsi="Times New Roman" w:cs="Times New Roman" w:eastAsia="Times New Roman" w:hint="default"/>
          <w:spacing w:val="2"/>
          <w:w w:val="100"/>
        </w:rPr>
        <w:t> </w:t>
      </w:r>
      <w:r>
        <w:rPr>
          <w:spacing w:val="-2"/>
          <w:w w:val="100"/>
        </w:rPr>
        <w:t>日公司与中国光大银行股份有限公司泉州分行签</w:t>
      </w:r>
      <w:r>
        <w:rPr>
          <w:w w:val="100"/>
        </w:rPr>
        <w:t> </w:t>
      </w:r>
      <w:r>
        <w:rPr/>
        <w:t>定的编号为</w:t>
      </w:r>
      <w:r>
        <w:rPr>
          <w:spacing w:val="-43"/>
        </w:rPr>
        <w:t> </w:t>
      </w:r>
      <w:r>
        <w:rPr>
          <w:rFonts w:ascii="Times New Roman" w:hAnsi="Times New Roman" w:cs="Times New Roman" w:eastAsia="Times New Roman" w:hint="default"/>
        </w:rPr>
        <w:t>QZMZ14038</w:t>
      </w:r>
      <w:r>
        <w:rPr>
          <w:rFonts w:ascii="Times New Roman" w:hAnsi="Times New Roman" w:cs="Times New Roman" w:eastAsia="Times New Roman" w:hint="default"/>
          <w:spacing w:val="8"/>
        </w:rPr>
        <w:t> </w:t>
      </w:r>
      <w:r>
        <w:rPr/>
        <w:t>号综合授信协议（最高授信额度人民币</w:t>
      </w:r>
      <w:r>
        <w:rPr>
          <w:spacing w:val="-43"/>
        </w:rPr>
        <w:t> </w:t>
      </w:r>
      <w:r>
        <w:rPr>
          <w:rFonts w:ascii="Times New Roman" w:hAnsi="Times New Roman" w:cs="Times New Roman" w:eastAsia="Times New Roman" w:hint="default"/>
        </w:rPr>
        <w:t>9,802.00</w:t>
      </w:r>
      <w:r>
        <w:rPr>
          <w:rFonts w:ascii="Times New Roman" w:hAnsi="Times New Roman" w:cs="Times New Roman" w:eastAsia="Times New Roman" w:hint="default"/>
          <w:spacing w:val="10"/>
        </w:rPr>
        <w:t> </w:t>
      </w:r>
      <w:r>
        <w:rPr/>
        <w:t>万元整，有效使用期限</w:t>
      </w:r>
      <w:r>
        <w:rPr>
          <w:w w:val="100"/>
        </w:rPr>
        <w:t> </w:t>
      </w:r>
      <w:r>
        <w:rPr/>
        <w:t>为</w:t>
      </w:r>
      <w:r>
        <w:rPr>
          <w:spacing w:val="-53"/>
        </w:rPr>
        <w:t> </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12 </w:t>
      </w:r>
      <w:r>
        <w:rPr/>
        <w:t>日至</w:t>
      </w:r>
      <w:r>
        <w:rPr>
          <w:spacing w:val="-52"/>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日）；同日，公司与中国光大银行股份有限公司泉州分</w:t>
      </w:r>
      <w:r>
        <w:rPr>
          <w:w w:val="100"/>
        </w:rPr>
        <w:t> </w:t>
      </w:r>
      <w:r>
        <w:rPr/>
        <w:t>行签定的编号</w:t>
      </w:r>
      <w:r>
        <w:rPr>
          <w:spacing w:val="-56"/>
        </w:rPr>
        <w:t> </w:t>
      </w:r>
      <w:r>
        <w:rPr>
          <w:rFonts w:ascii="Times New Roman" w:hAnsi="Times New Roman" w:cs="Times New Roman" w:eastAsia="Times New Roman" w:hint="default"/>
        </w:rPr>
        <w:t>QZEZ13032</w:t>
      </w:r>
      <w:r>
        <w:rPr>
          <w:rFonts w:ascii="Times New Roman" w:hAnsi="Times New Roman" w:cs="Times New Roman" w:eastAsia="Times New Roman" w:hint="default"/>
          <w:spacing w:val="-4"/>
        </w:rPr>
        <w:t> </w:t>
      </w:r>
      <w:r>
        <w:rPr/>
        <w:t>综合授信协议下的最高授信额度人民币</w:t>
      </w:r>
      <w:r>
        <w:rPr>
          <w:spacing w:val="-54"/>
        </w:rPr>
        <w:t> </w:t>
      </w:r>
      <w:r>
        <w:rPr>
          <w:rFonts w:ascii="Times New Roman" w:hAnsi="Times New Roman" w:cs="Times New Roman" w:eastAsia="Times New Roman" w:hint="default"/>
        </w:rPr>
        <w:t>12,500.00</w:t>
      </w:r>
      <w:r>
        <w:rPr>
          <w:rFonts w:ascii="Times New Roman" w:hAnsi="Times New Roman" w:cs="Times New Roman" w:eastAsia="Times New Roman" w:hint="default"/>
          <w:spacing w:val="-1"/>
        </w:rPr>
        <w:t> </w:t>
      </w:r>
      <w:r>
        <w:rPr/>
        <w:t>万元整的授信额度提</w:t>
      </w:r>
      <w:r>
        <w:rPr>
          <w:w w:val="100"/>
        </w:rPr>
        <w:t> </w:t>
      </w:r>
      <w:r>
        <w:rPr/>
        <w:t>供抵押。该最高授信额度的有效使用期限为</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12 </w:t>
      </w:r>
      <w:r>
        <w:rPr/>
        <w:t>日至</w:t>
      </w:r>
      <w:r>
        <w:rPr>
          <w:spacing w:val="-55"/>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11 </w:t>
      </w:r>
      <w:r>
        <w:rPr/>
        <w:t>日。抵押期限</w:t>
      </w:r>
    </w:p>
    <w:p>
      <w:pPr>
        <w:spacing w:after="0" w:line="297" w:lineRule="auto"/>
        <w:jc w:val="both"/>
        <w:sectPr>
          <w:footerReference w:type="default" r:id="rId64"/>
          <w:pgSz w:w="11910" w:h="16840"/>
          <w:pgMar w:footer="974" w:header="882" w:top="1120" w:bottom="1160" w:left="1660" w:right="1120"/>
          <w:pgNumType w:start="147"/>
        </w:sectPr>
      </w:pPr>
    </w:p>
    <w:p>
      <w:pPr>
        <w:spacing w:line="240" w:lineRule="auto" w:before="0"/>
        <w:rPr>
          <w:rFonts w:ascii="宋体" w:hAnsi="宋体" w:cs="宋体" w:eastAsia="宋体" w:hint="default"/>
          <w:sz w:val="20"/>
          <w:szCs w:val="20"/>
        </w:rPr>
      </w:pPr>
    </w:p>
    <w:p>
      <w:pPr>
        <w:pStyle w:val="BodyText"/>
        <w:spacing w:line="297" w:lineRule="auto" w:before="180"/>
        <w:ind w:left="218" w:right="221"/>
        <w:jc w:val="left"/>
      </w:pPr>
      <w:r>
        <w:rPr>
          <w:spacing w:val="-5"/>
        </w:rPr>
        <w:t>到被担保债务全部清偿为止。截止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日授信相关的汇票业务尚未结清，故未解除抵</w:t>
      </w:r>
      <w:r>
        <w:rPr>
          <w:spacing w:val="-102"/>
        </w:rPr>
        <w:t> </w:t>
      </w:r>
      <w:r>
        <w:rPr>
          <w:spacing w:val="-102"/>
        </w:rPr>
      </w:r>
      <w:r>
        <w:rPr/>
        <w:t>押。</w:t>
      </w:r>
    </w:p>
    <w:p>
      <w:pPr>
        <w:spacing w:line="240" w:lineRule="auto" w:before="12"/>
        <w:rPr>
          <w:rFonts w:ascii="宋体" w:hAnsi="宋体" w:cs="宋体" w:eastAsia="宋体" w:hint="default"/>
          <w:sz w:val="28"/>
          <w:szCs w:val="28"/>
        </w:rPr>
      </w:pPr>
    </w:p>
    <w:p>
      <w:pPr>
        <w:pStyle w:val="Heading2"/>
        <w:spacing w:line="240" w:lineRule="auto"/>
        <w:ind w:right="0"/>
        <w:jc w:val="both"/>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8"/>
        <w:ind w:left="218" w:right="0"/>
        <w:jc w:val="both"/>
      </w:pPr>
      <w:r>
        <w:rPr/>
        <w:t>√适用</w:t>
      </w:r>
      <w:r>
        <w:rPr>
          <w:spacing w:val="-1"/>
        </w:rPr>
        <w:t> </w:t>
      </w:r>
      <w:r>
        <w:rPr/>
        <w:t>□不适用</w:t>
      </w:r>
    </w:p>
    <w:p>
      <w:pPr>
        <w:pStyle w:val="Heading2"/>
        <w:spacing w:line="240" w:lineRule="auto" w:before="56"/>
        <w:ind w:right="0"/>
        <w:jc w:val="both"/>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314" w:lineRule="auto" w:before="147"/>
        <w:ind w:left="638" w:right="227"/>
        <w:jc w:val="left"/>
      </w:pPr>
      <w:r>
        <w:rPr/>
        <w:t>①本期未决诉讼仲裁及其财务影响</w:t>
      </w:r>
      <w:r>
        <w:rPr>
          <w:w w:val="100"/>
        </w:rPr>
        <w:t> </w:t>
      </w:r>
      <w:r>
        <w:rPr>
          <w:spacing w:val="-2"/>
        </w:rPr>
        <w:t>公司向福建省惠安县人民法院起诉要求正大（中国）服饰有限公司（以下简称正大服饰）偿</w:t>
      </w:r>
    </w:p>
    <w:p>
      <w:pPr>
        <w:pStyle w:val="BodyText"/>
        <w:spacing w:line="240" w:lineRule="auto" w:before="20"/>
        <w:ind w:left="218" w:right="0"/>
        <w:jc w:val="both"/>
      </w:pPr>
      <w:r>
        <w:rPr/>
        <w:t>还正版化软件货款</w:t>
      </w:r>
      <w:r>
        <w:rPr>
          <w:spacing w:val="-47"/>
        </w:rPr>
        <w:t> </w:t>
      </w:r>
      <w:r>
        <w:rPr>
          <w:rFonts w:ascii="Times New Roman" w:hAnsi="Times New Roman" w:cs="Times New Roman" w:eastAsia="Times New Roman" w:hint="default"/>
        </w:rPr>
        <w:t>474,800.00</w:t>
      </w:r>
      <w:r>
        <w:rPr>
          <w:rFonts w:ascii="Times New Roman" w:hAnsi="Times New Roman" w:cs="Times New Roman" w:eastAsia="Times New Roman" w:hint="default"/>
          <w:spacing w:val="6"/>
        </w:rPr>
        <w:t> </w:t>
      </w:r>
      <w:r>
        <w:rPr/>
        <w:t>元以及违约金</w:t>
      </w:r>
      <w:r>
        <w:rPr>
          <w:spacing w:val="-47"/>
        </w:rPr>
        <w:t> </w:t>
      </w:r>
      <w:r>
        <w:rPr>
          <w:rFonts w:ascii="Times New Roman" w:hAnsi="Times New Roman" w:cs="Times New Roman" w:eastAsia="Times New Roman" w:hint="default"/>
        </w:rPr>
        <w:t>451,110.00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日福建省惠安县人民</w:t>
      </w:r>
    </w:p>
    <w:p>
      <w:pPr>
        <w:pStyle w:val="BodyText"/>
        <w:spacing w:line="240" w:lineRule="auto" w:before="70"/>
        <w:ind w:left="218" w:right="0"/>
        <w:jc w:val="both"/>
        <w:rPr>
          <w:rFonts w:ascii="Times New Roman" w:hAnsi="Times New Roman" w:cs="Times New Roman" w:eastAsia="Times New Roman" w:hint="default"/>
        </w:rPr>
      </w:pPr>
      <w:r>
        <w:rPr/>
        <w:t>法院出具了民事调解书，调解结果如下：正大服饰应偿还结欠公司货款</w:t>
      </w:r>
      <w:r>
        <w:rPr>
          <w:spacing w:val="-51"/>
        </w:rPr>
        <w:t> </w:t>
      </w:r>
      <w:r>
        <w:rPr>
          <w:rFonts w:ascii="Times New Roman" w:hAnsi="Times New Roman" w:cs="Times New Roman" w:eastAsia="Times New Roman" w:hint="default"/>
        </w:rPr>
        <w:t>474,800.00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p>
    <w:p>
      <w:pPr>
        <w:pStyle w:val="BodyText"/>
        <w:spacing w:line="309" w:lineRule="auto" w:before="69"/>
        <w:ind w:left="218" w:right="227"/>
        <w:jc w:val="both"/>
      </w:pPr>
      <w:r>
        <w:rPr/>
        <w:t>月</w:t>
      </w:r>
      <w:r>
        <w:rPr>
          <w:spacing w:val="-49"/>
        </w:rPr>
        <w:t> </w:t>
      </w:r>
      <w:r>
        <w:rPr>
          <w:rFonts w:ascii="Times New Roman" w:hAnsi="Times New Roman" w:cs="Times New Roman" w:eastAsia="Times New Roman" w:hint="default"/>
        </w:rPr>
        <w:t>30 </w:t>
      </w:r>
      <w:r>
        <w:rPr/>
        <w:t>日前偿付</w:t>
      </w:r>
      <w:r>
        <w:rPr>
          <w:spacing w:val="-52"/>
        </w:rPr>
        <w:t> </w:t>
      </w:r>
      <w:r>
        <w:rPr>
          <w:rFonts w:ascii="Times New Roman" w:hAnsi="Times New Roman" w:cs="Times New Roman" w:eastAsia="Times New Roman" w:hint="default"/>
        </w:rPr>
        <w:t>114,800.00</w:t>
      </w:r>
      <w:r>
        <w:rPr>
          <w:rFonts w:ascii="Times New Roman" w:hAnsi="Times New Roman" w:cs="Times New Roman" w:eastAsia="Times New Roman" w:hint="default"/>
          <w:spacing w:val="1"/>
        </w:rPr>
        <w:t> </w:t>
      </w:r>
      <w:r>
        <w:rPr>
          <w:spacing w:val="-9"/>
        </w:rPr>
        <w:t>元，</w:t>
      </w:r>
      <w:r>
        <w:rPr>
          <w:rFonts w:ascii="Times New Roman" w:hAnsi="Times New Roman" w:cs="Times New Roman" w:eastAsia="Times New Roman" w:hint="default"/>
          <w:spacing w:val="-9"/>
        </w:rPr>
        <w:t>2014</w:t>
      </w:r>
      <w:r>
        <w:rPr>
          <w:rFonts w:ascii="Times New Roman" w:hAnsi="Times New Roman" w:cs="Times New Roman" w:eastAsia="Times New Roman" w:hint="default"/>
        </w:rPr>
        <w:t> </w:t>
      </w:r>
      <w:r>
        <w:rPr/>
        <w:t>年</w:t>
      </w:r>
      <w:r>
        <w:rPr>
          <w:spacing w:val="-49"/>
        </w:rPr>
        <w:t> </w:t>
      </w:r>
      <w:r>
        <w:rPr>
          <w:rFonts w:ascii="Times New Roman" w:hAnsi="Times New Roman" w:cs="Times New Roman" w:eastAsia="Times New Roman" w:hint="default"/>
        </w:rPr>
        <w:t>4 </w:t>
      </w:r>
      <w:r>
        <w:rPr/>
        <w:t>月起至</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 </w:t>
      </w:r>
      <w:r>
        <w:rPr>
          <w:spacing w:val="-5"/>
        </w:rPr>
        <w:t>月止分九期偿还剩余货款（每月偿还</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spacing w:val="-1"/>
        </w:rPr>
        <w:t>万元）；如正大服饰如期如数还款则公司放弃违约金部份诉讼请求，如果正大服饰未能按期如数</w:t>
      </w:r>
      <w:r>
        <w:rPr>
          <w:spacing w:val="-55"/>
        </w:rPr>
        <w:t> </w:t>
      </w:r>
      <w:r>
        <w:rPr>
          <w:spacing w:val="-55"/>
        </w:rPr>
      </w:r>
      <w:r>
        <w:rPr>
          <w:spacing w:val="-1"/>
        </w:rPr>
        <w:t>偿还，则公司有权要求正大服饰偿还尚欠款项并中国人民银行规定的同期同类贷款利率的两倍计</w:t>
      </w:r>
      <w:r>
        <w:rPr>
          <w:spacing w:val="-55"/>
        </w:rPr>
        <w:t> </w:t>
      </w:r>
      <w:r>
        <w:rPr>
          <w:spacing w:val="-55"/>
        </w:rPr>
      </w:r>
      <w:r>
        <w:rPr>
          <w:spacing w:val="-6"/>
        </w:rPr>
        <w:t>算违约金。</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日公司向福建省惠安县人民法院递交了申请执行书并于同日福建省惠安</w:t>
      </w:r>
    </w:p>
    <w:p>
      <w:pPr>
        <w:pStyle w:val="BodyText"/>
        <w:spacing w:line="240" w:lineRule="auto" w:before="2"/>
        <w:ind w:left="218" w:right="0"/>
        <w:jc w:val="both"/>
      </w:pPr>
      <w:r>
        <w:rPr>
          <w:w w:val="100"/>
        </w:rPr>
        <w:t>县人</w:t>
      </w:r>
      <w:r>
        <w:rPr>
          <w:spacing w:val="-3"/>
          <w:w w:val="100"/>
        </w:rPr>
        <w:t>民</w:t>
      </w:r>
      <w:r>
        <w:rPr>
          <w:w w:val="100"/>
        </w:rPr>
        <w:t>法</w:t>
      </w:r>
      <w:r>
        <w:rPr>
          <w:spacing w:val="-3"/>
          <w:w w:val="100"/>
        </w:rPr>
        <w:t>院</w:t>
      </w:r>
      <w:r>
        <w:rPr>
          <w:w w:val="100"/>
        </w:rPr>
        <w:t>下</w:t>
      </w:r>
      <w:r>
        <w:rPr>
          <w:spacing w:val="-3"/>
          <w:w w:val="100"/>
        </w:rPr>
        <w:t>达</w:t>
      </w:r>
      <w:r>
        <w:rPr>
          <w:w w:val="100"/>
        </w:rPr>
        <w:t>了</w:t>
      </w:r>
      <w:r>
        <w:rPr>
          <w:spacing w:val="-3"/>
          <w:w w:val="100"/>
        </w:rPr>
        <w:t>受</w:t>
      </w:r>
      <w:r>
        <w:rPr>
          <w:w w:val="100"/>
        </w:rPr>
        <w:t>理</w:t>
      </w:r>
      <w:r>
        <w:rPr>
          <w:spacing w:val="-3"/>
          <w:w w:val="100"/>
        </w:rPr>
        <w:t>案</w:t>
      </w:r>
      <w:r>
        <w:rPr>
          <w:w w:val="100"/>
        </w:rPr>
        <w:t>件通</w:t>
      </w:r>
      <w:r>
        <w:rPr>
          <w:spacing w:val="-3"/>
          <w:w w:val="100"/>
        </w:rPr>
        <w:t>知书</w:t>
      </w:r>
      <w:r>
        <w:rPr>
          <w:spacing w:val="-92"/>
          <w:w w:val="100"/>
        </w:rPr>
        <w:t>。</w:t>
      </w:r>
      <w:r>
        <w:rPr>
          <w:spacing w:val="-3"/>
          <w:w w:val="100"/>
        </w:rPr>
        <w:t>截</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w w:val="100"/>
        </w:rPr>
        <w:t>日</w:t>
      </w:r>
      <w:r>
        <w:rPr>
          <w:spacing w:val="-3"/>
          <w:w w:val="100"/>
        </w:rPr>
        <w:t>公</w:t>
      </w:r>
      <w:r>
        <w:rPr>
          <w:w w:val="100"/>
        </w:rPr>
        <w:t>司</w:t>
      </w:r>
      <w:r>
        <w:rPr>
          <w:spacing w:val="-3"/>
          <w:w w:val="100"/>
        </w:rPr>
        <w:t>尚</w:t>
      </w:r>
      <w:r>
        <w:rPr>
          <w:w w:val="100"/>
        </w:rPr>
        <w:t>未</w:t>
      </w:r>
      <w:r>
        <w:rPr>
          <w:spacing w:val="-3"/>
          <w:w w:val="100"/>
        </w:rPr>
        <w:t>收</w:t>
      </w:r>
      <w:r>
        <w:rPr>
          <w:w w:val="100"/>
        </w:rPr>
        <w:t>到</w:t>
      </w:r>
      <w:r>
        <w:rPr>
          <w:spacing w:val="-3"/>
          <w:w w:val="100"/>
        </w:rPr>
        <w:t>正大</w:t>
      </w:r>
      <w:r>
        <w:rPr>
          <w:w w:val="100"/>
        </w:rPr>
        <w:t>服饰</w:t>
      </w:r>
      <w:r>
        <w:rPr>
          <w:spacing w:val="-3"/>
          <w:w w:val="100"/>
        </w:rPr>
        <w:t>结</w:t>
      </w:r>
      <w:r>
        <w:rPr>
          <w:w w:val="100"/>
        </w:rPr>
        <w:t>欠</w:t>
      </w:r>
      <w:r>
        <w:rPr>
          <w:spacing w:val="-3"/>
          <w:w w:val="100"/>
        </w:rPr>
        <w:t>公</w:t>
      </w:r>
      <w:r>
        <w:rPr>
          <w:w w:val="100"/>
        </w:rPr>
        <w:t>司</w:t>
      </w:r>
      <w:r>
        <w:rPr>
          <w:spacing w:val="-3"/>
          <w:w w:val="100"/>
        </w:rPr>
        <w:t>货</w:t>
      </w:r>
      <w:r>
        <w:rPr>
          <w:w w:val="100"/>
        </w:rPr>
        <w:t>款</w:t>
      </w:r>
    </w:p>
    <w:p>
      <w:pPr>
        <w:pStyle w:val="BodyText"/>
        <w:spacing w:line="240" w:lineRule="auto" w:before="69"/>
        <w:ind w:left="218" w:right="0"/>
        <w:jc w:val="both"/>
      </w:pPr>
      <w:r>
        <w:rPr>
          <w:rFonts w:ascii="Times New Roman" w:hAnsi="Times New Roman" w:cs="Times New Roman" w:eastAsia="Times New Roman" w:hint="default"/>
        </w:rPr>
        <w:t>474,800.00 </w:t>
      </w:r>
      <w:r>
        <w:rPr>
          <w:rFonts w:ascii="Times New Roman" w:hAnsi="Times New Roman" w:cs="Times New Roman" w:eastAsia="Times New Roman" w:hint="default"/>
          <w:spacing w:val="8"/>
        </w:rPr>
        <w:t> </w:t>
      </w:r>
      <w:r>
        <w:rPr/>
        <w:t>元，该笔货款目前法院正在执行中。根据法院的执行情况正大服饰目前的财产可能无</w:t>
      </w:r>
    </w:p>
    <w:p>
      <w:pPr>
        <w:pStyle w:val="BodyText"/>
        <w:spacing w:line="297" w:lineRule="auto" w:before="69"/>
        <w:ind w:left="218" w:right="221"/>
        <w:jc w:val="left"/>
      </w:pPr>
      <w:r>
        <w:rPr>
          <w:spacing w:val="-2"/>
          <w:w w:val="100"/>
        </w:rPr>
        <w:t>法偿付结欠公司货款</w:t>
      </w:r>
      <w:r>
        <w:rPr>
          <w:spacing w:val="-49"/>
          <w:w w:val="100"/>
        </w:rPr>
        <w:t> </w:t>
      </w:r>
      <w:r>
        <w:rPr>
          <w:rFonts w:ascii="Times New Roman" w:hAnsi="Times New Roman" w:cs="Times New Roman" w:eastAsia="Times New Roman" w:hint="default"/>
          <w:spacing w:val="-1"/>
          <w:w w:val="100"/>
        </w:rPr>
        <w:t>474,800.00</w:t>
      </w:r>
      <w:r>
        <w:rPr>
          <w:rFonts w:ascii="Times New Roman" w:hAnsi="Times New Roman" w:cs="Times New Roman" w:eastAsia="Times New Roman" w:hint="default"/>
          <w:spacing w:val="2"/>
          <w:w w:val="100"/>
        </w:rPr>
        <w:t> </w:t>
      </w:r>
      <w:r>
        <w:rPr>
          <w:spacing w:val="-20"/>
          <w:w w:val="100"/>
        </w:rPr>
        <w:t>元，故公司</w:t>
      </w:r>
      <w:r>
        <w:rPr>
          <w:spacing w:val="-49"/>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
          <w:w w:val="100"/>
        </w:rPr>
        <w:t> </w:t>
      </w:r>
      <w:r>
        <w:rPr>
          <w:spacing w:val="-2"/>
          <w:w w:val="100"/>
        </w:rPr>
        <w:t>年对该笔应收账款</w:t>
      </w:r>
      <w:r>
        <w:rPr>
          <w:spacing w:val="-49"/>
          <w:w w:val="100"/>
        </w:rPr>
        <w:t> </w:t>
      </w:r>
      <w:r>
        <w:rPr>
          <w:rFonts w:ascii="Times New Roman" w:hAnsi="Times New Roman" w:cs="Times New Roman" w:eastAsia="Times New Roman" w:hint="default"/>
          <w:spacing w:val="-1"/>
          <w:w w:val="100"/>
        </w:rPr>
        <w:t>474,800.00</w:t>
      </w:r>
      <w:r>
        <w:rPr>
          <w:rFonts w:ascii="Times New Roman" w:hAnsi="Times New Roman" w:cs="Times New Roman" w:eastAsia="Times New Roman" w:hint="default"/>
          <w:spacing w:val="2"/>
          <w:w w:val="100"/>
        </w:rPr>
        <w:t> </w:t>
      </w:r>
      <w:r>
        <w:rPr>
          <w:spacing w:val="-2"/>
          <w:w w:val="100"/>
        </w:rPr>
        <w:t>元计提全额的坏账</w:t>
      </w:r>
      <w:r>
        <w:rPr>
          <w:spacing w:val="-104"/>
          <w:w w:val="100"/>
        </w:rPr>
        <w:t> </w:t>
      </w:r>
      <w:r>
        <w:rPr>
          <w:spacing w:val="-104"/>
          <w:w w:val="100"/>
        </w:rPr>
      </w:r>
      <w:r>
        <w:rPr/>
        <w:t>准备。</w:t>
      </w:r>
    </w:p>
    <w:p>
      <w:pPr>
        <w:pStyle w:val="BodyText"/>
        <w:spacing w:line="240" w:lineRule="auto" w:before="35"/>
        <w:ind w:left="638" w:right="0"/>
        <w:jc w:val="left"/>
      </w:pPr>
      <w:r>
        <w:rPr>
          <w:w w:val="100"/>
        </w:rPr>
        <w:t>②截止</w:t>
      </w:r>
      <w:r>
        <w:rPr>
          <w:spacing w:val="-7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015</w:t>
      </w:r>
      <w:r>
        <w:rPr>
          <w:rFonts w:ascii="Times New Roman" w:hAnsi="Times New Roman" w:cs="Times New Roman" w:eastAsia="Times New Roman" w:hint="default"/>
          <w:spacing w:val="-19"/>
        </w:rPr>
        <w:t> </w:t>
      </w:r>
      <w:r>
        <w:rPr>
          <w:w w:val="100"/>
        </w:rPr>
        <w:t>年</w:t>
      </w:r>
      <w:r>
        <w:rPr>
          <w:spacing w:val="-7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9"/>
        </w:rPr>
        <w:t> </w:t>
      </w:r>
      <w:r>
        <w:rPr>
          <w:w w:val="100"/>
        </w:rPr>
        <w:t>月</w:t>
      </w:r>
      <w:r>
        <w:rPr>
          <w:spacing w:val="-72"/>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2"/>
        </w:rPr>
        <w:t> </w:t>
      </w:r>
      <w:r>
        <w:rPr>
          <w:w w:val="100"/>
        </w:rPr>
        <w:t>日</w:t>
      </w:r>
      <w:r>
        <w:rPr>
          <w:spacing w:val="-108"/>
          <w:w w:val="100"/>
        </w:rPr>
        <w:t>，</w:t>
      </w:r>
      <w:r>
        <w:rPr>
          <w:w w:val="100"/>
        </w:rPr>
        <w:t>公司</w:t>
      </w:r>
      <w:r>
        <w:rPr>
          <w:spacing w:val="-3"/>
          <w:w w:val="100"/>
        </w:rPr>
        <w:t>已</w:t>
      </w:r>
      <w:r>
        <w:rPr>
          <w:w w:val="100"/>
        </w:rPr>
        <w:t>背</w:t>
      </w:r>
      <w:r>
        <w:rPr>
          <w:spacing w:val="-3"/>
          <w:w w:val="100"/>
        </w:rPr>
        <w:t>书</w:t>
      </w:r>
      <w:r>
        <w:rPr>
          <w:w w:val="100"/>
        </w:rPr>
        <w:t>或</w:t>
      </w:r>
      <w:r>
        <w:rPr>
          <w:spacing w:val="-3"/>
          <w:w w:val="100"/>
        </w:rPr>
        <w:t>贴</w:t>
      </w:r>
      <w:r>
        <w:rPr>
          <w:w w:val="100"/>
        </w:rPr>
        <w:t>现</w:t>
      </w:r>
      <w:r>
        <w:rPr>
          <w:spacing w:val="-3"/>
          <w:w w:val="100"/>
        </w:rPr>
        <w:t>且</w:t>
      </w:r>
      <w:r>
        <w:rPr>
          <w:w w:val="100"/>
        </w:rPr>
        <w:t>尚</w:t>
      </w:r>
      <w:r>
        <w:rPr>
          <w:spacing w:val="-3"/>
          <w:w w:val="100"/>
        </w:rPr>
        <w:t>未</w:t>
      </w:r>
      <w:r>
        <w:rPr>
          <w:w w:val="100"/>
        </w:rPr>
        <w:t>到期</w:t>
      </w:r>
      <w:r>
        <w:rPr>
          <w:spacing w:val="-3"/>
          <w:w w:val="100"/>
        </w:rPr>
        <w:t>的</w:t>
      </w:r>
      <w:r>
        <w:rPr>
          <w:w w:val="100"/>
        </w:rPr>
        <w:t>应</w:t>
      </w:r>
      <w:r>
        <w:rPr>
          <w:spacing w:val="-3"/>
          <w:w w:val="100"/>
        </w:rPr>
        <w:t>收</w:t>
      </w:r>
      <w:r>
        <w:rPr>
          <w:w w:val="100"/>
        </w:rPr>
        <w:t>票</w:t>
      </w:r>
      <w:r>
        <w:rPr>
          <w:spacing w:val="-3"/>
          <w:w w:val="100"/>
        </w:rPr>
        <w:t>据</w:t>
      </w:r>
      <w:r>
        <w:rPr>
          <w:w w:val="100"/>
        </w:rPr>
        <w:t>余</w:t>
      </w:r>
      <w:r>
        <w:rPr>
          <w:spacing w:val="-3"/>
          <w:w w:val="100"/>
        </w:rPr>
        <w:t>额</w:t>
      </w:r>
      <w:r>
        <w:rPr>
          <w:w w:val="100"/>
        </w:rPr>
        <w:t>为</w:t>
      </w:r>
      <w:r>
        <w:rPr>
          <w:spacing w:val="-72"/>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37,889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72</w:t>
      </w:r>
      <w:r>
        <w:rPr>
          <w:rFonts w:ascii="Times New Roman" w:hAnsi="Times New Roman" w:cs="Times New Roman" w:eastAsia="Times New Roman" w:hint="default"/>
          <w:spacing w:val="-22"/>
        </w:rPr>
        <w:t> </w:t>
      </w:r>
      <w:r>
        <w:rPr>
          <w:spacing w:val="-3"/>
          <w:w w:val="100"/>
        </w:rPr>
        <w:t>元。</w:t>
      </w:r>
      <w:r>
        <w:rPr>
          <w:w w:val="100"/>
        </w:rPr>
      </w:r>
    </w:p>
    <w:p>
      <w:pPr>
        <w:pStyle w:val="BodyText"/>
        <w:spacing w:line="240" w:lineRule="auto" w:before="69"/>
        <w:ind w:left="638" w:right="227"/>
        <w:jc w:val="left"/>
      </w:pPr>
      <w:r>
        <w:rPr/>
        <w:t>③本期无其他或有负债及其财务影响。</w:t>
      </w:r>
    </w:p>
    <w:p>
      <w:pPr>
        <w:spacing w:line="240" w:lineRule="auto" w:before="3"/>
        <w:rPr>
          <w:rFonts w:ascii="宋体" w:hAnsi="宋体" w:cs="宋体" w:eastAsia="宋体" w:hint="default"/>
          <w:sz w:val="19"/>
          <w:szCs w:val="19"/>
        </w:rPr>
      </w:pPr>
    </w:p>
    <w:p>
      <w:pPr>
        <w:spacing w:line="272" w:lineRule="exact" w:before="0"/>
        <w:ind w:left="218" w:right="5055" w:firstLine="0"/>
        <w:jc w:val="left"/>
        <w:rPr>
          <w:rFonts w:ascii="宋体" w:hAnsi="宋体" w:cs="宋体" w:eastAsia="宋体" w:hint="default"/>
          <w:sz w:val="21"/>
          <w:szCs w:val="21"/>
        </w:rPr>
      </w:pPr>
      <w:r>
        <w:rPr>
          <w:rFonts w:ascii="宋体" w:hAnsi="宋体" w:cs="宋体" w:eastAsia="宋体" w:hint="default"/>
          <w:sz w:val="24"/>
          <w:szCs w:val="24"/>
        </w:rPr>
        <w:t>（一）</w:t>
      </w:r>
      <w:r>
        <w:rPr>
          <w:rFonts w:ascii="宋体" w:hAnsi="宋体" w:cs="宋体" w:eastAsia="宋体" w:hint="default"/>
          <w:spacing w:val="-1"/>
          <w:sz w:val="24"/>
          <w:szCs w:val="24"/>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pacing w:val="-2"/>
          <w:sz w:val="21"/>
          <w:szCs w:val="21"/>
        </w:rPr>
        <w:t>无其他应披露的重要承诺事项及或有事项</w:t>
      </w:r>
    </w:p>
    <w:p>
      <w:pPr>
        <w:spacing w:line="240" w:lineRule="auto" w:before="4"/>
        <w:rPr>
          <w:rFonts w:ascii="宋体" w:hAnsi="宋体" w:cs="宋体" w:eastAsia="宋体" w:hint="default"/>
          <w:sz w:val="23"/>
          <w:szCs w:val="23"/>
        </w:rPr>
      </w:pPr>
    </w:p>
    <w:p>
      <w:pPr>
        <w:spacing w:line="290" w:lineRule="auto" w:before="0"/>
        <w:ind w:left="218" w:right="358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截至本财务报告日，本公司不存在应披露的其他或有事项。</w:t>
      </w:r>
    </w:p>
    <w:p>
      <w:pPr>
        <w:spacing w:line="240" w:lineRule="auto" w:before="11"/>
        <w:rPr>
          <w:rFonts w:ascii="宋体" w:hAnsi="宋体" w:cs="宋体" w:eastAsia="宋体" w:hint="default"/>
          <w:sz w:val="21"/>
          <w:szCs w:val="21"/>
        </w:rPr>
      </w:pPr>
    </w:p>
    <w:p>
      <w:pPr>
        <w:pStyle w:val="Heading2"/>
        <w:spacing w:line="290" w:lineRule="auto"/>
        <w:ind w:right="8202"/>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其他</w:t>
      </w:r>
      <w:r>
        <w:rPr>
          <w:w w:val="100"/>
        </w:rPr>
        <w:t> </w:t>
      </w:r>
      <w:r>
        <w:rPr>
          <w:rFonts w:ascii="宋体" w:hAnsi="宋体" w:cs="宋体" w:eastAsia="宋体" w:hint="default"/>
          <w:b w:val="0"/>
          <w:bCs w:val="0"/>
        </w:rPr>
        <w:t>无</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r>
        <w:rPr/>
        <w:t>十五、</w:t>
      </w:r>
      <w:r>
        <w:rPr>
          <w:spacing w:val="104"/>
        </w:rPr>
        <w:t> </w:t>
      </w:r>
      <w:r>
        <w:rPr/>
        <w:t>资产负债表日后事项</w:t>
      </w:r>
      <w:r>
        <w:rPr>
          <w:b w:val="0"/>
          <w:bCs w:val="0"/>
        </w:rPr>
      </w:r>
    </w:p>
    <w:p>
      <w:pPr>
        <w:pStyle w:val="Heading2"/>
        <w:spacing w:line="240" w:lineRule="auto" w:before="56"/>
        <w:ind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974" w:top="1120" w:bottom="1160" w:left="1580" w:right="1040"/>
        </w:sectPr>
      </w:pPr>
    </w:p>
    <w:p>
      <w:pPr>
        <w:pStyle w:val="Heading2"/>
        <w:spacing w:line="240" w:lineRule="auto" w:before="3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1911" w:space="482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19,000,000.00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19,000,000.00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pStyle w:val="BodyText"/>
        <w:spacing w:line="240" w:lineRule="auto" w:before="192"/>
        <w:ind w:left="663" w:right="0"/>
        <w:jc w:val="left"/>
      </w:pPr>
      <w:r>
        <w:rPr/>
        <w:t>根据</w:t>
      </w:r>
      <w:r>
        <w:rPr>
          <w:spacing w:val="-53"/>
        </w:rPr>
        <w:t> </w:t>
      </w:r>
      <w:r>
        <w:rPr>
          <w:rFonts w:ascii="Times New Roman" w:hAnsi="Times New Roman" w:cs="Times New Roman" w:eastAsia="Times New Roman" w:hint="default"/>
        </w:rPr>
        <w:t>2016 </w:t>
      </w:r>
      <w:r>
        <w:rPr/>
        <w:t>年</w:t>
      </w:r>
      <w:r>
        <w:rPr>
          <w:spacing w:val="-50"/>
        </w:rPr>
        <w:t> </w:t>
      </w:r>
      <w:r>
        <w:rPr>
          <w:rFonts w:ascii="Times New Roman" w:hAnsi="Times New Roman" w:cs="Times New Roman" w:eastAsia="Times New Roman" w:hint="default"/>
        </w:rPr>
        <w:t>3 </w:t>
      </w:r>
      <w:r>
        <w:rPr/>
        <w:t>月</w:t>
      </w:r>
      <w:r>
        <w:rPr>
          <w:spacing w:val="-52"/>
        </w:rPr>
        <w:t> </w:t>
      </w:r>
      <w:r>
        <w:rPr>
          <w:rFonts w:ascii="Times New Roman" w:hAnsi="Times New Roman" w:cs="Times New Roman" w:eastAsia="Times New Roman" w:hint="default"/>
        </w:rPr>
        <w:t>29 </w:t>
      </w:r>
      <w:r>
        <w:rPr/>
        <w:t>日公司第二届董事会第二十一次会议通过的《关于公司</w:t>
      </w:r>
      <w:r>
        <w:rPr>
          <w:spacing w:val="-53"/>
        </w:rPr>
        <w:t> </w:t>
      </w:r>
      <w:r>
        <w:rPr>
          <w:rFonts w:ascii="Times New Roman" w:hAnsi="Times New Roman" w:cs="Times New Roman" w:eastAsia="Times New Roman" w:hint="default"/>
        </w:rPr>
        <w:t>2015 </w:t>
      </w:r>
      <w:r>
        <w:rPr/>
        <w:t>年度利润</w:t>
      </w:r>
    </w:p>
    <w:p>
      <w:pPr>
        <w:pStyle w:val="BodyText"/>
        <w:spacing w:line="240" w:lineRule="auto" w:before="69"/>
        <w:ind w:left="243" w:right="0"/>
        <w:jc w:val="left"/>
      </w:pPr>
      <w:r>
        <w:rPr/>
        <w:t>分配预案的议案》，公司以截止</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日的总股本</w:t>
      </w:r>
      <w:r>
        <w:rPr>
          <w:spacing w:val="-44"/>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50"/>
        </w:rPr>
        <w:t> </w:t>
      </w:r>
      <w:r>
        <w:rPr/>
        <w:t>股为基数，向全体股</w:t>
      </w:r>
    </w:p>
    <w:p>
      <w:pPr>
        <w:pStyle w:val="BodyText"/>
        <w:spacing w:line="240" w:lineRule="auto" w:before="69"/>
        <w:ind w:left="243" w:right="0"/>
        <w:jc w:val="left"/>
      </w:pPr>
      <w:r>
        <w:rPr/>
        <w:t>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元（含税）。本次分配方案须经股东大会审议通过后实施。</w:t>
      </w:r>
    </w:p>
    <w:p>
      <w:pPr>
        <w:spacing w:line="240" w:lineRule="auto" w:before="0"/>
        <w:rPr>
          <w:rFonts w:ascii="宋体" w:hAnsi="宋体" w:cs="宋体" w:eastAsia="宋体" w:hint="default"/>
          <w:sz w:val="24"/>
          <w:szCs w:val="24"/>
        </w:rPr>
      </w:pPr>
    </w:p>
    <w:p>
      <w:pPr>
        <w:pStyle w:val="Heading2"/>
        <w:spacing w:line="240" w:lineRule="auto"/>
        <w:ind w:left="138"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304" w:lineRule="auto" w:before="120"/>
        <w:ind w:right="129" w:firstLine="422"/>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3"/>
        </w:rPr>
        <w:t>日，第二届董事会第十次会议、第十二次会议审议通过《关于使用部分闲置募</w:t>
      </w:r>
      <w:r>
        <w:rPr>
          <w:w w:val="100"/>
        </w:rPr>
        <w:t> </w:t>
      </w:r>
      <w:r>
        <w:rPr>
          <w:spacing w:val="-1"/>
        </w:rPr>
        <w:t>集资金购买保本型理财产品的议案》和《关于使用部分闲置募集资金进行现金管理的议案》，同</w:t>
      </w:r>
      <w:r>
        <w:rPr>
          <w:spacing w:val="-55"/>
        </w:rPr>
        <w:t> </w:t>
      </w:r>
      <w:r>
        <w:rPr>
          <w:spacing w:val="-55"/>
        </w:rPr>
      </w:r>
      <w:r>
        <w:rPr>
          <w:spacing w:val="-3"/>
        </w:rPr>
        <w:t>意公司在不影响募集资金项目建设和募集资金使用的前提下，使用额度不超过人民币 </w:t>
      </w:r>
      <w:r>
        <w:rPr>
          <w:rFonts w:ascii="Times New Roman" w:hAnsi="Times New Roman" w:cs="Times New Roman" w:eastAsia="Times New Roman" w:hint="default"/>
        </w:rPr>
        <w:t>25,000 </w:t>
      </w:r>
      <w:r>
        <w:rPr>
          <w:spacing w:val="-3"/>
        </w:rPr>
        <w:t>万元</w:t>
      </w:r>
      <w:r>
        <w:rPr>
          <w:spacing w:val="-89"/>
        </w:rPr>
        <w:t> </w:t>
      </w:r>
      <w:r>
        <w:rPr>
          <w:spacing w:val="-1"/>
        </w:rPr>
        <w:t>的暂时闲置募集资金进行现金管理，用于结构性存款或购买保本型理财产品。根据上述董事会决</w:t>
      </w:r>
      <w:r>
        <w:rPr>
          <w:spacing w:val="-55"/>
        </w:rPr>
        <w:t> </w:t>
      </w:r>
      <w:r>
        <w:rPr>
          <w:spacing w:val="-55"/>
        </w:rPr>
      </w:r>
      <w:r>
        <w:rPr>
          <w:spacing w:val="-11"/>
        </w:rPr>
        <w:t>议，</w:t>
      </w:r>
      <w:r>
        <w:rPr>
          <w:rFonts w:ascii="Times New Roman" w:hAnsi="Times New Roman" w:cs="Times New Roman" w:eastAsia="Times New Roman" w:hint="default"/>
          <w:spacing w:val="-11"/>
        </w:rPr>
        <w:t>2016</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7"/>
        </w:rPr>
        <w:t>日，公司与兴业银行股份有限公司签定了《兴业银行人民币理财计划协议书》，</w:t>
      </w:r>
    </w:p>
    <w:p>
      <w:pPr>
        <w:pStyle w:val="BodyText"/>
        <w:spacing w:line="240" w:lineRule="auto" w:before="6"/>
        <w:ind w:right="0"/>
        <w:jc w:val="left"/>
      </w:pPr>
      <w:r>
        <w:rPr/>
        <w:t>使用闲置募集资金</w:t>
      </w:r>
      <w:r>
        <w:rPr>
          <w:spacing w:val="-55"/>
        </w:rPr>
        <w:t> </w:t>
      </w:r>
      <w:r>
        <w:rPr>
          <w:rFonts w:ascii="Times New Roman" w:hAnsi="Times New Roman" w:cs="Times New Roman" w:eastAsia="Times New Roman" w:hint="default"/>
        </w:rPr>
        <w:t>7,500.00</w:t>
      </w:r>
      <w:r>
        <w:rPr>
          <w:rFonts w:ascii="Times New Roman" w:hAnsi="Times New Roman" w:cs="Times New Roman" w:eastAsia="Times New Roman" w:hint="default"/>
          <w:spacing w:val="-2"/>
        </w:rPr>
        <w:t> </w:t>
      </w:r>
      <w:r>
        <w:rPr/>
        <w:t>万元购买开放式理财产品“兴业金雪球</w:t>
      </w:r>
      <w:r>
        <w:rPr>
          <w:rFonts w:ascii="Times New Roman" w:hAnsi="Times New Roman" w:cs="Times New Roman" w:eastAsia="Times New Roman" w:hint="default"/>
        </w:rPr>
        <w:t>-</w:t>
      </w:r>
      <w:r>
        <w:rPr/>
        <w:t>优先</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w:t>
      </w:r>
    </w:p>
    <w:p>
      <w:pPr>
        <w:pStyle w:val="BodyText"/>
        <w:spacing w:line="304" w:lineRule="auto" w:before="69"/>
        <w:ind w:right="127" w:firstLine="419"/>
        <w:jc w:val="both"/>
      </w:pPr>
      <w:r>
        <w:rPr>
          <w:spacing w:val="-1"/>
          <w:w w:val="100"/>
        </w:rPr>
        <w:t>公司于</w:t>
      </w:r>
      <w:r>
        <w:rPr>
          <w:spacing w:val="-51"/>
          <w:w w:val="100"/>
        </w:rPr>
        <w:t> </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spacing w:val="-5"/>
          <w:w w:val="100"/>
        </w:rPr>
        <w:t>日召开的第二届董事会第二十次会议审议通过《关于设立安溪项目公司</w:t>
      </w:r>
      <w:r>
        <w:rPr>
          <w:w w:val="100"/>
        </w:rPr>
        <w:t> </w:t>
      </w:r>
      <w:r>
        <w:rPr>
          <w:spacing w:val="-2"/>
          <w:w w:val="100"/>
        </w:rPr>
        <w:t>的议案》，公司拟在福建省安溪县设立全资子公司“安溪县南威信息科技有限公司”，注册资本</w:t>
      </w:r>
      <w:r>
        <w:rPr>
          <w:spacing w:val="-85"/>
          <w:w w:val="100"/>
        </w:rPr>
        <w:t> </w:t>
      </w:r>
      <w:r>
        <w:rPr>
          <w:spacing w:val="-85"/>
          <w:w w:val="100"/>
        </w:rPr>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9"/>
          <w:szCs w:val="19"/>
        </w:rPr>
      </w:pPr>
    </w:p>
    <w:p>
      <w:pPr>
        <w:pStyle w:val="Heading2"/>
        <w:tabs>
          <w:tab w:pos="977" w:val="left" w:leader="none"/>
        </w:tabs>
        <w:spacing w:line="292" w:lineRule="auto"/>
        <w:ind w:left="138" w:right="68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0"/>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9"/>
        <w:ind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8" w:right="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6"/>
        <w:ind w:right="0"/>
        <w:jc w:val="left"/>
      </w:pPr>
      <w:r>
        <w:rPr/>
        <w:t>√适用</w:t>
      </w:r>
      <w:r>
        <w:rPr>
          <w:spacing w:val="-1"/>
        </w:rPr>
        <w:t> </w:t>
      </w:r>
      <w:r>
        <w:rPr/>
        <w:t>□不适用</w:t>
      </w:r>
    </w:p>
    <w:p>
      <w:pPr>
        <w:tabs>
          <w:tab w:pos="781" w:val="left" w:leader="none"/>
        </w:tabs>
        <w:spacing w:line="355" w:lineRule="auto" w:before="58"/>
        <w:ind w:left="558" w:right="130"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本公司以内部组织结构、管理要求、内部报告制度为依据确定业务分部。本公司的业务分部</w:t>
      </w:r>
    </w:p>
    <w:p>
      <w:pPr>
        <w:pStyle w:val="BodyText"/>
        <w:spacing w:line="259" w:lineRule="exact"/>
        <w:ind w:right="0"/>
        <w:jc w:val="left"/>
      </w:pPr>
      <w:r>
        <w:rPr/>
        <w:t>是指同时满足下列条件的组成部分：</w:t>
      </w:r>
    </w:p>
    <w:p>
      <w:pPr>
        <w:pStyle w:val="BodyText"/>
        <w:spacing w:line="240" w:lineRule="auto" w:before="85"/>
        <w:ind w:left="558" w:right="0"/>
        <w:jc w:val="left"/>
      </w:pPr>
      <w:r>
        <w:rPr/>
        <w:t>①该组成部分能够在日常活动中产生收入、发生费用；</w:t>
      </w:r>
    </w:p>
    <w:p>
      <w:pPr>
        <w:pStyle w:val="BodyText"/>
        <w:spacing w:line="240" w:lineRule="auto" w:before="85"/>
        <w:ind w:left="558" w:right="0"/>
        <w:jc w:val="left"/>
      </w:pPr>
      <w:r>
        <w:rPr/>
        <w:t>②管理层能够定期评价该组成部分的经营成果，以决定向其配置资源、评价其业绩；</w:t>
      </w:r>
    </w:p>
    <w:p>
      <w:pPr>
        <w:spacing w:after="0" w:line="240" w:lineRule="auto"/>
        <w:jc w:val="left"/>
        <w:sectPr>
          <w:pgSz w:w="11910" w:h="16840"/>
          <w:pgMar w:header="882" w:footer="974" w:top="1120" w:bottom="116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left="638" w:right="227"/>
        <w:jc w:val="left"/>
      </w:pPr>
      <w:r>
        <w:rPr/>
        <w:t>③能够取得该组成部分的财务状况、经营成果和现金流量等有关会计信息。</w:t>
      </w:r>
      <w:r>
        <w:rPr>
          <w:w w:val="100"/>
        </w:rPr>
        <w:t> </w:t>
      </w:r>
      <w:r>
        <w:rPr>
          <w:spacing w:val="-2"/>
        </w:rPr>
        <w:t>本公司以业务分部为基础确定报告分部，满足下列条件之一的业务分部确定为报告分部：</w:t>
      </w:r>
    </w:p>
    <w:p>
      <w:pPr>
        <w:pStyle w:val="BodyText"/>
        <w:spacing w:line="240" w:lineRule="auto" w:before="20"/>
        <w:ind w:left="638" w:right="227"/>
        <w:jc w:val="left"/>
      </w:pPr>
      <w:r>
        <w:rPr>
          <w:spacing w:val="-2"/>
        </w:rPr>
        <w:t>④该经营分部的分部收入占所有分部收入合计的</w:t>
      </w:r>
      <w:r>
        <w:rPr>
          <w:spacing w:val="-1"/>
        </w:rPr>
        <w:t> </w:t>
      </w:r>
      <w:r>
        <w:rPr>
          <w:rFonts w:ascii="Times New Roman" w:hAnsi="Times New Roman" w:cs="Times New Roman" w:eastAsia="Times New Roman" w:hint="default"/>
          <w:spacing w:val="-2"/>
        </w:rPr>
        <w:t>10%</w:t>
      </w:r>
      <w:r>
        <w:rPr>
          <w:spacing w:val="-2"/>
        </w:rPr>
        <w:t>或者以上；</w:t>
      </w:r>
    </w:p>
    <w:p>
      <w:pPr>
        <w:pStyle w:val="BodyText"/>
        <w:spacing w:line="314" w:lineRule="auto" w:before="69"/>
        <w:ind w:left="218" w:right="227" w:firstLine="419"/>
        <w:jc w:val="left"/>
      </w:pPr>
      <w:r>
        <w:rPr>
          <w:spacing w:val="-2"/>
        </w:rPr>
        <w:t>⑤该分部的分部利润（亏损）的绝对额，占所有盈利分部利润合计额或者所有亏损分部亏损</w:t>
      </w:r>
      <w:r>
        <w:rPr>
          <w:w w:val="100"/>
        </w:rPr>
        <w:t> </w:t>
      </w:r>
      <w:r>
        <w:rPr/>
        <w:t>合计额的绝对额两者中较大者的</w:t>
      </w:r>
      <w:r>
        <w:rPr>
          <w:spacing w:val="-56"/>
        </w:rPr>
        <w:t> </w:t>
      </w:r>
      <w:r>
        <w:rPr>
          <w:rFonts w:ascii="Times New Roman" w:hAnsi="Times New Roman" w:cs="Times New Roman" w:eastAsia="Times New Roman" w:hint="default"/>
        </w:rPr>
        <w:t>10%</w:t>
      </w:r>
      <w:r>
        <w:rPr/>
        <w:t>或者以上；</w:t>
      </w:r>
    </w:p>
    <w:p>
      <w:pPr>
        <w:pStyle w:val="BodyText"/>
        <w:spacing w:line="297" w:lineRule="auto"/>
        <w:ind w:left="638" w:right="227"/>
        <w:jc w:val="left"/>
      </w:pPr>
      <w:r>
        <w:rPr/>
        <w:t>⑥该分部的分部资产占所有分部资产合计额的</w:t>
      </w:r>
      <w:r>
        <w:rPr>
          <w:spacing w:val="-53"/>
        </w:rPr>
        <w:t> </w:t>
      </w:r>
      <w:r>
        <w:rPr>
          <w:rFonts w:ascii="Times New Roman" w:hAnsi="Times New Roman" w:cs="Times New Roman" w:eastAsia="Times New Roman" w:hint="default"/>
        </w:rPr>
        <w:t>10%</w:t>
      </w:r>
      <w:r>
        <w:rPr/>
        <w:t>或者以上。</w:t>
      </w:r>
      <w:r>
        <w:rPr>
          <w:w w:val="100"/>
        </w:rPr>
        <w:t> </w:t>
      </w:r>
      <w:r>
        <w:rPr>
          <w:spacing w:val="-2"/>
        </w:rPr>
        <w:t>按上述会计政策确定的报告分部的经营分部的对外交易收入合计额占合并总收入的比重未达</w:t>
      </w:r>
    </w:p>
    <w:p>
      <w:pPr>
        <w:pStyle w:val="BodyText"/>
        <w:spacing w:line="297" w:lineRule="auto" w:before="34"/>
        <w:ind w:left="218" w:right="227"/>
        <w:jc w:val="left"/>
      </w:pPr>
      <w:r>
        <w:rPr/>
        <w:t>到 </w:t>
      </w:r>
      <w:r>
        <w:rPr>
          <w:rFonts w:ascii="Times New Roman" w:hAnsi="Times New Roman" w:cs="Times New Roman" w:eastAsia="Times New Roman" w:hint="default"/>
          <w:spacing w:val="-2"/>
        </w:rPr>
        <w:t>75%</w:t>
      </w:r>
      <w:r>
        <w:rPr>
          <w:spacing w:val="-2"/>
        </w:rPr>
        <w:t>时，增加报告分部的数量，按下述规定将其他未作为报告分部的经营分部纳入报告分部的</w:t>
      </w:r>
      <w:r>
        <w:rPr>
          <w:spacing w:val="-87"/>
        </w:rPr>
        <w:t> </w:t>
      </w:r>
      <w:r>
        <w:rPr>
          <w:spacing w:val="-87"/>
        </w:rPr>
      </w:r>
      <w:r>
        <w:rPr/>
        <w:t>范围，直到该比重达到</w:t>
      </w:r>
      <w:r>
        <w:rPr>
          <w:spacing w:val="-56"/>
        </w:rPr>
        <w:t> </w:t>
      </w:r>
      <w:r>
        <w:rPr>
          <w:rFonts w:ascii="Times New Roman" w:hAnsi="Times New Roman" w:cs="Times New Roman" w:eastAsia="Times New Roman" w:hint="default"/>
        </w:rPr>
        <w:t>75%</w:t>
      </w:r>
      <w:r>
        <w:rPr/>
        <w:t>：</w:t>
      </w:r>
    </w:p>
    <w:p>
      <w:pPr>
        <w:pStyle w:val="BodyText"/>
        <w:spacing w:line="240" w:lineRule="auto" w:before="14"/>
        <w:ind w:left="638" w:right="227"/>
        <w:jc w:val="left"/>
      </w:pPr>
      <w:r>
        <w:rPr/>
        <w:t>⑦将管理层认为披露该经营分部信息对会计信息使用者有用的经营分部确定为报告分部；</w:t>
      </w:r>
    </w:p>
    <w:p>
      <w:pPr>
        <w:pStyle w:val="BodyText"/>
        <w:spacing w:line="314" w:lineRule="auto" w:before="85"/>
        <w:ind w:left="218" w:right="227" w:firstLine="419"/>
        <w:jc w:val="left"/>
      </w:pPr>
      <w:r>
        <w:rPr>
          <w:spacing w:val="-2"/>
        </w:rPr>
        <w:t>⑧将该经营分部与一个或一个以上的具有相似经济特征、满足经营分部合并条件的其他经营</w:t>
      </w:r>
      <w:r>
        <w:rPr>
          <w:w w:val="100"/>
        </w:rPr>
        <w:t> </w:t>
      </w:r>
      <w:r>
        <w:rPr/>
        <w:t>分部合并，作为一个报告分部。</w:t>
      </w:r>
    </w:p>
    <w:p>
      <w:pPr>
        <w:pStyle w:val="BodyText"/>
        <w:spacing w:line="314" w:lineRule="auto" w:before="20"/>
        <w:ind w:left="218" w:right="227" w:firstLine="419"/>
        <w:jc w:val="left"/>
      </w:pPr>
      <w:r>
        <w:rPr>
          <w:spacing w:val="-2"/>
        </w:rPr>
        <w:t>分部间转移价格参照市场价格确定，与各分部共同使用的资产、相关的费用按照收入比例在</w:t>
      </w:r>
      <w:r>
        <w:rPr>
          <w:w w:val="100"/>
        </w:rPr>
        <w:t> </w:t>
      </w:r>
      <w:r>
        <w:rPr/>
        <w:t>不同的分部之间分配。</w:t>
      </w:r>
    </w:p>
    <w:p>
      <w:pPr>
        <w:spacing w:line="240" w:lineRule="auto" w:before="13"/>
        <w:rPr>
          <w:rFonts w:ascii="宋体" w:hAnsi="宋体" w:cs="宋体" w:eastAsia="宋体" w:hint="default"/>
          <w:sz w:val="24"/>
          <w:szCs w:val="24"/>
        </w:rPr>
      </w:pPr>
    </w:p>
    <w:p>
      <w:pPr>
        <w:pStyle w:val="Heading2"/>
        <w:tabs>
          <w:tab w:pos="861" w:val="left" w:leader="none"/>
        </w:tabs>
        <w:spacing w:line="240" w:lineRule="auto" w:before="36"/>
        <w:ind w:right="227"/>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8"/>
        <w:ind w:left="0" w:right="23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5"/>
        <w:gridCol w:w="2134"/>
        <w:gridCol w:w="2119"/>
        <w:gridCol w:w="2132"/>
      </w:tblGrid>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分部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2665"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698" w:right="227"/>
        <w:jc w:val="left"/>
      </w:pPr>
      <w:r>
        <w:rPr/>
        <w:t>（</w:t>
      </w:r>
      <w:r>
        <w:rPr>
          <w:rFonts w:ascii="宋体" w:hAnsi="宋体" w:cs="宋体" w:eastAsia="宋体" w:hint="default"/>
        </w:rPr>
        <w:t>1</w:t>
      </w:r>
      <w:r>
        <w:rPr/>
        <w:t>）主营业收入（分地区）</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福建省内</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230,896,783.51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174,139,649.12</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福建省外</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109,926,454.31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52,271,617.15</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340,823,237.82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226,411,266.27</w:t>
            </w:r>
          </w:p>
        </w:tc>
      </w:tr>
    </w:tbl>
    <w:p>
      <w:pPr>
        <w:pStyle w:val="BodyText"/>
        <w:spacing w:line="241" w:lineRule="exact"/>
        <w:ind w:left="698" w:right="227"/>
        <w:jc w:val="left"/>
      </w:pPr>
      <w:r>
        <w:rPr/>
        <w:t>（</w:t>
      </w:r>
      <w:r>
        <w:rPr>
          <w:rFonts w:ascii="宋体" w:hAnsi="宋体" w:cs="宋体" w:eastAsia="宋体" w:hint="default"/>
        </w:rPr>
        <w:t>2</w:t>
      </w:r>
      <w:r>
        <w:rPr/>
        <w:t>）主营业务收入（分产品）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软件开发（产品）</w:t>
            </w:r>
            <w:r>
              <w:rPr>
                <w:rFonts w:ascii="宋体" w:hAnsi="宋体" w:cs="宋体" w:eastAsia="宋体"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110,959,862.26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38,745,712.61</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系统集成（产品）</w:t>
            </w:r>
            <w:r>
              <w:rPr>
                <w:rFonts w:ascii="宋体" w:hAnsi="宋体" w:cs="宋体" w:eastAsia="宋体"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211,022,733.20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186,732,028.74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技术服务（产品）</w:t>
            </w:r>
            <w:r>
              <w:rPr>
                <w:rFonts w:ascii="宋体" w:hAnsi="宋体" w:cs="宋体" w:eastAsia="宋体" w:hint="default"/>
                <w:sz w:val="21"/>
                <w:szCs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18,840,642.36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933,524.92</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340,823,237.82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226,411,266.27</w:t>
            </w:r>
          </w:p>
        </w:tc>
      </w:tr>
    </w:tbl>
    <w:p>
      <w:pPr>
        <w:tabs>
          <w:tab w:pos="861" w:val="left" w:leader="none"/>
        </w:tabs>
        <w:spacing w:line="290" w:lineRule="auto" w:before="86"/>
        <w:ind w:left="218" w:right="62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pacing w:val="-1"/>
          <w:sz w:val="21"/>
          <w:szCs w:val="21"/>
        </w:rPr>
        <w:t>公司无报告分部的，或者不能披露各报告分部的资产总额和负债总额的，应说明原因</w:t>
      </w:r>
      <w:r>
        <w:rPr>
          <w:rFonts w:ascii="宋体" w:hAnsi="宋体" w:cs="宋体" w:eastAsia="宋体" w:hint="default"/>
          <w:b/>
          <w:bCs/>
          <w:spacing w:val="-73"/>
          <w:sz w:val="21"/>
          <w:szCs w:val="21"/>
        </w:rPr>
        <w:t> </w:t>
      </w:r>
      <w:r>
        <w:rPr>
          <w:rFonts w:ascii="宋体" w:hAnsi="宋体" w:cs="宋体" w:eastAsia="宋体" w:hint="default"/>
          <w:b/>
          <w:bCs/>
          <w:spacing w:val="-73"/>
          <w:sz w:val="21"/>
          <w:szCs w:val="21"/>
        </w:rPr>
      </w:r>
      <w:r>
        <w:rPr>
          <w:rFonts w:ascii="宋体" w:hAnsi="宋体" w:cs="宋体" w:eastAsia="宋体" w:hint="default"/>
          <w:sz w:val="21"/>
          <w:szCs w:val="21"/>
        </w:rPr>
        <w:t>因公司资产、负债为各个产品和地区共同占有，故没有按分部披露。</w:t>
      </w:r>
    </w:p>
    <w:p>
      <w:pPr>
        <w:pStyle w:val="Heading2"/>
        <w:tabs>
          <w:tab w:pos="861" w:val="left" w:leader="none"/>
        </w:tabs>
        <w:spacing w:line="290" w:lineRule="auto" w:before="12"/>
        <w:ind w:right="7367"/>
        <w:jc w:val="left"/>
        <w:rPr>
          <w:rFonts w:ascii="宋体" w:hAnsi="宋体" w:cs="宋体" w:eastAsia="宋体" w:hint="default"/>
          <w:b w:val="0"/>
          <w:bCs w:val="0"/>
        </w:rPr>
      </w:pPr>
      <w:r>
        <w:rPr>
          <w:rFonts w:ascii="宋体" w:hAnsi="宋体" w:cs="宋体" w:eastAsia="宋体" w:hint="default"/>
          <w:w w:val="95"/>
        </w:rPr>
        <w:t>(4).</w:t>
        <w:tab/>
      </w:r>
      <w:r>
        <w:rPr/>
        <w:t>其他说明：</w:t>
      </w:r>
      <w:r>
        <w:rPr>
          <w:w w:val="100"/>
        </w:rPr>
        <w:t> </w:t>
      </w:r>
      <w:r>
        <w:rPr>
          <w:rFonts w:ascii="宋体" w:hAnsi="宋体" w:cs="宋体" w:eastAsia="宋体" w:hint="default"/>
          <w:b w:val="0"/>
          <w:bCs w:val="0"/>
        </w:rPr>
        <w:t>无。</w:t>
      </w:r>
    </w:p>
    <w:p>
      <w:pPr>
        <w:pStyle w:val="Heading2"/>
        <w:spacing w:line="290" w:lineRule="auto" w:before="12"/>
        <w:ind w:right="4617"/>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其他对投资者决策有影响的重要交易和事项</w:t>
      </w:r>
      <w:r>
        <w:rPr>
          <w:w w:val="100"/>
        </w:rPr>
        <w:t> </w:t>
      </w:r>
      <w:r>
        <w:rPr>
          <w:rFonts w:ascii="宋体" w:hAnsi="宋体" w:cs="宋体" w:eastAsia="宋体" w:hint="default"/>
          <w:b w:val="0"/>
          <w:bCs w:val="0"/>
        </w:rPr>
        <w:t>无。</w:t>
      </w:r>
    </w:p>
    <w:p>
      <w:pPr>
        <w:spacing w:line="290" w:lineRule="auto" w:before="12"/>
        <w:ind w:left="218" w:right="8202"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after="0" w:line="290" w:lineRule="auto"/>
        <w:jc w:val="left"/>
        <w:rPr>
          <w:rFonts w:ascii="宋体" w:hAnsi="宋体" w:cs="宋体" w:eastAsia="宋体" w:hint="default"/>
          <w:sz w:val="21"/>
          <w:szCs w:val="21"/>
        </w:rPr>
        <w:sectPr>
          <w:footerReference w:type="default" r:id="rId65"/>
          <w:pgSz w:w="11910" w:h="16840"/>
          <w:pgMar w:footer="974" w:header="882" w:top="1120" w:bottom="1160" w:left="1580" w:right="1040"/>
        </w:sectPr>
      </w:pPr>
    </w:p>
    <w:p>
      <w:pPr>
        <w:spacing w:before="20"/>
        <w:ind w:left="0" w:right="241"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6"/>
          <w:footerReference w:type="default" r:id="rId67"/>
          <w:pgSz w:w="16840" w:h="11910" w:orient="landscape"/>
          <w:pgMar w:header="0" w:footer="0" w:top="800" w:bottom="280" w:left="1220" w:right="1300"/>
        </w:sectPr>
      </w:pPr>
    </w:p>
    <w:p>
      <w:pPr>
        <w:pStyle w:val="Heading2"/>
        <w:tabs>
          <w:tab w:pos="1060" w:val="left" w:leader="none"/>
        </w:tabs>
        <w:spacing w:line="290" w:lineRule="auto" w:before="36"/>
        <w:ind w:left="220"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060" w:val="left" w:leader="none"/>
        </w:tabs>
        <w:spacing w:line="240" w:lineRule="auto" w:before="14"/>
        <w:ind w:left="361"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160" w:left="1220" w:right="1300"/>
          <w:cols w:num="2" w:equalWidth="0">
            <w:col w:w="3802" w:space="7972"/>
            <w:col w:w="254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68"/>
        <w:gridCol w:w="1426"/>
        <w:gridCol w:w="999"/>
        <w:gridCol w:w="1565"/>
        <w:gridCol w:w="998"/>
        <w:gridCol w:w="1421"/>
        <w:gridCol w:w="1426"/>
        <w:gridCol w:w="999"/>
        <w:gridCol w:w="1428"/>
        <w:gridCol w:w="996"/>
        <w:gridCol w:w="1270"/>
      </w:tblGrid>
      <w:tr>
        <w:trPr>
          <w:trHeight w:val="370"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4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1568" w:type="dxa"/>
            <w:vMerge/>
            <w:tcBorders>
              <w:left w:val="single" w:sz="4" w:space="0" w:color="000000"/>
              <w:right w:val="single" w:sz="4" w:space="0" w:color="000000"/>
            </w:tcBorders>
          </w:tcPr>
          <w:p>
            <w:pP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314" w:lineRule="auto"/>
              <w:ind w:left="492"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314" w:lineRule="auto"/>
              <w:ind w:left="420" w:right="41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30" w:hRule="exact"/>
        </w:trPr>
        <w:tc>
          <w:tcPr>
            <w:tcW w:w="156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w:t>
            </w:r>
          </w:p>
        </w:tc>
        <w:tc>
          <w:tcPr>
            <w:tcW w:w="1421"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34"/>
              <w:ind w:right="0"/>
              <w:jc w:val="center"/>
              <w:rPr>
                <w:rFonts w:ascii="Times New Roman" w:hAnsi="Times New Roman" w:cs="Times New Roman" w:eastAsia="Times New Roman" w:hint="default"/>
                <w:sz w:val="21"/>
                <w:szCs w:val="21"/>
              </w:rPr>
            </w:pPr>
            <w:r>
              <w:rPr>
                <w:rFonts w:ascii="Times New Roman"/>
                <w:sz w:val="21"/>
              </w:rPr>
              <w:t>(%)</w:t>
            </w:r>
          </w:p>
        </w:tc>
        <w:tc>
          <w:tcPr>
            <w:tcW w:w="1270" w:type="dxa"/>
            <w:vMerge/>
            <w:tcBorders>
              <w:left w:val="single" w:sz="4" w:space="0" w:color="000000"/>
              <w:bottom w:val="single" w:sz="4" w:space="0" w:color="000000"/>
              <w:right w:val="single" w:sz="4" w:space="0" w:color="000000"/>
            </w:tcBorders>
          </w:tcPr>
          <w:p>
            <w:pPr/>
          </w:p>
        </w:tc>
      </w:tr>
      <w:tr>
        <w:trPr>
          <w:trHeight w:val="1090"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2"/>
              <w:jc w:val="both"/>
              <w:rPr>
                <w:rFonts w:ascii="宋体" w:hAnsi="宋体" w:cs="宋体" w:eastAsia="宋体" w:hint="default"/>
                <w:sz w:val="21"/>
                <w:szCs w:val="21"/>
              </w:rPr>
            </w:pPr>
            <w:r>
              <w:rPr>
                <w:rFonts w:ascii="宋体" w:hAnsi="宋体" w:cs="宋体" w:eastAsia="宋体" w:hint="default"/>
                <w:spacing w:val="2"/>
                <w:sz w:val="21"/>
                <w:szCs w:val="21"/>
              </w:rPr>
              <w:t>单项金额重大并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单独计提坏账准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备的应收账款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2"/>
              <w:jc w:val="both"/>
              <w:rPr>
                <w:rFonts w:ascii="宋体" w:hAnsi="宋体" w:cs="宋体" w:eastAsia="宋体" w:hint="default"/>
                <w:sz w:val="21"/>
                <w:szCs w:val="21"/>
              </w:rPr>
            </w:pPr>
            <w:r>
              <w:rPr>
                <w:rFonts w:ascii="宋体" w:hAnsi="宋体" w:cs="宋体" w:eastAsia="宋体" w:hint="default"/>
                <w:spacing w:val="2"/>
                <w:sz w:val="21"/>
                <w:szCs w:val="21"/>
              </w:rPr>
              <w:t>按信用风险特征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组合计提坏账准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备的应收账款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160,589,051.99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99.71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12,786,086.14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7.96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147,802,965.85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108,779,219.61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99.57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
                <w:sz w:val="21"/>
              </w:rPr>
              <w:t>10,066,765.46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9.25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
              <w:jc w:val="right"/>
              <w:rPr>
                <w:rFonts w:ascii="Times New Roman" w:hAnsi="Times New Roman" w:cs="Times New Roman" w:eastAsia="Times New Roman" w:hint="default"/>
                <w:sz w:val="21"/>
                <w:szCs w:val="21"/>
              </w:rPr>
            </w:pPr>
            <w:r>
              <w:rPr>
                <w:rFonts w:ascii="Times New Roman"/>
                <w:spacing w:val="-1"/>
                <w:sz w:val="21"/>
              </w:rPr>
              <w:t>98,712,454.15</w:t>
            </w:r>
          </w:p>
        </w:tc>
      </w:tr>
      <w:tr>
        <w:trPr>
          <w:trHeight w:val="372"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其中：账龄组合</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
              <w:jc w:val="right"/>
              <w:rPr>
                <w:rFonts w:ascii="Times New Roman" w:hAnsi="Times New Roman" w:cs="Times New Roman" w:eastAsia="Times New Roman" w:hint="default"/>
                <w:sz w:val="21"/>
                <w:szCs w:val="21"/>
              </w:rPr>
            </w:pPr>
            <w:r>
              <w:rPr>
                <w:rFonts w:ascii="Times New Roman"/>
                <w:spacing w:val="-13"/>
                <w:sz w:val="21"/>
              </w:rPr>
              <w:t>160,510,067.99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21"/>
                <w:szCs w:val="21"/>
              </w:rPr>
            </w:pPr>
            <w:r>
              <w:rPr>
                <w:rFonts w:ascii="Times New Roman"/>
                <w:spacing w:val="-12"/>
                <w:sz w:val="21"/>
              </w:rPr>
              <w:t>99.66</w:t>
            </w:r>
            <w:r>
              <w:rPr>
                <w:rFonts w:ascii="Times New Roman"/>
                <w:sz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
              <w:jc w:val="right"/>
              <w:rPr>
                <w:rFonts w:ascii="Times New Roman" w:hAnsi="Times New Roman" w:cs="Times New Roman" w:eastAsia="Times New Roman" w:hint="default"/>
                <w:sz w:val="21"/>
                <w:szCs w:val="21"/>
              </w:rPr>
            </w:pPr>
            <w:r>
              <w:rPr>
                <w:rFonts w:ascii="Times New Roman"/>
                <w:spacing w:val="-13"/>
                <w:sz w:val="21"/>
              </w:rPr>
              <w:t>12,786,086.14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spacing w:val="-12"/>
                <w:sz w:val="21"/>
              </w:rPr>
              <w:t>7.97</w:t>
            </w:r>
            <w:r>
              <w:rPr>
                <w:rFonts w:ascii="Times New Roman"/>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
              <w:jc w:val="right"/>
              <w:rPr>
                <w:rFonts w:ascii="Times New Roman" w:hAnsi="Times New Roman" w:cs="Times New Roman" w:eastAsia="Times New Roman" w:hint="default"/>
                <w:sz w:val="21"/>
                <w:szCs w:val="21"/>
              </w:rPr>
            </w:pPr>
            <w:r>
              <w:rPr>
                <w:rFonts w:ascii="Times New Roman"/>
                <w:spacing w:val="-13"/>
                <w:sz w:val="21"/>
              </w:rPr>
              <w:t>147,723,981.85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
              <w:jc w:val="right"/>
              <w:rPr>
                <w:rFonts w:ascii="Times New Roman" w:hAnsi="Times New Roman" w:cs="Times New Roman" w:eastAsia="Times New Roman" w:hint="default"/>
                <w:sz w:val="21"/>
                <w:szCs w:val="21"/>
              </w:rPr>
            </w:pPr>
            <w:r>
              <w:rPr>
                <w:rFonts w:ascii="Times New Roman"/>
                <w:spacing w:val="-13"/>
                <w:sz w:val="21"/>
              </w:rPr>
              <w:t>108,558,123.05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21"/>
                <w:szCs w:val="21"/>
              </w:rPr>
            </w:pPr>
            <w:r>
              <w:rPr>
                <w:rFonts w:ascii="Times New Roman"/>
                <w:spacing w:val="-12"/>
                <w:sz w:val="21"/>
              </w:rPr>
              <w:t>99.37</w:t>
            </w:r>
            <w:r>
              <w:rPr>
                <w:rFonts w:ascii="Times New Roman"/>
                <w:sz w:val="21"/>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7"/>
              <w:jc w:val="right"/>
              <w:rPr>
                <w:rFonts w:ascii="Times New Roman" w:hAnsi="Times New Roman" w:cs="Times New Roman" w:eastAsia="Times New Roman" w:hint="default"/>
                <w:sz w:val="21"/>
                <w:szCs w:val="21"/>
              </w:rPr>
            </w:pPr>
            <w:r>
              <w:rPr>
                <w:rFonts w:ascii="Times New Roman"/>
                <w:spacing w:val="-13"/>
                <w:sz w:val="21"/>
              </w:rPr>
              <w:t>10,066,765.46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21"/>
                <w:szCs w:val="21"/>
              </w:rPr>
            </w:pPr>
            <w:r>
              <w:rPr>
                <w:rFonts w:ascii="Times New Roman"/>
                <w:spacing w:val="-12"/>
                <w:sz w:val="21"/>
              </w:rPr>
              <w:t>9.27</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8"/>
              <w:jc w:val="right"/>
              <w:rPr>
                <w:rFonts w:ascii="Times New Roman" w:hAnsi="Times New Roman" w:cs="Times New Roman" w:eastAsia="Times New Roman" w:hint="default"/>
                <w:sz w:val="21"/>
                <w:szCs w:val="21"/>
              </w:rPr>
            </w:pPr>
            <w:r>
              <w:rPr>
                <w:rFonts w:ascii="Times New Roman"/>
                <w:spacing w:val="-13"/>
                <w:sz w:val="21"/>
              </w:rPr>
              <w:t>98,491,357.59</w:t>
            </w:r>
          </w:p>
        </w:tc>
      </w:tr>
      <w:tr>
        <w:trPr>
          <w:trHeight w:val="370"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关联组合</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21"/>
                <w:szCs w:val="21"/>
              </w:rPr>
            </w:pPr>
            <w:r>
              <w:rPr>
                <w:rFonts w:ascii="Times New Roman"/>
                <w:spacing w:val="-12"/>
                <w:sz w:val="21"/>
              </w:rPr>
              <w:t>78,984.00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pacing w:val="-12"/>
                <w:sz w:val="21"/>
              </w:rPr>
              <w:t>0.05</w:t>
            </w:r>
            <w:r>
              <w:rPr>
                <w:rFonts w:ascii="Times New Roman"/>
                <w:sz w:val="21"/>
              </w:rPr>
            </w:r>
          </w:p>
        </w:tc>
        <w:tc>
          <w:tcPr>
            <w:tcW w:w="1565"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Times New Roman" w:hAnsi="Times New Roman" w:cs="Times New Roman" w:eastAsia="Times New Roman" w:hint="default"/>
                <w:sz w:val="21"/>
                <w:szCs w:val="21"/>
              </w:rPr>
            </w:pPr>
            <w:r>
              <w:rPr>
                <w:rFonts w:ascii="Times New Roman"/>
                <w:spacing w:val="-12"/>
                <w:sz w:val="21"/>
              </w:rPr>
              <w:t>78,984.00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21"/>
                <w:szCs w:val="21"/>
              </w:rPr>
            </w:pPr>
            <w:r>
              <w:rPr>
                <w:rFonts w:ascii="Times New Roman"/>
                <w:spacing w:val="-12"/>
                <w:sz w:val="21"/>
              </w:rPr>
              <w:t>221,096.56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2"/>
                <w:sz w:val="21"/>
              </w:rPr>
              <w:t>0.20</w:t>
            </w:r>
            <w:r>
              <w:rPr>
                <w:rFonts w:ascii="Times New Roman"/>
                <w:sz w:val="21"/>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21"/>
                <w:szCs w:val="21"/>
              </w:rPr>
            </w:pPr>
            <w:r>
              <w:rPr>
                <w:rFonts w:ascii="Times New Roman"/>
                <w:spacing w:val="-12"/>
                <w:sz w:val="21"/>
              </w:rPr>
              <w:t>221,096.56</w:t>
            </w:r>
          </w:p>
        </w:tc>
      </w:tr>
      <w:tr>
        <w:trPr>
          <w:trHeight w:val="1090"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22"/>
              <w:jc w:val="both"/>
              <w:rPr>
                <w:rFonts w:ascii="宋体" w:hAnsi="宋体" w:cs="宋体" w:eastAsia="宋体" w:hint="default"/>
                <w:sz w:val="21"/>
                <w:szCs w:val="21"/>
              </w:rPr>
            </w:pPr>
            <w:r>
              <w:rPr>
                <w:rFonts w:ascii="宋体" w:hAnsi="宋体" w:cs="宋体" w:eastAsia="宋体" w:hint="default"/>
                <w:spacing w:val="2"/>
                <w:sz w:val="21"/>
                <w:szCs w:val="21"/>
              </w:rPr>
              <w:t>单项金额不重大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但单独计提坏账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准备的应收账款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474,800.00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0.43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474,800.00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161,063,851.99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13,260,886.14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147,802,965.85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109,254,019.61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z w:val="21"/>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21"/>
                <w:szCs w:val="21"/>
              </w:rPr>
            </w:pPr>
            <w:r>
              <w:rPr>
                <w:rFonts w:ascii="Times New Roman"/>
                <w:spacing w:val="-1"/>
                <w:sz w:val="21"/>
              </w:rPr>
              <w:t>10,541,565.46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9.65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98,712,454.15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6790" w:right="6794" w:firstLine="0"/>
        <w:jc w:val="center"/>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161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3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BodyText"/>
        <w:spacing w:line="240" w:lineRule="auto"/>
        <w:ind w:left="338" w:right="0"/>
        <w:jc w:val="left"/>
      </w:pPr>
      <w:r>
        <w:rPr/>
        <w:t>期末单项金额重大并单项计提坏账准备的应收账款：</w:t>
      </w:r>
    </w:p>
    <w:p>
      <w:pPr>
        <w:pStyle w:val="BodyText"/>
        <w:spacing w:line="240" w:lineRule="auto" w:before="58"/>
        <w:ind w:left="338" w:right="0"/>
        <w:jc w:val="left"/>
      </w:pPr>
      <w:r>
        <w:rPr/>
        <w:t>□适用√不适用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8"/>
          <w:pgSz w:w="11910" w:h="16840"/>
          <w:pgMar w:footer="974" w:header="0" w:top="1120" w:bottom="1160" w:left="1460" w:right="1040"/>
          <w:pgNumType w:start="152"/>
        </w:sectPr>
      </w:pPr>
    </w:p>
    <w:p>
      <w:pPr>
        <w:pStyle w:val="BodyText"/>
        <w:spacing w:line="240" w:lineRule="auto" w:before="36"/>
        <w:ind w:left="338" w:right="0"/>
        <w:jc w:val="left"/>
      </w:pPr>
      <w:r>
        <w:rPr>
          <w:spacing w:val="-2"/>
        </w:rPr>
        <w:t>组合中，按账龄分析法计提坏账准备的应收账款：</w:t>
      </w:r>
    </w:p>
    <w:p>
      <w:pPr>
        <w:pStyle w:val="BodyText"/>
        <w:spacing w:line="240" w:lineRule="auto" w:before="56"/>
        <w:ind w:left="3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9" w:val="left" w:leader="none"/>
        </w:tabs>
        <w:spacing w:line="240" w:lineRule="auto"/>
        <w:ind w:left="338" w:right="0"/>
        <w:jc w:val="left"/>
      </w:pPr>
      <w:r>
        <w:rPr>
          <w:spacing w:val="-1"/>
        </w:rPr>
        <w:t>单位：元</w:t>
        <w:tab/>
      </w:r>
      <w:r>
        <w:rPr>
          <w:spacing w:val="-2"/>
        </w:rPr>
        <w:t>币种：人民币</w:t>
      </w:r>
    </w:p>
    <w:p>
      <w:pPr>
        <w:spacing w:after="0" w:line="240" w:lineRule="auto"/>
        <w:jc w:val="left"/>
        <w:sectPr>
          <w:type w:val="continuous"/>
          <w:pgSz w:w="11910" w:h="16840"/>
          <w:pgMar w:top="1120" w:bottom="1160" w:left="1460" w:right="1040"/>
          <w:cols w:num="2" w:equalWidth="0">
            <w:col w:w="4964" w:space="1558"/>
            <w:col w:w="2888"/>
          </w:cols>
        </w:sectPr>
      </w:pPr>
    </w:p>
    <w:p>
      <w:pPr>
        <w:spacing w:line="240" w:lineRule="auto" w:before="4"/>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2677"/>
        <w:gridCol w:w="2165"/>
        <w:gridCol w:w="2114"/>
        <w:gridCol w:w="2093"/>
      </w:tblGrid>
      <w:tr>
        <w:trPr>
          <w:trHeight w:val="310" w:hRule="exact"/>
        </w:trPr>
        <w:tc>
          <w:tcPr>
            <w:tcW w:w="2677" w:type="dxa"/>
            <w:vMerge w:val="restart"/>
            <w:tcBorders>
              <w:top w:val="single" w:sz="4" w:space="0" w:color="000000"/>
              <w:left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7"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9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113,041,617.73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3,391,248.53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3.00</w:t>
            </w:r>
          </w:p>
        </w:tc>
      </w:tr>
      <w:tr>
        <w:trPr>
          <w:trHeight w:val="29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113,041,617.73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3,391,248.53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3.00</w:t>
            </w:r>
          </w:p>
        </w:tc>
      </w:tr>
      <w:tr>
        <w:trPr>
          <w:trHeight w:val="29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32,716,401.45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3,271,640.15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w:t>
            </w:r>
          </w:p>
        </w:tc>
      </w:tr>
      <w:tr>
        <w:trPr>
          <w:trHeight w:val="29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11,113,751.69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2,222,750.34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w:t>
            </w:r>
          </w:p>
        </w:tc>
      </w:tr>
      <w:tr>
        <w:trPr>
          <w:trHeight w:val="29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5,078,453.73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2,539,226.87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50.00</w:t>
            </w:r>
          </w:p>
        </w:tc>
      </w:tr>
      <w:tr>
        <w:trPr>
          <w:trHeight w:val="29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1,705,009.30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1,364,007.44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w:t>
            </w:r>
          </w:p>
        </w:tc>
      </w:tr>
      <w:tr>
        <w:trPr>
          <w:trHeight w:val="29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481,083.89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481,083.89</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9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164,136,317.79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13,269,957.22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8.08</w:t>
            </w:r>
          </w:p>
        </w:tc>
      </w:tr>
    </w:tbl>
    <w:p>
      <w:pPr>
        <w:pStyle w:val="BodyText"/>
        <w:spacing w:line="290" w:lineRule="auto" w:before="26"/>
        <w:ind w:left="758" w:right="6380" w:hanging="420"/>
        <w:jc w:val="left"/>
      </w:pPr>
      <w:r>
        <w:rPr>
          <w:spacing w:val="-2"/>
        </w:rPr>
        <w:t>确定该组合依据的说明：</w:t>
      </w:r>
      <w:r>
        <w:rPr>
          <w:spacing w:val="-83"/>
        </w:rPr>
        <w:t> </w:t>
      </w:r>
      <w:r>
        <w:rPr>
          <w:spacing w:val="-83"/>
        </w:rPr>
      </w:r>
      <w:r>
        <w:rPr/>
        <w:t>无。</w:t>
      </w:r>
    </w:p>
    <w:p>
      <w:pPr>
        <w:spacing w:line="240" w:lineRule="auto" w:before="11"/>
        <w:rPr>
          <w:rFonts w:ascii="宋体" w:hAnsi="宋体" w:cs="宋体" w:eastAsia="宋体" w:hint="default"/>
          <w:sz w:val="21"/>
          <w:szCs w:val="21"/>
        </w:rPr>
      </w:pPr>
    </w:p>
    <w:p>
      <w:pPr>
        <w:pStyle w:val="BodyText"/>
        <w:spacing w:line="240" w:lineRule="auto"/>
        <w:ind w:left="338" w:right="0"/>
        <w:jc w:val="left"/>
      </w:pPr>
      <w:r>
        <w:rPr/>
        <w:t>组合中，采用余额百分比法计提坏账准备的应收账款：</w:t>
      </w:r>
    </w:p>
    <w:p>
      <w:pPr>
        <w:pStyle w:val="BodyText"/>
        <w:spacing w:line="240" w:lineRule="auto" w:before="56"/>
        <w:ind w:left="3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90" w:lineRule="auto"/>
        <w:ind w:left="338" w:right="4092"/>
        <w:jc w:val="left"/>
      </w:pPr>
      <w:r>
        <w:rPr>
          <w:spacing w:val="-2"/>
        </w:rPr>
        <w:t>组合中，采用其他方法计提坏账准备的应收账款：</w:t>
      </w:r>
      <w:r>
        <w:rPr>
          <w:spacing w:val="-62"/>
        </w:rPr>
        <w:t> </w:t>
      </w:r>
      <w:r>
        <w:rPr>
          <w:spacing w:val="-62"/>
        </w:rPr>
      </w:r>
      <w:r>
        <w:rPr/>
        <w:t>无。</w:t>
      </w:r>
    </w:p>
    <w:p>
      <w:pPr>
        <w:spacing w:line="240" w:lineRule="auto" w:before="11"/>
        <w:rPr>
          <w:rFonts w:ascii="宋体" w:hAnsi="宋体" w:cs="宋体" w:eastAsia="宋体" w:hint="default"/>
          <w:sz w:val="21"/>
          <w:szCs w:val="21"/>
        </w:rPr>
      </w:pPr>
    </w:p>
    <w:p>
      <w:pPr>
        <w:pStyle w:val="Heading2"/>
        <w:tabs>
          <w:tab w:pos="1177" w:val="left" w:leader="none"/>
        </w:tabs>
        <w:spacing w:line="240" w:lineRule="auto"/>
        <w:ind w:left="47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338" w:right="0"/>
        <w:jc w:val="left"/>
      </w:pPr>
      <w:r>
        <w:rPr/>
        <w:t>本期计提坏账准备金额</w:t>
      </w:r>
      <w:r>
        <w:rPr>
          <w:spacing w:val="-54"/>
        </w:rPr>
        <w:t> </w:t>
      </w:r>
      <w:r>
        <w:rPr>
          <w:rFonts w:ascii="Times New Roman" w:hAnsi="Times New Roman" w:cs="Times New Roman" w:eastAsia="Times New Roman" w:hint="default"/>
        </w:rPr>
        <w:t>2,719,320.68</w:t>
      </w:r>
      <w:r>
        <w:rPr>
          <w:rFonts w:ascii="Times New Roman" w:hAnsi="Times New Roman" w:cs="Times New Roman" w:eastAsia="Times New Roman" w:hint="default"/>
          <w:spacing w:val="-5"/>
        </w:rPr>
        <w:t> </w:t>
      </w:r>
      <w:r>
        <w:rPr/>
        <w:t>元；本期收回或转回坏账准备额</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5"/>
        <w:rPr>
          <w:rFonts w:ascii="宋体" w:hAnsi="宋体" w:cs="宋体" w:eastAsia="宋体" w:hint="default"/>
          <w:sz w:val="19"/>
          <w:szCs w:val="19"/>
        </w:rPr>
      </w:pPr>
    </w:p>
    <w:p>
      <w:pPr>
        <w:pStyle w:val="BodyText"/>
        <w:spacing w:line="274" w:lineRule="exact"/>
        <w:ind w:left="338" w:right="0"/>
        <w:jc w:val="left"/>
      </w:pPr>
      <w:r>
        <w:rPr/>
        <w:t>其中本期坏账准备收回或转回金额重要的：</w:t>
      </w:r>
    </w:p>
    <w:p>
      <w:pPr>
        <w:pStyle w:val="BodyText"/>
        <w:spacing w:line="274" w:lineRule="exact"/>
        <w:ind w:left="3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177" w:val="left" w:leader="none"/>
        </w:tabs>
        <w:spacing w:line="240" w:lineRule="auto"/>
        <w:ind w:left="479"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left="33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338" w:right="0"/>
        <w:jc w:val="left"/>
      </w:pPr>
      <w:r>
        <w:rPr/>
        <w:t>其中重要的应收账款核销情况</w:t>
      </w:r>
    </w:p>
    <w:p>
      <w:pPr>
        <w:pStyle w:val="BodyText"/>
        <w:spacing w:line="273" w:lineRule="exact"/>
        <w:ind w:left="3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177" w:val="left" w:leader="none"/>
        </w:tabs>
        <w:spacing w:line="240" w:lineRule="auto"/>
        <w:ind w:left="47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9" w:type="dxa"/>
        <w:tblLayout w:type="fixed"/>
        <w:tblCellMar>
          <w:top w:w="0" w:type="dxa"/>
          <w:left w:w="0" w:type="dxa"/>
          <w:bottom w:w="0" w:type="dxa"/>
          <w:right w:w="0" w:type="dxa"/>
        </w:tblCellMar>
        <w:tblLook w:val="01E0"/>
      </w:tblPr>
      <w:tblGrid>
        <w:gridCol w:w="2228"/>
        <w:gridCol w:w="1702"/>
        <w:gridCol w:w="2976"/>
        <w:gridCol w:w="2050"/>
      </w:tblGrid>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4"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70"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r>
              <w:rPr>
                <w:rFonts w:ascii="宋体" w:hAnsi="宋体" w:cs="宋体" w:eastAsia="宋体" w:hint="default"/>
                <w:sz w:val="21"/>
                <w:szCs w:val="21"/>
              </w:rPr>
              <w:t>%</w:t>
            </w:r>
            <w:r>
              <w:rPr>
                <w:rFonts w:ascii="宋体" w:hAnsi="宋体" w:cs="宋体" w:eastAsia="宋体" w:hint="default"/>
                <w:sz w:val="21"/>
                <w:szCs w:val="21"/>
              </w:rPr>
              <w:t>）</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79"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87" w:right="0"/>
              <w:jc w:val="left"/>
              <w:rPr>
                <w:rFonts w:ascii="Times New Roman" w:hAnsi="Times New Roman" w:cs="Times New Roman" w:eastAsia="Times New Roman" w:hint="default"/>
                <w:sz w:val="21"/>
                <w:szCs w:val="21"/>
              </w:rPr>
            </w:pPr>
            <w:r>
              <w:rPr>
                <w:rFonts w:ascii="Times New Roman"/>
                <w:sz w:val="21"/>
              </w:rPr>
              <w:t>9,401,000.00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5.84</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282,030.00</w:t>
            </w:r>
          </w:p>
        </w:tc>
      </w:tr>
      <w:tr>
        <w:trPr>
          <w:trHeight w:val="406"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87" w:right="0"/>
              <w:jc w:val="left"/>
              <w:rPr>
                <w:rFonts w:ascii="Times New Roman" w:hAnsi="Times New Roman" w:cs="Times New Roman" w:eastAsia="Times New Roman" w:hint="default"/>
                <w:sz w:val="21"/>
                <w:szCs w:val="21"/>
              </w:rPr>
            </w:pPr>
            <w:r>
              <w:rPr>
                <w:rFonts w:ascii="Times New Roman"/>
                <w:sz w:val="21"/>
              </w:rPr>
              <w:t>8,071,700.00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5.01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242,151.00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46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9" w:type="dxa"/>
        <w:tblLayout w:type="fixed"/>
        <w:tblCellMar>
          <w:top w:w="0" w:type="dxa"/>
          <w:left w:w="0" w:type="dxa"/>
          <w:bottom w:w="0" w:type="dxa"/>
          <w:right w:w="0" w:type="dxa"/>
        </w:tblCellMar>
        <w:tblLook w:val="01E0"/>
      </w:tblPr>
      <w:tblGrid>
        <w:gridCol w:w="2228"/>
        <w:gridCol w:w="1702"/>
        <w:gridCol w:w="2976"/>
        <w:gridCol w:w="2050"/>
      </w:tblGrid>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客户三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7,151,025.00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z w:val="21"/>
              </w:rPr>
              <w:t>4.44</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214,530.75</w:t>
            </w: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7,060,215.11</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4.38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706,021.51</w:t>
            </w:r>
          </w:p>
        </w:tc>
      </w:tr>
      <w:tr>
        <w:trPr>
          <w:trHeight w:val="406"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5,109,624.00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3.17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153,288.72</w:t>
            </w: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36,793,564.11</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22.84</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1,598,021.98</w:t>
            </w:r>
          </w:p>
        </w:tc>
      </w:tr>
    </w:tbl>
    <w:p>
      <w:pPr>
        <w:spacing w:line="240" w:lineRule="auto" w:before="12"/>
        <w:rPr>
          <w:rFonts w:ascii="宋体" w:hAnsi="宋体" w:cs="宋体" w:eastAsia="宋体" w:hint="default"/>
          <w:b/>
          <w:bCs/>
          <w:sz w:val="19"/>
          <w:szCs w:val="19"/>
        </w:rPr>
      </w:pPr>
    </w:p>
    <w:p>
      <w:pPr>
        <w:pStyle w:val="Heading2"/>
        <w:tabs>
          <w:tab w:pos="1177" w:val="left" w:leader="none"/>
        </w:tabs>
        <w:spacing w:line="369" w:lineRule="auto" w:before="36"/>
        <w:ind w:left="652" w:right="4328" w:hanging="173"/>
        <w:jc w:val="left"/>
        <w:rPr>
          <w:rFonts w:ascii="宋体" w:hAnsi="宋体" w:cs="宋体" w:eastAsia="宋体" w:hint="default"/>
          <w:b w:val="0"/>
          <w:bCs w:val="0"/>
        </w:rPr>
      </w:pPr>
      <w:r>
        <w:rPr>
          <w:rFonts w:ascii="宋体" w:hAnsi="宋体" w:cs="宋体" w:eastAsia="宋体" w:hint="default"/>
          <w:w w:val="95"/>
        </w:rPr>
        <w:t>(5).</w:t>
        <w:tab/>
      </w:r>
      <w:r>
        <w:rPr/>
        <w:t>因金融资产转移而终止确认的应收账款：</w:t>
      </w:r>
      <w:r>
        <w:rPr>
          <w:w w:val="100"/>
        </w:rPr>
        <w:t> </w:t>
      </w:r>
      <w:r>
        <w:rPr>
          <w:rFonts w:ascii="宋体" w:hAnsi="宋体" w:cs="宋体" w:eastAsia="宋体" w:hint="default"/>
          <w:b w:val="0"/>
          <w:bCs w:val="0"/>
        </w:rPr>
        <w:t>无。</w:t>
      </w:r>
    </w:p>
    <w:p>
      <w:pPr>
        <w:spacing w:line="240" w:lineRule="auto" w:before="5"/>
        <w:rPr>
          <w:rFonts w:ascii="宋体" w:hAnsi="宋体" w:cs="宋体" w:eastAsia="宋体" w:hint="default"/>
          <w:sz w:val="16"/>
          <w:szCs w:val="16"/>
        </w:rPr>
      </w:pPr>
    </w:p>
    <w:p>
      <w:pPr>
        <w:pStyle w:val="Heading2"/>
        <w:tabs>
          <w:tab w:pos="1177" w:val="left" w:leader="none"/>
        </w:tabs>
        <w:spacing w:line="369" w:lineRule="auto"/>
        <w:ind w:left="652" w:right="3486" w:hanging="173"/>
        <w:jc w:val="left"/>
        <w:rPr>
          <w:rFonts w:ascii="宋体" w:hAnsi="宋体" w:cs="宋体" w:eastAsia="宋体" w:hint="default"/>
          <w:b w:val="0"/>
          <w:bCs w:val="0"/>
        </w:rPr>
      </w:pPr>
      <w:r>
        <w:rPr>
          <w:rFonts w:ascii="宋体" w:hAnsi="宋体" w:cs="宋体" w:eastAsia="宋体" w:hint="default"/>
          <w:w w:val="95"/>
        </w:rPr>
        <w:t>(6).</w:t>
        <w:tab/>
      </w:r>
      <w:r>
        <w:rPr>
          <w:spacing w:val="-1"/>
        </w:rPr>
        <w:t>转移应收账款且继续涉入形成的资产、负债金额：</w:t>
      </w:r>
      <w:r>
        <w:rPr>
          <w:spacing w:val="-85"/>
        </w:rPr>
        <w:t> </w:t>
      </w:r>
      <w:r>
        <w:rPr>
          <w:spacing w:val="-85"/>
        </w:rPr>
      </w:r>
      <w:r>
        <w:rPr>
          <w:rFonts w:ascii="宋体" w:hAnsi="宋体" w:cs="宋体" w:eastAsia="宋体" w:hint="default"/>
          <w:b w:val="0"/>
          <w:bCs w:val="0"/>
        </w:rPr>
        <w:t>无。</w:t>
      </w:r>
    </w:p>
    <w:p>
      <w:pPr>
        <w:pStyle w:val="BodyText"/>
        <w:spacing w:line="316" w:lineRule="auto" w:before="123"/>
        <w:ind w:left="652" w:right="7899" w:hanging="315"/>
        <w:jc w:val="left"/>
      </w:pPr>
      <w:r>
        <w:rPr/>
        <w:t>其他说明：</w:t>
      </w:r>
      <w:r>
        <w:rPr>
          <w:spacing w:val="-103"/>
        </w:rPr>
        <w:t> </w:t>
      </w:r>
      <w:r>
        <w:rPr>
          <w:spacing w:val="-103"/>
        </w:rPr>
      </w:r>
      <w:r>
        <w:rPr/>
        <w:t>无。</w:t>
      </w:r>
    </w:p>
    <w:p>
      <w:pPr>
        <w:spacing w:after="0" w:line="316" w:lineRule="auto"/>
        <w:jc w:val="left"/>
        <w:sectPr>
          <w:pgSz w:w="11910" w:h="16840"/>
          <w:pgMar w:header="0" w:footer="974" w:top="1120" w:bottom="1160" w:left="1460" w:right="1140"/>
        </w:sectPr>
      </w:pPr>
    </w:p>
    <w:p>
      <w:pPr>
        <w:spacing w:before="20"/>
        <w:ind w:left="0" w:right="161"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9"/>
          <w:footerReference w:type="default" r:id="rId70"/>
          <w:pgSz w:w="16840" w:h="11910" w:orient="landscape"/>
          <w:pgMar w:header="0" w:footer="0" w:top="800" w:bottom="280" w:left="1300" w:right="1380"/>
        </w:sectPr>
      </w:pPr>
    </w:p>
    <w:p>
      <w:pPr>
        <w:pStyle w:val="Heading2"/>
        <w:spacing w:line="240" w:lineRule="auto" w:before="169"/>
        <w:ind w:left="140"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6"/>
        <w:ind w:left="140"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BodyText"/>
        <w:spacing w:line="240" w:lineRule="auto"/>
        <w:ind w:left="140" w:right="0"/>
        <w:jc w:val="left"/>
      </w:pPr>
      <w:r>
        <w:rPr/>
        <w:t>单位：元币种：人民币</w:t>
      </w:r>
    </w:p>
    <w:p>
      <w:pPr>
        <w:spacing w:after="0" w:line="240" w:lineRule="auto"/>
        <w:jc w:val="left"/>
        <w:sectPr>
          <w:type w:val="continuous"/>
          <w:pgSz w:w="16840" w:h="11910" w:orient="landscape"/>
          <w:pgMar w:top="1120" w:bottom="1160" w:left="1300" w:right="1380"/>
          <w:cols w:num="2" w:equalWidth="0">
            <w:col w:w="2779" w:space="8995"/>
            <w:col w:w="238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64"/>
        <w:gridCol w:w="1308"/>
        <w:gridCol w:w="886"/>
        <w:gridCol w:w="1507"/>
        <w:gridCol w:w="917"/>
        <w:gridCol w:w="1618"/>
        <w:gridCol w:w="1514"/>
        <w:gridCol w:w="857"/>
        <w:gridCol w:w="1426"/>
        <w:gridCol w:w="994"/>
        <w:gridCol w:w="1546"/>
      </w:tblGrid>
      <w:tr>
        <w:trPr>
          <w:trHeight w:val="370" w:hRule="exact"/>
        </w:trPr>
        <w:tc>
          <w:tcPr>
            <w:tcW w:w="13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1364" w:type="dxa"/>
            <w:vMerge/>
            <w:tcBorders>
              <w:left w:val="single" w:sz="4" w:space="0" w:color="000000"/>
              <w:right w:val="single" w:sz="4" w:space="0" w:color="000000"/>
            </w:tcBorders>
          </w:tcPr>
          <w:p>
            <w:pPr/>
          </w:p>
        </w:tc>
        <w:tc>
          <w:tcPr>
            <w:tcW w:w="2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592" w:right="59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14" w:lineRule="auto"/>
              <w:ind w:left="559" w:right="55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730" w:hRule="exact"/>
        </w:trPr>
        <w:tc>
          <w:tcPr>
            <w:tcW w:w="1364"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6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295" w:right="29"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18"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333" w:right="67" w:hanging="262"/>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46" w:type="dxa"/>
            <w:vMerge/>
            <w:tcBorders>
              <w:left w:val="single" w:sz="4" w:space="0" w:color="000000"/>
              <w:bottom w:val="single" w:sz="4" w:space="0" w:color="000000"/>
              <w:right w:val="single" w:sz="4" w:space="0" w:color="000000"/>
            </w:tcBorders>
          </w:tcPr>
          <w:p>
            <w:pPr/>
          </w:p>
        </w:tc>
      </w:tr>
      <w:tr>
        <w:trPr>
          <w:trHeight w:val="145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63"/>
              <w:jc w:val="both"/>
              <w:rPr>
                <w:rFonts w:ascii="宋体" w:hAnsi="宋体" w:cs="宋体" w:eastAsia="宋体" w:hint="default"/>
                <w:sz w:val="21"/>
                <w:szCs w:val="21"/>
              </w:rPr>
            </w:pPr>
            <w:r>
              <w:rPr>
                <w:rFonts w:ascii="宋体" w:hAnsi="宋体" w:cs="宋体" w:eastAsia="宋体" w:hint="default"/>
                <w:sz w:val="21"/>
                <w:szCs w:val="21"/>
              </w:rPr>
              <w:t>单项金额重大</w:t>
            </w:r>
            <w:r>
              <w:rPr>
                <w:rFonts w:ascii="宋体" w:hAnsi="宋体" w:cs="宋体" w:eastAsia="宋体" w:hint="default"/>
                <w:w w:val="100"/>
                <w:sz w:val="21"/>
                <w:szCs w:val="21"/>
              </w:rPr>
              <w:t> </w:t>
            </w: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30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63"/>
              <w:jc w:val="both"/>
              <w:rPr>
                <w:rFonts w:ascii="宋体" w:hAnsi="宋体" w:cs="宋体" w:eastAsia="宋体" w:hint="default"/>
                <w:sz w:val="21"/>
                <w:szCs w:val="21"/>
              </w:rPr>
            </w:pPr>
            <w:r>
              <w:rPr>
                <w:rFonts w:ascii="宋体" w:hAnsi="宋体" w:cs="宋体" w:eastAsia="宋体" w:hint="default"/>
                <w:sz w:val="21"/>
                <w:szCs w:val="21"/>
              </w:rPr>
              <w:t>按信用风险特</w:t>
            </w:r>
            <w:r>
              <w:rPr>
                <w:rFonts w:ascii="宋体" w:hAnsi="宋体" w:cs="宋体" w:eastAsia="宋体" w:hint="default"/>
                <w:w w:val="100"/>
                <w:sz w:val="21"/>
                <w:szCs w:val="21"/>
              </w:rPr>
              <w:t> </w:t>
            </w: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34,473,479.33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3,845,919.29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11.16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30,627,560.04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23,833,358.36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1,965,755.30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8.25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21,867,603.06</w:t>
            </w:r>
          </w:p>
        </w:tc>
      </w:tr>
      <w:tr>
        <w:trPr>
          <w:trHeight w:val="73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6" w:right="168"/>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账龄组</w:t>
            </w:r>
            <w:r>
              <w:rPr>
                <w:rFonts w:ascii="宋体" w:hAnsi="宋体" w:cs="宋体" w:eastAsia="宋体" w:hint="default"/>
                <w:w w:val="100"/>
                <w:sz w:val="21"/>
                <w:szCs w:val="21"/>
              </w:rPr>
              <w:t> </w:t>
            </w:r>
            <w:r>
              <w:rPr>
                <w:rFonts w:ascii="宋体" w:hAnsi="宋体" w:cs="宋体" w:eastAsia="宋体" w:hint="default"/>
                <w:sz w:val="21"/>
                <w:szCs w:val="21"/>
              </w:rPr>
              <w:t>合</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30,051,320.69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87.17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3,845,919.29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12.80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26,205,401.40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15,635,022.41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65.60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1,965,755.30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12.57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13,669,267.11</w:t>
            </w:r>
          </w:p>
        </w:tc>
      </w:tr>
      <w:tr>
        <w:trPr>
          <w:trHeight w:val="37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4,422,158.64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z w:val="21"/>
              </w:rPr>
              <w:t>12.83</w:t>
            </w:r>
          </w:p>
        </w:tc>
        <w:tc>
          <w:tcPr>
            <w:tcW w:w="150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4,422,158.64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8,198,335.95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34.40</w:t>
            </w:r>
          </w:p>
        </w:tc>
        <w:tc>
          <w:tcPr>
            <w:tcW w:w="14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8,198,335.95</w:t>
            </w:r>
          </w:p>
        </w:tc>
      </w:tr>
      <w:tr>
        <w:trPr>
          <w:trHeight w:val="145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26" w:right="63"/>
              <w:jc w:val="both"/>
              <w:rPr>
                <w:rFonts w:ascii="宋体" w:hAnsi="宋体" w:cs="宋体" w:eastAsia="宋体" w:hint="default"/>
                <w:sz w:val="21"/>
                <w:szCs w:val="21"/>
              </w:rPr>
            </w:pPr>
            <w:r>
              <w:rPr>
                <w:rFonts w:ascii="宋体" w:hAnsi="宋体" w:cs="宋体" w:eastAsia="宋体" w:hint="default"/>
                <w:sz w:val="21"/>
                <w:szCs w:val="21"/>
              </w:rPr>
              <w:t>单项金额不重</w:t>
            </w:r>
            <w:r>
              <w:rPr>
                <w:rFonts w:ascii="宋体" w:hAnsi="宋体" w:cs="宋体" w:eastAsia="宋体" w:hint="default"/>
                <w:w w:val="100"/>
                <w:sz w:val="21"/>
                <w:szCs w:val="21"/>
              </w:rPr>
              <w:t> </w:t>
            </w: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130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34,473,479.33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3,845,919.29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w w:val="100"/>
                <w:sz w:val="21"/>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30,627,560.04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pacing w:val="-1"/>
                <w:sz w:val="21"/>
              </w:rPr>
              <w:t>23,833,358.36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1,965,755.30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21"/>
                <w:szCs w:val="21"/>
              </w:rPr>
            </w:pPr>
            <w:r>
              <w:rPr>
                <w:rFonts w:ascii="Times New Roman"/>
                <w:sz w:val="21"/>
              </w:rPr>
              <w:t>8.25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21"/>
                <w:szCs w:val="21"/>
              </w:rPr>
            </w:pPr>
            <w:r>
              <w:rPr>
                <w:rFonts w:ascii="Times New Roman"/>
                <w:spacing w:val="-1"/>
                <w:sz w:val="21"/>
              </w:rPr>
              <w:t>21,867,603.06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63"/>
        <w:ind w:left="6710" w:right="6714" w:firstLine="0"/>
        <w:jc w:val="center"/>
        <w:rPr>
          <w:rFonts w:ascii="Calibri" w:hAnsi="Calibri" w:cs="Calibri" w:eastAsia="Calibri" w:hint="default"/>
          <w:sz w:val="18"/>
          <w:szCs w:val="18"/>
        </w:rPr>
      </w:pPr>
      <w:r>
        <w:rPr>
          <w:rFonts w:ascii="Calibri"/>
          <w:b/>
          <w:sz w:val="18"/>
        </w:rPr>
        <w:t>154 </w:t>
      </w:r>
      <w:r>
        <w:rPr>
          <w:rFonts w:ascii="Calibri"/>
          <w:sz w:val="18"/>
        </w:rPr>
        <w:t>/</w:t>
      </w:r>
      <w:r>
        <w:rPr>
          <w:rFonts w:ascii="Calibri"/>
          <w:spacing w:val="-5"/>
          <w:sz w:val="18"/>
        </w:rPr>
        <w:t> </w:t>
      </w:r>
      <w:r>
        <w:rPr>
          <w:rFonts w:ascii="Calibri"/>
          <w:b/>
          <w:sz w:val="18"/>
        </w:rPr>
        <w:t>161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00" w:right="138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BodyText"/>
        <w:spacing w:line="240" w:lineRule="auto"/>
        <w:ind w:left="218" w:right="227"/>
        <w:jc w:val="left"/>
      </w:pPr>
      <w:r>
        <w:rPr/>
        <w:t>期末单项金额重大并单项计提坏账准备的其他应收款：</w:t>
      </w:r>
    </w:p>
    <w:p>
      <w:pPr>
        <w:pStyle w:val="BodyText"/>
        <w:spacing w:line="240" w:lineRule="auto" w:before="58"/>
        <w:ind w:left="218" w:right="227"/>
        <w:jc w:val="left"/>
      </w:pPr>
      <w:r>
        <w:rPr/>
        <w:t>□适用√不适用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71"/>
          <w:pgSz w:w="11910" w:h="16840"/>
          <w:pgMar w:footer="974" w:header="0" w:top="1120" w:bottom="1160" w:left="1580" w:right="1040"/>
          <w:pgNumType w:start="155"/>
        </w:sectPr>
      </w:pPr>
    </w:p>
    <w:p>
      <w:pPr>
        <w:pStyle w:val="BodyText"/>
        <w:spacing w:line="240" w:lineRule="auto" w:before="36"/>
        <w:ind w:left="218" w:right="0"/>
        <w:jc w:val="left"/>
      </w:pPr>
      <w:r>
        <w:rPr>
          <w:spacing w:val="-2"/>
        </w:rPr>
        <w:t>组合中，按账龄分析法计提坏账准备的其他应收款：</w:t>
      </w:r>
    </w:p>
    <w:p>
      <w:pPr>
        <w:pStyle w:val="BodyText"/>
        <w:spacing w:line="240" w:lineRule="auto" w:before="56"/>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5053" w:space="168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19,608,716.74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588,261.50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4,546,867.86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454,686.79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2,108,257.81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421,651.56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2,442,410.60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1,221,205.30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924,767.68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739,814.14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80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420,300.00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420,300.00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30,051,320.69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3,845,919.29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12.8</w:t>
            </w:r>
          </w:p>
        </w:tc>
      </w:tr>
    </w:tbl>
    <w:p>
      <w:pPr>
        <w:spacing w:line="240" w:lineRule="auto" w:before="7"/>
        <w:rPr>
          <w:rFonts w:ascii="宋体" w:hAnsi="宋体" w:cs="宋体" w:eastAsia="宋体" w:hint="default"/>
          <w:sz w:val="15"/>
          <w:szCs w:val="15"/>
        </w:rPr>
      </w:pPr>
    </w:p>
    <w:p>
      <w:pPr>
        <w:pStyle w:val="BodyText"/>
        <w:spacing w:line="272" w:lineRule="exact" w:before="64"/>
        <w:ind w:left="218" w:right="6729"/>
        <w:jc w:val="left"/>
      </w:pPr>
      <w:r>
        <w:rPr>
          <w:spacing w:val="-2"/>
        </w:rPr>
        <w:t>确定该组合依据的说明：</w:t>
      </w:r>
      <w:r>
        <w:rPr>
          <w:spacing w:val="-83"/>
        </w:rPr>
        <w:t> </w:t>
      </w:r>
      <w:r>
        <w:rPr>
          <w:spacing w:val="-83"/>
        </w:rPr>
      </w:r>
      <w:r>
        <w:rPr/>
        <w:t>无</w:t>
      </w:r>
    </w:p>
    <w:p>
      <w:pPr>
        <w:spacing w:line="240" w:lineRule="auto" w:before="5"/>
        <w:rPr>
          <w:rFonts w:ascii="宋体" w:hAnsi="宋体" w:cs="宋体" w:eastAsia="宋体" w:hint="default"/>
          <w:sz w:val="23"/>
          <w:szCs w:val="23"/>
        </w:rPr>
      </w:pPr>
    </w:p>
    <w:p>
      <w:pPr>
        <w:pStyle w:val="BodyText"/>
        <w:spacing w:line="240" w:lineRule="auto"/>
        <w:ind w:left="218" w:right="227"/>
        <w:jc w:val="left"/>
      </w:pPr>
      <w:r>
        <w:rPr/>
        <w:t>组合中，采用余额百分比法计提坏账准备的其他应收款：</w:t>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90" w:lineRule="auto"/>
        <w:ind w:left="218" w:right="4006"/>
        <w:jc w:val="left"/>
      </w:pPr>
      <w:r>
        <w:rPr>
          <w:spacing w:val="-2"/>
        </w:rPr>
        <w:t>组合中，采用其他方法计提坏账准备的其他应收款：</w:t>
      </w:r>
      <w:r>
        <w:rPr>
          <w:spacing w:val="-62"/>
        </w:rPr>
        <w:t> </w:t>
      </w:r>
      <w:r>
        <w:rPr>
          <w:spacing w:val="-62"/>
        </w:rPr>
      </w:r>
      <w:r>
        <w:rPr/>
        <w:t>无。</w:t>
      </w:r>
    </w:p>
    <w:p>
      <w:pPr>
        <w:spacing w:line="240" w:lineRule="auto" w:before="11"/>
        <w:rPr>
          <w:rFonts w:ascii="宋体" w:hAnsi="宋体" w:cs="宋体" w:eastAsia="宋体" w:hint="default"/>
          <w:sz w:val="21"/>
          <w:szCs w:val="21"/>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1816"/>
        <w:jc w:val="left"/>
      </w:pPr>
      <w:r>
        <w:rPr/>
        <w:t>本期计提坏账准备金额</w:t>
      </w:r>
      <w:r>
        <w:rPr>
          <w:spacing w:val="-55"/>
        </w:rPr>
        <w:t> </w:t>
      </w:r>
      <w:r>
        <w:rPr>
          <w:rFonts w:ascii="宋体" w:hAnsi="宋体" w:cs="宋体" w:eastAsia="宋体" w:hint="default"/>
        </w:rPr>
        <w:t>1,880,163.99</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49" w:lineRule="exact"/>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580" w:right="1040"/>
        </w:sectPr>
      </w:pPr>
    </w:p>
    <w:p>
      <w:pPr>
        <w:pStyle w:val="Heading2"/>
        <w:spacing w:line="240" w:lineRule="auto" w:before="36"/>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3699" w:space="303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18,189,693.45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9,895,585.70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5,609,147.79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9,673,330.36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招投标保证金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7,898,315.27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3,209,563.65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2,464,323.14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924,308.65</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311,999.68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130,570.00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34,473,479.33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23,833,358.36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4" w:top="1120" w:bottom="1160" w:left="1640" w:right="1120"/>
        </w:sectPr>
      </w:pPr>
    </w:p>
    <w:p>
      <w:pPr>
        <w:pStyle w:val="Heading2"/>
        <w:spacing w:line="240" w:lineRule="auto" w:before="36"/>
        <w:ind w:left="158" w:right="-16"/>
        <w:jc w:val="left"/>
        <w:rPr>
          <w:b w:val="0"/>
          <w:bCs w:val="0"/>
        </w:rPr>
      </w:pPr>
      <w:r>
        <w:rPr>
          <w:rFonts w:ascii="宋体" w:hAnsi="宋体" w:cs="宋体" w:eastAsia="宋体" w:hint="default"/>
        </w:rPr>
        <w:t>(5).</w:t>
      </w:r>
      <w:r>
        <w:rPr>
          <w:rFonts w:ascii="宋体" w:hAnsi="宋体" w:cs="宋体" w:eastAsia="宋体" w:hint="default"/>
          <w:spacing w:val="-5"/>
        </w:rPr>
        <w:t> </w:t>
      </w:r>
      <w:r>
        <w:rPr/>
        <w:t>按欠款方归集的期末余额前五名的其他应收款情况：</w:t>
      </w:r>
      <w:r>
        <w:rPr>
          <w:b w:val="0"/>
          <w:bCs w:val="0"/>
        </w:rPr>
      </w:r>
    </w:p>
    <w:p>
      <w:pPr>
        <w:pStyle w:val="BodyText"/>
        <w:spacing w:line="240" w:lineRule="auto" w:before="58"/>
        <w:ind w:left="1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160" w:left="1640" w:right="1120"/>
          <w:cols w:num="2" w:equalWidth="0">
            <w:col w:w="5536" w:space="1197"/>
            <w:col w:w="241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5"/>
        <w:gridCol w:w="1297"/>
        <w:gridCol w:w="1373"/>
        <w:gridCol w:w="2384"/>
        <w:gridCol w:w="1049"/>
        <w:gridCol w:w="1118"/>
      </w:tblGrid>
      <w:tr>
        <w:trPr>
          <w:trHeight w:val="1375"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w:t>
            </w:r>
          </w:p>
          <w:p>
            <w:pPr>
              <w:pStyle w:val="TableParagraph"/>
              <w:spacing w:line="237" w:lineRule="auto" w:before="2"/>
              <w:ind w:left="96" w:right="94"/>
              <w:jc w:val="center"/>
              <w:rPr>
                <w:rFonts w:ascii="宋体" w:hAnsi="宋体" w:cs="宋体" w:eastAsia="宋体" w:hint="default"/>
                <w:sz w:val="21"/>
                <w:szCs w:val="21"/>
              </w:rPr>
            </w:pPr>
            <w:r>
              <w:rPr>
                <w:rFonts w:ascii="宋体" w:hAnsi="宋体" w:cs="宋体" w:eastAsia="宋体" w:hint="default"/>
                <w:sz w:val="21"/>
                <w:szCs w:val="21"/>
              </w:rPr>
              <w:t>收款期末</w:t>
            </w:r>
            <w:r>
              <w:rPr>
                <w:rFonts w:ascii="宋体" w:hAnsi="宋体" w:cs="宋体" w:eastAsia="宋体" w:hint="default"/>
                <w:w w:val="100"/>
                <w:sz w:val="21"/>
                <w:szCs w:val="21"/>
              </w:rPr>
              <w:t> </w:t>
            </w:r>
            <w:r>
              <w:rPr>
                <w:rFonts w:ascii="宋体" w:hAnsi="宋体" w:cs="宋体" w:eastAsia="宋体" w:hint="default"/>
                <w:sz w:val="21"/>
                <w:szCs w:val="21"/>
              </w:rPr>
              <w:t>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1" w:right="12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499"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36"/>
              <w:jc w:val="center"/>
              <w:rPr>
                <w:rFonts w:ascii="宋体" w:hAnsi="宋体" w:cs="宋体" w:eastAsia="宋体" w:hint="default"/>
                <w:sz w:val="21"/>
                <w:szCs w:val="21"/>
              </w:rPr>
            </w:pPr>
            <w:r>
              <w:rPr>
                <w:rFonts w:ascii="宋体" w:hAnsi="宋体" w:cs="宋体" w:eastAsia="宋体" w:hint="default"/>
                <w:sz w:val="21"/>
                <w:szCs w:val="21"/>
              </w:rPr>
              <w:t>其他应收客户一</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1"/>
              <w:jc w:val="right"/>
              <w:rPr>
                <w:rFonts w:ascii="Times New Roman" w:hAnsi="Times New Roman" w:cs="Times New Roman" w:eastAsia="Times New Roman" w:hint="default"/>
                <w:sz w:val="21"/>
                <w:szCs w:val="21"/>
              </w:rPr>
            </w:pPr>
            <w:r>
              <w:rPr>
                <w:rFonts w:ascii="Times New Roman"/>
                <w:spacing w:val="-1"/>
                <w:sz w:val="21"/>
              </w:rPr>
              <w:t>2,025,453.00</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z w:val="21"/>
              </w:rPr>
              <w:t>5.88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60,763.59</w:t>
            </w:r>
          </w:p>
        </w:tc>
      </w:tr>
      <w:tr>
        <w:trPr>
          <w:trHeight w:val="1347"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36"/>
              <w:jc w:val="center"/>
              <w:rPr>
                <w:rFonts w:ascii="宋体" w:hAnsi="宋体" w:cs="宋体" w:eastAsia="宋体" w:hint="default"/>
                <w:sz w:val="21"/>
                <w:szCs w:val="21"/>
              </w:rPr>
            </w:pPr>
            <w:r>
              <w:rPr>
                <w:rFonts w:ascii="宋体" w:hAnsi="宋体" w:cs="宋体" w:eastAsia="宋体" w:hint="default"/>
                <w:sz w:val="21"/>
                <w:szCs w:val="21"/>
              </w:rPr>
              <w:t>其他应收客户二</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1,947,578.00</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891,502.00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3"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 </w:t>
            </w:r>
            <w:r>
              <w:rPr>
                <w:rFonts w:ascii="Times New Roman" w:hAnsi="Times New Roman" w:cs="Times New Roman" w:eastAsia="Times New Roman" w:hint="default"/>
                <w:sz w:val="21"/>
                <w:szCs w:val="21"/>
              </w:rPr>
              <w:t>710,276.00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2</w:t>
            </w:r>
          </w:p>
          <w:p>
            <w:pPr>
              <w:pStyle w:val="TableParagraph"/>
              <w:spacing w:line="273"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273,000.00</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14,800.00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p>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58,000.00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5.65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206,172.66</w:t>
            </w:r>
          </w:p>
        </w:tc>
      </w:tr>
      <w:tr>
        <w:trPr>
          <w:trHeight w:val="830"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6"/>
              <w:jc w:val="center"/>
              <w:rPr>
                <w:rFonts w:ascii="宋体" w:hAnsi="宋体" w:cs="宋体" w:eastAsia="宋体" w:hint="default"/>
                <w:sz w:val="21"/>
                <w:szCs w:val="21"/>
              </w:rPr>
            </w:pPr>
            <w:r>
              <w:rPr>
                <w:rFonts w:ascii="宋体" w:hAnsi="宋体" w:cs="宋体" w:eastAsia="宋体" w:hint="default"/>
                <w:sz w:val="21"/>
                <w:szCs w:val="21"/>
              </w:rPr>
              <w:t>其他应收客户三</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8"/>
                <w:sz w:val="21"/>
                <w:szCs w:val="21"/>
              </w:rPr>
              <w:t> </w:t>
            </w:r>
            <w:r>
              <w:rPr>
                <w:rFonts w:ascii="宋体" w:hAnsi="宋体" w:cs="宋体" w:eastAsia="宋体" w:hint="default"/>
                <w:sz w:val="21"/>
                <w:szCs w:val="21"/>
              </w:rPr>
              <w:t>标</w:t>
            </w:r>
            <w:r>
              <w:rPr>
                <w:rFonts w:ascii="宋体" w:hAnsi="宋体" w:cs="宋体" w:eastAsia="宋体" w:hint="default"/>
                <w:spacing w:val="-78"/>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证</w:t>
            </w:r>
            <w:r>
              <w:rPr>
                <w:rFonts w:ascii="宋体" w:hAnsi="宋体" w:cs="宋体" w:eastAsia="宋体" w:hint="default"/>
                <w:spacing w:val="-76"/>
                <w:sz w:val="21"/>
                <w:szCs w:val="21"/>
              </w:rPr>
              <w:t> </w:t>
            </w:r>
            <w:r>
              <w:rPr>
                <w:rFonts w:ascii="宋体" w:hAnsi="宋体" w:cs="宋体" w:eastAsia="宋体" w:hint="default"/>
                <w:sz w:val="21"/>
                <w:szCs w:val="21"/>
              </w:rPr>
              <w:t>金</w:t>
            </w:r>
          </w:p>
          <w:p>
            <w:pPr>
              <w:pStyle w:val="TableParagraph"/>
              <w:spacing w:line="240" w:lineRule="auto"/>
              <w:ind w:left="23" w:right="93"/>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78"/>
                <w:sz w:val="21"/>
                <w:szCs w:val="21"/>
              </w:rPr>
              <w:t> </w:t>
            </w:r>
            <w:r>
              <w:rPr>
                <w:rFonts w:ascii="宋体" w:hAnsi="宋体" w:cs="宋体" w:eastAsia="宋体" w:hint="default"/>
                <w:sz w:val="21"/>
                <w:szCs w:val="21"/>
              </w:rPr>
              <w:t>履</w:t>
            </w:r>
            <w:r>
              <w:rPr>
                <w:rFonts w:ascii="宋体" w:hAnsi="宋体" w:cs="宋体" w:eastAsia="宋体" w:hint="default"/>
                <w:spacing w:val="-78"/>
                <w:sz w:val="21"/>
                <w:szCs w:val="21"/>
              </w:rPr>
              <w:t> </w:t>
            </w:r>
            <w:r>
              <w:rPr>
                <w:rFonts w:ascii="宋体" w:hAnsi="宋体" w:cs="宋体" w:eastAsia="宋体" w:hint="default"/>
                <w:sz w:val="21"/>
                <w:szCs w:val="21"/>
              </w:rPr>
              <w:t>约</w:t>
            </w:r>
            <w:r>
              <w:rPr>
                <w:rFonts w:ascii="宋体" w:hAnsi="宋体" w:cs="宋体" w:eastAsia="宋体" w:hint="default"/>
                <w:spacing w:val="-78"/>
                <w:sz w:val="21"/>
                <w:szCs w:val="21"/>
              </w:rPr>
              <w:t> </w:t>
            </w:r>
            <w:r>
              <w:rPr>
                <w:rFonts w:ascii="宋体" w:hAnsi="宋体" w:cs="宋体" w:eastAsia="宋体" w:hint="default"/>
                <w:sz w:val="21"/>
                <w:szCs w:val="21"/>
              </w:rPr>
              <w:t>保</w:t>
            </w:r>
            <w:r>
              <w:rPr>
                <w:rFonts w:ascii="宋体" w:hAnsi="宋体" w:cs="宋体" w:eastAsia="宋体" w:hint="default"/>
                <w:spacing w:val="-76"/>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
                <w:sz w:val="21"/>
              </w:rPr>
              <w:t>1,906,940.00</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5.53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57,280.20</w:t>
            </w:r>
          </w:p>
        </w:tc>
      </w:tr>
      <w:tr>
        <w:trPr>
          <w:trHeight w:val="562"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6"/>
              <w:jc w:val="center"/>
              <w:rPr>
                <w:rFonts w:ascii="宋体" w:hAnsi="宋体" w:cs="宋体" w:eastAsia="宋体" w:hint="default"/>
                <w:sz w:val="21"/>
                <w:szCs w:val="21"/>
              </w:rPr>
            </w:pPr>
            <w:r>
              <w:rPr>
                <w:rFonts w:ascii="宋体" w:hAnsi="宋体" w:cs="宋体" w:eastAsia="宋体" w:hint="default"/>
                <w:sz w:val="21"/>
                <w:szCs w:val="21"/>
              </w:rPr>
              <w:t>其他应收客户四</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
                <w:sz w:val="21"/>
              </w:rPr>
              <w:t>1,809,135.11</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1,614,582.40</w:t>
            </w:r>
            <w:r>
              <w:rPr>
                <w:rFonts w:ascii="宋体" w:hAnsi="宋体" w:cs="宋体" w:eastAsia="宋体" w:hint="default"/>
                <w:sz w:val="21"/>
                <w:szCs w:val="21"/>
              </w:rPr>
              <w:t>，</w:t>
            </w:r>
          </w:p>
          <w:p>
            <w:pPr>
              <w:pStyle w:val="TableParagraph"/>
              <w:spacing w:line="281"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194,552.71</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5.25</w:t>
            </w:r>
          </w:p>
        </w:tc>
        <w:tc>
          <w:tcPr>
            <w:tcW w:w="1118"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6"/>
              <w:jc w:val="center"/>
              <w:rPr>
                <w:rFonts w:ascii="宋体" w:hAnsi="宋体" w:cs="宋体" w:eastAsia="宋体" w:hint="default"/>
                <w:sz w:val="21"/>
                <w:szCs w:val="21"/>
              </w:rPr>
            </w:pPr>
            <w:r>
              <w:rPr>
                <w:rFonts w:ascii="宋体" w:hAnsi="宋体" w:cs="宋体" w:eastAsia="宋体" w:hint="default"/>
                <w:sz w:val="21"/>
                <w:szCs w:val="21"/>
              </w:rPr>
              <w:t>其他应收客户五</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1"/>
              <w:jc w:val="right"/>
              <w:rPr>
                <w:rFonts w:ascii="Times New Roman" w:hAnsi="Times New Roman" w:cs="Times New Roman" w:eastAsia="Times New Roman" w:hint="default"/>
                <w:sz w:val="21"/>
                <w:szCs w:val="21"/>
              </w:rPr>
            </w:pPr>
            <w:r>
              <w:rPr>
                <w:rFonts w:ascii="Times New Roman"/>
                <w:spacing w:val="-1"/>
                <w:sz w:val="21"/>
              </w:rPr>
              <w:t>927,105.00</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z w:val="21"/>
              </w:rPr>
              <w:t>2.69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27,813.15</w:t>
            </w:r>
          </w:p>
        </w:tc>
      </w:tr>
      <w:tr>
        <w:trPr>
          <w:trHeight w:val="355" w:hRule="exact"/>
        </w:trPr>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
              <w:jc w:val="center"/>
              <w:rPr>
                <w:rFonts w:ascii="宋体" w:hAnsi="宋体" w:cs="宋体" w:eastAsia="宋体" w:hint="default"/>
                <w:sz w:val="21"/>
                <w:szCs w:val="21"/>
              </w:rPr>
            </w:pPr>
            <w:r>
              <w:rPr>
                <w:rFonts w:ascii="宋体"/>
                <w:w w:val="100"/>
                <w:sz w:val="21"/>
              </w:rPr>
              <w:t>/</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1"/>
              <w:jc w:val="right"/>
              <w:rPr>
                <w:rFonts w:ascii="Times New Roman" w:hAnsi="Times New Roman" w:cs="Times New Roman" w:eastAsia="Times New Roman" w:hint="default"/>
                <w:sz w:val="21"/>
                <w:szCs w:val="21"/>
              </w:rPr>
            </w:pPr>
            <w:r>
              <w:rPr>
                <w:rFonts w:ascii="Times New Roman"/>
                <w:spacing w:val="-1"/>
                <w:sz w:val="21"/>
              </w:rPr>
              <w:t>8,616,211.11</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w w:val="100"/>
                <w:sz w:val="21"/>
              </w:rPr>
              <w:t>/</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z w:val="21"/>
              </w:rPr>
              <w:t>25</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pacing w:val="-1"/>
                <w:sz w:val="21"/>
              </w:rPr>
              <w:t>352,029.60</w:t>
            </w:r>
          </w:p>
        </w:tc>
      </w:tr>
    </w:tbl>
    <w:p>
      <w:pPr>
        <w:spacing w:line="240" w:lineRule="auto" w:before="13"/>
        <w:rPr>
          <w:rFonts w:ascii="宋体" w:hAnsi="宋体" w:cs="宋体" w:eastAsia="宋体" w:hint="default"/>
          <w:sz w:val="19"/>
          <w:szCs w:val="19"/>
        </w:rPr>
      </w:pPr>
    </w:p>
    <w:p>
      <w:pPr>
        <w:pStyle w:val="Heading2"/>
        <w:spacing w:line="240" w:lineRule="auto" w:before="36"/>
        <w:ind w:left="158" w:right="3302"/>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158" w:right="330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158" w:right="4434"/>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w w:val="100"/>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2"/>
        <w:spacing w:line="290" w:lineRule="auto"/>
        <w:ind w:left="158" w:right="3595"/>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w w:val="100"/>
        </w:rPr>
        <w:t> </w:t>
      </w:r>
      <w:r>
        <w:rPr>
          <w:rFonts w:ascii="宋体" w:hAnsi="宋体" w:cs="宋体" w:eastAsia="宋体" w:hint="default"/>
          <w:b w:val="0"/>
          <w:bCs w:val="0"/>
        </w:rPr>
        <w:t>无。</w:t>
      </w:r>
    </w:p>
    <w:p>
      <w:pPr>
        <w:spacing w:line="240" w:lineRule="auto" w:before="1"/>
        <w:rPr>
          <w:rFonts w:ascii="宋体" w:hAnsi="宋体" w:cs="宋体" w:eastAsia="宋体" w:hint="default"/>
          <w:sz w:val="17"/>
          <w:szCs w:val="17"/>
        </w:rPr>
      </w:pPr>
    </w:p>
    <w:p>
      <w:pPr>
        <w:pStyle w:val="BodyText"/>
        <w:spacing w:line="240" w:lineRule="auto"/>
        <w:ind w:left="158" w:right="7918"/>
        <w:jc w:val="left"/>
      </w:pPr>
      <w:r>
        <w:rPr/>
        <w:t>其他说明：</w:t>
      </w:r>
      <w:r>
        <w:rPr>
          <w:spacing w:val="-103"/>
        </w:rPr>
        <w:t> </w:t>
      </w:r>
      <w:r>
        <w:rPr>
          <w:spacing w:val="-103"/>
        </w:rPr>
      </w:r>
      <w:r>
        <w:rPr/>
        <w:t>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160" w:left="1640" w:right="1120"/>
        </w:sectPr>
      </w:pPr>
    </w:p>
    <w:p>
      <w:pPr>
        <w:pStyle w:val="Heading2"/>
        <w:spacing w:line="240" w:lineRule="auto" w:before="36"/>
        <w:ind w:left="15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1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160" w:left="1640" w:right="1120"/>
          <w:cols w:num="2" w:equalWidth="0">
            <w:col w:w="1851" w:space="4882"/>
            <w:col w:w="241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87"/>
        <w:gridCol w:w="1376"/>
        <w:gridCol w:w="802"/>
        <w:gridCol w:w="1376"/>
        <w:gridCol w:w="1270"/>
        <w:gridCol w:w="817"/>
        <w:gridCol w:w="1270"/>
      </w:tblGrid>
      <w:tr>
        <w:trPr>
          <w:trHeight w:val="288" w:hRule="exact"/>
        </w:trPr>
        <w:tc>
          <w:tcPr>
            <w:tcW w:w="198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987" w:type="dxa"/>
            <w:vMerge/>
            <w:tcBorders>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179,766,667.00</w:t>
            </w:r>
          </w:p>
        </w:tc>
        <w:tc>
          <w:tcPr>
            <w:tcW w:w="80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179,766,667.00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64,250,000.00</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64,250,000.00</w:t>
            </w:r>
          </w:p>
        </w:tc>
      </w:tr>
      <w:tr>
        <w:trPr>
          <w:trHeight w:val="559" w:hRule="exact"/>
        </w:trPr>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对联营、合营企业投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181,377.82</w:t>
            </w:r>
          </w:p>
        </w:tc>
        <w:tc>
          <w:tcPr>
            <w:tcW w:w="802"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181,377.82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181,377.82</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181,377.82</w:t>
            </w:r>
          </w:p>
        </w:tc>
      </w:tr>
      <w:tr>
        <w:trPr>
          <w:trHeight w:val="358" w:hRule="exact"/>
        </w:trPr>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2"/>
              <w:jc w:val="right"/>
              <w:rPr>
                <w:rFonts w:ascii="Times New Roman" w:hAnsi="Times New Roman" w:cs="Times New Roman" w:eastAsia="Times New Roman" w:hint="default"/>
                <w:sz w:val="21"/>
                <w:szCs w:val="21"/>
              </w:rPr>
            </w:pPr>
            <w:r>
              <w:rPr>
                <w:rFonts w:ascii="Times New Roman"/>
                <w:spacing w:val="-1"/>
                <w:sz w:val="21"/>
              </w:rPr>
              <w:t>179,948,044.82</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3"/>
              <w:jc w:val="right"/>
              <w:rPr>
                <w:rFonts w:ascii="Times New Roman" w:hAnsi="Times New Roman" w:cs="Times New Roman" w:eastAsia="Times New Roman" w:hint="default"/>
                <w:sz w:val="21"/>
                <w:szCs w:val="21"/>
              </w:rPr>
            </w:pPr>
            <w:r>
              <w:rPr>
                <w:rFonts w:ascii="Times New Roman"/>
                <w:w w:val="100"/>
                <w:sz w:val="21"/>
              </w:rPr>
              <w:t>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179,948,044.82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64,431,377.82</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z w:val="21"/>
              </w:rPr>
              <w:t>0.00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64,431,377.82</w:t>
            </w:r>
          </w:p>
        </w:tc>
      </w:tr>
    </w:tbl>
    <w:p>
      <w:pPr>
        <w:pStyle w:val="Heading2"/>
        <w:spacing w:line="240" w:lineRule="auto" w:before="26"/>
        <w:ind w:left="158" w:right="3302"/>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158" w:right="3302"/>
        <w:jc w:val="left"/>
      </w:pPr>
      <w:r>
        <w:rPr/>
        <w:t>√适用</w:t>
      </w:r>
      <w:r>
        <w:rPr>
          <w:spacing w:val="-1"/>
        </w:rPr>
        <w:t> </w:t>
      </w:r>
      <w:r>
        <w:rPr/>
        <w:t>□不适用</w:t>
      </w:r>
    </w:p>
    <w:p>
      <w:pPr>
        <w:spacing w:after="0" w:line="240" w:lineRule="auto"/>
        <w:jc w:val="left"/>
        <w:sectPr>
          <w:type w:val="continuous"/>
          <w:pgSz w:w="11910" w:h="16840"/>
          <w:pgMar w:top="1120" w:bottom="1160" w:left="1640" w:right="112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2"/>
        <w:gridCol w:w="1599"/>
        <w:gridCol w:w="1599"/>
        <w:gridCol w:w="703"/>
        <w:gridCol w:w="1625"/>
        <w:gridCol w:w="869"/>
        <w:gridCol w:w="912"/>
      </w:tblGrid>
      <w:tr>
        <w:trPr>
          <w:trHeight w:val="826"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6" w:right="13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18" w:right="110"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7"/>
              <w:ind w:left="240" w:right="132"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557"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北京南威科技有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宁德南威软件有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厦门市南威软件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福建南威软件有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80,000,000.00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西安南威信息科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技有限责任公司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3,500,000.00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昌吉州南威软件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成都南威软件有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福建神威系统集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成有限责任公司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13,750,000.00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0"/>
              <w:jc w:val="right"/>
              <w:rPr>
                <w:rFonts w:ascii="Times New Roman" w:hAnsi="Times New Roman" w:cs="Times New Roman" w:eastAsia="Times New Roman" w:hint="default"/>
                <w:sz w:val="21"/>
                <w:szCs w:val="21"/>
              </w:rPr>
            </w:pPr>
            <w:r>
              <w:rPr>
                <w:rFonts w:ascii="Times New Roman"/>
                <w:spacing w:val="-11"/>
                <w:sz w:val="21"/>
              </w:rPr>
              <w:t>13,750,000.00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27,500,000.00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江西南威软件有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1"/>
                <w:sz w:val="21"/>
              </w:rPr>
              <w:t>5,000,000.00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南平南威软件有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海南科特尔科技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重庆南威信息技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上海南信信息科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2,100,000.00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2,100,000.00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北京万创聚力科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福建网链科技有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4,666,667.00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4,666,667.00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64,250,000.00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115,516,667.00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179,766,667.00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20" w:bottom="1160" w:left="1580" w:right="1040"/>
        </w:sectPr>
      </w:pPr>
    </w:p>
    <w:p>
      <w:pPr>
        <w:spacing w:before="20"/>
        <w:ind w:left="0" w:right="241" w:firstLine="0"/>
        <w:jc w:val="righ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2"/>
          <w:footerReference w:type="default" r:id="rId73"/>
          <w:pgSz w:w="16840" w:h="11910" w:orient="landscape"/>
          <w:pgMar w:header="0" w:footer="0" w:top="800" w:bottom="280" w:left="1220" w:right="1300"/>
        </w:sectPr>
      </w:pPr>
    </w:p>
    <w:p>
      <w:pPr>
        <w:pStyle w:val="Heading2"/>
        <w:spacing w:line="240" w:lineRule="auto" w:before="36"/>
        <w:ind w:left="22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2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120" w:bottom="1160" w:left="1220" w:right="1300"/>
          <w:cols w:num="2" w:equalWidth="0">
            <w:col w:w="2755" w:space="9019"/>
            <w:col w:w="25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84"/>
        <w:gridCol w:w="1579"/>
        <w:gridCol w:w="725"/>
        <w:gridCol w:w="799"/>
        <w:gridCol w:w="1224"/>
        <w:gridCol w:w="1100"/>
        <w:gridCol w:w="1106"/>
        <w:gridCol w:w="1222"/>
        <w:gridCol w:w="1208"/>
        <w:gridCol w:w="977"/>
        <w:gridCol w:w="1406"/>
        <w:gridCol w:w="1143"/>
      </w:tblGrid>
      <w:tr>
        <w:trPr>
          <w:trHeight w:val="466" w:hRule="exact"/>
        </w:trPr>
        <w:tc>
          <w:tcPr>
            <w:tcW w:w="158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576" w:right="573"/>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573" w:right="571"/>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36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487" w:right="485"/>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146" w:right="142"/>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6" w:hRule="exact"/>
        </w:trPr>
        <w:tc>
          <w:tcPr>
            <w:tcW w:w="1584"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146"/>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4" w:right="18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40" w:lineRule="auto"/>
              <w:ind w:left="290" w:right="182" w:hanging="104"/>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120"/>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8" w:right="125"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90" w:right="182" w:hanging="106"/>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8" w:right="176" w:hanging="212"/>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06" w:type="dxa"/>
            <w:vMerge/>
            <w:tcBorders>
              <w:left w:val="single" w:sz="4" w:space="0" w:color="000000"/>
              <w:bottom w:val="single" w:sz="4" w:space="0" w:color="000000"/>
              <w:right w:val="single" w:sz="4" w:space="0" w:color="000000"/>
            </w:tcBorders>
          </w:tcPr>
          <w:p>
            <w:pPr/>
          </w:p>
        </w:tc>
        <w:tc>
          <w:tcPr>
            <w:tcW w:w="1143" w:type="dxa"/>
            <w:vMerge/>
            <w:tcBorders>
              <w:left w:val="single" w:sz="4" w:space="0" w:color="000000"/>
              <w:bottom w:val="single" w:sz="4" w:space="0" w:color="000000"/>
              <w:right w:val="single" w:sz="4" w:space="0" w:color="000000"/>
            </w:tcBorders>
          </w:tcPr>
          <w:p>
            <w:pPr/>
          </w:p>
        </w:tc>
      </w:tr>
      <w:tr>
        <w:trPr>
          <w:trHeight w:val="46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579"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南京伍安信息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7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7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72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181,377.82</w:t>
            </w:r>
          </w:p>
        </w:tc>
        <w:tc>
          <w:tcPr>
            <w:tcW w:w="11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0" w:right="0"/>
        <w:jc w:val="left"/>
      </w:pPr>
      <w:r>
        <w:rPr/>
        <w:t>其他说明：</w:t>
      </w:r>
    </w:p>
    <w:p>
      <w:pPr>
        <w:pStyle w:val="BodyText"/>
        <w:spacing w:line="274" w:lineRule="exact"/>
        <w:ind w:left="220" w:right="0"/>
        <w:jc w:val="left"/>
      </w:pPr>
      <w:r>
        <w:rPr/>
        <w:t>无。</w:t>
      </w:r>
    </w:p>
    <w:p>
      <w:pPr>
        <w:spacing w:line="240" w:lineRule="auto" w:before="6"/>
        <w:rPr>
          <w:rFonts w:ascii="宋体" w:hAnsi="宋体" w:cs="宋体" w:eastAsia="宋体" w:hint="default"/>
          <w:sz w:val="22"/>
          <w:szCs w:val="22"/>
        </w:rPr>
      </w:pPr>
    </w:p>
    <w:p>
      <w:pPr>
        <w:pStyle w:val="Heading2"/>
        <w:spacing w:line="240" w:lineRule="auto" w:before="36"/>
        <w:ind w:left="220" w:right="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spacing w:line="240" w:lineRule="auto" w:before="56"/>
        <w:ind w:left="0" w:right="219"/>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427"/>
        <w:gridCol w:w="2592"/>
        <w:gridCol w:w="2592"/>
        <w:gridCol w:w="2357"/>
        <w:gridCol w:w="2122"/>
      </w:tblGrid>
      <w:tr>
        <w:trPr>
          <w:trHeight w:val="350" w:hRule="exact"/>
        </w:trPr>
        <w:tc>
          <w:tcPr>
            <w:tcW w:w="4427"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8" w:hRule="exact"/>
        </w:trPr>
        <w:tc>
          <w:tcPr>
            <w:tcW w:w="4427" w:type="dxa"/>
            <w:vMerge/>
            <w:tcBorders>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50"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340,686,690.64</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238,971,249.02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297,667,154.63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152,040,072.71</w:t>
            </w:r>
          </w:p>
        </w:tc>
      </w:tr>
      <w:tr>
        <w:trPr>
          <w:trHeight w:val="350"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1,670,064.45</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1,406,054.08</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1,407,392.00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536,253.07</w:t>
            </w:r>
          </w:p>
        </w:tc>
      </w:tr>
      <w:tr>
        <w:trPr>
          <w:trHeight w:val="351"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342,356,755.09</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240,377,303.10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299,074,546.63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152,576,325.78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6790" w:right="6794" w:firstLine="0"/>
        <w:jc w:val="center"/>
        <w:rPr>
          <w:rFonts w:ascii="Calibri" w:hAnsi="Calibri" w:cs="Calibri" w:eastAsia="Calibri" w:hint="default"/>
          <w:sz w:val="18"/>
          <w:szCs w:val="18"/>
        </w:rPr>
      </w:pPr>
      <w:r>
        <w:rPr>
          <w:rFonts w:ascii="Calibri"/>
          <w:b/>
          <w:sz w:val="18"/>
        </w:rPr>
        <w:t>158 </w:t>
      </w:r>
      <w:r>
        <w:rPr>
          <w:rFonts w:ascii="Calibri"/>
          <w:sz w:val="18"/>
        </w:rPr>
        <w:t>/</w:t>
      </w:r>
      <w:r>
        <w:rPr>
          <w:rFonts w:ascii="Calibri"/>
          <w:spacing w:val="-5"/>
          <w:sz w:val="18"/>
        </w:rPr>
        <w:t> </w:t>
      </w:r>
      <w:r>
        <w:rPr>
          <w:rFonts w:ascii="Calibri"/>
          <w:b/>
          <w:sz w:val="18"/>
        </w:rPr>
        <w:t>161</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20" w:right="13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74"/>
          <w:pgSz w:w="11910" w:h="16840"/>
          <w:pgMar w:footer="974" w:header="0" w:top="1120" w:bottom="1160" w:left="1580" w:right="1040"/>
          <w:pgNumType w:start="15"/>
        </w:sectPr>
      </w:pPr>
    </w:p>
    <w:p>
      <w:pPr>
        <w:spacing w:line="240" w:lineRule="auto" w:before="10"/>
        <w:rPr>
          <w:rFonts w:ascii="Calibri" w:hAnsi="Calibri" w:cs="Calibri" w:eastAsia="Calibri" w:hint="default"/>
          <w:b/>
          <w:bCs/>
          <w:sz w:val="14"/>
          <w:szCs w:val="14"/>
        </w:rPr>
      </w:pPr>
    </w:p>
    <w:p>
      <w:pPr>
        <w:pStyle w:val="Heading2"/>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160" w:left="1580" w:right="104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-17,677.78</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3,908,469.04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9,059,969.80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1,004,794.52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12,968,438.84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987,116.74</w:t>
            </w:r>
          </w:p>
        </w:tc>
      </w:tr>
    </w:tbl>
    <w:p>
      <w:pPr>
        <w:spacing w:line="240" w:lineRule="auto" w:before="12"/>
        <w:rPr>
          <w:rFonts w:ascii="宋体" w:hAnsi="宋体" w:cs="宋体" w:eastAsia="宋体" w:hint="default"/>
          <w:sz w:val="19"/>
          <w:szCs w:val="19"/>
        </w:rPr>
      </w:pPr>
    </w:p>
    <w:p>
      <w:pPr>
        <w:spacing w:line="290" w:lineRule="auto" w:before="36"/>
        <w:ind w:left="218" w:right="8202"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160" w:left="1580" w:right="1040"/>
        </w:sectPr>
      </w:pPr>
    </w:p>
    <w:p>
      <w:pPr>
        <w:pStyle w:val="Heading2"/>
        <w:tabs>
          <w:tab w:pos="1057" w:val="left" w:leader="none"/>
        </w:tabs>
        <w:spacing w:line="240" w:lineRule="auto" w:before="36"/>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8" w:right="0"/>
        <w:jc w:val="left"/>
      </w:pPr>
      <w:r>
        <w:rPr/>
        <w:t>单位：元币种：人民币</w:t>
      </w:r>
    </w:p>
    <w:p>
      <w:pPr>
        <w:spacing w:after="0" w:line="240" w:lineRule="auto"/>
        <w:jc w:val="left"/>
        <w:sectPr>
          <w:type w:val="continuous"/>
          <w:pgSz w:w="11910" w:h="16840"/>
          <w:pgMar w:top="1120" w:bottom="1160" w:left="1580" w:right="1040"/>
          <w:cols w:num="2" w:equalWidth="0">
            <w:col w:w="2962" w:space="3771"/>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-179,315.68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18,044,066.67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13,896,823.77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-120,357.27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-4,777,317.76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21,433.75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26,885,333.48</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right="227"/>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1"/>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7.64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0.63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0.63</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4.39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0.36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0.36</w:t>
            </w:r>
          </w:p>
        </w:tc>
      </w:tr>
    </w:tbl>
    <w:p>
      <w:pPr>
        <w:spacing w:line="240" w:lineRule="auto" w:before="12"/>
        <w:rPr>
          <w:rFonts w:ascii="宋体" w:hAnsi="宋体" w:cs="宋体" w:eastAsia="宋体" w:hint="default"/>
          <w:b/>
          <w:bCs/>
          <w:sz w:val="19"/>
          <w:szCs w:val="19"/>
        </w:rPr>
      </w:pPr>
    </w:p>
    <w:p>
      <w:pPr>
        <w:pStyle w:val="Heading2"/>
        <w:spacing w:line="240" w:lineRule="auto" w:before="36"/>
        <w:ind w:right="227"/>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18"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right="8205"/>
        <w:jc w:val="left"/>
        <w:rPr>
          <w:rFonts w:ascii="宋体" w:hAnsi="宋体" w:cs="宋体" w:eastAsia="宋体" w:hint="default"/>
          <w:b w:val="0"/>
          <w:bCs w:val="0"/>
        </w:rPr>
      </w:pPr>
      <w:r>
        <w:rPr>
          <w:rFonts w:ascii="宋体" w:hAnsi="宋体" w:cs="宋体" w:eastAsia="宋体" w:hint="default"/>
        </w:rPr>
        <w:t>4</w:t>
      </w:r>
      <w:r>
        <w:rPr/>
        <w:t>、</w:t>
      </w:r>
      <w:r>
        <w:rPr>
          <w:spacing w:val="-1"/>
        </w:rPr>
        <w:t> </w:t>
      </w:r>
      <w:r>
        <w:rPr/>
        <w:t>其他</w:t>
      </w:r>
      <w:r>
        <w:rPr>
          <w:w w:val="100"/>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0" w:footer="974" w:top="1120" w:bottom="116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689"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2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载有法定代表人、主管会计工作负责人和会计机构负责人签名并盖章的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会计报表。</w:t>
            </w:r>
          </w:p>
        </w:tc>
      </w:tr>
      <w:tr>
        <w:trPr>
          <w:trHeight w:val="69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载有会计师事务所、注册会计师签名并盖章的审计报告原件。</w:t>
            </w:r>
          </w:p>
        </w:tc>
      </w:tr>
      <w:tr>
        <w:trPr>
          <w:trHeight w:val="692"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2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公告原稿。</w:t>
            </w:r>
          </w:p>
        </w:tc>
      </w:tr>
    </w:tbl>
    <w:p>
      <w:pPr>
        <w:spacing w:line="240" w:lineRule="auto" w:before="12"/>
        <w:rPr>
          <w:rFonts w:ascii="宋体" w:hAnsi="宋体" w:cs="宋体" w:eastAsia="宋体" w:hint="default"/>
          <w:b/>
          <w:bCs/>
          <w:sz w:val="24"/>
          <w:szCs w:val="24"/>
        </w:rPr>
      </w:pPr>
    </w:p>
    <w:p>
      <w:pPr>
        <w:pStyle w:val="BodyText"/>
        <w:spacing w:line="400" w:lineRule="auto" w:before="36"/>
        <w:ind w:left="5239" w:right="148" w:firstLine="2256"/>
        <w:jc w:val="left"/>
      </w:pPr>
      <w:r>
        <w:rPr>
          <w:spacing w:val="-1"/>
        </w:rPr>
        <w:t>董事长：吴志雄</w:t>
      </w:r>
      <w:r>
        <w:rPr>
          <w:w w:val="100"/>
        </w:rPr>
        <w:t> </w:t>
      </w:r>
      <w:r>
        <w:rPr/>
        <w:t>董事会批准报送日期：</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sectPr>
      <w:footerReference w:type="default" r:id="rId75"/>
      <w:pgSz w:w="11910" w:h="16840"/>
      <w:pgMar w:footer="974" w:header="0" w:top="1120" w:bottom="116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82.209961pt;width:28.8pt;height:11pt;mso-position-horizontal-relative:page;mso-position-vertical-relative:page;z-index:-778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8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8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778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35.585999pt;width:32.4pt;height:11pt;mso-position-horizontal-relative:page;mso-position-vertical-relative:page;z-index:-778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8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778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161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8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778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9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778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35.585999pt;width:33.4pt;height:11pt;mso-position-horizontal-relative:page;mso-position-vertical-relative:page;z-index:-778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7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777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161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7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7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777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7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777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161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8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777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161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777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35.585999pt;width:37.950pt;height:11pt;mso-position-horizontal-relative:page;mso-position-vertical-relative:page;z-index:-77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778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161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777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161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777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9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777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161 </w:t>
                </w:r>
                <w:r>
                  <w:rPr>
                    <w:rFonts w:ascii="Calibri"/>
                    <w:sz w:val="18"/>
                  </w:rPr>
                  <w:t>/</w:t>
                </w:r>
                <w:r>
                  <w:rPr>
                    <w:rFonts w:ascii="Calibri"/>
                    <w:spacing w:val="-5"/>
                    <w:sz w:val="18"/>
                  </w:rPr>
                  <w:t> </w:t>
                </w:r>
                <w:r>
                  <w:rPr>
                    <w:rFonts w:ascii="Calibri"/>
                    <w:b/>
                    <w:sz w:val="18"/>
                  </w:rPr>
                  <w:t>161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8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778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35.585999pt;width:32.4pt;height:11pt;mso-position-horizontal-relative:page;mso-position-vertical-relative:page;z-index:-778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161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778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35.585999pt;width:33.4pt;height:11pt;mso-position-horizontal-relative:page;mso-position-vertical-relative:page;z-index:-77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161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7881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790009pt;margin-top:42.985607pt;width:177.85pt;height:12pt;mso-position-horizontal-relative:page;mso-position-vertical-relative:page;z-index:-778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80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353.790009pt;margin-top:43.105606pt;width:177.85pt;height:12pt;mso-position-horizontal-relative:page;mso-position-vertical-relative:page;z-index:-777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77761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587.940002pt;margin-top:43.105633pt;width:177.8pt;height:12pt;mso-position-horizontal-relative:page;mso-position-vertical-relative:page;z-index:-777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754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353.790009pt;margin-top:43.105606pt;width:177.85pt;height:12pt;mso-position-horizontal-relative:page;mso-position-vertical-relative:page;z-index:-777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77864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587.940002pt;margin-top:42.985634pt;width:177.8pt;height:12pt;mso-position-horizontal-relative:page;mso-position-vertical-relative:page;z-index:-778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7855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353.790009pt;margin-top:42.985607pt;width:177.85pt;height:12pt;mso-position-horizontal-relative:page;mso-position-vertical-relative:page;z-index:-778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77848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587.940002pt;margin-top:42.985634pt;width:177.8pt;height:12pt;mso-position-horizontal-relative:page;mso-position-vertical-relative:page;z-index:-778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7840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353.790009pt;margin-top:42.985607pt;width:177.85pt;height:12pt;mso-position-horizontal-relative:page;mso-position-vertical-relative:page;z-index:-778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7831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592.140015pt;margin-top:42.985634pt;width:177.8pt;height:12pt;mso-position-horizontal-relative:page;mso-position-vertical-relative:page;z-index:-7782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7821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353.790009pt;margin-top:43.105606pt;width:177.85pt;height:12pt;mso-position-horizontal-relative:page;mso-position-vertical-relative:page;z-index:-778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7809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592.140015pt;margin-top:43.105633pt;width:177.8pt;height:12pt;mso-position-horizontal-relative:page;mso-position-vertical-relative:page;z-index:-778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南威软件股份有限公司</w:t>
                </w:r>
                <w:r>
                  <w:rPr>
                    <w:rFonts w:ascii="宋体" w:hAnsi="宋体" w:cs="宋体" w:eastAsia="宋体" w:hint="default"/>
                    <w:spacing w:val="-47"/>
                    <w:sz w:val="18"/>
                    <w:szCs w:val="18"/>
                  </w:rPr>
                  <w:t> </w:t>
                </w: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bona@linewell.com" TargetMode="External"/><Relationship Id="rId9" Type="http://schemas.openxmlformats.org/officeDocument/2006/relationships/hyperlink" Target="mailto:lpeiyu@linewell.com" TargetMode="External"/><Relationship Id="rId10" Type="http://schemas.openxmlformats.org/officeDocument/2006/relationships/hyperlink" Target="http://www.linewell.com/" TargetMode="External"/><Relationship Id="rId11" Type="http://schemas.openxmlformats.org/officeDocument/2006/relationships/hyperlink" Target="mailto:ir@linewell.com" TargetMode="External"/><Relationship Id="rId12" Type="http://schemas.openxmlformats.org/officeDocument/2006/relationships/hyperlink" Target="http://www.sse.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2.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3.xml"/><Relationship Id="rId21" Type="http://schemas.openxmlformats.org/officeDocument/2006/relationships/footer" Target="footer8.xml"/><Relationship Id="rId22" Type="http://schemas.openxmlformats.org/officeDocument/2006/relationships/header" Target="header4.xml"/><Relationship Id="rId23" Type="http://schemas.openxmlformats.org/officeDocument/2006/relationships/footer" Target="footer9.xml"/><Relationship Id="rId24" Type="http://schemas.openxmlformats.org/officeDocument/2006/relationships/header" Target="header5.xml"/><Relationship Id="rId25" Type="http://schemas.openxmlformats.org/officeDocument/2006/relationships/footer" Target="footer10.xml"/><Relationship Id="rId26" Type="http://schemas.openxmlformats.org/officeDocument/2006/relationships/header" Target="header6.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image" Target="media/image2.jpeg"/><Relationship Id="rId31" Type="http://schemas.openxmlformats.org/officeDocument/2006/relationships/header" Target="header7.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8.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9.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header" Target="header1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header" Target="header11.xml"/><Relationship Id="rId51" Type="http://schemas.openxmlformats.org/officeDocument/2006/relationships/footer" Target="footer29.xml"/><Relationship Id="rId52" Type="http://schemas.openxmlformats.org/officeDocument/2006/relationships/footer" Target="footer30.xml"/><Relationship Id="rId53" Type="http://schemas.openxmlformats.org/officeDocument/2006/relationships/header" Target="header12.xml"/><Relationship Id="rId54" Type="http://schemas.openxmlformats.org/officeDocument/2006/relationships/footer" Target="footer31.xml"/><Relationship Id="rId55" Type="http://schemas.openxmlformats.org/officeDocument/2006/relationships/footer" Target="footer32.xml"/><Relationship Id="rId56" Type="http://schemas.openxmlformats.org/officeDocument/2006/relationships/footer" Target="footer33.xml"/><Relationship Id="rId57" Type="http://schemas.openxmlformats.org/officeDocument/2006/relationships/footer" Target="footer34.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header" Target="header13.xml"/><Relationship Id="rId61" Type="http://schemas.openxmlformats.org/officeDocument/2006/relationships/footer" Target="footer37.xml"/><Relationship Id="rId62" Type="http://schemas.openxmlformats.org/officeDocument/2006/relationships/header" Target="header14.xml"/><Relationship Id="rId63" Type="http://schemas.openxmlformats.org/officeDocument/2006/relationships/footer" Target="footer38.xml"/><Relationship Id="rId64" Type="http://schemas.openxmlformats.org/officeDocument/2006/relationships/footer" Target="footer39.xml"/><Relationship Id="rId65" Type="http://schemas.openxmlformats.org/officeDocument/2006/relationships/footer" Target="footer40.xml"/><Relationship Id="rId66" Type="http://schemas.openxmlformats.org/officeDocument/2006/relationships/header" Target="header15.xml"/><Relationship Id="rId67" Type="http://schemas.openxmlformats.org/officeDocument/2006/relationships/footer" Target="footer41.xml"/><Relationship Id="rId68" Type="http://schemas.openxmlformats.org/officeDocument/2006/relationships/footer" Target="footer42.xml"/><Relationship Id="rId69" Type="http://schemas.openxmlformats.org/officeDocument/2006/relationships/header" Target="header16.xml"/><Relationship Id="rId70" Type="http://schemas.openxmlformats.org/officeDocument/2006/relationships/footer" Target="footer43.xml"/><Relationship Id="rId71" Type="http://schemas.openxmlformats.org/officeDocument/2006/relationships/footer" Target="footer44.xml"/><Relationship Id="rId72" Type="http://schemas.openxmlformats.org/officeDocument/2006/relationships/header" Target="header17.xml"/><Relationship Id="rId73" Type="http://schemas.openxmlformats.org/officeDocument/2006/relationships/footer" Target="footer45.xml"/><Relationship Id="rId74" Type="http://schemas.openxmlformats.org/officeDocument/2006/relationships/footer" Target="footer46.xml"/><Relationship Id="rId75" Type="http://schemas.openxmlformats.org/officeDocument/2006/relationships/footer" Target="foot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2020-05-04T22:20:16Z</dcterms:created>
  <dcterms:modified xsi:type="dcterms:W3CDTF">2020-05-04T22:20:16Z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Office Word 2007</vt:lpwstr>
  </property>
  <property fmtid="{D5CDD505-2E9C-101B-9397-08002B2CF9AE}" pid="4" name="LastSaved">
    <vt:filetime>2020-05-04T00:00:00Z</vt:filetime>
  </property>
</Properties>
</file>