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612" w:val="left" w:leader="none"/>
        </w:tabs>
        <w:spacing w:before="5"/>
        <w:ind w:left="11" w:right="0" w:firstLine="0"/>
        <w:jc w:val="center"/>
        <w:rPr>
          <w:rFonts w:ascii="宋体" w:hAnsi="宋体" w:cs="宋体" w:eastAsia="宋体" w:hint="default"/>
          <w:sz w:val="24"/>
          <w:szCs w:val="24"/>
        </w:rPr>
      </w:pPr>
      <w:r>
        <w:rPr>
          <w:rFonts w:ascii="宋体" w:hAnsi="宋体" w:cs="宋体" w:eastAsia="宋体" w:hint="default"/>
          <w:spacing w:val="-1"/>
          <w:sz w:val="24"/>
          <w:szCs w:val="24"/>
        </w:rPr>
        <w:t>公司代码：</w:t>
      </w:r>
      <w:r>
        <w:rPr>
          <w:rFonts w:ascii="Times New Roman" w:hAnsi="Times New Roman" w:cs="Times New Roman" w:eastAsia="Times New Roman" w:hint="default"/>
          <w:spacing w:val="-1"/>
          <w:sz w:val="24"/>
          <w:szCs w:val="24"/>
        </w:rPr>
        <w:t>603636</w:t>
        <w:tab/>
      </w:r>
      <w:r>
        <w:rPr>
          <w:rFonts w:ascii="宋体" w:hAnsi="宋体" w:cs="宋体" w:eastAsia="宋体" w:hint="default"/>
          <w:sz w:val="24"/>
          <w:szCs w:val="24"/>
        </w:rPr>
        <w:t>公司简称：南威软件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624" w:lineRule="exact" w:before="207"/>
        <w:ind w:left="2134" w:right="2049" w:firstLine="0"/>
        <w:jc w:val="center"/>
        <w:rPr>
          <w:rFonts w:ascii="黑体" w:hAnsi="黑体" w:cs="黑体" w:eastAsia="黑体" w:hint="default"/>
          <w:sz w:val="48"/>
          <w:szCs w:val="48"/>
        </w:rPr>
      </w:pPr>
      <w:r>
        <w:rPr>
          <w:rFonts w:ascii="黑体" w:hAnsi="黑体" w:cs="黑体" w:eastAsia="黑体" w:hint="default"/>
          <w:sz w:val="48"/>
          <w:szCs w:val="48"/>
        </w:rPr>
        <w:t>南威软件股份有限公司 </w:t>
      </w:r>
      <w:r>
        <w:rPr>
          <w:rFonts w:ascii="黑体" w:hAnsi="黑体" w:cs="黑体" w:eastAsia="黑体" w:hint="default"/>
          <w:sz w:val="48"/>
          <w:szCs w:val="48"/>
        </w:rPr>
        <w:t>2017</w:t>
      </w:r>
      <w:r>
        <w:rPr>
          <w:rFonts w:ascii="黑体" w:hAnsi="黑体" w:cs="黑体" w:eastAsia="黑体" w:hint="default"/>
          <w:spacing w:val="-120"/>
          <w:sz w:val="48"/>
          <w:szCs w:val="48"/>
        </w:rPr>
        <w:t> </w:t>
      </w:r>
      <w:r>
        <w:rPr>
          <w:rFonts w:ascii="黑体" w:hAnsi="黑体" w:cs="黑体" w:eastAsia="黑体" w:hint="default"/>
          <w:sz w:val="48"/>
          <w:szCs w:val="48"/>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8"/>
          <w:szCs w:val="28"/>
        </w:rPr>
      </w:pPr>
    </w:p>
    <w:p>
      <w:pPr>
        <w:spacing w:line="770" w:lineRule="exact"/>
        <w:ind w:left="1987" w:right="0" w:firstLine="0"/>
        <w:rPr>
          <w:rFonts w:ascii="黑体" w:hAnsi="黑体" w:cs="黑体" w:eastAsia="黑体" w:hint="default"/>
          <w:sz w:val="20"/>
          <w:szCs w:val="20"/>
        </w:rPr>
      </w:pPr>
      <w:r>
        <w:rPr>
          <w:rFonts w:ascii="黑体" w:hAnsi="黑体" w:cs="黑体" w:eastAsia="黑体" w:hint="default"/>
          <w:position w:val="-14"/>
          <w:sz w:val="20"/>
          <w:szCs w:val="20"/>
        </w:rPr>
        <w:drawing>
          <wp:inline distT="0" distB="0" distL="0" distR="0">
            <wp:extent cx="3263334" cy="4892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63334" cy="489203"/>
                    </a:xfrm>
                    <a:prstGeom prst="rect">
                      <a:avLst/>
                    </a:prstGeom>
                  </pic:spPr>
                </pic:pic>
              </a:graphicData>
            </a:graphic>
          </wp:inline>
        </w:drawing>
      </w:r>
      <w:r>
        <w:rPr>
          <w:rFonts w:ascii="黑体" w:hAnsi="黑体" w:cs="黑体" w:eastAsia="黑体" w:hint="default"/>
          <w:position w:val="-14"/>
          <w:sz w:val="20"/>
          <w:szCs w:val="20"/>
        </w:rPr>
      </w: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0"/>
        <w:rPr>
          <w:rFonts w:ascii="黑体" w:hAnsi="黑体" w:cs="黑体" w:eastAsia="黑体" w:hint="default"/>
          <w:sz w:val="48"/>
          <w:szCs w:val="48"/>
        </w:rPr>
      </w:pPr>
    </w:p>
    <w:p>
      <w:pPr>
        <w:spacing w:line="240" w:lineRule="auto" w:before="5"/>
        <w:rPr>
          <w:rFonts w:ascii="黑体" w:hAnsi="黑体" w:cs="黑体" w:eastAsia="黑体" w:hint="default"/>
          <w:sz w:val="43"/>
          <w:szCs w:val="43"/>
        </w:rPr>
      </w:pPr>
    </w:p>
    <w:p>
      <w:pPr>
        <w:spacing w:before="0"/>
        <w:ind w:left="85" w:right="0" w:firstLine="0"/>
        <w:jc w:val="center"/>
        <w:rPr>
          <w:rFonts w:ascii="黑体" w:hAnsi="黑体" w:cs="黑体" w:eastAsia="黑体" w:hint="default"/>
          <w:sz w:val="40"/>
          <w:szCs w:val="40"/>
        </w:rPr>
      </w:pPr>
      <w:r>
        <w:rPr>
          <w:rFonts w:ascii="Times New Roman" w:hAnsi="Times New Roman" w:cs="Times New Roman" w:eastAsia="Times New Roman" w:hint="default"/>
          <w:sz w:val="40"/>
          <w:szCs w:val="40"/>
        </w:rPr>
        <w:t>2018</w:t>
      </w:r>
      <w:r>
        <w:rPr>
          <w:rFonts w:ascii="Times New Roman" w:hAnsi="Times New Roman" w:cs="Times New Roman" w:eastAsia="Times New Roman" w:hint="default"/>
          <w:spacing w:val="-1"/>
          <w:sz w:val="40"/>
          <w:szCs w:val="40"/>
        </w:rPr>
        <w:t> </w:t>
      </w:r>
      <w:r>
        <w:rPr>
          <w:rFonts w:ascii="黑体" w:hAnsi="黑体" w:cs="黑体" w:eastAsia="黑体" w:hint="default"/>
          <w:sz w:val="40"/>
          <w:szCs w:val="40"/>
        </w:rPr>
        <w:t>年</w:t>
      </w:r>
      <w:r>
        <w:rPr>
          <w:rFonts w:ascii="黑体" w:hAnsi="黑体" w:cs="黑体" w:eastAsia="黑体" w:hint="default"/>
          <w:spacing w:val="-102"/>
          <w:sz w:val="40"/>
          <w:szCs w:val="40"/>
        </w:rPr>
        <w:t> </w:t>
      </w:r>
      <w:r>
        <w:rPr>
          <w:rFonts w:ascii="Times New Roman" w:hAnsi="Times New Roman" w:cs="Times New Roman" w:eastAsia="Times New Roman" w:hint="default"/>
          <w:sz w:val="40"/>
          <w:szCs w:val="40"/>
        </w:rPr>
        <w:t>3</w:t>
      </w:r>
      <w:r>
        <w:rPr>
          <w:rFonts w:ascii="Times New Roman" w:hAnsi="Times New Roman" w:cs="Times New Roman" w:eastAsia="Times New Roman" w:hint="default"/>
          <w:spacing w:val="2"/>
          <w:sz w:val="40"/>
          <w:szCs w:val="40"/>
        </w:rPr>
        <w:t> </w:t>
      </w:r>
      <w:r>
        <w:rPr>
          <w:rFonts w:ascii="黑体" w:hAnsi="黑体" w:cs="黑体" w:eastAsia="黑体" w:hint="default"/>
          <w:sz w:val="40"/>
          <w:szCs w:val="40"/>
        </w:rPr>
        <w:t>月</w:t>
      </w:r>
      <w:r>
        <w:rPr>
          <w:rFonts w:ascii="黑体" w:hAnsi="黑体" w:cs="黑体" w:eastAsia="黑体" w:hint="default"/>
          <w:spacing w:val="-102"/>
          <w:sz w:val="40"/>
          <w:szCs w:val="40"/>
        </w:rPr>
        <w:t> </w:t>
      </w:r>
      <w:r>
        <w:rPr>
          <w:rFonts w:ascii="Times New Roman" w:hAnsi="Times New Roman" w:cs="Times New Roman" w:eastAsia="Times New Roman" w:hint="default"/>
          <w:sz w:val="40"/>
          <w:szCs w:val="40"/>
        </w:rPr>
        <w:t>30</w:t>
      </w:r>
      <w:r>
        <w:rPr>
          <w:rFonts w:ascii="Times New Roman" w:hAnsi="Times New Roman" w:cs="Times New Roman" w:eastAsia="Times New Roman" w:hint="default"/>
          <w:spacing w:val="2"/>
          <w:sz w:val="40"/>
          <w:szCs w:val="40"/>
        </w:rPr>
        <w:t> </w:t>
      </w:r>
      <w:r>
        <w:rPr>
          <w:rFonts w:ascii="黑体" w:hAnsi="黑体" w:cs="黑体" w:eastAsia="黑体" w:hint="default"/>
          <w:sz w:val="40"/>
          <w:szCs w:val="40"/>
        </w:rPr>
        <w:t>日</w:t>
      </w:r>
    </w:p>
    <w:p>
      <w:pPr>
        <w:spacing w:after="0"/>
        <w:jc w:val="center"/>
        <w:rPr>
          <w:rFonts w:ascii="黑体" w:hAnsi="黑体" w:cs="黑体" w:eastAsia="黑体" w:hint="default"/>
          <w:sz w:val="40"/>
          <w:szCs w:val="40"/>
        </w:rPr>
        <w:sectPr>
          <w:type w:val="continuous"/>
          <w:pgSz w:w="11910" w:h="16840"/>
          <w:pgMar w:top="1580" w:bottom="280" w:left="1680" w:right="1240"/>
        </w:sect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5"/>
          <w:szCs w:val="25"/>
        </w:rPr>
      </w:pPr>
    </w:p>
    <w:p>
      <w:pPr>
        <w:spacing w:line="572" w:lineRule="exact" w:before="20"/>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南威软件股份有限公司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before="312"/>
        <w:ind w:left="2432" w:right="243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60" w:lineRule="auto"/>
        <w:ind w:left="505" w:right="13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left="138" w:right="130"/>
        <w:jc w:val="left"/>
        <w:rPr>
          <w:b w:val="0"/>
          <w:bCs w:val="0"/>
        </w:rPr>
      </w:pPr>
      <w:r>
        <w:rPr/>
        <w:t>二、</w:t>
      </w:r>
      <w:r>
        <w:rPr>
          <w:spacing w:val="-80"/>
        </w:rPr>
        <w:t> </w:t>
      </w:r>
      <w:r>
        <w:rPr/>
        <w:t>公司全体董事出席董事会会议。</w:t>
      </w:r>
      <w:r>
        <w:rPr>
          <w:b w:val="0"/>
          <w:bCs w:val="0"/>
        </w:rPr>
      </w:r>
    </w:p>
    <w:p>
      <w:pPr>
        <w:pStyle w:val="Heading3"/>
        <w:spacing w:line="660" w:lineRule="atLeast" w:before="5"/>
        <w:ind w:left="138" w:right="128"/>
        <w:jc w:val="both"/>
        <w:rPr>
          <w:b w:val="0"/>
          <w:bCs w:val="0"/>
        </w:rPr>
      </w:pPr>
      <w:r>
        <w:rPr/>
        <w:t>三、</w:t>
      </w:r>
      <w:r>
        <w:rPr>
          <w:spacing w:val="-11"/>
        </w:rPr>
        <w:t> </w:t>
      </w:r>
      <w:r>
        <w:rPr/>
        <w:t>福建华兴会计师事务所（特殊普通合伙）为本公司出具了标准无保留意见的审计报告。</w:t>
      </w:r>
      <w:r>
        <w:rPr>
          <w:w w:val="100"/>
        </w:rPr>
        <w:t> </w:t>
      </w:r>
      <w:r>
        <w:rPr>
          <w:spacing w:val="-1"/>
        </w:rPr>
        <w:t>四、公司负责人吴志雄、主管会计工作负责人曾志勇及会计机构负责人（会计主管人员）黄芳声</w:t>
      </w:r>
      <w:r>
        <w:rPr>
          <w:b w:val="0"/>
          <w:bCs w:val="0"/>
          <w:spacing w:val="-1"/>
        </w:rPr>
      </w:r>
    </w:p>
    <w:p>
      <w:pPr>
        <w:pStyle w:val="Heading3"/>
        <w:spacing w:line="240" w:lineRule="auto" w:before="133"/>
        <w:ind w:left="505" w:right="130"/>
        <w:jc w:val="left"/>
        <w:rPr>
          <w:b w:val="0"/>
          <w:bCs w:val="0"/>
        </w:rPr>
      </w:pPr>
      <w:r>
        <w:rPr/>
        <w:t>明：保证年度报告中财务报告的真实、准确、完整。</w:t>
      </w:r>
      <w:r>
        <w:rPr>
          <w:b w:val="0"/>
          <w:bCs w:val="0"/>
        </w:rPr>
      </w:r>
    </w:p>
    <w:p>
      <w:pPr>
        <w:spacing w:line="500" w:lineRule="atLeast" w:before="165"/>
        <w:ind w:left="558" w:right="13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1"/>
          <w:sz w:val="21"/>
          <w:szCs w:val="21"/>
        </w:rPr>
        <w:t>经福建华兴会计师事务所（特殊普通合伙）审计确认，公司</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年度合并范围内归属上市公</w:t>
      </w:r>
    </w:p>
    <w:p>
      <w:pPr>
        <w:pStyle w:val="BodyText"/>
        <w:spacing w:line="297" w:lineRule="auto" w:before="69"/>
        <w:ind w:left="138" w:right="128"/>
        <w:jc w:val="both"/>
      </w:pPr>
      <w:r>
        <w:rPr>
          <w:spacing w:val="-3"/>
        </w:rPr>
        <w:t>司股东的净利润为</w:t>
      </w:r>
      <w:r>
        <w:rPr>
          <w:rFonts w:ascii="Times New Roman" w:hAnsi="Times New Roman" w:cs="Times New Roman" w:eastAsia="Times New Roman" w:hint="default"/>
          <w:spacing w:val="-3"/>
        </w:rPr>
        <w:t>103,025,506.96</w:t>
      </w:r>
      <w:r>
        <w:rPr>
          <w:spacing w:val="-3"/>
        </w:rPr>
        <w:t>元，母公司可供分配利润为</w:t>
      </w:r>
      <w:r>
        <w:rPr>
          <w:rFonts w:ascii="Times New Roman" w:hAnsi="Times New Roman" w:cs="Times New Roman" w:eastAsia="Times New Roman" w:hint="default"/>
          <w:spacing w:val="-3"/>
        </w:rPr>
        <w:t>427,353,911.45</w:t>
      </w:r>
      <w:r>
        <w:rPr>
          <w:spacing w:val="-3"/>
        </w:rPr>
        <w:t>元，母公司的资本公积</w:t>
      </w:r>
      <w:r>
        <w:rPr>
          <w:spacing w:val="-34"/>
        </w:rPr>
        <w:t> </w:t>
      </w:r>
      <w:r>
        <w:rPr>
          <w:spacing w:val="-34"/>
        </w:rPr>
      </w:r>
      <w:r>
        <w:rPr>
          <w:spacing w:val="-2"/>
        </w:rPr>
        <w:t>金为</w:t>
      </w:r>
      <w:r>
        <w:rPr>
          <w:rFonts w:ascii="Times New Roman" w:hAnsi="Times New Roman" w:cs="Times New Roman" w:eastAsia="Times New Roman" w:hint="default"/>
          <w:spacing w:val="-2"/>
        </w:rPr>
        <w:t>181,791,120.77</w:t>
      </w:r>
      <w:r>
        <w:rPr>
          <w:spacing w:val="-2"/>
        </w:rPr>
        <w:t>元。根据公司利润实现情况和回报股东需要，</w:t>
      </w:r>
      <w:r>
        <w:rPr>
          <w:rFonts w:ascii="Times New Roman" w:hAnsi="Times New Roman" w:cs="Times New Roman" w:eastAsia="Times New Roman" w:hint="default"/>
          <w:spacing w:val="-2"/>
        </w:rPr>
        <w:t>2017</w:t>
      </w:r>
      <w:r>
        <w:rPr>
          <w:spacing w:val="-2"/>
        </w:rPr>
        <w:t>年利润分配预案为：以截止</w:t>
      </w:r>
      <w:r>
        <w:rPr>
          <w:spacing w:val="-52"/>
        </w:rPr>
        <w:t> </w:t>
      </w:r>
      <w:r>
        <w:rPr>
          <w:spacing w:val="-52"/>
        </w:rPr>
      </w:r>
      <w:r>
        <w:rPr>
          <w:spacing w:val="-4"/>
          <w:w w:val="100"/>
        </w:rPr>
        <w:t>目前公司总股本</w:t>
      </w:r>
      <w:r>
        <w:rPr>
          <w:rFonts w:ascii="Times New Roman" w:hAnsi="Times New Roman" w:cs="Times New Roman" w:eastAsia="Times New Roman" w:hint="default"/>
          <w:spacing w:val="-4"/>
          <w:w w:val="100"/>
        </w:rPr>
        <w:t>527,256,952</w:t>
      </w:r>
      <w:r>
        <w:rPr>
          <w:spacing w:val="-4"/>
          <w:w w:val="100"/>
        </w:rPr>
        <w:t>股为基数，向全体股东每</w:t>
      </w:r>
      <w:r>
        <w:rPr>
          <w:rFonts w:ascii="Times New Roman" w:hAnsi="Times New Roman" w:cs="Times New Roman" w:eastAsia="Times New Roman" w:hint="default"/>
          <w:spacing w:val="-4"/>
          <w:w w:val="100"/>
        </w:rPr>
        <w:t>10</w:t>
      </w:r>
      <w:r>
        <w:rPr>
          <w:spacing w:val="-4"/>
          <w:w w:val="100"/>
        </w:rPr>
        <w:t>股派发现金股利</w:t>
      </w:r>
      <w:r>
        <w:rPr>
          <w:rFonts w:ascii="Times New Roman" w:hAnsi="Times New Roman" w:cs="Times New Roman" w:eastAsia="Times New Roman" w:hint="default"/>
          <w:spacing w:val="-4"/>
          <w:w w:val="100"/>
        </w:rPr>
        <w:t>2.00</w:t>
      </w:r>
      <w:r>
        <w:rPr>
          <w:spacing w:val="-4"/>
          <w:w w:val="100"/>
        </w:rPr>
        <w:t>元（含税），共计分配</w:t>
      </w:r>
      <w:r>
        <w:rPr>
          <w:spacing w:val="-104"/>
          <w:w w:val="100"/>
        </w:rPr>
        <w:t> </w:t>
      </w:r>
      <w:r>
        <w:rPr>
          <w:spacing w:val="-104"/>
          <w:w w:val="100"/>
        </w:rPr>
      </w:r>
      <w:r>
        <w:rPr/>
        <w:t>现金股利</w:t>
      </w:r>
      <w:r>
        <w:rPr>
          <w:rFonts w:ascii="Times New Roman" w:hAnsi="Times New Roman" w:cs="Times New Roman" w:eastAsia="Times New Roman" w:hint="default"/>
        </w:rPr>
        <w:t>105,451,390.40</w:t>
      </w:r>
      <w:r>
        <w:rPr/>
        <w:t>元。本预案须经股东大会审议通过后实施。</w:t>
      </w:r>
    </w:p>
    <w:p>
      <w:pPr>
        <w:spacing w:line="240" w:lineRule="auto" w:before="9"/>
        <w:rPr>
          <w:rFonts w:ascii="宋体" w:hAnsi="宋体" w:cs="宋体" w:eastAsia="宋体" w:hint="default"/>
          <w:sz w:val="22"/>
          <w:szCs w:val="22"/>
        </w:rPr>
      </w:pPr>
    </w:p>
    <w:p>
      <w:pPr>
        <w:pStyle w:val="Heading3"/>
        <w:spacing w:line="240" w:lineRule="auto"/>
        <w:ind w:left="138" w:right="130"/>
        <w:jc w:val="left"/>
        <w:rPr>
          <w:b w:val="0"/>
          <w:bCs w:val="0"/>
        </w:rPr>
      </w:pPr>
      <w:r>
        <w:rPr/>
        <w:t>六、</w:t>
      </w:r>
      <w:r>
        <w:rPr>
          <w:spacing w:val="-24"/>
        </w:rPr>
        <w:t> </w:t>
      </w:r>
      <w:r>
        <w:rPr/>
        <w:t>前瞻性陈述的风险声明</w:t>
      </w:r>
      <w:r>
        <w:rPr>
          <w:b w:val="0"/>
          <w:bCs w:val="0"/>
        </w:rPr>
      </w:r>
    </w:p>
    <w:p>
      <w:pPr>
        <w:pStyle w:val="BodyText"/>
        <w:tabs>
          <w:tab w:pos="980" w:val="left" w:leader="none"/>
        </w:tabs>
        <w:spacing w:line="290" w:lineRule="auto" w:before="133"/>
        <w:ind w:left="558" w:right="130" w:hanging="420"/>
        <w:jc w:val="left"/>
      </w:pP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本报告中如有涉及未来计划、发展战略等前瞻性描述不构成公司对投资者的承诺，敬请投资</w:t>
      </w:r>
    </w:p>
    <w:p>
      <w:pPr>
        <w:pStyle w:val="BodyText"/>
        <w:spacing w:line="240" w:lineRule="auto" w:before="41"/>
        <w:ind w:left="138" w:right="130"/>
        <w:jc w:val="left"/>
      </w:pPr>
      <w:r>
        <w:rPr/>
        <w:t>者注意投资风险。</w:t>
      </w:r>
    </w:p>
    <w:p>
      <w:pPr>
        <w:spacing w:line="240" w:lineRule="auto" w:before="2"/>
        <w:rPr>
          <w:rFonts w:ascii="宋体" w:hAnsi="宋体" w:cs="宋体" w:eastAsia="宋体" w:hint="default"/>
          <w:sz w:val="28"/>
          <w:szCs w:val="28"/>
        </w:rPr>
      </w:pPr>
    </w:p>
    <w:p>
      <w:pPr>
        <w:pStyle w:val="Heading3"/>
        <w:spacing w:line="422" w:lineRule="auto"/>
        <w:ind w:left="558" w:right="346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3"/>
        <w:tabs>
          <w:tab w:pos="781" w:val="left" w:leader="none"/>
        </w:tabs>
        <w:spacing w:line="422" w:lineRule="auto"/>
        <w:ind w:left="558" w:right="368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22" w:lineRule="auto" w:before="106"/>
        <w:ind w:left="558" w:right="130"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1"/>
        </w:rPr>
        <w:t>公司已在本报告中详细描述存在的风险，敬请查阅“第四节经营情况讨论与分析”中关于公</w:t>
      </w:r>
    </w:p>
    <w:p>
      <w:pPr>
        <w:spacing w:after="0" w:line="422" w:lineRule="auto"/>
        <w:jc w:val="left"/>
        <w:sectPr>
          <w:headerReference w:type="default" r:id="rId6"/>
          <w:footerReference w:type="default" r:id="rId7"/>
          <w:pgSz w:w="11910" w:h="16840"/>
          <w:pgMar w:header="855" w:footer="979" w:top="1140" w:bottom="1160" w:left="1660" w:right="1140"/>
          <w:pgNumType w:start="1"/>
        </w:sectPr>
      </w:pPr>
    </w:p>
    <w:p>
      <w:pPr>
        <w:spacing w:line="240" w:lineRule="auto" w:before="4"/>
        <w:rPr>
          <w:rFonts w:ascii="宋体" w:hAnsi="宋体" w:cs="宋体" w:eastAsia="宋体" w:hint="default"/>
          <w:sz w:val="29"/>
          <w:szCs w:val="29"/>
        </w:rPr>
      </w:pPr>
    </w:p>
    <w:p>
      <w:pPr>
        <w:pStyle w:val="BodyText"/>
        <w:spacing w:line="240" w:lineRule="auto" w:before="36"/>
        <w:ind w:left="138" w:right="130"/>
        <w:jc w:val="left"/>
      </w:pPr>
      <w:r>
        <w:rPr/>
        <w:t>司未来发展的讨论与分析中可能面对的风险因素的内容。</w:t>
      </w:r>
    </w:p>
    <w:p>
      <w:pPr>
        <w:spacing w:line="240" w:lineRule="auto" w:before="10"/>
        <w:rPr>
          <w:rFonts w:ascii="宋体" w:hAnsi="宋体" w:cs="宋体" w:eastAsia="宋体" w:hint="default"/>
          <w:sz w:val="19"/>
          <w:szCs w:val="19"/>
        </w:rPr>
      </w:pPr>
    </w:p>
    <w:p>
      <w:pPr>
        <w:spacing w:before="0"/>
        <w:ind w:left="138" w:right="13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980" w:val="left" w:leader="none"/>
        </w:tabs>
        <w:spacing w:line="240" w:lineRule="auto" w:before="160"/>
        <w:ind w:left="138" w:right="130"/>
        <w:jc w:val="left"/>
      </w:pPr>
      <w:r>
        <w:rPr/>
        <w:t>□适用</w:t>
        <w:tab/>
      </w:r>
      <w:r>
        <w:rPr>
          <w:rFonts w:ascii="Calibri" w:hAnsi="Calibri" w:cs="Calibri" w:eastAsia="Calibri" w:hint="default"/>
        </w:rPr>
        <w:t>√</w:t>
      </w:r>
      <w:r>
        <w:rPr/>
        <w:t>不适用</w:t>
      </w:r>
    </w:p>
    <w:p>
      <w:pPr>
        <w:spacing w:after="0" w:line="240" w:lineRule="auto"/>
        <w:jc w:val="left"/>
        <w:sectPr>
          <w:pgSz w:w="11910" w:h="16840"/>
          <w:pgMar w:header="855" w:footer="979" w:top="1140" w:bottom="116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2434" w:right="2432"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745"/>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199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979" w:top="1140" w:bottom="1160" w:left="1660" w:right="1140"/>
        </w:sectPr>
      </w:pPr>
    </w:p>
    <w:p>
      <w:pPr>
        <w:pStyle w:val="Heading1"/>
        <w:spacing w:line="240" w:lineRule="auto" w:before="835"/>
        <w:ind w:right="359"/>
        <w:jc w:val="center"/>
        <w:rPr>
          <w:b w:val="0"/>
          <w:bCs w:val="0"/>
        </w:rPr>
      </w:pPr>
      <w:bookmarkStart w:name="_TOC_250011" w:id="1"/>
      <w:r>
        <w:rPr/>
        <w:t>第一节释义</w:t>
      </w:r>
      <w:bookmarkEnd w:id="1"/>
      <w:r>
        <w:rPr>
          <w:b w:val="0"/>
          <w:bCs w:val="0"/>
        </w:rPr>
      </w:r>
    </w:p>
    <w:p>
      <w:pPr>
        <w:pStyle w:val="BodyText"/>
        <w:spacing w:line="324" w:lineRule="auto" w:before="219"/>
        <w:ind w:right="2513"/>
        <w:jc w:val="left"/>
      </w:pPr>
      <w:r>
        <w:rPr/>
        <w:pict>
          <v:shape style="position:absolute;margin-left:84.264pt;margin-top:45.773682pt;width:453.2pt;height:332.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5"/>
                    <w:gridCol w:w="850"/>
                    <w:gridCol w:w="6815"/>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公司、本公司</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或南威软件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电子政务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运用计算机、网络和通信等现代信息技术手段，实现政府组织结构和工</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作流程的优化重组，超越时间、空间和部门分隔的限制，建成一个精简、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高效、廉洁、公平的政府运作模式，以便全方位地向社会提供优质、规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范、透明、符合国际水准的管理与服务。</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解决方案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以应用软件开发为核心，选择适合的外部软件和计算机硬件产品，经过</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设计、开发、集成、安装、调试和售后服务，使整套系统能够实现特定</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的业务功能，满足客户业务需求的服务。</w:t>
                        </w:r>
                      </w:p>
                    </w:tc>
                  </w:tr>
                  <w:tr>
                    <w:trPr>
                      <w:trHeight w:val="125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智慧公安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00"/>
                          <w:jc w:val="both"/>
                          <w:rPr>
                            <w:rFonts w:ascii="宋体" w:hAnsi="宋体" w:cs="宋体" w:eastAsia="宋体" w:hint="default"/>
                            <w:sz w:val="21"/>
                            <w:szCs w:val="21"/>
                          </w:rPr>
                        </w:pPr>
                        <w:r>
                          <w:rPr>
                            <w:rFonts w:ascii="宋体" w:hAnsi="宋体" w:cs="宋体" w:eastAsia="宋体" w:hint="default"/>
                            <w:sz w:val="21"/>
                            <w:szCs w:val="21"/>
                          </w:rPr>
                          <w:t>以可视化指挥为理念，运用高清视频、大数据、云计算、智能分析等技</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术对公安领域的海量信息进行采集、存储、加工和智能化处理，搭建智</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5"/>
                            <w:sz w:val="21"/>
                            <w:szCs w:val="21"/>
                          </w:rPr>
                          <w:t>能、高效的指挥显控平台，实现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多级别、跨警种、跨区域</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的公安系统应</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急联动与决策指挥。</w:t>
                        </w:r>
                      </w:p>
                    </w:tc>
                  </w:tr>
                  <w:tr>
                    <w:trPr>
                      <w:trHeight w:val="94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both"/>
                          <w:rPr>
                            <w:rFonts w:ascii="宋体" w:hAnsi="宋体" w:cs="宋体" w:eastAsia="宋体" w:hint="default"/>
                            <w:sz w:val="21"/>
                            <w:szCs w:val="21"/>
                          </w:rPr>
                        </w:pPr>
                        <w:r>
                          <w:rPr>
                            <w:rFonts w:ascii="宋体" w:hAnsi="宋体" w:cs="宋体" w:eastAsia="宋体" w:hint="default"/>
                            <w:sz w:val="21"/>
                            <w:szCs w:val="21"/>
                          </w:rPr>
                          <w:t>指运用信息和通信技术手段感测、分析、整合城市运行核心系统的各项</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关键信息，从而对包括民生、环保、公共安全、城市服务、工商业活动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在内的各种需求做出智能响应。</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分享经济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pacing w:val="-4"/>
                            <w:w w:val="100"/>
                            <w:sz w:val="21"/>
                            <w:szCs w:val="21"/>
                          </w:rPr>
                          <w:t>也称为点对点经济（</w:t>
                        </w:r>
                        <w:r>
                          <w:rPr>
                            <w:rFonts w:ascii="Times New Roman" w:hAnsi="Times New Roman" w:cs="Times New Roman" w:eastAsia="Times New Roman" w:hint="default"/>
                            <w:spacing w:val="-4"/>
                            <w:w w:val="100"/>
                            <w:sz w:val="21"/>
                            <w:szCs w:val="21"/>
                          </w:rPr>
                          <w:t>Peertopeereconomy</w:t>
                        </w:r>
                        <w:r>
                          <w:rPr>
                            <w:rFonts w:ascii="宋体" w:hAnsi="宋体" w:cs="宋体" w:eastAsia="宋体" w:hint="default"/>
                            <w:spacing w:val="-4"/>
                            <w:w w:val="100"/>
                            <w:sz w:val="21"/>
                            <w:szCs w:val="21"/>
                          </w:rPr>
                          <w:t>）、协作经济、协同消费，是一个</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建立在人与物质资料分享基础上的社会经济生态系统。</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政务部门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指党委、政府、军队的组成部门或直属机构。</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55" w:footer="979" w:top="1140" w:bottom="116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2666" w:right="2513"/>
        <w:jc w:val="left"/>
        <w:rPr>
          <w:b w:val="0"/>
          <w:bCs w:val="0"/>
        </w:rPr>
      </w:pPr>
      <w:bookmarkStart w:name="_TOC_250010" w:id="2"/>
      <w:r>
        <w:rPr/>
        <w:t>第二节公司简介和主要财务指标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3"/>
        <w:spacing w:line="240" w:lineRule="auto" w:before="36"/>
        <w:ind w:right="2513"/>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南威软件</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LinewellSoftwareCo.</w:t>
            </w:r>
            <w:r>
              <w:rPr>
                <w:rFonts w:ascii="宋体" w:hAnsi="宋体" w:cs="宋体" w:eastAsia="宋体" w:hint="default"/>
                <w:sz w:val="21"/>
                <w:szCs w:val="21"/>
              </w:rPr>
              <w:t>，</w:t>
            </w:r>
            <w:r>
              <w:rPr>
                <w:rFonts w:ascii="Times New Roman" w:hAnsi="Times New Roman" w:cs="Times New Roman" w:eastAsia="Times New Roman" w:hint="default"/>
                <w:sz w:val="21"/>
                <w:szCs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21"/>
                <w:szCs w:val="21"/>
              </w:rPr>
            </w:pPr>
            <w:r>
              <w:rPr>
                <w:rFonts w:ascii="Times New Roman"/>
                <w:sz w:val="21"/>
              </w:rPr>
              <w:t>Linewell</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吴志雄</w:t>
            </w:r>
          </w:p>
        </w:tc>
      </w:tr>
    </w:tbl>
    <w:p>
      <w:pPr>
        <w:spacing w:line="240" w:lineRule="auto" w:before="9"/>
        <w:rPr>
          <w:rFonts w:ascii="宋体" w:hAnsi="宋体" w:cs="宋体" w:eastAsia="宋体" w:hint="default"/>
          <w:b/>
          <w:bCs/>
          <w:sz w:val="24"/>
          <w:szCs w:val="24"/>
        </w:rPr>
      </w:pPr>
    </w:p>
    <w:p>
      <w:pPr>
        <w:pStyle w:val="Heading3"/>
        <w:spacing w:line="240" w:lineRule="auto" w:before="36"/>
        <w:ind w:right="2513"/>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329"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3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1"/>
                <w:szCs w:val="21"/>
              </w:rPr>
            </w:pPr>
            <w:r>
              <w:rPr>
                <w:rFonts w:ascii="宋体" w:hAnsi="宋体" w:cs="宋体" w:eastAsia="宋体" w:hint="default"/>
                <w:sz w:val="21"/>
                <w:szCs w:val="21"/>
              </w:rPr>
              <w:t>吴丽卿</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刘培瑜</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福建省泉州市丰泽区丰海路南</w:t>
            </w:r>
          </w:p>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21</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福建省泉州市丰泽区丰海路南</w:t>
            </w:r>
          </w:p>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21</w:t>
            </w:r>
            <w:r>
              <w:rPr>
                <w:rFonts w:ascii="宋体" w:hAnsi="宋体" w:cs="宋体" w:eastAsia="宋体" w:hint="default"/>
                <w:sz w:val="21"/>
                <w:szCs w:val="21"/>
              </w:rPr>
              <w:t>层</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0595-68288889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0595-68288889</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0595-68288887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0595-68288887</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hyperlink r:id="rId8">
              <w:r>
                <w:rPr>
                  <w:rFonts w:ascii="Times New Roman"/>
                  <w:sz w:val="21"/>
                </w:rPr>
                <w:t>bona@linewell.com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hyperlink r:id="rId9">
              <w:r>
                <w:rPr>
                  <w:rFonts w:ascii="Times New Roman"/>
                  <w:sz w:val="21"/>
                </w:rPr>
                <w:t>lpeiyu@linewell.com</w:t>
              </w:r>
            </w:hyperlink>
          </w:p>
        </w:tc>
      </w:tr>
    </w:tbl>
    <w:p>
      <w:pPr>
        <w:spacing w:line="240" w:lineRule="auto" w:before="9"/>
        <w:rPr>
          <w:rFonts w:ascii="宋体" w:hAnsi="宋体" w:cs="宋体" w:eastAsia="宋体" w:hint="default"/>
          <w:b/>
          <w:bCs/>
          <w:sz w:val="24"/>
          <w:szCs w:val="24"/>
        </w:rPr>
      </w:pPr>
    </w:p>
    <w:p>
      <w:pPr>
        <w:pStyle w:val="Heading3"/>
        <w:spacing w:line="240" w:lineRule="auto" w:before="36"/>
        <w:ind w:right="2513"/>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362000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362000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0">
              <w:r>
                <w:rPr>
                  <w:rFonts w:ascii="Times New Roman"/>
                  <w:sz w:val="21"/>
                </w:rPr>
                <w:t>http://www.linewell.com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1">
              <w:r>
                <w:rPr>
                  <w:rFonts w:ascii="Times New Roman"/>
                  <w:sz w:val="21"/>
                </w:rPr>
                <w:t>ir@linewell.com</w:t>
              </w:r>
            </w:hyperlink>
          </w:p>
        </w:tc>
      </w:tr>
    </w:tbl>
    <w:p>
      <w:pPr>
        <w:spacing w:line="240" w:lineRule="auto" w:before="9"/>
        <w:rPr>
          <w:rFonts w:ascii="宋体" w:hAnsi="宋体" w:cs="宋体" w:eastAsia="宋体" w:hint="default"/>
          <w:b/>
          <w:bCs/>
          <w:sz w:val="24"/>
          <w:szCs w:val="24"/>
        </w:rPr>
      </w:pPr>
    </w:p>
    <w:p>
      <w:pPr>
        <w:pStyle w:val="Heading3"/>
        <w:spacing w:line="240" w:lineRule="auto" w:before="36"/>
        <w:ind w:right="2513"/>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w w:val="100"/>
                <w:sz w:val="21"/>
                <w:szCs w:val="21"/>
              </w:rPr>
              <w:t>《中国证券报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《上海</w:t>
            </w:r>
            <w:r>
              <w:rPr>
                <w:rFonts w:ascii="宋体" w:hAnsi="宋体" w:cs="宋体" w:eastAsia="宋体" w:hint="default"/>
                <w:w w:val="100"/>
                <w:sz w:val="21"/>
                <w:szCs w:val="21"/>
              </w:rPr>
              <w:t>证</w:t>
            </w:r>
            <w:r>
              <w:rPr>
                <w:rFonts w:ascii="宋体" w:hAnsi="宋体" w:cs="宋体" w:eastAsia="宋体" w:hint="default"/>
                <w:spacing w:val="2"/>
                <w:w w:val="100"/>
                <w:sz w:val="21"/>
                <w:szCs w:val="21"/>
              </w:rPr>
              <w:t>券报</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《证券</w:t>
            </w:r>
            <w:r>
              <w:rPr>
                <w:rFonts w:ascii="宋体" w:hAnsi="宋体" w:cs="宋体" w:eastAsia="宋体" w:hint="default"/>
                <w:w w:val="100"/>
                <w:sz w:val="21"/>
                <w:szCs w:val="21"/>
              </w:rPr>
              <w:t>日</w:t>
            </w:r>
            <w:r>
              <w:rPr>
                <w:rFonts w:ascii="宋体" w:hAnsi="宋体" w:cs="宋体" w:eastAsia="宋体" w:hint="default"/>
                <w:spacing w:val="2"/>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21"/>
                <w:szCs w:val="21"/>
              </w:rPr>
            </w:pPr>
            <w:hyperlink r:id="rId12">
              <w:r>
                <w:rPr>
                  <w:rFonts w:ascii="Times New Roman"/>
                  <w:sz w:val="21"/>
                </w:rPr>
                <w:t>http://www.sse.com.cn</w:t>
              </w:r>
            </w:hyperlink>
          </w:p>
        </w:tc>
      </w:tr>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bl>
    <w:p>
      <w:pPr>
        <w:spacing w:line="240" w:lineRule="auto" w:before="6"/>
        <w:rPr>
          <w:rFonts w:ascii="宋体" w:hAnsi="宋体" w:cs="宋体" w:eastAsia="宋体" w:hint="default"/>
          <w:b/>
          <w:bCs/>
          <w:sz w:val="20"/>
          <w:szCs w:val="20"/>
        </w:rPr>
      </w:pPr>
    </w:p>
    <w:p>
      <w:pPr>
        <w:pStyle w:val="Heading3"/>
        <w:spacing w:line="240" w:lineRule="auto" w:before="36"/>
        <w:ind w:right="2513"/>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31"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9"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3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0"/>
              <w:jc w:val="left"/>
              <w:rPr>
                <w:rFonts w:ascii="宋体" w:hAnsi="宋体" w:cs="宋体" w:eastAsia="宋体" w:hint="default"/>
                <w:sz w:val="21"/>
                <w:szCs w:val="21"/>
              </w:rPr>
            </w:pPr>
            <w:r>
              <w:rPr>
                <w:rFonts w:ascii="宋体" w:hAnsi="宋体" w:cs="宋体" w:eastAsia="宋体" w:hint="default"/>
                <w:sz w:val="21"/>
                <w:szCs w:val="21"/>
              </w:rPr>
              <w:t>南威软件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603636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3"/>
        <w:spacing w:line="240" w:lineRule="auto" w:before="36"/>
        <w:ind w:right="2513"/>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95"/>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福建省福州市湖东路中山大厦</w:t>
            </w:r>
            <w:r>
              <w:rPr>
                <w:rFonts w:ascii="Times New Roman" w:hAnsi="Times New Roman" w:cs="Times New Roman" w:eastAsia="Times New Roman" w:hint="default"/>
                <w:sz w:val="21"/>
                <w:szCs w:val="21"/>
              </w:rPr>
              <w:t>B</w:t>
            </w:r>
            <w:r>
              <w:rPr>
                <w:rFonts w:ascii="宋体" w:hAnsi="宋体" w:cs="宋体" w:eastAsia="宋体" w:hint="default"/>
                <w:sz w:val="21"/>
                <w:szCs w:val="21"/>
              </w:rPr>
              <w:t>座</w:t>
            </w:r>
            <w:r>
              <w:rPr>
                <w:rFonts w:ascii="Times New Roman" w:hAnsi="Times New Roman" w:cs="Times New Roman" w:eastAsia="Times New Roman" w:hint="default"/>
                <w:sz w:val="21"/>
                <w:szCs w:val="21"/>
              </w:rPr>
              <w:t>7-9</w:t>
            </w:r>
            <w:r>
              <w:rPr>
                <w:rFonts w:ascii="宋体" w:hAnsi="宋体" w:cs="宋体" w:eastAsia="宋体" w:hint="default"/>
                <w:sz w:val="21"/>
                <w:szCs w:val="21"/>
              </w:rPr>
              <w:t>楼</w:t>
            </w:r>
          </w:p>
        </w:tc>
      </w:tr>
      <w:tr>
        <w:trPr>
          <w:trHeight w:val="28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王庆莲、张伟</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成都市青羊区东城根上街</w:t>
            </w:r>
            <w:r>
              <w:rPr>
                <w:rFonts w:ascii="Times New Roman" w:hAnsi="Times New Roman" w:cs="Times New Roman" w:eastAsia="Times New Roman" w:hint="default"/>
                <w:sz w:val="21"/>
                <w:szCs w:val="21"/>
              </w:rPr>
              <w:t>95</w:t>
            </w:r>
            <w:r>
              <w:rPr>
                <w:rFonts w:ascii="宋体" w:hAnsi="宋体" w:cs="宋体" w:eastAsia="宋体" w:hint="default"/>
                <w:sz w:val="21"/>
                <w:szCs w:val="21"/>
              </w:rPr>
              <w:t>号</w:t>
            </w:r>
          </w:p>
        </w:tc>
      </w:tr>
    </w:tbl>
    <w:p>
      <w:pPr>
        <w:spacing w:after="0" w:line="257" w:lineRule="exact"/>
        <w:jc w:val="left"/>
        <w:rPr>
          <w:rFonts w:ascii="宋体" w:hAnsi="宋体" w:cs="宋体" w:eastAsia="宋体" w:hint="default"/>
          <w:sz w:val="21"/>
          <w:szCs w:val="21"/>
        </w:rPr>
        <w:sectPr>
          <w:pgSz w:w="11910" w:h="16840"/>
          <w:pgMar w:header="855" w:footer="979" w:top="1140" w:bottom="1160" w:left="1580" w:right="1040"/>
        </w:sectPr>
      </w:pPr>
    </w:p>
    <w:p>
      <w:pPr>
        <w:spacing w:line="240" w:lineRule="auto" w:before="10"/>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557" w:hRule="exact"/>
        </w:trPr>
        <w:tc>
          <w:tcPr>
            <w:tcW w:w="2993"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陈钟林、王添进</w:t>
            </w:r>
          </w:p>
        </w:tc>
      </w:tr>
      <w:tr>
        <w:trPr>
          <w:trHeight w:val="1099"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首次公开发行的持续督导期为首次公开发行</w:t>
            </w:r>
          </w:p>
          <w:p>
            <w:pPr>
              <w:pStyle w:val="TableParagraph"/>
              <w:spacing w:line="230" w:lineRule="auto" w:before="8"/>
              <w:ind w:left="100" w:right="99"/>
              <w:jc w:val="both"/>
              <w:rPr>
                <w:rFonts w:ascii="宋体" w:hAnsi="宋体" w:cs="宋体" w:eastAsia="宋体" w:hint="default"/>
                <w:sz w:val="21"/>
                <w:szCs w:val="21"/>
              </w:rPr>
            </w:pPr>
            <w:r>
              <w:rPr>
                <w:rFonts w:ascii="宋体" w:hAnsi="宋体" w:cs="宋体" w:eastAsia="宋体" w:hint="default"/>
                <w:spacing w:val="5"/>
                <w:sz w:val="21"/>
                <w:szCs w:val="21"/>
              </w:rPr>
              <w:t>的股票上市当年剩余时间及其后</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个完整会</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计年度；配股的持续督导期为配股股票上市</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当年剩余时间及其后</w:t>
            </w:r>
            <w:r>
              <w:rPr>
                <w:rFonts w:ascii="Times New Roman" w:hAnsi="Times New Roman" w:cs="Times New Roman" w:eastAsia="Times New Roman" w:hint="default"/>
                <w:sz w:val="21"/>
                <w:szCs w:val="21"/>
              </w:rPr>
              <w:t>1</w:t>
            </w:r>
            <w:r>
              <w:rPr>
                <w:rFonts w:ascii="宋体" w:hAnsi="宋体" w:cs="宋体" w:eastAsia="宋体" w:hint="default"/>
                <w:sz w:val="21"/>
                <w:szCs w:val="21"/>
              </w:rPr>
              <w:t>个完整会计年度。</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55" w:footer="979" w:top="1140" w:bottom="1160" w:left="1580" w:right="1040"/>
        </w:sectPr>
      </w:pPr>
    </w:p>
    <w:p>
      <w:pPr>
        <w:pStyle w:val="Heading3"/>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667" w:space="3065"/>
            <w:col w:w="255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25"/>
        <w:gridCol w:w="1898"/>
        <w:gridCol w:w="1896"/>
        <w:gridCol w:w="963"/>
        <w:gridCol w:w="1567"/>
      </w:tblGrid>
      <w:tr>
        <w:trPr>
          <w:trHeight w:val="1069"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9" w:lineRule="auto"/>
              <w:ind w:left="158" w:right="159"/>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807,313,135.82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468,074,426.65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72.48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342,493,302.27</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103,025,506.96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51,474,724.91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100.15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63,140,346.92</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85,953,174.95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45,583,618.75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88.56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36,255,013.44</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138,408,077.65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-57,182,000.10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342.05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30,497,980.67</w:t>
            </w:r>
          </w:p>
        </w:tc>
      </w:tr>
      <w:tr>
        <w:trPr>
          <w:trHeight w:val="1373" w:hRule="exact"/>
        </w:trPr>
        <w:tc>
          <w:tcPr>
            <w:tcW w:w="2725"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100" w:firstLine="55"/>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16"/>
                <w:sz w:val="21"/>
                <w:szCs w:val="21"/>
              </w:rPr>
              <w:t>增减（</w:t>
            </w:r>
            <w:r>
              <w:rPr>
                <w:rFonts w:ascii="Times New Roman" w:hAnsi="Times New Roman" w:cs="Times New Roman" w:eastAsia="Times New Roman" w:hint="default"/>
                <w:spacing w:val="-16"/>
                <w:sz w:val="21"/>
                <w:szCs w:val="21"/>
              </w:rPr>
              <w:t>%</w:t>
            </w:r>
          </w:p>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5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1,009,082,447.13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883,290,784.19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14.24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849,115,065.50</w:t>
            </w:r>
          </w:p>
        </w:tc>
      </w:tr>
      <w:tr>
        <w:trPr>
          <w:trHeight w:val="49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1,964,497,552.64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1,312,559,308.80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z w:val="21"/>
              </w:rPr>
              <w:t>49.67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1,232,276,482.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31</w:t>
            </w:r>
          </w:p>
        </w:tc>
      </w:tr>
      <w:tr>
        <w:trPr>
          <w:trHeight w:val="29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407,097,800.00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101,707,880.00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300.26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100,000,000.00</w:t>
            </w:r>
          </w:p>
        </w:tc>
      </w:tr>
    </w:tbl>
    <w:p>
      <w:pPr>
        <w:spacing w:line="240" w:lineRule="auto" w:before="9"/>
        <w:rPr>
          <w:rFonts w:ascii="宋体" w:hAnsi="宋体" w:cs="宋体" w:eastAsia="宋体" w:hint="default"/>
          <w:sz w:val="24"/>
          <w:szCs w:val="24"/>
        </w:rPr>
      </w:pPr>
    </w:p>
    <w:p>
      <w:pPr>
        <w:pStyle w:val="Heading3"/>
        <w:spacing w:line="240" w:lineRule="auto" w:before="36"/>
        <w:ind w:right="2513"/>
        <w:jc w:val="left"/>
        <w:rPr>
          <w:b w:val="0"/>
          <w:bCs w:val="0"/>
        </w:rPr>
      </w:pPr>
      <w:r>
        <w:rPr>
          <w:rFonts w:ascii="宋体" w:hAnsi="宋体" w:cs="宋体" w:eastAsia="宋体" w:hint="default"/>
        </w:rPr>
        <w:t>(</w:t>
      </w:r>
      <w:r>
        <w:rPr/>
        <w:t>二</w:t>
      </w:r>
      <w:r>
        <w:rPr>
          <w:rFonts w:ascii="宋体" w:hAnsi="宋体" w:cs="宋体" w:eastAsia="宋体" w:hint="default"/>
        </w:rPr>
        <w:t>)</w:t>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0.250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0.127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96.85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0.158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0.250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0.129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93.80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0.158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0.210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0.112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87.50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5.86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5.15</w:t>
            </w:r>
            <w:r>
              <w:rPr>
                <w:rFonts w:ascii="宋体" w:hAnsi="宋体" w:cs="宋体" w:eastAsia="宋体" w:hint="default"/>
                <w:sz w:val="21"/>
                <w:szCs w:val="21"/>
              </w:rPr>
              <w:t>个百</w:t>
            </w:r>
          </w:p>
          <w:p>
            <w:pPr>
              <w:pStyle w:val="TableParagraph"/>
              <w:spacing w:line="266"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7.64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9.19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5.19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个百分</w:t>
            </w:r>
          </w:p>
          <w:p>
            <w:pPr>
              <w:pStyle w:val="TableParagraph"/>
              <w:spacing w:line="266"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4.39</w:t>
            </w:r>
          </w:p>
        </w:tc>
      </w:tr>
    </w:tbl>
    <w:p>
      <w:pPr>
        <w:spacing w:line="240" w:lineRule="auto" w:before="2"/>
        <w:rPr>
          <w:rFonts w:ascii="宋体" w:hAnsi="宋体" w:cs="宋体" w:eastAsia="宋体" w:hint="default"/>
          <w:b/>
          <w:bCs/>
          <w:sz w:val="20"/>
          <w:szCs w:val="20"/>
        </w:rPr>
      </w:pPr>
    </w:p>
    <w:p>
      <w:pPr>
        <w:pStyle w:val="BodyText"/>
        <w:spacing w:line="240" w:lineRule="auto" w:before="36"/>
        <w:ind w:right="2513"/>
        <w:jc w:val="left"/>
      </w:pPr>
      <w:r>
        <w:rPr/>
        <w:t>报告期末公司前三年主要会计数据和财务指标的说明</w:t>
      </w:r>
    </w:p>
    <w:p>
      <w:pPr>
        <w:pStyle w:val="BodyText"/>
        <w:tabs>
          <w:tab w:pos="954" w:val="left" w:leader="none"/>
        </w:tabs>
        <w:spacing w:line="240" w:lineRule="auto" w:before="37"/>
        <w:ind w:right="25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40" w:lineRule="auto" w:before="65"/>
        <w:ind w:left="638" w:right="123"/>
        <w:jc w:val="left"/>
      </w:pPr>
      <w:r>
        <w:rPr>
          <w:spacing w:val="-4"/>
        </w:rPr>
        <w:t>报告期内，公司营业收入同比增长</w:t>
      </w:r>
      <w:r>
        <w:rPr>
          <w:spacing w:val="27"/>
        </w:rPr>
        <w:t> </w:t>
      </w:r>
      <w:r>
        <w:rPr>
          <w:rFonts w:ascii="Times New Roman" w:hAnsi="Times New Roman" w:cs="Times New Roman" w:eastAsia="Times New Roman" w:hint="default"/>
          <w:spacing w:val="-3"/>
        </w:rPr>
        <w:t>72.48%</w:t>
      </w:r>
      <w:r>
        <w:rPr>
          <w:spacing w:val="-3"/>
        </w:rPr>
        <w:t>，归属于上市公司股东的净利润和归属于上市公司</w:t>
      </w:r>
    </w:p>
    <w:p>
      <w:pPr>
        <w:spacing w:after="0" w:line="240" w:lineRule="auto"/>
        <w:jc w:val="left"/>
        <w:sectPr>
          <w:type w:val="continuous"/>
          <w:pgSz w:w="11910" w:h="16840"/>
          <w:pgMar w:top="1580" w:bottom="280" w:left="1580" w:right="1040"/>
        </w:sectPr>
      </w:pPr>
    </w:p>
    <w:p>
      <w:pPr>
        <w:spacing w:line="240" w:lineRule="auto" w:before="4"/>
        <w:rPr>
          <w:rFonts w:ascii="宋体" w:hAnsi="宋体" w:cs="宋体" w:eastAsia="宋体" w:hint="default"/>
          <w:sz w:val="29"/>
          <w:szCs w:val="29"/>
        </w:rPr>
      </w:pPr>
    </w:p>
    <w:p>
      <w:pPr>
        <w:pStyle w:val="BodyText"/>
        <w:spacing w:line="297" w:lineRule="auto" w:before="36"/>
        <w:ind w:right="123"/>
        <w:jc w:val="left"/>
      </w:pPr>
      <w:r>
        <w:rPr/>
        <w:t>股东的扣除非经常性损益的净利润同比分别增长了</w:t>
      </w:r>
      <w:r>
        <w:rPr>
          <w:spacing w:val="-34"/>
        </w:rPr>
        <w:t> </w:t>
      </w:r>
      <w:r>
        <w:rPr>
          <w:rFonts w:ascii="Times New Roman" w:hAnsi="Times New Roman" w:cs="Times New Roman" w:eastAsia="Times New Roman" w:hint="default"/>
        </w:rPr>
        <w:t>100.15%</w:t>
      </w:r>
      <w:r>
        <w:rPr/>
        <w:t>和</w:t>
      </w:r>
      <w:r>
        <w:rPr>
          <w:spacing w:val="-34"/>
        </w:rPr>
        <w:t> </w:t>
      </w:r>
      <w:r>
        <w:rPr>
          <w:rFonts w:ascii="Times New Roman" w:hAnsi="Times New Roman" w:cs="Times New Roman" w:eastAsia="Times New Roman" w:hint="default"/>
        </w:rPr>
        <w:t>88.56%</w:t>
      </w:r>
      <w:r>
        <w:rPr/>
        <w:t>；公司</w:t>
      </w:r>
      <w:r>
        <w:rPr>
          <w:spacing w:val="-3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年主营业务能</w:t>
      </w:r>
      <w:r>
        <w:rPr>
          <w:w w:val="100"/>
        </w:rPr>
        <w:t> </w:t>
      </w:r>
      <w:r>
        <w:rPr>
          <w:spacing w:val="-7"/>
          <w:w w:val="100"/>
        </w:rPr>
        <w:t>量得到充分的释放，新业务类型的扩充给</w:t>
      </w:r>
      <w:r>
        <w:rPr>
          <w:spacing w:val="-48"/>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spacing w:val="-6"/>
          <w:w w:val="100"/>
        </w:rPr>
        <w:t>年收入的增长带来积极的影响。同时公司夯实管理，</w:t>
      </w:r>
      <w:r>
        <w:rPr>
          <w:w w:val="100"/>
        </w:rPr>
        <w:t> </w:t>
      </w:r>
      <w:r>
        <w:rPr/>
        <w:t>在项目实施管理和费用管理上进一步出效益，毛利率稳中略升了</w:t>
      </w:r>
      <w:r>
        <w:rPr>
          <w:spacing w:val="-9"/>
        </w:rPr>
        <w:t> </w:t>
      </w:r>
      <w:r>
        <w:rPr>
          <w:rFonts w:ascii="Times New Roman" w:hAnsi="Times New Roman" w:cs="Times New Roman" w:eastAsia="Times New Roman" w:hint="default"/>
        </w:rPr>
        <w:t>0.86%</w:t>
      </w:r>
      <w:r>
        <w:rPr/>
        <w:t>，费用率相比同期下降。</w:t>
      </w:r>
      <w:r>
        <w:rPr>
          <w:w w:val="100"/>
        </w:rPr>
        <w:t> </w:t>
      </w:r>
      <w:r>
        <w:rPr/>
        <w:t>经营活动产生的现金流量净额同比上升</w:t>
      </w:r>
      <w:r>
        <w:rPr>
          <w:spacing w:val="-9"/>
        </w:rPr>
        <w:t> </w:t>
      </w:r>
      <w:r>
        <w:rPr>
          <w:rFonts w:ascii="Times New Roman" w:hAnsi="Times New Roman" w:cs="Times New Roman" w:eastAsia="Times New Roman" w:hint="default"/>
        </w:rPr>
        <w:t>342.05%</w:t>
      </w:r>
      <w:r>
        <w:rPr/>
        <w:t>，主要系业务增长带来货款回收的增加，同时公</w:t>
      </w:r>
      <w:r>
        <w:rPr>
          <w:w w:val="100"/>
        </w:rPr>
        <w:t> </w:t>
      </w:r>
      <w:r>
        <w:rPr/>
        <w:t>司加强应付票据的使用管理，故经营活动流量净额有所上升。</w:t>
      </w:r>
    </w:p>
    <w:p>
      <w:pPr>
        <w:pStyle w:val="BodyText"/>
        <w:spacing w:line="314" w:lineRule="auto" w:before="34"/>
        <w:ind w:right="123" w:firstLine="419"/>
        <w:jc w:val="left"/>
      </w:pPr>
      <w:r>
        <w:rPr>
          <w:spacing w:val="-2"/>
        </w:rPr>
        <w:t>财务指标方面，基本每股收益、扣除非经常性损益后的基本每股收益上升，主要是归属于上</w:t>
      </w:r>
      <w:r>
        <w:rPr>
          <w:w w:val="100"/>
        </w:rPr>
        <w:t> </w:t>
      </w:r>
      <w:r>
        <w:rPr/>
        <w:t>市公司股东的净利润和归属于上市公司股东的扣除非经常性损益的净利润同比上升。</w:t>
      </w:r>
    </w:p>
    <w:p>
      <w:pPr>
        <w:pStyle w:val="BodyText"/>
        <w:spacing w:line="240" w:lineRule="auto" w:before="20"/>
        <w:ind w:left="638" w:right="12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4"/>
        </w:rPr>
        <w:t>月，公司实施</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spacing w:val="-3"/>
        </w:rPr>
        <w:t>年度利润分配，资本公积金转增股本，总股本由</w:t>
      </w:r>
      <w:r>
        <w:rPr>
          <w:spacing w:val="-46"/>
        </w:rPr>
        <w:t> </w:t>
      </w:r>
      <w:r>
        <w:rPr>
          <w:rFonts w:ascii="Times New Roman" w:hAnsi="Times New Roman" w:cs="Times New Roman" w:eastAsia="Times New Roman" w:hint="default"/>
        </w:rPr>
        <w:t>101,707,880</w:t>
      </w:r>
      <w:r>
        <w:rPr>
          <w:rFonts w:ascii="Times New Roman" w:hAnsi="Times New Roman" w:cs="Times New Roman" w:eastAsia="Times New Roman" w:hint="default"/>
          <w:spacing w:val="3"/>
        </w:rPr>
        <w:t> </w:t>
      </w:r>
      <w:r>
        <w:rPr/>
        <w:t>股</w:t>
      </w:r>
    </w:p>
    <w:p>
      <w:pPr>
        <w:pStyle w:val="BodyText"/>
        <w:spacing w:line="240" w:lineRule="auto" w:before="69"/>
        <w:ind w:right="123"/>
        <w:jc w:val="left"/>
      </w:pPr>
      <w:r>
        <w:rPr/>
        <w:t>增加为</w:t>
      </w:r>
      <w:r>
        <w:rPr>
          <w:spacing w:val="-54"/>
        </w:rPr>
        <w:t> </w:t>
      </w:r>
      <w:r>
        <w:rPr>
          <w:rFonts w:ascii="Times New Roman" w:hAnsi="Times New Roman" w:cs="Times New Roman" w:eastAsia="Times New Roman" w:hint="default"/>
        </w:rPr>
        <w:t>406,831,520</w:t>
      </w:r>
      <w:r>
        <w:rPr>
          <w:rFonts w:ascii="Times New Roman" w:hAnsi="Times New Roman" w:cs="Times New Roman" w:eastAsia="Times New Roman" w:hint="default"/>
          <w:spacing w:val="-4"/>
        </w:rPr>
        <w:t> </w:t>
      </w:r>
      <w:r>
        <w:rPr/>
        <w:t>股，公司据此调整了对比同期披露的每股收益数据。</w:t>
      </w:r>
    </w:p>
    <w:p>
      <w:pPr>
        <w:spacing w:line="240" w:lineRule="auto" w:before="7"/>
        <w:rPr>
          <w:rFonts w:ascii="宋体" w:hAnsi="宋体" w:cs="宋体" w:eastAsia="宋体" w:hint="default"/>
          <w:sz w:val="29"/>
          <w:szCs w:val="29"/>
        </w:rPr>
      </w:pPr>
    </w:p>
    <w:p>
      <w:pPr>
        <w:pStyle w:val="Heading3"/>
        <w:spacing w:line="240" w:lineRule="auto"/>
        <w:ind w:right="2513"/>
        <w:jc w:val="left"/>
        <w:rPr>
          <w:b w:val="0"/>
          <w:bCs w:val="0"/>
        </w:rPr>
      </w:pPr>
      <w:r>
        <w:rPr/>
        <w:t>八、</w:t>
      </w:r>
      <w:r>
        <w:rPr>
          <w:spacing w:val="-32"/>
        </w:rPr>
        <w:t> </w:t>
      </w:r>
      <w:r>
        <w:rPr/>
        <w:t>境内外会计准则下会计数据差异</w:t>
      </w:r>
      <w:r>
        <w:rPr>
          <w:b w:val="0"/>
          <w:bCs w:val="0"/>
        </w:rPr>
      </w:r>
    </w:p>
    <w:p>
      <w:pPr>
        <w:pStyle w:val="Heading3"/>
        <w:spacing w:line="247" w:lineRule="auto" w:before="97"/>
        <w:ind w:left="638" w:right="123"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tabs>
          <w:tab w:pos="1060" w:val="left" w:leader="none"/>
        </w:tabs>
        <w:spacing w:line="240" w:lineRule="auto" w:before="91"/>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7" w:lineRule="auto"/>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7"/>
        </w:rPr>
        <w:t> </w:t>
      </w:r>
      <w:r>
        <w:rPr>
          <w:spacing w:val="-97"/>
        </w:rPr>
      </w:r>
      <w:r>
        <w:rPr/>
        <w:t>净资产差异情况</w:t>
      </w:r>
      <w:r>
        <w:rPr>
          <w:b w:val="0"/>
          <w:bCs w:val="0"/>
        </w:rPr>
      </w:r>
    </w:p>
    <w:p>
      <w:pPr>
        <w:pStyle w:val="BodyText"/>
        <w:tabs>
          <w:tab w:pos="1060" w:val="left" w:leader="none"/>
        </w:tabs>
        <w:spacing w:line="240" w:lineRule="auto" w:before="91"/>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25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tabs>
          <w:tab w:pos="1060" w:val="left" w:leader="none"/>
        </w:tabs>
        <w:spacing w:line="240" w:lineRule="auto" w:before="70"/>
        <w:ind w:right="2513"/>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before="36"/>
        <w:ind w:right="2513"/>
        <w:jc w:val="left"/>
        <w:rPr>
          <w:b w:val="0"/>
          <w:bCs w:val="0"/>
        </w:rPr>
      </w:pPr>
      <w:r>
        <w:rPr/>
        <w:t>九、 </w:t>
      </w:r>
      <w:r>
        <w:rPr>
          <w:rFonts w:ascii="Times New Roman" w:hAnsi="Times New Roman" w:cs="Times New Roman" w:eastAsia="Times New Roman" w:hint="default"/>
        </w:rPr>
        <w:t>2017</w:t>
      </w:r>
      <w:r>
        <w:rPr>
          <w:rFonts w:ascii="Times New Roman" w:hAnsi="Times New Roman" w:cs="Times New Roman" w:eastAsia="Times New Roman" w:hint="default"/>
          <w:spacing w:val="-32"/>
        </w:rPr>
        <w:t> </w:t>
      </w:r>
      <w:r>
        <w:rPr/>
        <w:t>年分季度主要财务数据</w:t>
      </w:r>
      <w:r>
        <w:rPr>
          <w:b w:val="0"/>
          <w:bCs w:val="0"/>
        </w:rPr>
      </w:r>
    </w:p>
    <w:p>
      <w:pPr>
        <w:pStyle w:val="BodyText"/>
        <w:spacing w:line="240" w:lineRule="auto" w:before="81"/>
        <w:ind w:left="0" w:right="230"/>
        <w:jc w:val="right"/>
      </w:pPr>
      <w:r>
        <w:rPr>
          <w:spacing w:val="-2"/>
        </w:rPr>
        <w:t>单位：元币种：人民币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48"/>
        <w:gridCol w:w="1625"/>
        <w:gridCol w:w="1728"/>
        <w:gridCol w:w="1621"/>
        <w:gridCol w:w="1728"/>
      </w:tblGrid>
      <w:tr>
        <w:trPr>
          <w:trHeight w:val="636" w:hRule="exact"/>
        </w:trPr>
        <w:tc>
          <w:tcPr>
            <w:tcW w:w="234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32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60,265,890.26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137,466,922.68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140,935,517.9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468,644,805.01</w:t>
            </w:r>
          </w:p>
        </w:tc>
      </w:tr>
      <w:tr>
        <w:trPr>
          <w:trHeight w:val="63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spacing w:val="-74"/>
                <w:sz w:val="21"/>
                <w:szCs w:val="21"/>
              </w:rPr>
              <w:t> </w:t>
            </w:r>
            <w:r>
              <w:rPr>
                <w:rFonts w:ascii="宋体" w:hAnsi="宋体" w:cs="宋体" w:eastAsia="宋体" w:hint="default"/>
                <w:sz w:val="21"/>
                <w:szCs w:val="21"/>
              </w:rPr>
              <w:t>净利润</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-14,292,440.94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22,935,582.2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24,635,897.61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69,746,468.14</w:t>
            </w:r>
          </w:p>
        </w:tc>
      </w:tr>
      <w:tr>
        <w:trPr>
          <w:trHeight w:val="946"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spacing w:val="-74"/>
                <w:sz w:val="21"/>
                <w:szCs w:val="21"/>
              </w:rPr>
              <w:t> </w:t>
            </w:r>
            <w:r>
              <w:rPr>
                <w:rFonts w:ascii="宋体" w:hAnsi="宋体" w:cs="宋体" w:eastAsia="宋体" w:hint="default"/>
                <w:sz w:val="21"/>
                <w:szCs w:val="21"/>
              </w:rPr>
              <w:t>扣除非经常性损益后的</w:t>
            </w:r>
            <w:r>
              <w:rPr>
                <w:rFonts w:ascii="宋体" w:hAnsi="宋体" w:cs="宋体" w:eastAsia="宋体" w:hint="default"/>
                <w:spacing w:val="-74"/>
                <w:sz w:val="21"/>
                <w:szCs w:val="21"/>
              </w:rPr>
              <w:t> </w:t>
            </w:r>
            <w:r>
              <w:rPr>
                <w:rFonts w:ascii="宋体" w:hAnsi="宋体" w:cs="宋体" w:eastAsia="宋体" w:hint="default"/>
                <w:sz w:val="21"/>
                <w:szCs w:val="21"/>
              </w:rPr>
              <w:t>净利润</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-14,798,573.80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17,802,862.52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17,994,667.42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64,954,218.81</w:t>
            </w:r>
          </w:p>
        </w:tc>
      </w:tr>
      <w:tr>
        <w:trPr>
          <w:trHeight w:val="63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经营活动产生的现金流</w:t>
            </w:r>
            <w:r>
              <w:rPr>
                <w:rFonts w:ascii="宋体" w:hAnsi="宋体" w:cs="宋体" w:eastAsia="宋体" w:hint="default"/>
                <w:spacing w:val="-74"/>
                <w:sz w:val="21"/>
                <w:szCs w:val="21"/>
              </w:rPr>
              <w:t> </w:t>
            </w:r>
            <w:r>
              <w:rPr>
                <w:rFonts w:ascii="宋体" w:hAnsi="宋体" w:cs="宋体" w:eastAsia="宋体" w:hint="default"/>
                <w:sz w:val="21"/>
                <w:szCs w:val="21"/>
              </w:rPr>
              <w:t>量净额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-57,902,059.18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92,606,341.2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388,583.79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103,315,211.80</w:t>
            </w:r>
          </w:p>
        </w:tc>
      </w:tr>
    </w:tbl>
    <w:p>
      <w:pPr>
        <w:spacing w:line="240" w:lineRule="auto" w:before="2"/>
        <w:rPr>
          <w:rFonts w:ascii="宋体" w:hAnsi="宋体" w:cs="宋体" w:eastAsia="宋体" w:hint="default"/>
          <w:sz w:val="20"/>
          <w:szCs w:val="20"/>
        </w:rPr>
      </w:pPr>
    </w:p>
    <w:p>
      <w:pPr>
        <w:pStyle w:val="BodyText"/>
        <w:spacing w:line="240" w:lineRule="auto" w:before="36"/>
        <w:ind w:right="2513"/>
        <w:jc w:val="left"/>
      </w:pPr>
      <w:r>
        <w:rPr/>
        <w:t>季度数据与已披露定期报告数据差异说明</w:t>
      </w:r>
    </w:p>
    <w:p>
      <w:pPr>
        <w:pStyle w:val="BodyText"/>
        <w:tabs>
          <w:tab w:pos="1163" w:val="left" w:leader="none"/>
        </w:tabs>
        <w:spacing w:line="240" w:lineRule="auto" w:before="37"/>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2513"/>
        <w:jc w:val="left"/>
        <w:rPr>
          <w:b w:val="0"/>
          <w:bCs w:val="0"/>
        </w:rPr>
      </w:pPr>
      <w:r>
        <w:rPr/>
        <w:t>十、</w:t>
      </w:r>
      <w:r>
        <w:rPr>
          <w:spacing w:val="-31"/>
        </w:rPr>
        <w:t> </w:t>
      </w:r>
      <w:r>
        <w:rPr/>
        <w:t>非经常性损益项目和金额</w:t>
      </w:r>
      <w:r>
        <w:rPr>
          <w:b w:val="0"/>
          <w:bCs w:val="0"/>
        </w:rPr>
      </w:r>
    </w:p>
    <w:p>
      <w:pPr>
        <w:pStyle w:val="BodyText"/>
        <w:tabs>
          <w:tab w:pos="954" w:val="left" w:leader="none"/>
        </w:tabs>
        <w:spacing w:line="240" w:lineRule="auto" w:before="97"/>
        <w:ind w:right="25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after="0" w:line="240" w:lineRule="auto"/>
        <w:jc w:val="left"/>
        <w:sectPr>
          <w:pgSz w:w="11910" w:h="16840"/>
          <w:pgMar w:header="855" w:footer="979" w:top="114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1"/>
        </w:rPr>
        <w:t>单位</w:t>
      </w:r>
      <w:r>
        <w:rPr>
          <w:rFonts w:ascii="Calibri" w:hAnsi="Calibri" w:cs="Calibri" w:eastAsia="Calibri" w:hint="default"/>
          <w:spacing w:val="-1"/>
        </w:rPr>
        <w:t>:</w:t>
      </w:r>
      <w:r>
        <w:rPr>
          <w:spacing w:val="-1"/>
        </w:rPr>
        <w:t>元币种</w:t>
      </w:r>
      <w:r>
        <w:rPr>
          <w:rFonts w:ascii="Calibri" w:hAnsi="Calibri" w:cs="Calibri" w:eastAsia="Calibri" w:hint="default"/>
          <w:spacing w:val="-1"/>
        </w:rPr>
        <w:t>:</w:t>
      </w:r>
      <w:r>
        <w:rPr>
          <w:spacing w:val="-1"/>
        </w:rPr>
        <w:t>人民币</w:t>
      </w:r>
    </w:p>
    <w:tbl>
      <w:tblPr>
        <w:tblW w:w="0" w:type="auto"/>
        <w:jc w:val="left"/>
        <w:tblInd w:w="105" w:type="dxa"/>
        <w:tblLayout w:type="fixed"/>
        <w:tblCellMar>
          <w:top w:w="0" w:type="dxa"/>
          <w:left w:w="0" w:type="dxa"/>
          <w:bottom w:w="0" w:type="dxa"/>
          <w:right w:w="0" w:type="dxa"/>
        </w:tblCellMar>
        <w:tblLook w:val="01E0"/>
      </w:tblPr>
      <w:tblGrid>
        <w:gridCol w:w="3202"/>
        <w:gridCol w:w="1582"/>
        <w:gridCol w:w="1102"/>
        <w:gridCol w:w="1582"/>
        <w:gridCol w:w="1582"/>
      </w:tblGrid>
      <w:tr>
        <w:trPr>
          <w:trHeight w:val="63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5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年金额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0" w:right="122" w:hanging="106"/>
              <w:jc w:val="left"/>
              <w:rPr>
                <w:rFonts w:ascii="宋体" w:hAnsi="宋体" w:cs="宋体" w:eastAsia="宋体" w:hint="default"/>
                <w:sz w:val="21"/>
                <w:szCs w:val="21"/>
              </w:rPr>
            </w:pPr>
            <w:r>
              <w:rPr>
                <w:rFonts w:ascii="宋体" w:hAnsi="宋体" w:cs="宋体" w:eastAsia="宋体" w:hint="default"/>
                <w:sz w:val="21"/>
                <w:szCs w:val="21"/>
              </w:rPr>
              <w:t>附注（如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年金额</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-163,044.23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-55,242.36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-179,315.68</w:t>
            </w:r>
          </w:p>
        </w:tc>
      </w:tr>
      <w:tr>
        <w:trPr>
          <w:trHeight w:val="157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9,139,913.30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3,919,849.33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18,044,066.67</w:t>
            </w:r>
          </w:p>
        </w:tc>
      </w:tr>
      <w:tr>
        <w:trPr>
          <w:trHeight w:val="219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13,141,230.10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2,863,035.93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13,896,823.77</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-2,211,102.51</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350,126.31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-120,357.27</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92,918.23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-7,929.43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21,433.75</w:t>
            </w:r>
          </w:p>
        </w:tc>
      </w:tr>
      <w:tr>
        <w:trPr>
          <w:trHeight w:val="32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-2,927,582.88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-1,178,733.62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-4,777,317.76</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17,072,332.01</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5,891,106.16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26,885,333.48</w:t>
            </w:r>
          </w:p>
        </w:tc>
      </w:tr>
    </w:tbl>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55" w:footer="979" w:top="1140" w:bottom="1160" w:left="1580" w:right="1040"/>
        </w:sectPr>
      </w:pPr>
    </w:p>
    <w:p>
      <w:pPr>
        <w:pStyle w:val="Heading3"/>
        <w:spacing w:line="240" w:lineRule="auto" w:before="36"/>
        <w:ind w:right="-3"/>
        <w:jc w:val="left"/>
        <w:rPr>
          <w:b w:val="0"/>
          <w:bCs w:val="0"/>
        </w:rPr>
      </w:pPr>
      <w:r>
        <w:rPr>
          <w:spacing w:val="-1"/>
        </w:rPr>
        <w:t>十一、采用公允价值计量的项目</w:t>
      </w:r>
      <w:r>
        <w:rPr>
          <w:b w:val="0"/>
          <w:bCs w:val="0"/>
          <w:spacing w:val="-1"/>
        </w:rPr>
      </w:r>
    </w:p>
    <w:p>
      <w:pPr>
        <w:pStyle w:val="BodyText"/>
        <w:tabs>
          <w:tab w:pos="954" w:val="left" w:leader="none"/>
        </w:tabs>
        <w:spacing w:line="240" w:lineRule="auto" w:before="97"/>
        <w:ind w:right="-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173" w:space="3560"/>
            <w:col w:w="2557"/>
          </w:cols>
        </w:sectPr>
      </w:pPr>
    </w:p>
    <w:p>
      <w:pPr>
        <w:spacing w:line="240" w:lineRule="auto" w:before="10"/>
        <w:rPr>
          <w:rFonts w:ascii="宋体" w:hAnsi="宋体" w:cs="宋体" w:eastAsia="宋体" w:hint="default"/>
          <w:sz w:val="3"/>
          <w:szCs w:val="3"/>
        </w:rPr>
      </w:pPr>
    </w:p>
    <w:tbl>
      <w:tblPr>
        <w:tblW w:w="0" w:type="auto"/>
        <w:jc w:val="left"/>
        <w:tblInd w:w="218" w:type="dxa"/>
        <w:tblLayout w:type="fixed"/>
        <w:tblCellMar>
          <w:top w:w="0" w:type="dxa"/>
          <w:left w:w="0" w:type="dxa"/>
          <w:bottom w:w="0" w:type="dxa"/>
          <w:right w:w="0" w:type="dxa"/>
        </w:tblCellMar>
        <w:tblLook w:val="01E0"/>
      </w:tblPr>
      <w:tblGrid>
        <w:gridCol w:w="1865"/>
        <w:gridCol w:w="1654"/>
        <w:gridCol w:w="1685"/>
        <w:gridCol w:w="1687"/>
        <w:gridCol w:w="1933"/>
      </w:tblGrid>
      <w:tr>
        <w:trPr>
          <w:trHeight w:val="634"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0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9" w:right="118" w:hanging="630"/>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322"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7" w:right="0"/>
              <w:jc w:val="left"/>
              <w:rPr>
                <w:rFonts w:ascii="Times New Roman" w:hAnsi="Times New Roman" w:cs="Times New Roman" w:eastAsia="Times New Roman" w:hint="default"/>
                <w:sz w:val="21"/>
                <w:szCs w:val="21"/>
              </w:rPr>
            </w:pPr>
            <w:r>
              <w:rPr>
                <w:rFonts w:ascii="Times New Roman"/>
                <w:sz w:val="21"/>
              </w:rPr>
              <w:t>1,321,283.18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113,710,759.27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112,389,476.09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3,948,531.95</w:t>
            </w:r>
          </w:p>
        </w:tc>
      </w:tr>
      <w:tr>
        <w:trPr>
          <w:trHeight w:val="324" w:hRule="exact"/>
        </w:trPr>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7" w:right="0"/>
              <w:jc w:val="left"/>
              <w:rPr>
                <w:rFonts w:ascii="Times New Roman" w:hAnsi="Times New Roman" w:cs="Times New Roman" w:eastAsia="Times New Roman" w:hint="default"/>
                <w:sz w:val="21"/>
                <w:szCs w:val="21"/>
              </w:rPr>
            </w:pPr>
            <w:r>
              <w:rPr>
                <w:rFonts w:ascii="Times New Roman"/>
                <w:sz w:val="21"/>
              </w:rPr>
              <w:t>1,321,283.18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113,710,759.27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112,389,476.09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3,948,531.95</w:t>
            </w:r>
          </w:p>
        </w:tc>
      </w:tr>
    </w:tbl>
    <w:p>
      <w:pPr>
        <w:spacing w:line="240" w:lineRule="auto" w:before="10"/>
        <w:rPr>
          <w:rFonts w:ascii="宋体" w:hAnsi="宋体" w:cs="宋体" w:eastAsia="宋体" w:hint="default"/>
          <w:sz w:val="24"/>
          <w:szCs w:val="24"/>
        </w:rPr>
      </w:pPr>
    </w:p>
    <w:p>
      <w:pPr>
        <w:pStyle w:val="Heading3"/>
        <w:spacing w:line="240" w:lineRule="auto" w:before="36"/>
        <w:ind w:right="2513"/>
        <w:jc w:val="left"/>
        <w:rPr>
          <w:b w:val="0"/>
          <w:bCs w:val="0"/>
        </w:rPr>
      </w:pPr>
      <w:r>
        <w:rPr/>
        <w:t>十二、其他</w:t>
      </w:r>
      <w:r>
        <w:rPr>
          <w:b w:val="0"/>
          <w:bCs w:val="0"/>
        </w:rPr>
      </w:r>
    </w:p>
    <w:p>
      <w:pPr>
        <w:pStyle w:val="BodyText"/>
        <w:tabs>
          <w:tab w:pos="1060" w:val="left" w:leader="none"/>
        </w:tabs>
        <w:spacing w:line="240" w:lineRule="auto" w:before="97"/>
        <w:ind w:right="2513"/>
        <w:jc w:val="left"/>
      </w:pPr>
      <w:r>
        <w:rPr/>
        <w:t>□适用</w:t>
        <w:tab/>
      </w:r>
      <w:r>
        <w:rPr>
          <w:rFonts w:ascii="Calibri" w:hAnsi="Calibri" w:cs="Calibri" w:eastAsia="Calibri" w:hint="default"/>
        </w:rPr>
        <w:t>√</w:t>
      </w:r>
      <w:r>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47" w:right="122"/>
        <w:jc w:val="center"/>
        <w:rPr>
          <w:b w:val="0"/>
          <w:bCs w:val="0"/>
        </w:rPr>
      </w:pPr>
      <w:bookmarkStart w:name="_TOC_250009" w:id="3"/>
      <w:r>
        <w:rPr/>
        <w:t>第三节公司业务概要</w:t>
      </w:r>
      <w:bookmarkEnd w:id="3"/>
      <w:r>
        <w:rPr>
          <w:b w:val="0"/>
          <w:bCs w:val="0"/>
        </w:rPr>
      </w:r>
    </w:p>
    <w:p>
      <w:pPr>
        <w:pStyle w:val="Heading3"/>
        <w:spacing w:line="240" w:lineRule="auto" w:before="219"/>
        <w:ind w:left="138" w:right="102"/>
        <w:jc w:val="left"/>
        <w:rPr>
          <w:b w:val="0"/>
          <w:bCs w:val="0"/>
        </w:rPr>
      </w:pPr>
      <w:r>
        <w:rPr/>
        <w:t>一、报告期内公司所从事的主要业务、经营模式及行业情况说明</w:t>
      </w:r>
      <w:r>
        <w:rPr>
          <w:b w:val="0"/>
          <w:bCs w:val="0"/>
        </w:rPr>
      </w:r>
    </w:p>
    <w:p>
      <w:pPr>
        <w:spacing w:line="314" w:lineRule="auto" w:before="152"/>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（一）公司从事的主要业务与经营模式说明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公司致力于成为优秀的智慧城市服务与运营商，以公司的基础业务“善政工程”为核心，以</w:t>
      </w:r>
    </w:p>
    <w:p>
      <w:pPr>
        <w:pStyle w:val="BodyText"/>
        <w:spacing w:line="314" w:lineRule="auto" w:before="20"/>
        <w:ind w:left="138" w:right="102"/>
        <w:jc w:val="left"/>
      </w:pPr>
      <w:r>
        <w:rPr>
          <w:spacing w:val="-1"/>
        </w:rPr>
        <w:t>“惠民工程、兴业工程”为基础，结合云计算、大数据、物联网、人工智能等核心技术，打造智</w:t>
      </w:r>
      <w:r>
        <w:rPr>
          <w:spacing w:val="-54"/>
        </w:rPr>
        <w:t> </w:t>
      </w:r>
      <w:r>
        <w:rPr>
          <w:spacing w:val="-54"/>
        </w:rPr>
      </w:r>
      <w:r>
        <w:rPr/>
        <w:t>慧社会的信息入口平台，构建创新、开放、共享的智慧城市生态体系。</w:t>
      </w:r>
    </w:p>
    <w:p>
      <w:pPr>
        <w:pStyle w:val="BodyText"/>
        <w:spacing w:line="304" w:lineRule="auto" w:before="20"/>
        <w:ind w:left="138" w:right="207" w:firstLine="419"/>
        <w:jc w:val="both"/>
      </w:pPr>
      <w:r>
        <w:rPr>
          <w:rFonts w:ascii="Calibri" w:hAnsi="Calibri" w:cs="Calibri" w:eastAsia="Calibri" w:hint="default"/>
          <w:spacing w:val="-4"/>
        </w:rPr>
        <w:t>1</w:t>
      </w:r>
      <w:r>
        <w:rPr>
          <w:spacing w:val="-4"/>
        </w:rPr>
        <w:t>、在智慧城市领域，公司是国家新型智慧城市标准制定的总体组成员单位，凭借深厚的技术</w:t>
      </w:r>
      <w:r>
        <w:rPr>
          <w:spacing w:val="-3"/>
          <w:w w:val="100"/>
        </w:rPr>
        <w:t> </w:t>
      </w:r>
      <w:r>
        <w:rPr>
          <w:spacing w:val="-6"/>
        </w:rPr>
        <w:t>与行业专业积累，依托上市资本平台，为地方政府整体规划、统筹建设、综合运营新型智慧城市，</w:t>
      </w:r>
      <w:r>
        <w:rPr>
          <w:spacing w:val="-52"/>
        </w:rPr>
        <w:t> </w:t>
      </w:r>
      <w:r>
        <w:rPr>
          <w:spacing w:val="-52"/>
        </w:rPr>
      </w:r>
      <w:r>
        <w:rPr>
          <w:spacing w:val="-1"/>
        </w:rPr>
        <w:t>提供先进的智慧城市投资建设运营模式，从“强基、善政、惠民、兴业”四大领域，完善城市基</w:t>
      </w:r>
      <w:r>
        <w:rPr>
          <w:spacing w:val="-55"/>
        </w:rPr>
        <w:t> </w:t>
      </w:r>
      <w:r>
        <w:rPr>
          <w:spacing w:val="-55"/>
        </w:rPr>
      </w:r>
      <w:r>
        <w:rPr>
          <w:spacing w:val="-1"/>
        </w:rPr>
        <w:t>础设施建设，改善政府服务功能，提升居民生活信息体验，引领城市重点产业建设，服务地方经</w:t>
      </w:r>
      <w:r>
        <w:rPr>
          <w:spacing w:val="-55"/>
        </w:rPr>
        <w:t> </w:t>
      </w:r>
      <w:r>
        <w:rPr>
          <w:spacing w:val="-55"/>
        </w:rPr>
      </w:r>
      <w:r>
        <w:rPr>
          <w:spacing w:val="-6"/>
        </w:rPr>
        <w:t>济社会发展，打造新型智慧城市，增强城市核心竞争力，提升城市居民幸福感、安全感与获得感。</w:t>
      </w:r>
      <w:r>
        <w:rPr>
          <w:spacing w:val="-52"/>
        </w:rPr>
        <w:t> </w:t>
      </w:r>
      <w:r>
        <w:rPr>
          <w:spacing w:val="-52"/>
        </w:rPr>
      </w:r>
      <w:r>
        <w:rPr>
          <w:spacing w:val="-1"/>
        </w:rPr>
        <w:t>在企业经营战略层面，充分发挥公司的管理、技术、市场优势，把握政策风口将智慧城市作为公</w:t>
      </w:r>
      <w:r>
        <w:rPr>
          <w:spacing w:val="-56"/>
        </w:rPr>
        <w:t> </w:t>
      </w:r>
      <w:r>
        <w:rPr>
          <w:spacing w:val="-56"/>
        </w:rPr>
      </w:r>
      <w:r>
        <w:rPr/>
        <w:t>司的战略性业务；在业务实操层面，立足本地、深耕福建、布局全国，创新落地</w:t>
      </w:r>
      <w:r>
        <w:rPr>
          <w:spacing w:val="-30"/>
        </w:rPr>
        <w:t> </w:t>
      </w:r>
      <w:r>
        <w:rPr>
          <w:rFonts w:ascii="Times New Roman" w:hAnsi="Times New Roman" w:cs="Times New Roman" w:eastAsia="Times New Roman" w:hint="default"/>
        </w:rPr>
        <w:t>PPP</w:t>
      </w:r>
      <w:r>
        <w:rPr/>
        <w:t>、政府购买</w:t>
      </w:r>
      <w:r>
        <w:rPr>
          <w:w w:val="100"/>
        </w:rPr>
        <w:t> </w:t>
      </w:r>
      <w:r>
        <w:rPr>
          <w:spacing w:val="-4"/>
        </w:rPr>
        <w:t>服务、</w:t>
      </w:r>
      <w:r>
        <w:rPr>
          <w:rFonts w:ascii="Times New Roman" w:hAnsi="Times New Roman" w:cs="Times New Roman" w:eastAsia="Times New Roman" w:hint="default"/>
          <w:spacing w:val="-4"/>
        </w:rPr>
        <w:t>EPC </w:t>
      </w:r>
      <w:r>
        <w:rPr>
          <w:spacing w:val="-3"/>
        </w:rPr>
        <w:t>等投资建设运营模式，全面拓展智慧城市业务，并取得突破性进展。</w:t>
      </w:r>
      <w:r>
        <w:rPr>
          <w:rFonts w:ascii="Times New Roman" w:hAnsi="Times New Roman" w:cs="Times New Roman" w:eastAsia="Times New Roman" w:hint="default"/>
          <w:spacing w:val="-3"/>
        </w:rPr>
        <w:t>2017 </w:t>
      </w:r>
      <w:r>
        <w:rPr/>
        <w:t>年 </w:t>
      </w:r>
      <w:r>
        <w:rPr>
          <w:rFonts w:ascii="Times New Roman" w:hAnsi="Times New Roman" w:cs="Times New Roman" w:eastAsia="Times New Roman" w:hint="default"/>
        </w:rPr>
        <w:t>3 </w:t>
      </w:r>
      <w:r>
        <w:rPr/>
        <w:t>月中标</w:t>
      </w:r>
      <w:r>
        <w:rPr>
          <w:spacing w:val="-93"/>
        </w:rPr>
        <w:t> </w:t>
      </w:r>
      <w:r>
        <w:rPr>
          <w:spacing w:val="-93"/>
        </w:rPr>
      </w:r>
      <w:r>
        <w:rPr/>
        <w:t>的智慧丰泽</w:t>
      </w:r>
      <w:r>
        <w:rPr>
          <w:spacing w:val="-43"/>
        </w:rPr>
        <w:t> </w:t>
      </w:r>
      <w:r>
        <w:rPr>
          <w:rFonts w:ascii="Times New Roman" w:hAnsi="Times New Roman" w:cs="Times New Roman" w:eastAsia="Times New Roman" w:hint="default"/>
        </w:rPr>
        <w:t>PPP</w:t>
      </w:r>
      <w:r>
        <w:rPr>
          <w:rFonts w:ascii="Times New Roman" w:hAnsi="Times New Roman" w:cs="Times New Roman" w:eastAsia="Times New Roman" w:hint="default"/>
          <w:spacing w:val="13"/>
        </w:rPr>
        <w:t> </w:t>
      </w:r>
      <w:r>
        <w:rPr>
          <w:spacing w:val="-4"/>
        </w:rPr>
        <w:t>一期项目，属于福建省首个综合性智慧城市建设工程，投资总额</w:t>
      </w:r>
      <w:r>
        <w:rPr>
          <w:spacing w:val="-39"/>
        </w:rPr>
        <w:t> </w:t>
      </w:r>
      <w:r>
        <w:rPr>
          <w:rFonts w:ascii="Times New Roman" w:hAnsi="Times New Roman" w:cs="Times New Roman" w:eastAsia="Times New Roman" w:hint="default"/>
        </w:rPr>
        <w:t>4.53</w:t>
      </w:r>
      <w:r>
        <w:rPr>
          <w:rFonts w:ascii="Times New Roman" w:hAnsi="Times New Roman" w:cs="Times New Roman" w:eastAsia="Times New Roman" w:hint="default"/>
          <w:spacing w:val="9"/>
        </w:rPr>
        <w:t> </w:t>
      </w:r>
      <w:r>
        <w:rPr>
          <w:spacing w:val="-7"/>
        </w:rPr>
        <w:t>亿元，成为</w:t>
      </w:r>
      <w:r>
        <w:rPr>
          <w:spacing w:val="-98"/>
        </w:rPr>
        <w:t> </w:t>
      </w:r>
      <w:r>
        <w:rPr>
          <w:spacing w:val="-98"/>
        </w:rPr>
      </w:r>
      <w:r>
        <w:rPr/>
        <w:t>了新型智慧城市的示范项目。</w:t>
      </w:r>
    </w:p>
    <w:p>
      <w:pPr>
        <w:pStyle w:val="BodyText"/>
        <w:spacing w:line="295" w:lineRule="auto" w:before="28"/>
        <w:ind w:left="138" w:right="102" w:firstLine="419"/>
        <w:jc w:val="left"/>
      </w:pPr>
      <w:r>
        <w:rPr>
          <w:rFonts w:ascii="Calibri" w:hAnsi="Calibri" w:cs="Calibri" w:eastAsia="Calibri" w:hint="default"/>
          <w:spacing w:val="-7"/>
          <w:w w:val="100"/>
        </w:rPr>
        <w:t>2</w:t>
      </w:r>
      <w:r>
        <w:rPr>
          <w:spacing w:val="-7"/>
          <w:w w:val="100"/>
        </w:rPr>
        <w:t>、在互联网</w:t>
      </w:r>
      <w:r>
        <w:rPr>
          <w:rFonts w:ascii="Calibri" w:hAnsi="Calibri" w:cs="Calibri" w:eastAsia="Calibri" w:hint="default"/>
          <w:spacing w:val="-7"/>
          <w:w w:val="100"/>
        </w:rPr>
        <w:t>+</w:t>
      </w:r>
      <w:r>
        <w:rPr>
          <w:spacing w:val="-7"/>
          <w:w w:val="100"/>
        </w:rPr>
        <w:t>政务服务领域，南威软件是国内最早从事电子政务行业系统开发的高科技企业，</w:t>
      </w:r>
      <w:r>
        <w:rPr>
          <w:w w:val="100"/>
        </w:rPr>
        <w:t> </w:t>
      </w:r>
      <w:r>
        <w:rPr>
          <w:spacing w:val="-6"/>
          <w:w w:val="100"/>
        </w:rPr>
        <w:t>近年来南威软件已成为了国内“互联网</w:t>
      </w:r>
      <w:r>
        <w:rPr>
          <w:rFonts w:ascii="Calibri" w:hAnsi="Calibri" w:cs="Calibri" w:eastAsia="Calibri" w:hint="default"/>
          <w:spacing w:val="-6"/>
          <w:w w:val="100"/>
        </w:rPr>
        <w:t>+</w:t>
      </w:r>
      <w:r>
        <w:rPr>
          <w:spacing w:val="-6"/>
          <w:w w:val="100"/>
        </w:rPr>
        <w:t>政务服务</w:t>
      </w:r>
      <w:r>
        <w:rPr>
          <w:rFonts w:ascii="Times New Roman" w:hAnsi="Times New Roman" w:cs="Times New Roman" w:eastAsia="Times New Roman" w:hint="default"/>
          <w:spacing w:val="-6"/>
          <w:w w:val="100"/>
        </w:rPr>
        <w:t>”</w:t>
      </w:r>
      <w:r>
        <w:rPr>
          <w:spacing w:val="-6"/>
          <w:w w:val="100"/>
        </w:rPr>
        <w:t>的最主要引领者，南威软件是国办</w:t>
      </w:r>
      <w:r>
        <w:rPr>
          <w:spacing w:val="-56"/>
          <w:w w:val="100"/>
        </w:rPr>
        <w:t> </w:t>
      </w:r>
      <w:r>
        <w:rPr>
          <w:rFonts w:ascii="Calibri" w:hAnsi="Calibri" w:cs="Calibri" w:eastAsia="Calibri" w:hint="default"/>
          <w:spacing w:val="-1"/>
          <w:w w:val="100"/>
        </w:rPr>
        <w:t>23</w:t>
      </w:r>
      <w:r>
        <w:rPr>
          <w:rFonts w:ascii="Calibri" w:hAnsi="Calibri" w:cs="Calibri" w:eastAsia="Calibri" w:hint="default"/>
          <w:spacing w:val="6"/>
          <w:w w:val="100"/>
        </w:rPr>
        <w:t> </w:t>
      </w:r>
      <w:r>
        <w:rPr>
          <w:spacing w:val="-2"/>
          <w:w w:val="100"/>
        </w:rPr>
        <w:t>号文件</w:t>
      </w:r>
      <w:r>
        <w:rPr>
          <w:rFonts w:ascii="Times New Roman" w:hAnsi="Times New Roman" w:cs="Times New Roman" w:eastAsia="Times New Roman" w:hint="default"/>
          <w:spacing w:val="-2"/>
          <w:w w:val="100"/>
        </w:rPr>
        <w:t>“</w:t>
      </w:r>
      <w:r>
        <w:rPr>
          <w:spacing w:val="-2"/>
          <w:w w:val="100"/>
        </w:rPr>
        <w:t>一</w:t>
      </w:r>
      <w:r>
        <w:rPr>
          <w:w w:val="100"/>
        </w:rPr>
        <w:t> </w:t>
      </w:r>
      <w:r>
        <w:rPr/>
        <w:t>号、一窗、一网</w:t>
      </w:r>
      <w:r>
        <w:rPr>
          <w:rFonts w:ascii="Times New Roman" w:hAnsi="Times New Roman" w:cs="Times New Roman" w:eastAsia="Times New Roman" w:hint="default"/>
        </w:rPr>
        <w:t>”</w:t>
      </w:r>
      <w:r>
        <w:rPr/>
        <w:t>政务系统架构的主要设计支撑单位，是浙江省</w:t>
      </w:r>
      <w:r>
        <w:rPr>
          <w:rFonts w:ascii="Times New Roman" w:hAnsi="Times New Roman" w:cs="Times New Roman" w:eastAsia="Times New Roman" w:hint="default"/>
        </w:rPr>
        <w:t>“</w:t>
      </w:r>
      <w:r>
        <w:rPr/>
        <w:t>最多跑一次、一窗受理、集成服</w:t>
      </w:r>
      <w:r>
        <w:rPr>
          <w:spacing w:val="-70"/>
        </w:rPr>
        <w:t> </w:t>
      </w:r>
      <w:r>
        <w:rPr>
          <w:spacing w:val="-70"/>
        </w:rPr>
      </w:r>
      <w:r>
        <w:rPr/>
        <w:t>务</w:t>
      </w:r>
      <w:r>
        <w:rPr>
          <w:rFonts w:ascii="Times New Roman" w:hAnsi="Times New Roman" w:cs="Times New Roman" w:eastAsia="Times New Roman" w:hint="default"/>
        </w:rPr>
        <w:t>”</w:t>
      </w:r>
      <w:r>
        <w:rPr/>
        <w:t>、江苏省</w:t>
      </w:r>
      <w:r>
        <w:rPr>
          <w:rFonts w:ascii="Times New Roman" w:hAnsi="Times New Roman" w:cs="Times New Roman" w:eastAsia="Times New Roman" w:hint="default"/>
        </w:rPr>
        <w:t>“</w:t>
      </w:r>
      <w:r>
        <w:rPr/>
        <w:t>不见面审批</w:t>
      </w:r>
      <w:r>
        <w:rPr>
          <w:rFonts w:ascii="Times New Roman" w:hAnsi="Times New Roman" w:cs="Times New Roman" w:eastAsia="Times New Roman" w:hint="default"/>
        </w:rPr>
        <w:t>”</w:t>
      </w:r>
      <w:r>
        <w:rPr/>
        <w:t>、河南省</w:t>
      </w:r>
      <w:r>
        <w:rPr>
          <w:rFonts w:ascii="Times New Roman" w:hAnsi="Times New Roman" w:cs="Times New Roman" w:eastAsia="Times New Roman" w:hint="default"/>
        </w:rPr>
        <w:t>“</w:t>
      </w:r>
      <w:r>
        <w:rPr/>
        <w:t>一次办妥</w:t>
      </w:r>
      <w:r>
        <w:rPr>
          <w:rFonts w:ascii="Times New Roman" w:hAnsi="Times New Roman" w:cs="Times New Roman" w:eastAsia="Times New Roman" w:hint="default"/>
        </w:rPr>
        <w:t>”</w:t>
      </w:r>
      <w:r>
        <w:rPr/>
        <w:t>、福建省</w:t>
      </w:r>
      <w:r>
        <w:rPr>
          <w:rFonts w:ascii="Times New Roman" w:hAnsi="Times New Roman" w:cs="Times New Roman" w:eastAsia="Times New Roman" w:hint="default"/>
        </w:rPr>
        <w:t>“</w:t>
      </w:r>
      <w:r>
        <w:rPr/>
        <w:t>全程网办、证照通办</w:t>
      </w:r>
      <w:r>
        <w:rPr>
          <w:rFonts w:ascii="Times New Roman" w:hAnsi="Times New Roman" w:cs="Times New Roman" w:eastAsia="Times New Roman" w:hint="default"/>
        </w:rPr>
        <w:t>”</w:t>
      </w:r>
      <w:r>
        <w:rPr/>
        <w:t>等国内优秀政务服</w:t>
      </w:r>
      <w:r>
        <w:rPr>
          <w:w w:val="100"/>
        </w:rPr>
        <w:t> </w:t>
      </w:r>
      <w:r>
        <w:rPr/>
        <w:t>务系统和国家试点项目的设计及实施单位，是国家电子证照标准制定的组长单位，是国家电子文</w:t>
      </w:r>
      <w:r>
        <w:rPr>
          <w:spacing w:val="-98"/>
        </w:rPr>
        <w:t> </w:t>
      </w:r>
      <w:r>
        <w:rPr>
          <w:spacing w:val="-98"/>
        </w:rPr>
      </w:r>
      <w:r>
        <w:rPr>
          <w:spacing w:val="-5"/>
          <w:w w:val="100"/>
        </w:rPr>
        <w:t>件联盟副理事长单位。南威软件在国内建成的政务服务系统覆盖已超过</w:t>
      </w:r>
      <w:r>
        <w:rPr>
          <w:spacing w:val="-48"/>
          <w:w w:val="100"/>
        </w:rPr>
        <w:t> </w:t>
      </w:r>
      <w:r>
        <w:rPr>
          <w:rFonts w:ascii="Calibri" w:hAnsi="Calibri" w:cs="Calibri" w:eastAsia="Calibri" w:hint="default"/>
          <w:w w:val="100"/>
        </w:rPr>
        <w:t>25</w:t>
      </w:r>
      <w:r>
        <w:rPr>
          <w:rFonts w:ascii="Calibri" w:hAnsi="Calibri" w:cs="Calibri" w:eastAsia="Calibri" w:hint="default"/>
          <w:spacing w:val="10"/>
          <w:w w:val="100"/>
        </w:rPr>
        <w:t> </w:t>
      </w:r>
      <w:r>
        <w:rPr>
          <w:spacing w:val="-11"/>
          <w:w w:val="100"/>
        </w:rPr>
        <w:t>个省，超千个项目案例，</w:t>
      </w:r>
      <w:r>
        <w:rPr>
          <w:spacing w:val="-103"/>
          <w:w w:val="100"/>
        </w:rPr>
        <w:t> </w:t>
      </w:r>
      <w:r>
        <w:rPr>
          <w:spacing w:val="-103"/>
          <w:w w:val="100"/>
        </w:rPr>
      </w:r>
      <w:r>
        <w:rPr/>
        <w:t>南威软件以“放、管、服”为指导、以“一号、一窗、一网”为架构、以“大平台、大数据、大</w:t>
      </w:r>
      <w:r>
        <w:rPr>
          <w:spacing w:val="-97"/>
        </w:rPr>
        <w:t> </w:t>
      </w:r>
      <w:r>
        <w:rPr>
          <w:spacing w:val="-97"/>
        </w:rPr>
      </w:r>
      <w:r>
        <w:rPr>
          <w:spacing w:val="-4"/>
        </w:rPr>
        <w:t>系统”为核心，提供国内“专业度好、可靠性高、协同能力强、数据应用深”的综合型“互联网</w:t>
      </w:r>
      <w:r>
        <w:rPr>
          <w:rFonts w:ascii="Calibri" w:hAnsi="Calibri" w:cs="Calibri" w:eastAsia="Calibri" w:hint="default"/>
          <w:spacing w:val="-4"/>
        </w:rPr>
        <w:t>+</w:t>
      </w:r>
      <w:r>
        <w:rPr>
          <w:rFonts w:ascii="Calibri" w:hAnsi="Calibri" w:cs="Calibri" w:eastAsia="Calibri" w:hint="default"/>
          <w:spacing w:val="19"/>
        </w:rPr>
        <w:t> </w:t>
      </w:r>
      <w:r>
        <w:rPr/>
        <w:t>政务服务</w:t>
      </w:r>
      <w:r>
        <w:rPr>
          <w:rFonts w:ascii="Times New Roman" w:hAnsi="Times New Roman" w:cs="Times New Roman" w:eastAsia="Times New Roman" w:hint="default"/>
        </w:rPr>
        <w:t>”</w:t>
      </w:r>
      <w:r>
        <w:rPr/>
        <w:t>系统平台和解决方案，是国内电子政务行业最具创新能力的领军企业。</w:t>
      </w:r>
    </w:p>
    <w:p>
      <w:pPr>
        <w:pStyle w:val="BodyText"/>
        <w:spacing w:line="307" w:lineRule="auto" w:before="16"/>
        <w:ind w:left="138" w:right="207" w:firstLine="419"/>
        <w:jc w:val="both"/>
      </w:pPr>
      <w:r>
        <w:rPr>
          <w:rFonts w:ascii="Calibri" w:hAnsi="Calibri" w:cs="Calibri" w:eastAsia="Calibri" w:hint="default"/>
          <w:spacing w:val="-4"/>
        </w:rPr>
        <w:t>3</w:t>
      </w:r>
      <w:r>
        <w:rPr>
          <w:spacing w:val="-4"/>
        </w:rPr>
        <w:t>、在平安城市领域，公司的平安城市解决方案实现了公共安全视频监控</w:t>
      </w:r>
      <w:r>
        <w:rPr>
          <w:spacing w:val="18"/>
        </w:rPr>
        <w:t> </w:t>
      </w:r>
      <w:r>
        <w:rPr>
          <w:spacing w:val="-13"/>
        </w:rPr>
        <w:t>“建、维、管、用、</w:t>
      </w:r>
      <w:r>
        <w:rPr>
          <w:w w:val="100"/>
        </w:rPr>
        <w:t> </w:t>
      </w:r>
      <w:r>
        <w:rPr>
          <w:spacing w:val="-6"/>
          <w:w w:val="100"/>
        </w:rPr>
        <w:t>研、战”的一体化建设，致力打造全域覆盖、全时可用、全网共享、全程可控的“智慧天网”，以</w:t>
      </w:r>
      <w:r>
        <w:rPr>
          <w:w w:val="100"/>
        </w:rPr>
        <w:t> </w:t>
      </w:r>
      <w:r>
        <w:rPr>
          <w:spacing w:val="-7"/>
          <w:w w:val="100"/>
        </w:rPr>
        <w:t>及便民、利民、惠民、护民的“雪亮工程”。公司承建了福建省、浙江省、安徽省、泉州市、福州</w:t>
      </w:r>
      <w:r>
        <w:rPr>
          <w:spacing w:val="-66"/>
          <w:w w:val="100"/>
        </w:rPr>
        <w:t> </w:t>
      </w:r>
      <w:r>
        <w:rPr>
          <w:spacing w:val="-66"/>
          <w:w w:val="100"/>
        </w:rPr>
      </w:r>
      <w:r>
        <w:rPr>
          <w:spacing w:val="-2"/>
        </w:rPr>
        <w:t>市、绍兴市等多个省市区的智慧公安项目，承担了泉州平安城市建设项目（一至六期，累计金额</w:t>
      </w:r>
      <w:r>
        <w:rPr>
          <w:spacing w:val="-15"/>
        </w:rPr>
        <w:t> </w:t>
      </w:r>
      <w:r>
        <w:rPr>
          <w:spacing w:val="-15"/>
        </w:rPr>
      </w:r>
      <w:r>
        <w:rPr>
          <w:w w:val="100"/>
        </w:rPr>
        <w:t>超过</w:t>
      </w:r>
      <w:r>
        <w:rPr>
          <w:spacing w:val="-50"/>
          <w:w w:val="100"/>
        </w:rPr>
        <w:t> </w:t>
      </w:r>
      <w:r>
        <w:rPr>
          <w:rFonts w:ascii="Calibri" w:hAnsi="Calibri" w:cs="Calibri" w:eastAsia="Calibri" w:hint="default"/>
          <w:spacing w:val="-1"/>
          <w:w w:val="100"/>
        </w:rPr>
        <w:t>6.70</w:t>
      </w:r>
      <w:r>
        <w:rPr>
          <w:rFonts w:ascii="Calibri" w:hAnsi="Calibri" w:cs="Calibri" w:eastAsia="Calibri" w:hint="default"/>
          <w:spacing w:val="7"/>
          <w:w w:val="100"/>
        </w:rPr>
        <w:t> </w:t>
      </w:r>
      <w:r>
        <w:rPr>
          <w:spacing w:val="-5"/>
          <w:w w:val="100"/>
        </w:rPr>
        <w:t>亿元），承担了福州市高清视频监控系统公安界面购买服务项目（项目金额</w:t>
      </w:r>
      <w:r>
        <w:rPr>
          <w:spacing w:val="-49"/>
          <w:w w:val="100"/>
        </w:rPr>
        <w:t> </w:t>
      </w:r>
      <w:r>
        <w:rPr>
          <w:rFonts w:ascii="Calibri" w:hAnsi="Calibri" w:cs="Calibri" w:eastAsia="Calibri" w:hint="default"/>
          <w:spacing w:val="-1"/>
          <w:w w:val="100"/>
        </w:rPr>
        <w:t>8.16</w:t>
      </w:r>
      <w:r>
        <w:rPr>
          <w:rFonts w:ascii="Calibri" w:hAnsi="Calibri" w:cs="Calibri" w:eastAsia="Calibri" w:hint="default"/>
          <w:spacing w:val="7"/>
          <w:w w:val="100"/>
        </w:rPr>
        <w:t> </w:t>
      </w:r>
      <w:r>
        <w:rPr>
          <w:spacing w:val="-1"/>
          <w:w w:val="100"/>
        </w:rPr>
        <w:t>亿元）</w:t>
      </w:r>
    </w:p>
    <w:p>
      <w:pPr>
        <w:pStyle w:val="BodyText"/>
        <w:spacing w:line="288" w:lineRule="exact"/>
        <w:ind w:left="138" w:right="102"/>
        <w:jc w:val="left"/>
      </w:pPr>
      <w:r>
        <w:rPr>
          <w:spacing w:val="-3"/>
        </w:rPr>
        <w:t>和智慧福清暨高清视频监控（天网）一期项目（项目金额 </w:t>
      </w:r>
      <w:r>
        <w:rPr>
          <w:rFonts w:ascii="Calibri" w:hAnsi="Calibri" w:cs="Calibri" w:eastAsia="Calibri" w:hint="default"/>
        </w:rPr>
        <w:t>2.16</w:t>
      </w:r>
      <w:r>
        <w:rPr>
          <w:rFonts w:ascii="Calibri" w:hAnsi="Calibri" w:cs="Calibri" w:eastAsia="Calibri" w:hint="default"/>
          <w:spacing w:val="21"/>
        </w:rPr>
        <w:t> </w:t>
      </w:r>
      <w:r>
        <w:rPr>
          <w:spacing w:val="-3"/>
        </w:rPr>
        <w:t>亿元）等重点项目，是国内平安城</w:t>
      </w:r>
    </w:p>
    <w:p>
      <w:pPr>
        <w:pStyle w:val="BodyText"/>
        <w:spacing w:line="240" w:lineRule="auto" w:before="58"/>
        <w:ind w:left="138" w:right="102"/>
        <w:jc w:val="left"/>
      </w:pPr>
      <w:r>
        <w:rPr/>
        <w:t>市领域优秀的解决方案提供商。</w:t>
      </w:r>
    </w:p>
    <w:p>
      <w:pPr>
        <w:pStyle w:val="BodyText"/>
        <w:spacing w:line="300" w:lineRule="auto" w:before="85"/>
        <w:ind w:left="138" w:right="208" w:firstLine="419"/>
        <w:jc w:val="both"/>
      </w:pPr>
      <w:r>
        <w:rPr>
          <w:rFonts w:ascii="Calibri" w:hAnsi="Calibri" w:cs="Calibri" w:eastAsia="Calibri" w:hint="default"/>
          <w:spacing w:val="-4"/>
        </w:rPr>
        <w:t>4</w:t>
      </w:r>
      <w:r>
        <w:rPr>
          <w:spacing w:val="-4"/>
        </w:rPr>
        <w:t>、在行业大数据产品领域，公司大数据研发团队针对行业应用进行重点突破，通过梳理建设</w:t>
      </w:r>
      <w:r>
        <w:rPr>
          <w:w w:val="100"/>
        </w:rPr>
        <w:t> </w:t>
      </w:r>
      <w:r>
        <w:rPr/>
        <w:t>数据集成 </w:t>
      </w:r>
      <w:r>
        <w:rPr>
          <w:rFonts w:ascii="Calibri" w:hAnsi="Calibri" w:cs="Calibri" w:eastAsia="Calibri" w:hint="default"/>
        </w:rPr>
        <w:t>ETL</w:t>
      </w:r>
      <w:r>
        <w:rPr>
          <w:rFonts w:ascii="Calibri" w:hAnsi="Calibri" w:cs="Calibri" w:eastAsia="Calibri" w:hint="default"/>
          <w:spacing w:val="-21"/>
        </w:rPr>
        <w:t> </w:t>
      </w:r>
      <w:r>
        <w:rPr/>
        <w:t>平台、资源目录管理平台、数据治理平台、共享云服务平台、数据开放平台、大数</w:t>
      </w:r>
      <w:r>
        <w:rPr>
          <w:w w:val="100"/>
        </w:rPr>
        <w:t> </w:t>
      </w:r>
      <w:r>
        <w:rPr>
          <w:spacing w:val="-1"/>
        </w:rPr>
        <w:t>据可视化分析平台等，围绕政府治理和公共服务的改革需要，公司将大数据与政务、公安、政法</w:t>
      </w:r>
      <w:r>
        <w:rPr>
          <w:spacing w:val="-54"/>
        </w:rPr>
        <w:t> </w:t>
      </w:r>
      <w:r>
        <w:rPr>
          <w:spacing w:val="-54"/>
        </w:rPr>
      </w:r>
      <w:r>
        <w:rPr>
          <w:spacing w:val="-1"/>
        </w:rPr>
        <w:t>等领域多年的行业经验相结合，以强大的大数据研发团队和技术实力为公司业务提供技术支撑，</w:t>
      </w:r>
      <w:r>
        <w:rPr>
          <w:spacing w:val="-55"/>
        </w:rPr>
        <w:t> </w:t>
      </w:r>
      <w:r>
        <w:rPr>
          <w:spacing w:val="-55"/>
        </w:rPr>
      </w:r>
      <w:r>
        <w:rPr>
          <w:spacing w:val="-1"/>
        </w:rPr>
        <w:t>为交通、政务、公安、检察院等行政执法部门和司法机关提供大数据分析平台建设及数据采集、</w:t>
      </w:r>
    </w:p>
    <w:p>
      <w:pPr>
        <w:spacing w:after="0" w:line="300" w:lineRule="auto"/>
        <w:jc w:val="both"/>
        <w:sectPr>
          <w:pgSz w:w="11910" w:h="16840"/>
          <w:pgMar w:header="855" w:footer="979" w:top="1140" w:bottom="1160" w:left="1660" w:right="1060"/>
        </w:sectPr>
      </w:pPr>
    </w:p>
    <w:p>
      <w:pPr>
        <w:spacing w:line="240" w:lineRule="auto" w:before="4"/>
        <w:rPr>
          <w:rFonts w:ascii="宋体" w:hAnsi="宋体" w:cs="宋体" w:eastAsia="宋体" w:hint="default"/>
          <w:sz w:val="29"/>
          <w:szCs w:val="29"/>
        </w:rPr>
      </w:pPr>
    </w:p>
    <w:p>
      <w:pPr>
        <w:pStyle w:val="BodyText"/>
        <w:spacing w:line="314" w:lineRule="auto" w:before="36"/>
        <w:ind w:left="138" w:right="102"/>
        <w:jc w:val="left"/>
      </w:pPr>
      <w:r>
        <w:rPr>
          <w:spacing w:val="-1"/>
        </w:rPr>
        <w:t>数据清洗、数据分析、数据应用等服务，致力于为政府统一分析、管理各类信息资源，打通政府</w:t>
      </w:r>
      <w:r>
        <w:rPr>
          <w:spacing w:val="-55"/>
        </w:rPr>
        <w:t> </w:t>
      </w:r>
      <w:r>
        <w:rPr>
          <w:spacing w:val="-55"/>
        </w:rPr>
      </w:r>
      <w:r>
        <w:rPr/>
        <w:t>间信息壁垒，破解信息孤岛，消除数据烟囱，实现互联互通与开放共享。</w:t>
      </w:r>
    </w:p>
    <w:p>
      <w:pPr>
        <w:pStyle w:val="BodyText"/>
        <w:spacing w:line="304" w:lineRule="auto" w:before="20"/>
        <w:ind w:left="138" w:right="207" w:firstLine="419"/>
        <w:jc w:val="both"/>
      </w:pPr>
      <w:r>
        <w:rPr>
          <w:rFonts w:ascii="Calibri" w:hAnsi="Calibri" w:cs="Calibri" w:eastAsia="Calibri" w:hint="default"/>
        </w:rPr>
        <w:t>5</w:t>
      </w:r>
      <w:r>
        <w:rPr/>
        <w:t>、在民生信息化方面，公司结合智慧城市建设推出城市 </w:t>
      </w:r>
      <w:r>
        <w:rPr>
          <w:rFonts w:ascii="Calibri" w:hAnsi="Calibri" w:cs="Calibri" w:eastAsia="Calibri" w:hint="default"/>
        </w:rPr>
        <w:t>APP</w:t>
      </w:r>
      <w:r>
        <w:rPr>
          <w:rFonts w:ascii="Calibri" w:hAnsi="Calibri" w:cs="Calibri" w:eastAsia="Calibri" w:hint="default"/>
          <w:spacing w:val="38"/>
        </w:rPr>
        <w:t> </w:t>
      </w:r>
      <w:r>
        <w:rPr/>
        <w:t>的运营，打通市民基础信息入</w:t>
      </w:r>
      <w:r>
        <w:rPr>
          <w:w w:val="100"/>
        </w:rPr>
        <w:t> </w:t>
      </w:r>
      <w:r>
        <w:rPr>
          <w:spacing w:val="-1"/>
        </w:rPr>
        <w:t>口，构建基于移动互联的智慧社会生态；公司运营的蜻蜓停车、小电卫士、红点社区、万创帮、</w:t>
      </w:r>
      <w:r>
        <w:rPr>
          <w:spacing w:val="-56"/>
        </w:rPr>
        <w:t> </w:t>
      </w:r>
      <w:r>
        <w:rPr>
          <w:spacing w:val="-56"/>
        </w:rPr>
      </w:r>
      <w:r>
        <w:rPr>
          <w:spacing w:val="-6"/>
          <w:w w:val="100"/>
        </w:rPr>
        <w:t>万创中国、华夏匠人等服务民生服务社会的共享经济平台获得社会多方关注，开启公司在物联网、</w:t>
      </w:r>
      <w:r>
        <w:rPr>
          <w:w w:val="100"/>
        </w:rPr>
        <w:t> </w:t>
      </w:r>
      <w:r>
        <w:rPr/>
        <w:t>移动互联网领域的重要布局，预计将成为公司未来重要的增长点。</w:t>
      </w:r>
    </w:p>
    <w:p>
      <w:pPr>
        <w:pStyle w:val="Heading3"/>
        <w:spacing w:line="240" w:lineRule="auto" w:before="28"/>
        <w:ind w:left="560" w:right="102"/>
        <w:jc w:val="left"/>
        <w:rPr>
          <w:b w:val="0"/>
          <w:bCs w:val="0"/>
        </w:rPr>
      </w:pPr>
      <w:r>
        <w:rPr/>
        <w:t>（二）行业情况说明</w:t>
      </w:r>
      <w:r>
        <w:rPr>
          <w:b w:val="0"/>
          <w:bCs w:val="0"/>
        </w:rPr>
      </w:r>
    </w:p>
    <w:p>
      <w:pPr>
        <w:spacing w:line="285" w:lineRule="auto" w:before="85"/>
        <w:ind w:left="558" w:right="102" w:firstLine="2"/>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、智慧城市建设引发新一轮经济热潮，成为城市发展新动能</w:t>
      </w:r>
      <w:r>
        <w:rPr>
          <w:rFonts w:ascii="宋体" w:hAnsi="宋体" w:cs="宋体" w:eastAsia="宋体" w:hint="default"/>
          <w:b/>
          <w:bCs/>
          <w:w w:val="100"/>
          <w:sz w:val="21"/>
          <w:szCs w:val="21"/>
        </w:rPr>
        <w:t> </w:t>
      </w:r>
      <w:r>
        <w:rPr>
          <w:rFonts w:ascii="宋体" w:hAnsi="宋体" w:cs="宋体" w:eastAsia="宋体" w:hint="default"/>
          <w:spacing w:val="-2"/>
          <w:sz w:val="21"/>
          <w:szCs w:val="21"/>
        </w:rPr>
        <w:t>十九大报告中提出“网络强国、数字中国、平安中国、智慧社会”等理念，为智慧城市建设</w:t>
      </w:r>
    </w:p>
    <w:p>
      <w:pPr>
        <w:pStyle w:val="BodyText"/>
        <w:spacing w:line="307" w:lineRule="auto" w:before="46"/>
        <w:ind w:left="138" w:right="207"/>
        <w:jc w:val="both"/>
      </w:pPr>
      <w:r>
        <w:rPr>
          <w:spacing w:val="-1"/>
        </w:rPr>
        <w:t>提出并明确了发展路径；国家十三五规划中提出“加快新型城市建设，加强现代信息基础设施建</w:t>
      </w:r>
      <w:r>
        <w:rPr>
          <w:spacing w:val="-55"/>
        </w:rPr>
        <w:t> </w:t>
      </w:r>
      <w:r>
        <w:rPr>
          <w:spacing w:val="-55"/>
        </w:rPr>
      </w:r>
      <w:r>
        <w:rPr>
          <w:spacing w:val="-6"/>
          <w:w w:val="100"/>
        </w:rPr>
        <w:t>设，推进大数据和物联网发展，建设智慧城市”；国家多部委从各自角度出发，大力推进智慧城市</w:t>
      </w:r>
      <w:r>
        <w:rPr>
          <w:w w:val="100"/>
        </w:rPr>
        <w:t> </w:t>
      </w:r>
      <w:r>
        <w:rPr>
          <w:spacing w:val="-1"/>
        </w:rPr>
        <w:t>建设，目前我国已经先后发布了三批智慧城市试点。统计显示，目前我国已经有住建部智慧城市</w:t>
      </w:r>
      <w:r>
        <w:rPr>
          <w:spacing w:val="-55"/>
        </w:rPr>
        <w:t> </w:t>
      </w:r>
      <w:r>
        <w:rPr>
          <w:spacing w:val="-55"/>
        </w:rPr>
      </w:r>
      <w:r>
        <w:rPr/>
        <w:t>试点</w:t>
      </w:r>
      <w:r>
        <w:rPr>
          <w:spacing w:val="-50"/>
        </w:rPr>
        <w:t> </w:t>
      </w:r>
      <w:r>
        <w:rPr>
          <w:rFonts w:ascii="Times New Roman" w:hAnsi="Times New Roman" w:cs="Times New Roman" w:eastAsia="Times New Roman" w:hint="default"/>
        </w:rPr>
        <w:t>286 </w:t>
      </w:r>
      <w:r>
        <w:rPr/>
        <w:t>个，其余智慧城市相关试点超</w:t>
      </w:r>
      <w:r>
        <w:rPr>
          <w:spacing w:val="-50"/>
        </w:rPr>
        <w:t> </w:t>
      </w:r>
      <w:r>
        <w:rPr>
          <w:rFonts w:ascii="Times New Roman" w:hAnsi="Times New Roman" w:cs="Times New Roman" w:eastAsia="Times New Roman" w:hint="default"/>
        </w:rPr>
        <w:t>300 </w:t>
      </w:r>
      <w:r>
        <w:rPr/>
        <w:t>个，这些试点城市均出台了相应规划，计划投资规模</w:t>
      </w:r>
      <w:r>
        <w:rPr>
          <w:w w:val="100"/>
        </w:rPr>
        <w:t> </w:t>
      </w:r>
      <w:r>
        <w:rPr/>
        <w:t>超过万亿元，其中包括所有副省级以上城市、</w:t>
      </w:r>
      <w:r>
        <w:rPr>
          <w:rFonts w:ascii="Times New Roman" w:hAnsi="Times New Roman" w:cs="Times New Roman" w:eastAsia="Times New Roman" w:hint="default"/>
        </w:rPr>
        <w:t>90%</w:t>
      </w:r>
      <w:r>
        <w:rPr/>
        <w:t>以上地级城市、将近</w:t>
      </w:r>
      <w:r>
        <w:rPr>
          <w:spacing w:val="-29"/>
        </w:rPr>
        <w:t> </w:t>
      </w:r>
      <w:r>
        <w:rPr>
          <w:rFonts w:ascii="Times New Roman" w:hAnsi="Times New Roman" w:cs="Times New Roman" w:eastAsia="Times New Roman" w:hint="default"/>
        </w:rPr>
        <w:t>50%</w:t>
      </w:r>
      <w:r>
        <w:rPr/>
        <w:t>的县级城市，智慧城</w:t>
      </w:r>
      <w:r>
        <w:rPr>
          <w:w w:val="100"/>
        </w:rPr>
        <w:t> </w:t>
      </w:r>
      <w:r>
        <w:rPr>
          <w:spacing w:val="-1"/>
        </w:rPr>
        <w:t>市步入实质建设阶段。随着“创新、协调、绿色、开放、共享”发展理念的全面贯彻，城市被赋</w:t>
      </w:r>
      <w:r>
        <w:rPr>
          <w:spacing w:val="-56"/>
        </w:rPr>
        <w:t> </w:t>
      </w:r>
      <w:r>
        <w:rPr>
          <w:spacing w:val="-56"/>
        </w:rPr>
      </w:r>
      <w:r>
        <w:rPr>
          <w:spacing w:val="-1"/>
        </w:rPr>
        <w:t>予了新的内涵，对智慧城市建设提出了新的要求。国家互联网信息办在全面调查和摸清全国智慧</w:t>
      </w:r>
      <w:r>
        <w:rPr>
          <w:spacing w:val="-55"/>
        </w:rPr>
        <w:t> </w:t>
      </w:r>
      <w:r>
        <w:rPr>
          <w:spacing w:val="-55"/>
        </w:rPr>
      </w:r>
      <w:r>
        <w:rPr>
          <w:spacing w:val="-6"/>
          <w:w w:val="100"/>
        </w:rPr>
        <w:t>城市建设情况的基础上，面对智慧城市建设遇到的新挑战和新要求，提出了新型智慧城市的概念，</w:t>
      </w:r>
      <w:r>
        <w:rPr>
          <w:spacing w:val="-104"/>
          <w:w w:val="100"/>
        </w:rPr>
        <w:t> </w:t>
      </w:r>
      <w:r>
        <w:rPr>
          <w:spacing w:val="-104"/>
          <w:w w:val="100"/>
        </w:rPr>
      </w:r>
      <w:r>
        <w:rPr/>
        <w:t>并且牵头组织国家发改委等</w:t>
      </w:r>
      <w:r>
        <w:rPr>
          <w:spacing w:val="-33"/>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spacing w:val="-5"/>
        </w:rPr>
        <w:t>个部委联合推动新型智慧城市建设。同时，财政部办公厅发布《关</w:t>
      </w:r>
      <w:r>
        <w:rPr>
          <w:spacing w:val="-98"/>
        </w:rPr>
        <w:t> </w:t>
      </w:r>
      <w:r>
        <w:rPr>
          <w:spacing w:val="-98"/>
        </w:rPr>
      </w:r>
      <w:r>
        <w:rPr>
          <w:spacing w:val="-5"/>
          <w:w w:val="100"/>
        </w:rPr>
        <w:t>于规范政府和社会资本合作（</w:t>
      </w:r>
      <w:r>
        <w:rPr>
          <w:rFonts w:ascii="Times New Roman" w:hAnsi="Times New Roman" w:cs="Times New Roman" w:eastAsia="Times New Roman" w:hint="default"/>
          <w:spacing w:val="-5"/>
          <w:w w:val="100"/>
        </w:rPr>
        <w:t>PPP</w:t>
      </w:r>
      <w:r>
        <w:rPr>
          <w:spacing w:val="-5"/>
          <w:w w:val="100"/>
        </w:rPr>
        <w:t>）综合信息平台项目库管理的通知》（</w:t>
      </w:r>
      <w:r>
        <w:rPr>
          <w:rFonts w:ascii="Times New Roman" w:hAnsi="Times New Roman" w:cs="Times New Roman" w:eastAsia="Times New Roman" w:hint="default"/>
          <w:spacing w:val="-5"/>
          <w:w w:val="100"/>
        </w:rPr>
        <w:t>92</w:t>
      </w:r>
      <w:r>
        <w:rPr>
          <w:rFonts w:ascii="Times New Roman" w:hAnsi="Times New Roman" w:cs="Times New Roman" w:eastAsia="Times New Roman" w:hint="default"/>
          <w:spacing w:val="40"/>
          <w:w w:val="100"/>
        </w:rPr>
        <w:t> </w:t>
      </w:r>
      <w:r>
        <w:rPr>
          <w:spacing w:val="-2"/>
          <w:w w:val="100"/>
        </w:rPr>
        <w:t>号文）对</w:t>
      </w:r>
      <w:r>
        <w:rPr>
          <w:spacing w:val="-15"/>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spacing w:val="40"/>
          <w:w w:val="100"/>
        </w:rPr>
        <w:t> </w:t>
      </w:r>
      <w:r>
        <w:rPr>
          <w:spacing w:val="-3"/>
          <w:w w:val="100"/>
        </w:rPr>
        <w:t>项目进</w:t>
      </w:r>
      <w:r>
        <w:rPr>
          <w:spacing w:val="-104"/>
          <w:w w:val="100"/>
        </w:rPr>
        <w:t> </w:t>
      </w:r>
      <w:r>
        <w:rPr>
          <w:spacing w:val="-2"/>
          <w:w w:val="100"/>
        </w:rPr>
        <w:t>行全面整顿；国资委发布《关于加强中央企业</w:t>
      </w:r>
      <w:r>
        <w:rPr>
          <w:spacing w:val="-40"/>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spacing w:val="14"/>
          <w:w w:val="100"/>
        </w:rPr>
        <w:t> </w:t>
      </w:r>
      <w:r>
        <w:rPr>
          <w:spacing w:val="-9"/>
          <w:w w:val="100"/>
        </w:rPr>
        <w:t>业务风险管控的通知》（</w:t>
      </w:r>
      <w:r>
        <w:rPr>
          <w:rFonts w:ascii="Times New Roman" w:hAnsi="Times New Roman" w:cs="Times New Roman" w:eastAsia="Times New Roman" w:hint="default"/>
          <w:spacing w:val="-9"/>
          <w:w w:val="100"/>
        </w:rPr>
        <w:t>192</w:t>
      </w:r>
      <w:r>
        <w:rPr>
          <w:rFonts w:ascii="Times New Roman" w:hAnsi="Times New Roman" w:cs="Times New Roman" w:eastAsia="Times New Roman" w:hint="default"/>
          <w:spacing w:val="16"/>
          <w:w w:val="100"/>
        </w:rPr>
        <w:t> </w:t>
      </w:r>
      <w:r>
        <w:rPr>
          <w:spacing w:val="-15"/>
          <w:w w:val="100"/>
        </w:rPr>
        <w:t>号文），这些文件</w:t>
      </w:r>
      <w:r>
        <w:rPr>
          <w:spacing w:val="-104"/>
          <w:w w:val="100"/>
        </w:rPr>
        <w:t> </w:t>
      </w:r>
      <w:r>
        <w:rPr>
          <w:spacing w:val="-104"/>
          <w:w w:val="100"/>
        </w:rPr>
      </w:r>
      <w:r>
        <w:rPr/>
        <w:t>的发布对智慧城市的建设进行了规范化管理，并提出了更高的建设要求。</w:t>
      </w:r>
    </w:p>
    <w:p>
      <w:pPr>
        <w:spacing w:line="297" w:lineRule="auto" w:before="26"/>
        <w:ind w:left="558" w:right="202" w:firstLine="2"/>
        <w:jc w:val="lef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t>2</w:t>
      </w:r>
      <w:r>
        <w:rPr>
          <w:rFonts w:ascii="宋体" w:hAnsi="宋体" w:cs="宋体" w:eastAsia="宋体" w:hint="default"/>
          <w:b/>
          <w:bCs/>
          <w:w w:val="100"/>
          <w:sz w:val="21"/>
          <w:szCs w:val="21"/>
        </w:rPr>
        <w:t>、推进“三融五</w:t>
      </w:r>
      <w:r>
        <w:rPr>
          <w:rFonts w:ascii="宋体" w:hAnsi="宋体" w:cs="宋体" w:eastAsia="宋体" w:hint="default"/>
          <w:b/>
          <w:bCs/>
          <w:spacing w:val="-3"/>
          <w:w w:val="100"/>
          <w:sz w:val="21"/>
          <w:szCs w:val="21"/>
        </w:rPr>
        <w:t>跨</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b/>
          <w:bCs/>
          <w:spacing w:val="-3"/>
          <w:w w:val="100"/>
          <w:sz w:val="21"/>
          <w:szCs w:val="21"/>
        </w:rPr>
        <w:t>构</w:t>
      </w:r>
      <w:r>
        <w:rPr>
          <w:rFonts w:ascii="宋体" w:hAnsi="宋体" w:cs="宋体" w:eastAsia="宋体" w:hint="default"/>
          <w:b/>
          <w:bCs/>
          <w:w w:val="100"/>
          <w:sz w:val="21"/>
          <w:szCs w:val="21"/>
        </w:rPr>
        <w:t>建多元化智慧政务</w:t>
      </w:r>
      <w:r>
        <w:rPr>
          <w:rFonts w:ascii="宋体" w:hAnsi="宋体" w:cs="宋体" w:eastAsia="宋体" w:hint="default"/>
          <w:b/>
          <w:bCs/>
          <w:spacing w:val="-3"/>
          <w:w w:val="100"/>
          <w:sz w:val="21"/>
          <w:szCs w:val="21"/>
        </w:rPr>
        <w:t>服</w:t>
      </w:r>
      <w:r>
        <w:rPr>
          <w:rFonts w:ascii="宋体" w:hAnsi="宋体" w:cs="宋体" w:eastAsia="宋体" w:hint="default"/>
          <w:b/>
          <w:bCs/>
          <w:w w:val="100"/>
          <w:sz w:val="21"/>
          <w:szCs w:val="21"/>
        </w:rPr>
        <w:t>务</w:t>
      </w:r>
      <w:r>
        <w:rPr>
          <w:rFonts w:ascii="宋体" w:hAnsi="宋体" w:cs="宋体" w:eastAsia="宋体" w:hint="default"/>
          <w:b/>
          <w:bCs/>
          <w:spacing w:val="-3"/>
          <w:w w:val="100"/>
          <w:sz w:val="21"/>
          <w:szCs w:val="21"/>
        </w:rPr>
        <w:t>体</w:t>
      </w:r>
      <w:r>
        <w:rPr>
          <w:rFonts w:ascii="宋体" w:hAnsi="宋体" w:cs="宋体" w:eastAsia="宋体" w:hint="default"/>
          <w:b/>
          <w:bCs/>
          <w:w w:val="100"/>
          <w:sz w:val="21"/>
          <w:szCs w:val="21"/>
        </w:rPr>
        <w:t>系</w:t>
      </w:r>
      <w:r>
        <w:rPr>
          <w:rFonts w:ascii="宋体" w:hAnsi="宋体" w:cs="宋体" w:eastAsia="宋体" w:hint="default"/>
          <w:b/>
          <w:bCs/>
          <w:w w:val="100"/>
          <w:sz w:val="21"/>
          <w:szCs w:val="21"/>
        </w:rPr>
        <w:t> </w:t>
      </w:r>
      <w:r>
        <w:rPr>
          <w:rFonts w:ascii="宋体" w:hAnsi="宋体" w:cs="宋体" w:eastAsia="宋体" w:hint="default"/>
          <w:w w:val="100"/>
          <w:sz w:val="21"/>
          <w:szCs w:val="21"/>
        </w:rPr>
        <w:t>经过</w:t>
      </w:r>
      <w:r>
        <w:rPr>
          <w:rFonts w:ascii="宋体" w:hAnsi="宋体" w:cs="宋体" w:eastAsia="宋体" w:hint="default"/>
          <w:spacing w:val="-3"/>
          <w:w w:val="100"/>
          <w:sz w:val="21"/>
          <w:szCs w:val="21"/>
        </w:rPr>
        <w:t>多</w:t>
      </w:r>
      <w:r>
        <w:rPr>
          <w:rFonts w:ascii="宋体" w:hAnsi="宋体" w:cs="宋体" w:eastAsia="宋体" w:hint="default"/>
          <w:w w:val="100"/>
          <w:sz w:val="21"/>
          <w:szCs w:val="21"/>
        </w:rPr>
        <w:t>年</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101"/>
          <w:w w:val="100"/>
          <w:sz w:val="21"/>
          <w:szCs w:val="21"/>
        </w:rPr>
        <w:t>，</w:t>
      </w:r>
      <w:r>
        <w:rPr>
          <w:rFonts w:ascii="宋体" w:hAnsi="宋体" w:cs="宋体" w:eastAsia="宋体" w:hint="default"/>
          <w:w w:val="100"/>
          <w:sz w:val="21"/>
          <w:szCs w:val="21"/>
        </w:rPr>
        <w:t>我</w:t>
      </w:r>
      <w:r>
        <w:rPr>
          <w:rFonts w:ascii="宋体" w:hAnsi="宋体" w:cs="宋体" w:eastAsia="宋体" w:hint="default"/>
          <w:spacing w:val="-3"/>
          <w:w w:val="100"/>
          <w:sz w:val="21"/>
          <w:szCs w:val="21"/>
        </w:rPr>
        <w:t>国</w:t>
      </w:r>
      <w:r>
        <w:rPr>
          <w:rFonts w:ascii="宋体" w:hAnsi="宋体" w:cs="宋体" w:eastAsia="宋体" w:hint="default"/>
          <w:w w:val="100"/>
          <w:sz w:val="21"/>
          <w:szCs w:val="21"/>
        </w:rPr>
        <w:t>电</w:t>
      </w:r>
      <w:r>
        <w:rPr>
          <w:rFonts w:ascii="宋体" w:hAnsi="宋体" w:cs="宋体" w:eastAsia="宋体" w:hint="default"/>
          <w:spacing w:val="-3"/>
          <w:w w:val="100"/>
          <w:sz w:val="21"/>
          <w:szCs w:val="21"/>
        </w:rPr>
        <w:t>子政</w:t>
      </w:r>
      <w:r>
        <w:rPr>
          <w:rFonts w:ascii="宋体" w:hAnsi="宋体" w:cs="宋体" w:eastAsia="宋体" w:hint="default"/>
          <w:w w:val="100"/>
          <w:sz w:val="21"/>
          <w:szCs w:val="21"/>
        </w:rPr>
        <w:t>务在</w:t>
      </w:r>
      <w:r>
        <w:rPr>
          <w:rFonts w:ascii="宋体" w:hAnsi="宋体" w:cs="宋体" w:eastAsia="宋体" w:hint="default"/>
          <w:spacing w:val="-3"/>
          <w:w w:val="100"/>
          <w:sz w:val="21"/>
          <w:szCs w:val="21"/>
        </w:rPr>
        <w:t>多</w:t>
      </w:r>
      <w:r>
        <w:rPr>
          <w:rFonts w:ascii="宋体" w:hAnsi="宋体" w:cs="宋体" w:eastAsia="宋体" w:hint="default"/>
          <w:w w:val="100"/>
          <w:sz w:val="21"/>
          <w:szCs w:val="21"/>
        </w:rPr>
        <w:t>个</w:t>
      </w:r>
      <w:r>
        <w:rPr>
          <w:rFonts w:ascii="宋体" w:hAnsi="宋体" w:cs="宋体" w:eastAsia="宋体" w:hint="default"/>
          <w:spacing w:val="-3"/>
          <w:w w:val="100"/>
          <w:sz w:val="21"/>
          <w:szCs w:val="21"/>
        </w:rPr>
        <w:t>领</w:t>
      </w:r>
      <w:r>
        <w:rPr>
          <w:rFonts w:ascii="宋体" w:hAnsi="宋体" w:cs="宋体" w:eastAsia="宋体" w:hint="default"/>
          <w:w w:val="100"/>
          <w:sz w:val="21"/>
          <w:szCs w:val="21"/>
        </w:rPr>
        <w:t>域</w:t>
      </w:r>
      <w:r>
        <w:rPr>
          <w:rFonts w:ascii="宋体" w:hAnsi="宋体" w:cs="宋体" w:eastAsia="宋体" w:hint="default"/>
          <w:spacing w:val="-3"/>
          <w:w w:val="100"/>
          <w:sz w:val="21"/>
          <w:szCs w:val="21"/>
        </w:rPr>
        <w:t>均</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了</w:t>
      </w:r>
      <w:r>
        <w:rPr>
          <w:rFonts w:ascii="宋体" w:hAnsi="宋体" w:cs="宋体" w:eastAsia="宋体" w:hint="default"/>
          <w:spacing w:val="-3"/>
          <w:w w:val="100"/>
          <w:sz w:val="21"/>
          <w:szCs w:val="21"/>
        </w:rPr>
        <w:t>积</w:t>
      </w:r>
      <w:r>
        <w:rPr>
          <w:rFonts w:ascii="宋体" w:hAnsi="宋体" w:cs="宋体" w:eastAsia="宋体" w:hint="default"/>
          <w:w w:val="100"/>
          <w:sz w:val="21"/>
          <w:szCs w:val="21"/>
        </w:rPr>
        <w:t>极进</w:t>
      </w:r>
      <w:r>
        <w:rPr>
          <w:rFonts w:ascii="宋体" w:hAnsi="宋体" w:cs="宋体" w:eastAsia="宋体" w:hint="default"/>
          <w:spacing w:val="-3"/>
          <w:w w:val="100"/>
          <w:sz w:val="21"/>
          <w:szCs w:val="21"/>
        </w:rPr>
        <w:t>展</w:t>
      </w:r>
      <w:r>
        <w:rPr>
          <w:rFonts w:ascii="宋体" w:hAnsi="宋体" w:cs="宋体" w:eastAsia="宋体" w:hint="default"/>
          <w:spacing w:val="-101"/>
          <w:w w:val="100"/>
          <w:sz w:val="21"/>
          <w:szCs w:val="21"/>
        </w:rPr>
        <w:t>，</w:t>
      </w:r>
      <w:r>
        <w:rPr>
          <w:rFonts w:ascii="宋体" w:hAnsi="宋体" w:cs="宋体" w:eastAsia="宋体" w:hint="default"/>
          <w:w w:val="100"/>
          <w:sz w:val="21"/>
          <w:szCs w:val="21"/>
        </w:rPr>
        <w:t>电子</w:t>
      </w:r>
      <w:r>
        <w:rPr>
          <w:rFonts w:ascii="宋体" w:hAnsi="宋体" w:cs="宋体" w:eastAsia="宋体" w:hint="default"/>
          <w:spacing w:val="-3"/>
          <w:w w:val="100"/>
          <w:sz w:val="21"/>
          <w:szCs w:val="21"/>
        </w:rPr>
        <w:t>政</w:t>
      </w:r>
      <w:r>
        <w:rPr>
          <w:rFonts w:ascii="宋体" w:hAnsi="宋体" w:cs="宋体" w:eastAsia="宋体" w:hint="default"/>
          <w:w w:val="100"/>
          <w:sz w:val="21"/>
          <w:szCs w:val="21"/>
        </w:rPr>
        <w:t>务</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对政</w:t>
      </w:r>
      <w:r>
        <w:rPr>
          <w:rFonts w:ascii="宋体" w:hAnsi="宋体" w:cs="宋体" w:eastAsia="宋体" w:hint="default"/>
          <w:w w:val="100"/>
          <w:sz w:val="21"/>
          <w:szCs w:val="21"/>
        </w:rPr>
        <w:t>府综</w:t>
      </w:r>
      <w:r>
        <w:rPr>
          <w:rFonts w:ascii="宋体" w:hAnsi="宋体" w:cs="宋体" w:eastAsia="宋体" w:hint="default"/>
          <w:spacing w:val="-3"/>
          <w:w w:val="100"/>
          <w:sz w:val="21"/>
          <w:szCs w:val="21"/>
        </w:rPr>
        <w:t>合</w:t>
      </w:r>
      <w:r>
        <w:rPr>
          <w:rFonts w:ascii="宋体" w:hAnsi="宋体" w:cs="宋体" w:eastAsia="宋体" w:hint="default"/>
          <w:w w:val="100"/>
          <w:sz w:val="21"/>
          <w:szCs w:val="21"/>
        </w:rPr>
        <w:t>监</w:t>
      </w:r>
      <w:r>
        <w:rPr>
          <w:rFonts w:ascii="宋体" w:hAnsi="宋体" w:cs="宋体" w:eastAsia="宋体" w:hint="default"/>
          <w:spacing w:val="-3"/>
          <w:w w:val="100"/>
          <w:sz w:val="21"/>
          <w:szCs w:val="21"/>
        </w:rPr>
        <w:t>管</w:t>
      </w:r>
      <w:r>
        <w:rPr>
          <w:rFonts w:ascii="宋体" w:hAnsi="宋体" w:cs="宋体" w:eastAsia="宋体" w:hint="default"/>
          <w:w w:val="100"/>
          <w:sz w:val="21"/>
          <w:szCs w:val="21"/>
        </w:rPr>
        <w:t>、</w:t>
      </w:r>
    </w:p>
    <w:p>
      <w:pPr>
        <w:pStyle w:val="BodyText"/>
        <w:spacing w:line="300" w:lineRule="auto" w:before="34"/>
        <w:ind w:left="138" w:right="102"/>
        <w:jc w:val="left"/>
      </w:pPr>
      <w:r>
        <w:rPr>
          <w:spacing w:val="-6"/>
        </w:rPr>
        <w:t>宏观调控、科学决策、社会治理以及公共服务等方面都发挥了显著的作用，正在进入以整合协同、</w:t>
      </w:r>
      <w:r>
        <w:rPr>
          <w:spacing w:val="-54"/>
        </w:rPr>
        <w:t> </w:t>
      </w:r>
      <w:r>
        <w:rPr>
          <w:spacing w:val="-54"/>
        </w:rPr>
      </w:r>
      <w:r>
        <w:rPr/>
        <w:t>全面推进为特征的整合推进阶段。尤其互联网、云计算、大数据、移动通信等信息技术以及社交</w:t>
      </w:r>
      <w:r>
        <w:rPr>
          <w:spacing w:val="-97"/>
        </w:rPr>
        <w:t> </w:t>
      </w:r>
      <w:r>
        <w:rPr>
          <w:spacing w:val="-97"/>
        </w:rPr>
      </w:r>
      <w:r>
        <w:rPr/>
        <w:t>媒体应用的快速发展进一步推动了电子政务发展模式创新。</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年，围绕深化“放管服”改革、</w:t>
      </w:r>
      <w:r>
        <w:rPr>
          <w:w w:val="100"/>
        </w:rPr>
        <w:t> </w:t>
      </w:r>
      <w:r>
        <w:rPr>
          <w:spacing w:val="-4"/>
          <w:w w:val="100"/>
        </w:rPr>
        <w:t>政务大数据应用、“互联网</w:t>
      </w:r>
      <w:r>
        <w:rPr>
          <w:rFonts w:ascii="Calibri" w:hAnsi="Calibri" w:cs="Calibri" w:eastAsia="Calibri" w:hint="default"/>
          <w:spacing w:val="-4"/>
          <w:w w:val="100"/>
        </w:rPr>
        <w:t>+</w:t>
      </w:r>
      <w:r>
        <w:rPr>
          <w:spacing w:val="-4"/>
          <w:w w:val="100"/>
        </w:rPr>
        <w:t>政务服务”等重大任务推进，我国电子政务“十三五”开局良好。主</w:t>
      </w:r>
      <w:r>
        <w:rPr>
          <w:spacing w:val="-82"/>
          <w:w w:val="100"/>
        </w:rPr>
        <w:t> </w:t>
      </w:r>
      <w:r>
        <w:rPr>
          <w:spacing w:val="-82"/>
          <w:w w:val="100"/>
        </w:rPr>
      </w:r>
      <w:r>
        <w:rPr>
          <w:spacing w:val="-4"/>
          <w:w w:val="100"/>
        </w:rPr>
        <w:t>要体现在：（</w:t>
      </w:r>
      <w:r>
        <w:rPr>
          <w:rFonts w:ascii="Times New Roman" w:hAnsi="Times New Roman" w:cs="Times New Roman" w:eastAsia="Times New Roman" w:hint="default"/>
          <w:spacing w:val="-4"/>
          <w:w w:val="100"/>
        </w:rPr>
        <w:t>1</w:t>
      </w:r>
      <w:r>
        <w:rPr>
          <w:spacing w:val="-4"/>
          <w:w w:val="100"/>
        </w:rPr>
        <w:t>）统一网络平台支撑能力进一步增强。统一的国家政务网络框架初步形成，网络覆</w:t>
      </w:r>
      <w:r>
        <w:rPr>
          <w:spacing w:val="-84"/>
          <w:w w:val="100"/>
        </w:rPr>
        <w:t> </w:t>
      </w:r>
      <w:r>
        <w:rPr>
          <w:spacing w:val="-84"/>
          <w:w w:val="100"/>
        </w:rPr>
      </w:r>
      <w:r>
        <w:rPr>
          <w:spacing w:val="-4"/>
          <w:w w:val="100"/>
        </w:rPr>
        <w:t>盖面大幅提高。（</w:t>
      </w:r>
      <w:r>
        <w:rPr>
          <w:rFonts w:ascii="Times New Roman" w:hAnsi="Times New Roman" w:cs="Times New Roman" w:eastAsia="Times New Roman" w:hint="default"/>
          <w:spacing w:val="-4"/>
          <w:w w:val="100"/>
        </w:rPr>
        <w:t>2</w:t>
      </w:r>
      <w:r>
        <w:rPr>
          <w:spacing w:val="-4"/>
          <w:w w:val="100"/>
        </w:rPr>
        <w:t>）政务业务信息化覆盖率提升明显。在中央层面，各部门核心业务信息化覆盖</w:t>
      </w:r>
      <w:r>
        <w:rPr>
          <w:spacing w:val="-81"/>
          <w:w w:val="100"/>
        </w:rPr>
        <w:t> </w:t>
      </w:r>
      <w:r>
        <w:rPr>
          <w:spacing w:val="-81"/>
          <w:w w:val="100"/>
        </w:rPr>
      </w:r>
      <w:r>
        <w:rPr>
          <w:spacing w:val="-4"/>
          <w:w w:val="100"/>
        </w:rPr>
        <w:t>率稳步提升，并逐步实现全业务、全流程、全覆盖。（</w:t>
      </w:r>
      <w:r>
        <w:rPr>
          <w:rFonts w:ascii="Times New Roman" w:hAnsi="Times New Roman" w:cs="Times New Roman" w:eastAsia="Times New Roman" w:hint="default"/>
          <w:spacing w:val="-4"/>
          <w:w w:val="100"/>
        </w:rPr>
        <w:t>3</w:t>
      </w:r>
      <w:r>
        <w:rPr>
          <w:spacing w:val="-4"/>
          <w:w w:val="100"/>
        </w:rPr>
        <w:t>）政府数据开放进展顺利，中央出台政策</w:t>
      </w:r>
      <w:r>
        <w:rPr>
          <w:spacing w:val="-81"/>
          <w:w w:val="100"/>
        </w:rPr>
        <w:t> </w:t>
      </w:r>
      <w:r>
        <w:rPr>
          <w:spacing w:val="-81"/>
          <w:w w:val="100"/>
        </w:rPr>
      </w:r>
      <w:r>
        <w:rPr>
          <w:spacing w:val="-4"/>
          <w:w w:val="100"/>
        </w:rPr>
        <w:t>为政府数据开放保驾护航。（</w:t>
      </w:r>
      <w:r>
        <w:rPr>
          <w:rFonts w:ascii="Times New Roman" w:hAnsi="Times New Roman" w:cs="Times New Roman" w:eastAsia="Times New Roman" w:hint="default"/>
          <w:spacing w:val="-4"/>
          <w:w w:val="100"/>
        </w:rPr>
        <w:t>4</w:t>
      </w:r>
      <w:r>
        <w:rPr>
          <w:spacing w:val="-4"/>
          <w:w w:val="100"/>
        </w:rPr>
        <w:t>）政务大数据应用方兴未艾，中央各部门高度重视大数据工作，地</w:t>
      </w:r>
      <w:r>
        <w:rPr>
          <w:spacing w:val="-81"/>
          <w:w w:val="100"/>
        </w:rPr>
        <w:t> </w:t>
      </w:r>
      <w:r>
        <w:rPr>
          <w:spacing w:val="-81"/>
          <w:w w:val="100"/>
        </w:rPr>
      </w:r>
      <w:r>
        <w:rPr>
          <w:spacing w:val="-6"/>
          <w:w w:val="100"/>
        </w:rPr>
        <w:t>方政府积极推进大数据应用。（</w:t>
      </w:r>
      <w:r>
        <w:rPr>
          <w:rFonts w:ascii="Times New Roman" w:hAnsi="Times New Roman" w:cs="Times New Roman" w:eastAsia="Times New Roman" w:hint="default"/>
          <w:spacing w:val="-6"/>
          <w:w w:val="100"/>
        </w:rPr>
        <w:t>5</w:t>
      </w:r>
      <w:r>
        <w:rPr>
          <w:spacing w:val="-6"/>
          <w:w w:val="100"/>
        </w:rPr>
        <w:t>）“互联网</w:t>
      </w:r>
      <w:r>
        <w:rPr>
          <w:rFonts w:ascii="Calibri" w:hAnsi="Calibri" w:cs="Calibri" w:eastAsia="Calibri" w:hint="default"/>
          <w:spacing w:val="-6"/>
          <w:w w:val="100"/>
        </w:rPr>
        <w:t>+</w:t>
      </w:r>
      <w:r>
        <w:rPr>
          <w:spacing w:val="-6"/>
          <w:w w:val="100"/>
        </w:rPr>
        <w:t>政务服务”进入新阶段，政府信息化服务水平不断提</w:t>
      </w:r>
      <w:r>
        <w:rPr>
          <w:spacing w:val="-98"/>
          <w:w w:val="100"/>
        </w:rPr>
        <w:t> </w:t>
      </w:r>
      <w:r>
        <w:rPr>
          <w:spacing w:val="-98"/>
          <w:w w:val="100"/>
        </w:rPr>
      </w:r>
      <w:r>
        <w:rPr>
          <w:spacing w:val="-9"/>
          <w:w w:val="100"/>
        </w:rPr>
        <w:t>高，“互联网</w:t>
      </w:r>
      <w:r>
        <w:rPr>
          <w:rFonts w:ascii="Calibri" w:hAnsi="Calibri" w:cs="Calibri" w:eastAsia="Calibri" w:hint="default"/>
          <w:spacing w:val="-9"/>
          <w:w w:val="100"/>
        </w:rPr>
        <w:t>+</w:t>
      </w:r>
      <w:r>
        <w:rPr>
          <w:spacing w:val="-9"/>
          <w:w w:val="100"/>
        </w:rPr>
        <w:t>政务服务”创新应用不断涌现。互联网政务服务各平台的互联互通及服务内容细化，</w:t>
      </w:r>
      <w:r>
        <w:rPr>
          <w:spacing w:val="-73"/>
          <w:w w:val="100"/>
        </w:rPr>
        <w:t> </w:t>
      </w:r>
      <w:r>
        <w:rPr>
          <w:spacing w:val="-73"/>
          <w:w w:val="100"/>
        </w:rPr>
      </w:r>
      <w:r>
        <w:rPr>
          <w:spacing w:val="-6"/>
        </w:rPr>
        <w:t>大幅提升了政务服务的智慧化水平，提高了用户生活的幸福感和满意度。各级政府及机构加快“两</w:t>
      </w:r>
      <w:r>
        <w:rPr>
          <w:spacing w:val="-54"/>
        </w:rPr>
        <w:t> </w:t>
      </w:r>
      <w:r>
        <w:rPr>
          <w:spacing w:val="-54"/>
        </w:rPr>
      </w:r>
      <w:r>
        <w:rPr/>
        <w:t>微一端”线上布局，推动互联网政务信息公开向移动、即时、透明的方向发展。</w:t>
      </w:r>
    </w:p>
    <w:p>
      <w:pPr>
        <w:pStyle w:val="BodyText"/>
        <w:spacing w:line="300" w:lineRule="auto" w:before="32"/>
        <w:ind w:left="138" w:right="207" w:firstLine="419"/>
        <w:jc w:val="both"/>
      </w:pPr>
      <w:r>
        <w:rPr/>
        <w:t>智慧政法方面，今年</w:t>
      </w:r>
      <w:r>
        <w:rPr>
          <w:spacing w:val="-52"/>
        </w:rPr>
        <w:t> </w:t>
      </w:r>
      <w:r>
        <w:rPr>
          <w:rFonts w:ascii="Calibri" w:hAnsi="Calibri" w:cs="Calibri" w:eastAsia="Calibri" w:hint="default"/>
        </w:rPr>
        <w:t>1</w:t>
      </w:r>
      <w:r>
        <w:rPr>
          <w:rFonts w:ascii="Calibri" w:hAnsi="Calibri" w:cs="Calibri" w:eastAsia="Calibri" w:hint="default"/>
          <w:spacing w:val="9"/>
        </w:rPr>
        <w:t> </w:t>
      </w:r>
      <w:r>
        <w:rPr/>
        <w:t>月中央政法工作会议提出政法系统抓大数据整合的总体要求。一是加</w:t>
      </w:r>
      <w:r>
        <w:rPr>
          <w:w w:val="100"/>
        </w:rPr>
        <w:t> </w:t>
      </w:r>
      <w:r>
        <w:rPr>
          <w:spacing w:val="-1"/>
        </w:rPr>
        <w:t>快搭建跨部门大数据平台。加快推进政法网的建设，搭建快速便捷、安全可靠的跨部门大数据平</w:t>
      </w:r>
      <w:r>
        <w:rPr>
          <w:spacing w:val="-55"/>
        </w:rPr>
        <w:t> </w:t>
      </w:r>
      <w:r>
        <w:rPr>
          <w:spacing w:val="-55"/>
        </w:rPr>
      </w:r>
      <w:r>
        <w:rPr>
          <w:spacing w:val="-1"/>
        </w:rPr>
        <w:t>台，力争年底前实现设施联通、网络畅通、平台贯通、数据融通等。二是让群众在掌心里指尖上</w:t>
      </w:r>
    </w:p>
    <w:p>
      <w:pPr>
        <w:spacing w:after="0" w:line="300" w:lineRule="auto"/>
        <w:jc w:val="both"/>
        <w:sectPr>
          <w:pgSz w:w="11910" w:h="16840"/>
          <w:pgMar w:header="855" w:footer="979" w:top="1140" w:bottom="1160" w:left="1660" w:right="1060"/>
        </w:sectPr>
      </w:pPr>
    </w:p>
    <w:p>
      <w:pPr>
        <w:spacing w:line="240" w:lineRule="auto" w:before="4"/>
        <w:rPr>
          <w:rFonts w:ascii="宋体" w:hAnsi="宋体" w:cs="宋体" w:eastAsia="宋体" w:hint="default"/>
          <w:sz w:val="29"/>
          <w:szCs w:val="29"/>
        </w:rPr>
      </w:pPr>
    </w:p>
    <w:p>
      <w:pPr>
        <w:pStyle w:val="BodyText"/>
        <w:spacing w:line="312" w:lineRule="auto" w:before="36"/>
        <w:ind w:left="378" w:right="367"/>
        <w:jc w:val="both"/>
      </w:pPr>
      <w:r>
        <w:rPr>
          <w:spacing w:val="-1"/>
        </w:rPr>
        <w:t>就能办好事。要求通过大数据整合，形成建设集约、服务聚拢、数据集中、管理集成的智能化公</w:t>
      </w:r>
      <w:r>
        <w:rPr>
          <w:spacing w:val="-55"/>
        </w:rPr>
        <w:t> </w:t>
      </w:r>
      <w:r>
        <w:rPr>
          <w:spacing w:val="-55"/>
        </w:rPr>
      </w:r>
      <w:r>
        <w:rPr>
          <w:spacing w:val="-1"/>
        </w:rPr>
        <w:t>共服务平台，让群众在掌心里、指尖上就能办成事，办好事。党的十九大报告中提出，要提高社</w:t>
      </w:r>
      <w:r>
        <w:rPr>
          <w:spacing w:val="-55"/>
        </w:rPr>
        <w:t> </w:t>
      </w:r>
      <w:r>
        <w:rPr>
          <w:spacing w:val="-55"/>
        </w:rPr>
      </w:r>
      <w:r>
        <w:rPr>
          <w:spacing w:val="-1"/>
        </w:rPr>
        <w:t>会治理社会化、法治化、智能化、专业化水平，坚持科技引领、信息支撑，把现代科技应用作为</w:t>
      </w:r>
      <w:r>
        <w:rPr>
          <w:spacing w:val="-55"/>
        </w:rPr>
        <w:t> </w:t>
      </w:r>
      <w:r>
        <w:rPr>
          <w:spacing w:val="-55"/>
        </w:rPr>
      </w:r>
      <w:r>
        <w:rPr>
          <w:spacing w:val="-1"/>
        </w:rPr>
        <w:t>政法工作现代化的大战略，大引擎，不断提升新时代政法机关的核心战斗力，推动新时代政法工</w:t>
      </w:r>
      <w:r>
        <w:rPr>
          <w:spacing w:val="-55"/>
        </w:rPr>
        <w:t> </w:t>
      </w:r>
      <w:r>
        <w:rPr>
          <w:spacing w:val="-55"/>
        </w:rPr>
      </w:r>
      <w:r>
        <w:rPr>
          <w:spacing w:val="-16"/>
          <w:w w:val="100"/>
        </w:rPr>
        <w:t>作跨越式发展。目前，智慧法院</w:t>
      </w:r>
      <w:r>
        <w:rPr>
          <w:spacing w:val="-51"/>
          <w:w w:val="100"/>
        </w:rPr>
        <w:t> </w:t>
      </w:r>
      <w:r>
        <w:rPr>
          <w:rFonts w:ascii="Times New Roman" w:hAnsi="Times New Roman" w:cs="Times New Roman" w:eastAsia="Times New Roman" w:hint="default"/>
          <w:spacing w:val="-1"/>
          <w:w w:val="100"/>
        </w:rPr>
        <w:t>3.0</w:t>
      </w:r>
      <w:r>
        <w:rPr>
          <w:rFonts w:ascii="Times New Roman" w:hAnsi="Times New Roman" w:cs="Times New Roman" w:eastAsia="Times New Roman" w:hint="default"/>
          <w:spacing w:val="2"/>
          <w:w w:val="100"/>
        </w:rPr>
        <w:t> </w:t>
      </w:r>
      <w:r>
        <w:rPr>
          <w:spacing w:val="-7"/>
          <w:w w:val="100"/>
        </w:rPr>
        <w:t>版信息化工作已经进入第二年，智慧检务</w:t>
      </w:r>
      <w:r>
        <w:rPr>
          <w:spacing w:val="-53"/>
          <w:w w:val="100"/>
        </w:rPr>
        <w:t> </w:t>
      </w:r>
      <w:r>
        <w:rPr>
          <w:rFonts w:ascii="Times New Roman" w:hAnsi="Times New Roman" w:cs="Times New Roman" w:eastAsia="Times New Roman" w:hint="default"/>
          <w:spacing w:val="-1"/>
          <w:w w:val="100"/>
        </w:rPr>
        <w:t>4.0</w:t>
      </w:r>
      <w:r>
        <w:rPr>
          <w:rFonts w:ascii="Times New Roman" w:hAnsi="Times New Roman" w:cs="Times New Roman" w:eastAsia="Times New Roman" w:hint="default"/>
          <w:spacing w:val="2"/>
          <w:w w:val="100"/>
        </w:rPr>
        <w:t> </w:t>
      </w:r>
      <w:r>
        <w:rPr>
          <w:spacing w:val="-2"/>
          <w:w w:val="100"/>
        </w:rPr>
        <w:t>进入正式投入期，</w:t>
      </w:r>
      <w:r>
        <w:rPr>
          <w:w w:val="100"/>
        </w:rPr>
        <w:t> </w:t>
      </w:r>
      <w:r>
        <w:rPr/>
        <w:t>司法行政十三五规划全面开展，智慧政法的风口已经来临。</w:t>
      </w:r>
    </w:p>
    <w:p>
      <w:pPr>
        <w:spacing w:line="297" w:lineRule="auto" w:before="22"/>
        <w:ind w:left="79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、科技强警成效初显，雪亮工程市场潜力巨大</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报告期内，随着全国平安城市、雪亮工程的快速建设，国家深入实施科技强警战略，紧密围</w:t>
      </w:r>
    </w:p>
    <w:p>
      <w:pPr>
        <w:pStyle w:val="BodyText"/>
        <w:spacing w:line="314" w:lineRule="auto" w:before="34"/>
        <w:ind w:left="378" w:right="368"/>
        <w:jc w:val="both"/>
      </w:pPr>
      <w:r>
        <w:rPr>
          <w:spacing w:val="-6"/>
          <w:w w:val="100"/>
        </w:rPr>
        <w:t>绕深化公安改革和“四项建设”，聚焦警务实战需求，以科技创新支撑社会治安立体化防控体系建</w:t>
      </w:r>
      <w:r>
        <w:rPr>
          <w:w w:val="100"/>
        </w:rPr>
        <w:t> </w:t>
      </w:r>
      <w:r>
        <w:rPr>
          <w:spacing w:val="-1"/>
        </w:rPr>
        <w:t>设，以信息化引领公安工作现代化，促进现代警务机制转型升级。从推动基础业务大集成到强化</w:t>
      </w:r>
      <w:r>
        <w:rPr>
          <w:spacing w:val="-55"/>
        </w:rPr>
        <w:t> </w:t>
      </w:r>
      <w:r>
        <w:rPr>
          <w:spacing w:val="-55"/>
        </w:rPr>
      </w:r>
      <w:r>
        <w:rPr>
          <w:spacing w:val="-1"/>
        </w:rPr>
        <w:t>顶层设计，从深化视频监控网建设应用到大数据思维下警务实践的探索，从微观到宏观、基层到</w:t>
      </w:r>
      <w:r>
        <w:rPr>
          <w:spacing w:val="-55"/>
        </w:rPr>
        <w:t> </w:t>
      </w:r>
      <w:r>
        <w:rPr>
          <w:spacing w:val="-55"/>
        </w:rPr>
      </w:r>
      <w:r>
        <w:rPr>
          <w:spacing w:val="-1"/>
        </w:rPr>
        <w:t>顶层、技术研发到公安实践，极大提升了公安机关精确打击、快速反应、立体防控、精准服务的</w:t>
      </w:r>
      <w:r>
        <w:rPr>
          <w:spacing w:val="-55"/>
        </w:rPr>
        <w:t> </w:t>
      </w:r>
      <w:r>
        <w:rPr>
          <w:spacing w:val="-55"/>
        </w:rPr>
      </w:r>
      <w:r>
        <w:rPr/>
        <w:t>能力和水平。</w:t>
      </w:r>
    </w:p>
    <w:p>
      <w:pPr>
        <w:pStyle w:val="BodyText"/>
        <w:spacing w:line="297" w:lineRule="auto" w:before="20"/>
        <w:ind w:left="378" w:right="369" w:firstLine="419"/>
        <w:jc w:val="both"/>
      </w:pPr>
      <w:r>
        <w:rPr/>
        <w:t>据有关部门的统计数据，</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年我国安防与雪亮工程市场规模约为</w:t>
      </w:r>
      <w:r>
        <w:rPr>
          <w:spacing w:val="-43"/>
        </w:rPr>
        <w:t> </w:t>
      </w:r>
      <w:r>
        <w:rPr>
          <w:rFonts w:ascii="Times New Roman" w:hAnsi="Times New Roman" w:cs="Times New Roman" w:eastAsia="Times New Roman" w:hint="default"/>
        </w:rPr>
        <w:t>424</w:t>
      </w:r>
      <w:r>
        <w:rPr>
          <w:rFonts w:ascii="Times New Roman" w:hAnsi="Times New Roman" w:cs="Times New Roman" w:eastAsia="Times New Roman" w:hint="default"/>
          <w:spacing w:val="10"/>
        </w:rPr>
        <w:t> </w:t>
      </w:r>
      <w:r>
        <w:rPr/>
        <w:t>亿，与</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年相比</w:t>
      </w:r>
      <w:r>
        <w:rPr>
          <w:w w:val="100"/>
        </w:rPr>
        <w:t> </w:t>
      </w:r>
      <w:r>
        <w:rPr/>
        <w:t>增长率为</w:t>
      </w:r>
      <w:r>
        <w:rPr>
          <w:spacing w:val="45"/>
        </w:rPr>
        <w:t> </w:t>
      </w:r>
      <w:r>
        <w:rPr>
          <w:rFonts w:ascii="Times New Roman" w:hAnsi="Times New Roman" w:cs="Times New Roman" w:eastAsia="Times New Roman" w:hint="default"/>
        </w:rPr>
        <w:t>137%</w:t>
      </w:r>
      <w:r>
        <w:rPr/>
        <w:t>，这样的市场规模增长与公安信息化建设的终极目标和新常态下公安工作使命而</w:t>
      </w:r>
      <w:r>
        <w:rPr>
          <w:spacing w:val="-102"/>
        </w:rPr>
        <w:t> </w:t>
      </w:r>
      <w:r>
        <w:rPr>
          <w:spacing w:val="-102"/>
        </w:rPr>
      </w:r>
      <w:r>
        <w:rPr/>
        <w:t>言，仍然存在着一定差距。预计</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年将大大超过</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年的市场规模，公安信息化建设将进入</w:t>
      </w:r>
      <w:r>
        <w:rPr>
          <w:w w:val="100"/>
        </w:rPr>
        <w:t> </w:t>
      </w:r>
      <w:r>
        <w:rPr/>
        <w:t>一个全面、快速、深入发展的新阶段。</w:t>
      </w:r>
    </w:p>
    <w:p>
      <w:pPr>
        <w:spacing w:line="297" w:lineRule="auto" w:before="34"/>
        <w:ind w:left="79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、行业大数据应用深入，推动行业应用深度融合</w:t>
      </w:r>
      <w:r>
        <w:rPr>
          <w:rFonts w:ascii="宋体" w:hAnsi="宋体" w:cs="宋体" w:eastAsia="宋体" w:hint="default"/>
          <w:b/>
          <w:bCs/>
          <w:w w:val="100"/>
          <w:sz w:val="21"/>
          <w:szCs w:val="21"/>
        </w:rPr>
        <w:t> </w:t>
      </w:r>
      <w:r>
        <w:rPr>
          <w:rFonts w:ascii="宋体" w:hAnsi="宋体" w:cs="宋体" w:eastAsia="宋体" w:hint="default"/>
          <w:spacing w:val="-2"/>
          <w:sz w:val="21"/>
          <w:szCs w:val="21"/>
        </w:rPr>
        <w:t>行业大数据应用方面，中国大数据市场增长迅速。根据易观智库发布的中国大数据应用行业</w:t>
      </w:r>
    </w:p>
    <w:p>
      <w:pPr>
        <w:pStyle w:val="BodyText"/>
        <w:spacing w:line="302" w:lineRule="auto" w:before="34"/>
        <w:ind w:left="378" w:right="367"/>
        <w:jc w:val="both"/>
      </w:pPr>
      <w:r>
        <w:rPr>
          <w:spacing w:val="-7"/>
        </w:rPr>
        <w:t>的报告显示，</w:t>
      </w:r>
      <w:r>
        <w:rPr>
          <w:rFonts w:ascii="Calibri" w:hAnsi="Calibri" w:cs="Calibri" w:eastAsia="Calibri" w:hint="default"/>
          <w:spacing w:val="-7"/>
        </w:rPr>
        <w:t>2015-2018</w:t>
      </w:r>
      <w:r>
        <w:rPr>
          <w:rFonts w:ascii="Calibri" w:hAnsi="Calibri" w:cs="Calibri" w:eastAsia="Calibri" w:hint="default"/>
          <w:spacing w:val="19"/>
        </w:rPr>
        <w:t> </w:t>
      </w:r>
      <w:r>
        <w:rPr/>
        <w:t>年中国大数据市场规模达到</w:t>
      </w:r>
      <w:r>
        <w:rPr>
          <w:spacing w:val="-44"/>
        </w:rPr>
        <w:t> </w:t>
      </w:r>
      <w:r>
        <w:rPr>
          <w:rFonts w:ascii="Calibri" w:hAnsi="Calibri" w:cs="Calibri" w:eastAsia="Calibri" w:hint="default"/>
        </w:rPr>
        <w:t>258.6</w:t>
      </w:r>
      <w:r>
        <w:rPr>
          <w:rFonts w:ascii="Calibri" w:hAnsi="Calibri" w:cs="Calibri" w:eastAsia="Calibri" w:hint="default"/>
          <w:spacing w:val="18"/>
        </w:rPr>
        <w:t> </w:t>
      </w:r>
      <w:r>
        <w:rPr>
          <w:spacing w:val="-9"/>
        </w:rPr>
        <w:t>亿人民币，环比增长率为</w:t>
      </w:r>
      <w:r>
        <w:rPr>
          <w:spacing w:val="-44"/>
        </w:rPr>
        <w:t> </w:t>
      </w:r>
      <w:r>
        <w:rPr>
          <w:rFonts w:ascii="Calibri" w:hAnsi="Calibri" w:cs="Calibri" w:eastAsia="Calibri" w:hint="default"/>
          <w:spacing w:val="-10"/>
        </w:rPr>
        <w:t>37.2%</w:t>
      </w:r>
      <w:r>
        <w:rPr>
          <w:spacing w:val="-10"/>
        </w:rPr>
        <w:t>。当前，</w:t>
      </w:r>
      <w:r>
        <w:rPr>
          <w:spacing w:val="-99"/>
        </w:rPr>
        <w:t> </w:t>
      </w:r>
      <w:r>
        <w:rPr>
          <w:spacing w:val="-99"/>
        </w:rPr>
      </w:r>
      <w:r>
        <w:rPr/>
        <w:t>中央和省级政务部门主要业务电子政务覆盖率已经达到</w:t>
      </w:r>
      <w:r>
        <w:rPr>
          <w:spacing w:val="-42"/>
        </w:rPr>
        <w:t> </w:t>
      </w:r>
      <w:r>
        <w:rPr>
          <w:rFonts w:ascii="Calibri" w:hAnsi="Calibri" w:cs="Calibri" w:eastAsia="Calibri" w:hint="default"/>
        </w:rPr>
        <w:t>70%</w:t>
      </w:r>
      <w:r>
        <w:rPr/>
        <w:t>，全国政府大数据体量巨大。随着行</w:t>
      </w:r>
      <w:r>
        <w:rPr>
          <w:w w:val="100"/>
        </w:rPr>
        <w:t> </w:t>
      </w:r>
      <w:r>
        <w:rPr>
          <w:spacing w:val="-1"/>
        </w:rPr>
        <w:t>业大数据应用需求的井喷，硬件技术的进步，对于数据采集精度、采集频率、数据存储等能力不</w:t>
      </w:r>
      <w:r>
        <w:rPr>
          <w:spacing w:val="-55"/>
        </w:rPr>
        <w:t> </w:t>
      </w:r>
      <w:r>
        <w:rPr>
          <w:spacing w:val="-55"/>
        </w:rPr>
      </w:r>
      <w:r>
        <w:rPr>
          <w:spacing w:val="-1"/>
        </w:rPr>
        <w:t>断增强，使得数据规模快速增长，近几年数据中心的新建和扩容的发展速度，软件技术的更新迭</w:t>
      </w:r>
      <w:r>
        <w:rPr>
          <w:spacing w:val="-55"/>
        </w:rPr>
        <w:t> </w:t>
      </w:r>
      <w:r>
        <w:rPr>
          <w:spacing w:val="-55"/>
        </w:rPr>
      </w:r>
      <w:r>
        <w:rPr>
          <w:spacing w:val="-1"/>
        </w:rPr>
        <w:t>代与新技术的应用，硬件基础设施的成熟与快速扩容，大数据产业的发展空间巨大，市场规模呈</w:t>
      </w:r>
      <w:r>
        <w:rPr>
          <w:spacing w:val="-55"/>
        </w:rPr>
        <w:t> </w:t>
      </w:r>
      <w:r>
        <w:rPr>
          <w:spacing w:val="-55"/>
        </w:rPr>
      </w:r>
      <w:r>
        <w:rPr/>
        <w:t>几何级数增长。</w:t>
      </w:r>
    </w:p>
    <w:p>
      <w:pPr>
        <w:spacing w:line="285" w:lineRule="auto" w:before="30"/>
        <w:ind w:left="798" w:right="0" w:firstLine="2"/>
        <w:jc w:val="left"/>
        <w:rPr>
          <w:rFonts w:ascii="宋体" w:hAnsi="宋体" w:cs="宋体" w:eastAsia="宋体" w:hint="default"/>
          <w:sz w:val="21"/>
          <w:szCs w:val="21"/>
        </w:rPr>
      </w:pPr>
      <w:r>
        <w:rPr>
          <w:rFonts w:ascii="Calibri" w:hAnsi="Calibri" w:cs="Calibri" w:eastAsia="Calibri" w:hint="default"/>
          <w:b/>
          <w:bCs/>
          <w:sz w:val="21"/>
          <w:szCs w:val="21"/>
        </w:rPr>
        <w:t>5</w:t>
      </w:r>
      <w:r>
        <w:rPr>
          <w:rFonts w:ascii="宋体" w:hAnsi="宋体" w:cs="宋体" w:eastAsia="宋体" w:hint="default"/>
          <w:b/>
          <w:bCs/>
          <w:sz w:val="21"/>
          <w:szCs w:val="21"/>
        </w:rPr>
        <w:t>、政策驱动物联网产业发展，成为信息产业的新动能</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报告期内，工信部发布的《物联网“十三五”规划》明确了物联网产业“十三五”的发展目</w:t>
      </w:r>
    </w:p>
    <w:p>
      <w:pPr>
        <w:pStyle w:val="BodyText"/>
        <w:spacing w:line="314" w:lineRule="auto" w:before="46"/>
        <w:ind w:left="378" w:right="368"/>
        <w:jc w:val="both"/>
      </w:pPr>
      <w:r>
        <w:rPr>
          <w:spacing w:val="-1"/>
        </w:rPr>
        <w:t>标，完善技术创新体系，构建完善标准体系，推动物联网规模应用，完善公共服务体系，提升安</w:t>
      </w:r>
      <w:r>
        <w:rPr>
          <w:spacing w:val="-55"/>
        </w:rPr>
        <w:t> </w:t>
      </w:r>
      <w:r>
        <w:rPr>
          <w:spacing w:val="-55"/>
        </w:rPr>
      </w:r>
      <w:r>
        <w:rPr>
          <w:spacing w:val="-1"/>
        </w:rPr>
        <w:t>全保障能力等具体任务。在国务院和各部委带动下，各地方政府也积极营造物联网产业发展有利</w:t>
      </w:r>
      <w:r>
        <w:rPr>
          <w:spacing w:val="-55"/>
        </w:rPr>
        <w:t> </w:t>
      </w:r>
      <w:r>
        <w:rPr>
          <w:spacing w:val="-55"/>
        </w:rPr>
      </w:r>
      <w:r>
        <w:rPr>
          <w:spacing w:val="-1"/>
        </w:rPr>
        <w:t>政策环境，以多层次、全方位的政策措施推动地方物联网发展。物联网产业链的高速发展和技术</w:t>
      </w:r>
      <w:r>
        <w:rPr>
          <w:spacing w:val="-55"/>
        </w:rPr>
        <w:t> </w:t>
      </w:r>
      <w:r>
        <w:rPr>
          <w:spacing w:val="-55"/>
        </w:rPr>
      </w:r>
      <w:r>
        <w:rPr>
          <w:spacing w:val="-1"/>
        </w:rPr>
        <w:t>更新迭代推动着物联网产业的蓬勃发展，成为智慧城市智慧社会的主要技术支撑手段，开启了服</w:t>
      </w:r>
      <w:r>
        <w:rPr>
          <w:spacing w:val="-55"/>
        </w:rPr>
        <w:t> </w:t>
      </w:r>
      <w:r>
        <w:rPr>
          <w:spacing w:val="-55"/>
        </w:rPr>
      </w:r>
      <w:r>
        <w:rPr/>
        <w:t>务民生服务社会的共享经济时代，培育了巨大的市场空间。</w:t>
      </w:r>
    </w:p>
    <w:p>
      <w:pPr>
        <w:spacing w:line="240" w:lineRule="auto" w:before="10"/>
        <w:rPr>
          <w:rFonts w:ascii="宋体" w:hAnsi="宋体" w:cs="宋体" w:eastAsia="宋体" w:hint="default"/>
          <w:sz w:val="25"/>
          <w:szCs w:val="25"/>
        </w:rPr>
      </w:pPr>
    </w:p>
    <w:p>
      <w:pPr>
        <w:pStyle w:val="Heading3"/>
        <w:spacing w:line="240" w:lineRule="auto"/>
        <w:ind w:left="378" w:right="0"/>
        <w:jc w:val="both"/>
        <w:rPr>
          <w:b w:val="0"/>
          <w:bCs w:val="0"/>
        </w:rPr>
      </w:pPr>
      <w:r>
        <w:rPr/>
        <w:t>二、报告期内公司主要资产发生重大变化情况的说明</w:t>
      </w:r>
      <w:r>
        <w:rPr>
          <w:b w:val="0"/>
          <w:bCs w:val="0"/>
        </w:rPr>
      </w:r>
    </w:p>
    <w:p>
      <w:pPr>
        <w:pStyle w:val="BodyText"/>
        <w:spacing w:line="240" w:lineRule="auto" w:before="97"/>
        <w:ind w:left="37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8"/>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665"/>
        <w:gridCol w:w="6678"/>
      </w:tblGrid>
      <w:tr>
        <w:trPr>
          <w:trHeight w:val="569"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bl>
    <w:p>
      <w:pPr>
        <w:spacing w:after="0" w:line="240" w:lineRule="auto"/>
        <w:jc w:val="center"/>
        <w:rPr>
          <w:rFonts w:ascii="宋体" w:hAnsi="宋体" w:cs="宋体" w:eastAsia="宋体" w:hint="default"/>
          <w:sz w:val="21"/>
          <w:szCs w:val="21"/>
        </w:rPr>
        <w:sectPr>
          <w:pgSz w:w="11910" w:h="16840"/>
          <w:pgMar w:header="855" w:footer="979" w:top="1140" w:bottom="1160" w:left="1420" w:right="90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665"/>
        <w:gridCol w:w="6678"/>
      </w:tblGrid>
      <w:tr>
        <w:trPr>
          <w:trHeight w:val="629" w:hRule="exact"/>
        </w:trPr>
        <w:tc>
          <w:tcPr>
            <w:tcW w:w="2665"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9"/>
                <w:sz w:val="21"/>
                <w:szCs w:val="21"/>
              </w:rPr>
              <w:t>以公允价值计量且其变动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计入当期损益的金融资产</w:t>
            </w:r>
          </w:p>
        </w:tc>
        <w:tc>
          <w:tcPr>
            <w:tcW w:w="6678" w:type="dxa"/>
            <w:tcBorders>
              <w:top w:val="nil" w:sz="6" w:space="0" w:color="auto"/>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期末金额较上期增长</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8506.09%</w:t>
            </w:r>
            <w:r>
              <w:rPr>
                <w:rFonts w:ascii="宋体" w:hAnsi="宋体" w:cs="宋体" w:eastAsia="宋体" w:hint="default"/>
                <w:sz w:val="22"/>
                <w:szCs w:val="22"/>
              </w:rPr>
              <w:t>，主要系报告期公司短期持有具有活</w:t>
            </w:r>
          </w:p>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跃市场，公允价值能够通过市场获取的金融资产所致。</w:t>
            </w:r>
          </w:p>
        </w:tc>
      </w:tr>
      <w:tr>
        <w:trPr>
          <w:trHeight w:val="636"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期末金额较上期增长</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33.88%</w:t>
            </w:r>
            <w:r>
              <w:rPr>
                <w:rFonts w:ascii="宋体" w:hAnsi="宋体" w:cs="宋体" w:eastAsia="宋体" w:hint="default"/>
                <w:sz w:val="22"/>
                <w:szCs w:val="22"/>
              </w:rPr>
              <w:t>，主要系报告期主营业务收入增加相应</w:t>
            </w:r>
          </w:p>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增加应收款所致</w:t>
            </w:r>
          </w:p>
        </w:tc>
      </w:tr>
      <w:tr>
        <w:trPr>
          <w:trHeight w:val="497"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2"/>
                <w:sz w:val="21"/>
                <w:szCs w:val="21"/>
              </w:rPr>
              <w:t>期末金额较上期增长</w:t>
            </w:r>
            <w:r>
              <w:rPr>
                <w:rFonts w:ascii="宋体" w:hAnsi="宋体" w:cs="宋体" w:eastAsia="宋体" w:hint="default"/>
                <w:spacing w:val="12"/>
                <w:sz w:val="21"/>
                <w:szCs w:val="21"/>
              </w:rPr>
              <w:t> </w:t>
            </w:r>
            <w:r>
              <w:rPr>
                <w:rFonts w:ascii="Times New Roman" w:hAnsi="Times New Roman" w:cs="Times New Roman" w:eastAsia="Times New Roman" w:hint="default"/>
                <w:spacing w:val="-2"/>
                <w:sz w:val="21"/>
                <w:szCs w:val="21"/>
              </w:rPr>
              <w:t>66,772.32%</w:t>
            </w:r>
            <w:r>
              <w:rPr>
                <w:rFonts w:ascii="宋体" w:hAnsi="宋体" w:cs="宋体" w:eastAsia="宋体" w:hint="default"/>
                <w:spacing w:val="-2"/>
                <w:sz w:val="21"/>
                <w:szCs w:val="21"/>
              </w:rPr>
              <w:t>，主要系新增长期收款业务收入所致</w:t>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期末金额较上期增长</w:t>
            </w:r>
            <w:r>
              <w:rPr>
                <w:rFonts w:ascii="宋体" w:hAnsi="宋体" w:cs="宋体" w:eastAsia="宋体" w:hint="default"/>
                <w:spacing w:val="-30"/>
                <w:sz w:val="21"/>
                <w:szCs w:val="21"/>
              </w:rPr>
              <w:t> </w:t>
            </w:r>
            <w:r>
              <w:rPr>
                <w:rFonts w:ascii="Times New Roman" w:hAnsi="Times New Roman" w:cs="Times New Roman" w:eastAsia="Times New Roman" w:hint="default"/>
                <w:spacing w:val="-2"/>
                <w:sz w:val="21"/>
                <w:szCs w:val="21"/>
              </w:rPr>
              <w:t>39.2%</w:t>
            </w:r>
            <w:r>
              <w:rPr>
                <w:rFonts w:ascii="宋体" w:hAnsi="宋体" w:cs="宋体" w:eastAsia="宋体" w:hint="default"/>
                <w:spacing w:val="-2"/>
                <w:sz w:val="21"/>
                <w:szCs w:val="21"/>
              </w:rPr>
              <w:t>主要系子公司福建南威购置的办公大楼投入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使用结转固定资产所致</w:t>
            </w:r>
          </w:p>
        </w:tc>
      </w:tr>
      <w:tr>
        <w:trPr>
          <w:trHeight w:val="634"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期末金额较上期增长</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主要系持有已签订出售股权协议尚未完</w:t>
            </w:r>
          </w:p>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成出售的控股子公司资产所致</w:t>
            </w:r>
          </w:p>
        </w:tc>
      </w:tr>
      <w:tr>
        <w:trPr>
          <w:trHeight w:val="52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2"/>
                <w:szCs w:val="22"/>
              </w:rPr>
            </w:pPr>
            <w:r>
              <w:rPr>
                <w:rFonts w:ascii="宋体" w:hAnsi="宋体" w:cs="宋体" w:eastAsia="宋体" w:hint="default"/>
                <w:sz w:val="22"/>
                <w:szCs w:val="22"/>
              </w:rPr>
              <w:t>期末金额较上期增长</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57,605.46%</w:t>
            </w:r>
            <w:r>
              <w:rPr>
                <w:rFonts w:ascii="宋体" w:hAnsi="宋体" w:cs="宋体" w:eastAsia="宋体" w:hint="default"/>
                <w:sz w:val="22"/>
                <w:szCs w:val="22"/>
              </w:rPr>
              <w:t>主要系投资新设联营企业所致</w:t>
            </w:r>
          </w:p>
        </w:tc>
      </w:tr>
    </w:tbl>
    <w:p>
      <w:pPr>
        <w:spacing w:line="240" w:lineRule="auto" w:before="2"/>
        <w:rPr>
          <w:rFonts w:ascii="宋体" w:hAnsi="宋体" w:cs="宋体" w:eastAsia="宋体" w:hint="default"/>
          <w:sz w:val="20"/>
          <w:szCs w:val="20"/>
        </w:rPr>
      </w:pPr>
    </w:p>
    <w:p>
      <w:pPr>
        <w:pStyle w:val="BodyText"/>
        <w:spacing w:line="240" w:lineRule="auto" w:before="36"/>
        <w:ind w:left="378" w:right="0"/>
        <w:jc w:val="both"/>
      </w:pPr>
      <w:r>
        <w:rPr>
          <w:w w:val="100"/>
        </w:rPr>
        <w:t>其中</w:t>
      </w:r>
      <w:r>
        <w:rPr>
          <w:spacing w:val="-3"/>
          <w:w w:val="100"/>
        </w:rPr>
        <w:t>：</w:t>
      </w:r>
      <w:r>
        <w:rPr>
          <w:w w:val="100"/>
        </w:rPr>
        <w:t>境</w:t>
      </w:r>
      <w:r>
        <w:rPr>
          <w:spacing w:val="-3"/>
          <w:w w:val="100"/>
        </w:rPr>
        <w:t>外资</w:t>
      </w:r>
      <w:r>
        <w:rPr>
          <w:w w:val="100"/>
        </w:rPr>
        <w:t>产</w:t>
      </w:r>
      <w:r>
        <w:rPr>
          <w:spacing w:val="-53"/>
        </w:rPr>
        <w:t> </w:t>
      </w:r>
      <w:r>
        <w:rPr>
          <w:rFonts w:ascii="Calibri" w:hAnsi="Calibri" w:cs="Calibri" w:eastAsia="Calibri" w:hint="default"/>
          <w:spacing w:val="-2"/>
          <w:w w:val="100"/>
        </w:rPr>
        <w:t>0</w:t>
      </w:r>
      <w:r>
        <w:rPr>
          <w:w w:val="100"/>
        </w:rPr>
        <w:t>（</w:t>
      </w:r>
      <w:r>
        <w:rPr>
          <w:spacing w:val="-3"/>
          <w:w w:val="100"/>
        </w:rPr>
        <w:t>单位</w:t>
      </w:r>
      <w:r>
        <w:rPr>
          <w:w w:val="100"/>
        </w:rPr>
        <w:t>：元</w:t>
      </w:r>
      <w:r>
        <w:rPr/>
        <w:t> </w:t>
      </w:r>
      <w:r>
        <w:rPr>
          <w:spacing w:val="-2"/>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spacing w:val="-106"/>
          <w:w w:val="100"/>
        </w:rPr>
        <w:t>）</w:t>
      </w:r>
      <w:r>
        <w:rPr>
          <w:spacing w:val="-3"/>
          <w:w w:val="100"/>
        </w:rPr>
        <w:t>，占</w:t>
      </w:r>
      <w:r>
        <w:rPr>
          <w:w w:val="100"/>
        </w:rPr>
        <w:t>总资</w:t>
      </w:r>
      <w:r>
        <w:rPr>
          <w:spacing w:val="-3"/>
          <w:w w:val="100"/>
        </w:rPr>
        <w:t>产</w:t>
      </w:r>
      <w:r>
        <w:rPr>
          <w:w w:val="100"/>
        </w:rPr>
        <w:t>的</w:t>
      </w:r>
      <w:r>
        <w:rPr>
          <w:spacing w:val="-3"/>
          <w:w w:val="100"/>
        </w:rPr>
        <w:t>比例</w:t>
      </w:r>
      <w:r>
        <w:rPr>
          <w:w w:val="100"/>
        </w:rPr>
        <w:t>为</w:t>
      </w:r>
      <w:r>
        <w:rPr>
          <w:spacing w:val="-53"/>
        </w:rPr>
        <w:t> </w:t>
      </w:r>
      <w:r>
        <w:rPr>
          <w:rFonts w:ascii="Calibri" w:hAnsi="Calibri" w:cs="Calibri" w:eastAsia="Calibri" w:hint="default"/>
          <w:spacing w:val="-2"/>
          <w:w w:val="100"/>
        </w:rPr>
        <w:t>0</w:t>
      </w:r>
      <w:r>
        <w:rPr>
          <w:rFonts w:ascii="Calibri" w:hAnsi="Calibri" w:cs="Calibri" w:eastAsia="Calibri" w:hint="default"/>
          <w:w w:val="100"/>
        </w:rPr>
        <w:t>%</w:t>
      </w:r>
      <w:r>
        <w:rPr>
          <w:w w:val="100"/>
        </w:rPr>
        <w:t>。</w:t>
      </w:r>
    </w:p>
    <w:p>
      <w:pPr>
        <w:spacing w:line="240" w:lineRule="auto" w:before="3"/>
        <w:rPr>
          <w:rFonts w:ascii="宋体" w:hAnsi="宋体" w:cs="宋体" w:eastAsia="宋体" w:hint="default"/>
          <w:sz w:val="29"/>
          <w:szCs w:val="29"/>
        </w:rPr>
      </w:pPr>
    </w:p>
    <w:p>
      <w:pPr>
        <w:pStyle w:val="Heading3"/>
        <w:spacing w:line="240" w:lineRule="auto"/>
        <w:ind w:left="378" w:right="0"/>
        <w:jc w:val="both"/>
        <w:rPr>
          <w:b w:val="0"/>
          <w:bCs w:val="0"/>
        </w:rPr>
      </w:pPr>
      <w:r>
        <w:rPr/>
        <w:t>三、报告期内核心竞争力分析</w:t>
      </w:r>
      <w:r>
        <w:rPr>
          <w:b w:val="0"/>
          <w:bCs w:val="0"/>
        </w:rPr>
      </w:r>
    </w:p>
    <w:p>
      <w:pPr>
        <w:pStyle w:val="BodyText"/>
        <w:spacing w:line="240" w:lineRule="auto" w:before="97"/>
        <w:ind w:left="378" w:right="0"/>
        <w:jc w:val="both"/>
      </w:pPr>
      <w:r>
        <w:rPr/>
        <w:t>√适用  </w:t>
      </w:r>
      <w:r>
        <w:rPr>
          <w:rFonts w:ascii="Arial" w:hAnsi="Arial" w:cs="Arial" w:eastAsia="Arial" w:hint="default"/>
        </w:rPr>
        <w:t>□</w:t>
      </w:r>
      <w:r>
        <w:rPr>
          <w:rFonts w:ascii="Arial" w:hAnsi="Arial" w:cs="Arial" w:eastAsia="Arial" w:hint="default"/>
          <w:spacing w:val="24"/>
        </w:rPr>
        <w:t> </w:t>
      </w:r>
      <w:r>
        <w:rPr/>
        <w:t>不适用</w:t>
      </w:r>
    </w:p>
    <w:p>
      <w:pPr>
        <w:pStyle w:val="Heading3"/>
        <w:spacing w:line="240" w:lineRule="auto" w:before="77"/>
        <w:ind w:left="798" w:right="0"/>
        <w:jc w:val="left"/>
        <w:rPr>
          <w:b w:val="0"/>
          <w:bCs w:val="0"/>
        </w:rPr>
      </w:pPr>
      <w:r>
        <w:rPr/>
        <w:t>（一）品牌价值及影响力大幅提升，企业形象崭新升级</w:t>
      </w:r>
      <w:r>
        <w:rPr>
          <w:b w:val="0"/>
          <w:bCs w:val="0"/>
        </w:rPr>
      </w:r>
    </w:p>
    <w:p>
      <w:pPr>
        <w:pStyle w:val="BodyText"/>
        <w:spacing w:line="309" w:lineRule="auto" w:before="85"/>
        <w:ind w:left="378" w:right="368" w:firstLine="419"/>
        <w:jc w:val="both"/>
      </w:pPr>
      <w:r>
        <w:rPr/>
        <w:t>南威软件拥有 </w:t>
      </w:r>
      <w:r>
        <w:rPr>
          <w:rFonts w:ascii="Times New Roman" w:hAnsi="Times New Roman" w:cs="Times New Roman" w:eastAsia="Times New Roman" w:hint="default"/>
        </w:rPr>
        <w:t>CMMI-5</w:t>
      </w:r>
      <w:r>
        <w:rPr>
          <w:rFonts w:ascii="Times New Roman" w:hAnsi="Times New Roman" w:cs="Times New Roman" w:eastAsia="Times New Roman" w:hint="default"/>
          <w:spacing w:val="-15"/>
        </w:rPr>
        <w:t> </w:t>
      </w:r>
      <w:r>
        <w:rPr>
          <w:spacing w:val="-9"/>
        </w:rPr>
        <w:t>国际认证、国家系统集成壹级、国家涉密甲级、国家建筑智能化壹级、</w:t>
      </w:r>
      <w:r>
        <w:rPr>
          <w:w w:val="100"/>
        </w:rPr>
        <w:t> </w:t>
      </w:r>
      <w:r>
        <w:rPr>
          <w:spacing w:val="-1"/>
        </w:rPr>
        <w:t>国家安防工程设计与施工壹级等多项资质，综合实力与资质优势显现。南威软件建设院士专家工</w:t>
      </w:r>
      <w:r>
        <w:rPr>
          <w:spacing w:val="-54"/>
        </w:rPr>
        <w:t> </w:t>
      </w:r>
      <w:r>
        <w:rPr>
          <w:spacing w:val="-54"/>
        </w:rPr>
      </w:r>
      <w:r>
        <w:rPr>
          <w:spacing w:val="-1"/>
        </w:rPr>
        <w:t>作站、博士后工作站、福建省工程技术研究中心、福建省重点实验室、福建省企业技术中心等，</w:t>
      </w:r>
      <w:r>
        <w:rPr>
          <w:spacing w:val="-55"/>
        </w:rPr>
        <w:t> </w:t>
      </w:r>
      <w:r>
        <w:rPr>
          <w:spacing w:val="-55"/>
        </w:rPr>
      </w:r>
      <w:r>
        <w:rPr>
          <w:spacing w:val="-6"/>
          <w:w w:val="100"/>
        </w:rPr>
        <w:t>是国家火炬计划重点高新技术企业、全国软件和信息技术服务业骨干企业、福建省产业龙头企业，</w:t>
      </w:r>
      <w:r>
        <w:rPr>
          <w:w w:val="100"/>
        </w:rPr>
        <w:t> </w:t>
      </w:r>
      <w:r>
        <w:rPr/>
        <w:t>综合竞争力处于全国软件业前列水平，行业地位突出，平台优势明显。</w:t>
      </w:r>
    </w:p>
    <w:p>
      <w:pPr>
        <w:pStyle w:val="BodyText"/>
        <w:spacing w:line="297" w:lineRule="auto" w:before="24"/>
        <w:ind w:left="378" w:right="0" w:firstLine="419"/>
        <w:jc w:val="left"/>
      </w:pPr>
      <w:r>
        <w:rPr>
          <w:spacing w:val="-3"/>
        </w:rPr>
        <w:t>报告期内，公司行业影响力与整体实力增强，品牌效应显现。</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0"/>
        </w:rPr>
        <w:t> </w:t>
      </w:r>
      <w:r>
        <w:rPr>
          <w:spacing w:val="-3"/>
        </w:rPr>
        <w:t>年，公司创新研发建设的</w:t>
      </w:r>
      <w:r>
        <w:rPr>
          <w:w w:val="100"/>
        </w:rPr>
        <w:t> </w:t>
      </w:r>
      <w:r>
        <w:rPr/>
        <w:t>国家发改委</w:t>
      </w:r>
      <w:r>
        <w:rPr>
          <w:spacing w:val="-44"/>
        </w:rPr>
        <w:t> </w:t>
      </w:r>
      <w:r>
        <w:rPr>
          <w:rFonts w:ascii="Times New Roman" w:hAnsi="Times New Roman" w:cs="Times New Roman" w:eastAsia="Times New Roman" w:hint="default"/>
        </w:rPr>
        <w:t>12358</w:t>
      </w:r>
      <w:r>
        <w:rPr>
          <w:rFonts w:ascii="Times New Roman" w:hAnsi="Times New Roman" w:cs="Times New Roman" w:eastAsia="Times New Roman" w:hint="default"/>
          <w:spacing w:val="9"/>
        </w:rPr>
        <w:t> </w:t>
      </w:r>
      <w:r>
        <w:rPr>
          <w:spacing w:val="-3"/>
        </w:rPr>
        <w:t>全国价格举报监管平台、浙江省“最多跑一次”成为了行业标杆。</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5"/>
        </w:rPr>
        <w:t> </w:t>
      </w:r>
      <w:r>
        <w:rPr/>
        <w:t>年又先</w:t>
      </w:r>
      <w:r>
        <w:rPr>
          <w:spacing w:val="-83"/>
        </w:rPr>
        <w:t> </w:t>
      </w:r>
      <w:r>
        <w:rPr>
          <w:spacing w:val="-83"/>
        </w:rPr>
      </w:r>
      <w:r>
        <w:rPr>
          <w:spacing w:val="-4"/>
        </w:rPr>
        <w:t>后承担建设了河南省互联网</w:t>
      </w:r>
      <w:r>
        <w:rPr>
          <w:rFonts w:ascii="Calibri" w:hAnsi="Calibri" w:cs="Calibri" w:eastAsia="Calibri" w:hint="default"/>
          <w:spacing w:val="-4"/>
        </w:rPr>
        <w:t>+</w:t>
      </w:r>
      <w:r>
        <w:rPr>
          <w:spacing w:val="-4"/>
        </w:rPr>
        <w:t>政务服务、广西省电子证照项目与智慧警务项目以及河南、河北、湖</w:t>
      </w:r>
      <w:r>
        <w:rPr>
          <w:spacing w:val="-35"/>
        </w:rPr>
        <w:t> </w:t>
      </w:r>
      <w:r>
        <w:rPr>
          <w:spacing w:val="-35"/>
        </w:rPr>
      </w:r>
      <w:r>
        <w:rPr>
          <w:spacing w:val="-1"/>
        </w:rPr>
        <w:t>北、宁夏等省级互联网</w:t>
      </w:r>
      <w:r>
        <w:rPr>
          <w:rFonts w:ascii="Calibri" w:hAnsi="Calibri" w:cs="Calibri" w:eastAsia="Calibri" w:hint="default"/>
          <w:spacing w:val="-1"/>
        </w:rPr>
        <w:t>+</w:t>
      </w:r>
      <w:r>
        <w:rPr>
          <w:spacing w:val="-1"/>
        </w:rPr>
        <w:t>政务服务项目，落地首个智慧城市项目、首个放管服政府购买服务项目。</w:t>
      </w:r>
      <w:r>
        <w:rPr>
          <w:spacing w:val="-54"/>
        </w:rPr>
        <w:t> </w:t>
      </w:r>
      <w:r>
        <w:rPr>
          <w:spacing w:val="-54"/>
        </w:rPr>
      </w:r>
      <w:r>
        <w:rPr>
          <w:spacing w:val="-9"/>
          <w:w w:val="100"/>
        </w:rPr>
        <w:t>万创帮、蜻蜓停车荣获“年度十大智慧城市建设优秀应用”、“</w:t>
      </w:r>
      <w:r>
        <w:rPr>
          <w:rFonts w:ascii="Times New Roman" w:hAnsi="Times New Roman" w:cs="Times New Roman" w:eastAsia="Times New Roman" w:hint="default"/>
          <w:spacing w:val="-9"/>
          <w:w w:val="100"/>
        </w:rPr>
        <w:t>2017</w:t>
      </w:r>
      <w:r>
        <w:rPr>
          <w:rFonts w:ascii="Times New Roman" w:hAnsi="Times New Roman" w:cs="Times New Roman" w:eastAsia="Times New Roman" w:hint="default"/>
          <w:w w:val="100"/>
        </w:rPr>
        <w:t> </w:t>
      </w:r>
      <w:r>
        <w:rPr>
          <w:spacing w:val="-2"/>
          <w:w w:val="100"/>
        </w:rPr>
        <w:t>中国物联网优秀解决方案成果</w:t>
      </w:r>
      <w:r>
        <w:rPr>
          <w:spacing w:val="-102"/>
          <w:w w:val="100"/>
        </w:rPr>
        <w:t> </w:t>
      </w:r>
      <w:r>
        <w:rPr>
          <w:spacing w:val="-102"/>
          <w:w w:val="100"/>
        </w:rPr>
      </w:r>
      <w:r>
        <w:rPr>
          <w:spacing w:val="-8"/>
          <w:w w:val="100"/>
        </w:rPr>
        <w:t>奖”；空地一体化多媒体指挥平台荣获“福建省科技进步奖三等奖”；电子证照产品荣获“</w:t>
      </w:r>
      <w:r>
        <w:rPr>
          <w:rFonts w:ascii="Times New Roman" w:hAnsi="Times New Roman" w:cs="Times New Roman" w:eastAsia="Times New Roman" w:hint="default"/>
          <w:spacing w:val="-8"/>
          <w:w w:val="100"/>
        </w:rPr>
        <w:t>2017</w:t>
      </w:r>
      <w:r>
        <w:rPr>
          <w:rFonts w:ascii="Times New Roman" w:hAnsi="Times New Roman" w:cs="Times New Roman" w:eastAsia="Times New Roman" w:hint="default"/>
          <w:w w:val="100"/>
        </w:rPr>
        <w:t> </w:t>
      </w:r>
      <w:r>
        <w:rPr>
          <w:w w:val="100"/>
        </w:rPr>
        <w:t>年</w:t>
      </w:r>
      <w:r>
        <w:rPr>
          <w:spacing w:val="-67"/>
          <w:w w:val="100"/>
        </w:rPr>
        <w:t> </w:t>
      </w:r>
      <w:r>
        <w:rPr>
          <w:spacing w:val="-6"/>
          <w:w w:val="100"/>
        </w:rPr>
        <w:t>度中国软件行业最佳产品奖”；公司荣获“</w:t>
      </w:r>
      <w:r>
        <w:rPr>
          <w:rFonts w:ascii="Times New Roman" w:hAnsi="Times New Roman" w:cs="Times New Roman" w:eastAsia="Times New Roman" w:hint="default"/>
          <w:spacing w:val="-6"/>
          <w:w w:val="100"/>
        </w:rPr>
        <w:t>2017</w:t>
      </w:r>
      <w:r>
        <w:rPr>
          <w:rFonts w:ascii="Times New Roman" w:hAnsi="Times New Roman" w:cs="Times New Roman" w:eastAsia="Times New Roman" w:hint="default"/>
          <w:spacing w:val="12"/>
          <w:w w:val="100"/>
        </w:rPr>
        <w:t> </w:t>
      </w:r>
      <w:r>
        <w:rPr>
          <w:spacing w:val="-6"/>
          <w:w w:val="100"/>
        </w:rPr>
        <w:t>中国信息技术年度智慧城市最具成长力企业奖”、</w:t>
      </w:r>
      <w:r>
        <w:rPr>
          <w:spacing w:val="-104"/>
          <w:w w:val="100"/>
        </w:rPr>
        <w:t> </w:t>
      </w:r>
      <w:r>
        <w:rPr>
          <w:spacing w:val="-104"/>
          <w:w w:val="100"/>
        </w:rPr>
      </w:r>
      <w:r>
        <w:rPr>
          <w:spacing w:val="-12"/>
          <w:w w:val="100"/>
        </w:rPr>
        <w:t>“福建省安防行业品牌企业奖”、“</w:t>
      </w:r>
      <w:r>
        <w:rPr>
          <w:rFonts w:ascii="Times New Roman" w:hAnsi="Times New Roman" w:cs="Times New Roman" w:eastAsia="Times New Roman" w:hint="default"/>
          <w:spacing w:val="-12"/>
          <w:w w:val="100"/>
        </w:rPr>
        <w:t>2017</w:t>
      </w:r>
      <w:r>
        <w:rPr>
          <w:rFonts w:ascii="Times New Roman" w:hAnsi="Times New Roman" w:cs="Times New Roman" w:eastAsia="Times New Roman" w:hint="default"/>
          <w:spacing w:val="6"/>
          <w:w w:val="100"/>
        </w:rPr>
        <w:t> </w:t>
      </w:r>
      <w:r>
        <w:rPr>
          <w:spacing w:val="-13"/>
          <w:w w:val="100"/>
        </w:rPr>
        <w:t>年度智慧检法最佳实践奖”、“</w:t>
      </w:r>
      <w:r>
        <w:rPr>
          <w:rFonts w:ascii="Times New Roman" w:hAnsi="Times New Roman" w:cs="Times New Roman" w:eastAsia="Times New Roman" w:hint="default"/>
          <w:spacing w:val="-13"/>
          <w:w w:val="100"/>
        </w:rPr>
        <w:t>2017</w:t>
      </w:r>
      <w:r>
        <w:rPr>
          <w:rFonts w:ascii="Times New Roman" w:hAnsi="Times New Roman" w:cs="Times New Roman" w:eastAsia="Times New Roman" w:hint="default"/>
          <w:spacing w:val="6"/>
          <w:w w:val="100"/>
        </w:rPr>
        <w:t> </w:t>
      </w:r>
      <w:r>
        <w:rPr>
          <w:spacing w:val="-2"/>
          <w:w w:val="100"/>
        </w:rPr>
        <w:t>中国</w:t>
      </w:r>
      <w:r>
        <w:rPr>
          <w:spacing w:val="-46"/>
          <w:w w:val="100"/>
        </w:rPr>
        <w:t> </w:t>
      </w:r>
      <w:r>
        <w:rPr>
          <w:rFonts w:ascii="Times New Roman" w:hAnsi="Times New Roman" w:cs="Times New Roman" w:eastAsia="Times New Roman" w:hint="default"/>
          <w:spacing w:val="-2"/>
          <w:w w:val="100"/>
        </w:rPr>
        <w:t>IT</w:t>
      </w:r>
      <w:r>
        <w:rPr>
          <w:rFonts w:ascii="Times New Roman" w:hAnsi="Times New Roman" w:cs="Times New Roman" w:eastAsia="Times New Roman" w:hint="default"/>
          <w:spacing w:val="6"/>
          <w:w w:val="100"/>
        </w:rPr>
        <w:t> </w:t>
      </w:r>
      <w:r>
        <w:rPr>
          <w:spacing w:val="-1"/>
          <w:w w:val="100"/>
        </w:rPr>
        <w:t>风云榜年度十</w:t>
      </w:r>
      <w:r>
        <w:rPr>
          <w:spacing w:val="-101"/>
          <w:w w:val="100"/>
        </w:rPr>
        <w:t> </w:t>
      </w:r>
      <w:r>
        <w:rPr>
          <w:spacing w:val="-101"/>
          <w:w w:val="100"/>
        </w:rPr>
      </w:r>
      <w:r>
        <w:rPr>
          <w:spacing w:val="-6"/>
          <w:w w:val="100"/>
        </w:rPr>
        <w:t>大优秀企业奖”。报告期内，公司被推选为国家电子证照标准制定的组长单位、国家电子文件联盟</w:t>
      </w:r>
      <w:r>
        <w:rPr>
          <w:w w:val="100"/>
        </w:rPr>
        <w:t> </w:t>
      </w:r>
      <w:r>
        <w:rPr/>
        <w:t>副理事长单位、国家智慧城市标准制定总体组成员单位，在行业的影响力和整体实力不断提升。</w:t>
      </w:r>
    </w:p>
    <w:p>
      <w:pPr>
        <w:pStyle w:val="Heading3"/>
        <w:spacing w:line="240" w:lineRule="auto" w:before="34"/>
        <w:ind w:left="800" w:right="0"/>
        <w:jc w:val="left"/>
        <w:rPr>
          <w:b w:val="0"/>
          <w:bCs w:val="0"/>
        </w:rPr>
      </w:pPr>
      <w:r>
        <w:rPr/>
        <w:t>（二）核心关键技术领先</w:t>
      </w:r>
      <w:r>
        <w:rPr>
          <w:b w:val="0"/>
          <w:bCs w:val="0"/>
        </w:rPr>
      </w:r>
    </w:p>
    <w:p>
      <w:pPr>
        <w:pStyle w:val="BodyText"/>
        <w:spacing w:line="240" w:lineRule="auto" w:before="85"/>
        <w:ind w:left="798" w:right="0"/>
        <w:jc w:val="left"/>
        <w:rPr>
          <w:rFonts w:ascii="Times New Roman" w:hAnsi="Times New Roman" w:cs="Times New Roman" w:eastAsia="Times New Roman" w:hint="default"/>
        </w:rPr>
      </w:pPr>
      <w:r>
        <w:rPr/>
        <w:t>南威软件高度重视技术创新工作，跟踪软件前沿技术发展，截止 </w:t>
      </w:r>
      <w:r>
        <w:rPr>
          <w:rFonts w:ascii="Times New Roman" w:hAnsi="Times New Roman" w:cs="Times New Roman" w:eastAsia="Times New Roman" w:hint="default"/>
        </w:rPr>
        <w:t>2017 </w:t>
      </w:r>
      <w:r>
        <w:rPr/>
        <w:t>年底，公司已拥有</w:t>
      </w:r>
      <w:r>
        <w:rPr>
          <w:spacing w:val="-45"/>
        </w:rPr>
        <w:t> </w:t>
      </w:r>
      <w:r>
        <w:rPr>
          <w:rFonts w:ascii="Times New Roman" w:hAnsi="Times New Roman" w:cs="Times New Roman" w:eastAsia="Times New Roman" w:hint="default"/>
          <w:spacing w:val="-3"/>
        </w:rPr>
        <w:t>16</w:t>
      </w:r>
      <w:r>
        <w:rPr>
          <w:rFonts w:ascii="Times New Roman" w:hAnsi="Times New Roman" w:cs="Times New Roman" w:eastAsia="Times New Roman" w:hint="default"/>
        </w:rPr>
      </w:r>
    </w:p>
    <w:p>
      <w:pPr>
        <w:pStyle w:val="BodyText"/>
        <w:spacing w:line="304" w:lineRule="auto" w:before="69"/>
        <w:ind w:left="378" w:right="367"/>
        <w:jc w:val="both"/>
      </w:pPr>
      <w:r>
        <w:rPr/>
        <w:t>项发明专利、超</w:t>
      </w:r>
      <w:r>
        <w:rPr>
          <w:spacing w:val="-50"/>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项软件著作权。公司深入开展云计算、物联网和大数据等技术研发，投资成</w:t>
      </w:r>
      <w:r>
        <w:rPr>
          <w:w w:val="100"/>
        </w:rPr>
        <w:t> </w:t>
      </w:r>
      <w:r>
        <w:rPr>
          <w:spacing w:val="-1"/>
        </w:rPr>
        <w:t>立南威思明德大数据公司，致力研发大数据底层算法、大数据基础平台、行业与互联网大数据应</w:t>
      </w:r>
      <w:r>
        <w:rPr>
          <w:spacing w:val="-55"/>
        </w:rPr>
        <w:t> </w:t>
      </w:r>
      <w:r>
        <w:rPr>
          <w:spacing w:val="-55"/>
        </w:rPr>
      </w:r>
      <w:r>
        <w:rPr/>
        <w:t>用，并打造大数据中间件平台，服务于各行业领域的大数据应用。</w:t>
      </w:r>
    </w:p>
    <w:p>
      <w:pPr>
        <w:pStyle w:val="BodyText"/>
        <w:spacing w:line="314" w:lineRule="auto" w:before="28"/>
        <w:ind w:left="378" w:right="0" w:firstLine="419"/>
        <w:jc w:val="left"/>
      </w:pPr>
      <w:r>
        <w:rPr>
          <w:spacing w:val="-2"/>
        </w:rPr>
        <w:t>此外，公司重视开发面向产业化的基础性、战略性、前瞻性和重大关键共性软件技术研究开</w:t>
      </w:r>
      <w:r>
        <w:rPr>
          <w:w w:val="100"/>
        </w:rPr>
        <w:t> </w:t>
      </w:r>
      <w:r>
        <w:rPr>
          <w:spacing w:val="-1"/>
        </w:rPr>
        <w:t>发项目，实现软件产品工业化。公司重视企业标准的制订工作，使软件产品的基础研发、产品开</w:t>
      </w:r>
    </w:p>
    <w:p>
      <w:pPr>
        <w:spacing w:after="0" w:line="314" w:lineRule="auto"/>
        <w:jc w:val="left"/>
        <w:sectPr>
          <w:pgSz w:w="11910" w:h="16840"/>
          <w:pgMar w:header="855" w:footer="979" w:top="1140" w:bottom="1160" w:left="1420" w:right="900"/>
        </w:sectPr>
      </w:pPr>
    </w:p>
    <w:p>
      <w:pPr>
        <w:spacing w:line="240" w:lineRule="auto" w:before="4"/>
        <w:rPr>
          <w:rFonts w:ascii="宋体" w:hAnsi="宋体" w:cs="宋体" w:eastAsia="宋体" w:hint="default"/>
          <w:sz w:val="29"/>
          <w:szCs w:val="29"/>
        </w:rPr>
      </w:pPr>
    </w:p>
    <w:p>
      <w:pPr>
        <w:pStyle w:val="BodyText"/>
        <w:spacing w:line="304" w:lineRule="auto" w:before="36"/>
        <w:ind w:left="138" w:right="128"/>
        <w:jc w:val="both"/>
      </w:pPr>
      <w:r>
        <w:rPr/>
        <w:t>发、产品实施都实现标准化。与此同时，公司积极参与制定国家和行业标准，作为工信部</w:t>
      </w:r>
      <w:r>
        <w:rPr>
          <w:spacing w:val="-64"/>
        </w:rPr>
        <w:t> </w:t>
      </w:r>
      <w:r>
        <w:rPr>
          <w:rFonts w:ascii="Calibri" w:hAnsi="Calibri" w:cs="Calibri" w:eastAsia="Calibri" w:hint="default"/>
        </w:rPr>
        <w:t>ITSS</w:t>
      </w:r>
      <w:r>
        <w:rPr>
          <w:rFonts w:ascii="Calibri" w:hAnsi="Calibri" w:cs="Calibri" w:eastAsia="Calibri" w:hint="default"/>
          <w:spacing w:val="-10"/>
        </w:rPr>
        <w:t> </w:t>
      </w:r>
      <w:r>
        <w:rPr/>
        <w:t>标</w:t>
      </w:r>
      <w:r>
        <w:rPr>
          <w:w w:val="100"/>
        </w:rPr>
        <w:t> </w:t>
      </w:r>
      <w:r>
        <w:rPr/>
        <w:t>准化组织成员，公司已参与制定了“</w:t>
      </w:r>
      <w:r>
        <w:rPr>
          <w:rFonts w:ascii="Times New Roman" w:hAnsi="Times New Roman" w:cs="Times New Roman" w:eastAsia="Times New Roman" w:hint="default"/>
        </w:rPr>
        <w:t>IT</w:t>
      </w:r>
      <w:r>
        <w:rPr>
          <w:rFonts w:ascii="Times New Roman" w:hAnsi="Times New Roman" w:cs="Times New Roman" w:eastAsia="Times New Roman" w:hint="default"/>
          <w:spacing w:val="28"/>
        </w:rPr>
        <w:t> </w:t>
      </w:r>
      <w:r>
        <w:rPr>
          <w:spacing w:val="-3"/>
        </w:rPr>
        <w:t>治理管理系统”标准、省级“证照管理系统标准”等。报</w:t>
      </w:r>
      <w:r>
        <w:rPr>
          <w:spacing w:val="-95"/>
        </w:rPr>
        <w:t> </w:t>
      </w:r>
      <w:r>
        <w:rPr>
          <w:spacing w:val="-95"/>
        </w:rPr>
      </w:r>
      <w:r>
        <w:rPr>
          <w:spacing w:val="-1"/>
        </w:rPr>
        <w:t>告期内，公司相继发布蜻蜓停车、小电卫士、华厦匠人，并投入实际运营；智慧河长信息平台的</w:t>
      </w:r>
      <w:r>
        <w:rPr>
          <w:spacing w:val="-55"/>
        </w:rPr>
        <w:t> </w:t>
      </w:r>
      <w:r>
        <w:rPr>
          <w:spacing w:val="-55"/>
        </w:rPr>
      </w:r>
      <w:r>
        <w:rPr>
          <w:spacing w:val="-1"/>
        </w:rPr>
        <w:t>成功研发；万创帮持续进行迭代研发。公司明确以城市级互联网运营平台为核心业务，大力拓展</w:t>
      </w:r>
      <w:r>
        <w:rPr>
          <w:spacing w:val="-56"/>
        </w:rPr>
        <w:t> </w:t>
      </w:r>
      <w:r>
        <w:rPr>
          <w:spacing w:val="-56"/>
        </w:rPr>
      </w:r>
      <w:r>
        <w:rPr>
          <w:spacing w:val="-1"/>
        </w:rPr>
        <w:t>小电卫士、蜻蜓停车两大业务体系，建设城市级物联感知网与停车运营平台，并在福州、泉州、</w:t>
      </w:r>
      <w:r>
        <w:rPr>
          <w:spacing w:val="-56"/>
        </w:rPr>
        <w:t> </w:t>
      </w:r>
      <w:r>
        <w:rPr>
          <w:spacing w:val="-56"/>
        </w:rPr>
      </w:r>
      <w:r>
        <w:rPr/>
        <w:t>莆田、三明、杭州、台州等多个地方实现运营，开启公司在物联网领域的重要布局。</w:t>
      </w:r>
    </w:p>
    <w:p>
      <w:pPr>
        <w:spacing w:line="314" w:lineRule="auto" w:before="28"/>
        <w:ind w:left="558" w:right="130" w:firstLine="2"/>
        <w:jc w:val="left"/>
        <w:rPr>
          <w:rFonts w:ascii="宋体" w:hAnsi="宋体" w:cs="宋体" w:eastAsia="宋体" w:hint="default"/>
          <w:sz w:val="21"/>
          <w:szCs w:val="21"/>
        </w:rPr>
      </w:pPr>
      <w:r>
        <w:rPr>
          <w:rFonts w:ascii="宋体" w:hAnsi="宋体" w:cs="宋体" w:eastAsia="宋体" w:hint="default"/>
          <w:b/>
          <w:bCs/>
          <w:sz w:val="21"/>
          <w:szCs w:val="21"/>
        </w:rPr>
        <w:t>（三）区域市场迅速布局，产业合作生态体系初步形成</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报告期内，公司加速落实平台区域化战略，迅速抓住机遇，领先抢占市场。通过行业和区域</w:t>
      </w:r>
    </w:p>
    <w:p>
      <w:pPr>
        <w:pStyle w:val="BodyText"/>
        <w:spacing w:line="307" w:lineRule="auto" w:before="20"/>
        <w:ind w:left="138" w:right="127"/>
        <w:jc w:val="both"/>
      </w:pPr>
      <w:r>
        <w:rPr>
          <w:spacing w:val="-1"/>
        </w:rPr>
        <w:t>两个维度建立矩阵式管理模式，使行业线机构和区域机构分工协作、相辅相成，共同拓展服务客</w:t>
      </w:r>
      <w:r>
        <w:rPr>
          <w:spacing w:val="-55"/>
        </w:rPr>
        <w:t> </w:t>
      </w:r>
      <w:r>
        <w:rPr>
          <w:spacing w:val="-55"/>
        </w:rPr>
      </w:r>
      <w:r>
        <w:rPr>
          <w:spacing w:val="-5"/>
        </w:rPr>
        <w:t>户。公司旗下拥有超 </w:t>
      </w:r>
      <w:r>
        <w:rPr>
          <w:rFonts w:ascii="Times New Roman" w:hAnsi="Times New Roman" w:cs="Times New Roman" w:eastAsia="Times New Roman" w:hint="default"/>
        </w:rPr>
        <w:t>40 </w:t>
      </w:r>
      <w:r>
        <w:rPr>
          <w:spacing w:val="-4"/>
        </w:rPr>
        <w:t>家独立法人企业，持续加强与客户、合作伙伴等产业优质资源方的战略合</w:t>
      </w:r>
      <w:r>
        <w:rPr>
          <w:spacing w:val="-81"/>
        </w:rPr>
        <w:t> </w:t>
      </w:r>
      <w:r>
        <w:rPr>
          <w:spacing w:val="-81"/>
        </w:rPr>
      </w:r>
      <w:r>
        <w:rPr/>
        <w:t>作，初步形成产业生态体系，提高公司的核心竞争力。</w:t>
      </w:r>
    </w:p>
    <w:p>
      <w:pPr>
        <w:spacing w:line="314" w:lineRule="auto" w:before="26"/>
        <w:ind w:left="558" w:right="130" w:firstLine="2"/>
        <w:jc w:val="left"/>
        <w:rPr>
          <w:rFonts w:ascii="宋体" w:hAnsi="宋体" w:cs="宋体" w:eastAsia="宋体" w:hint="default"/>
          <w:sz w:val="21"/>
          <w:szCs w:val="21"/>
        </w:rPr>
      </w:pPr>
      <w:r>
        <w:rPr>
          <w:rFonts w:ascii="宋体" w:hAnsi="宋体" w:cs="宋体" w:eastAsia="宋体" w:hint="default"/>
          <w:b/>
          <w:bCs/>
          <w:sz w:val="21"/>
          <w:szCs w:val="21"/>
        </w:rPr>
        <w:t>（四）团队高效，发展体系健全</w:t>
      </w:r>
      <w:r>
        <w:rPr>
          <w:rFonts w:ascii="宋体" w:hAnsi="宋体" w:cs="宋体" w:eastAsia="宋体" w:hint="default"/>
          <w:b/>
          <w:bCs/>
          <w:w w:val="100"/>
          <w:sz w:val="21"/>
          <w:szCs w:val="21"/>
        </w:rPr>
        <w:t> </w:t>
      </w:r>
      <w:r>
        <w:rPr>
          <w:rFonts w:ascii="宋体" w:hAnsi="宋体" w:cs="宋体" w:eastAsia="宋体" w:hint="default"/>
          <w:spacing w:val="-2"/>
          <w:sz w:val="21"/>
          <w:szCs w:val="21"/>
        </w:rPr>
        <w:t>公司拥有一支经验丰富的管理、营销及技术队伍，主要管理人员和业务骨干均多年从事智慧</w:t>
      </w:r>
    </w:p>
    <w:p>
      <w:pPr>
        <w:pStyle w:val="BodyText"/>
        <w:spacing w:line="314" w:lineRule="auto" w:before="20"/>
        <w:ind w:left="138" w:right="127"/>
        <w:jc w:val="both"/>
      </w:pPr>
      <w:r>
        <w:rPr>
          <w:spacing w:val="-6"/>
          <w:w w:val="100"/>
        </w:rPr>
        <w:t>城市或电子政务行业工作，对行业业务有着深刻的理解。公司核心管理层保持开放性的管理思维，</w:t>
      </w:r>
      <w:r>
        <w:rPr>
          <w:w w:val="100"/>
        </w:rPr>
        <w:t> </w:t>
      </w:r>
      <w:r>
        <w:rPr>
          <w:spacing w:val="-1"/>
        </w:rPr>
        <w:t>根据公司发展需要，通过内部培养和外部引进等多种渠道不断扩充和提升核心团队，使公司人才</w:t>
      </w:r>
      <w:r>
        <w:rPr>
          <w:spacing w:val="-55"/>
        </w:rPr>
        <w:t> </w:t>
      </w:r>
      <w:r>
        <w:rPr>
          <w:spacing w:val="-55"/>
        </w:rPr>
      </w:r>
      <w:r>
        <w:rPr>
          <w:spacing w:val="-1"/>
        </w:rPr>
        <w:t>队伍的知识结构和年龄结构持续优化。同时，为保持管理团队稳定、充实管理团队实力，公司通</w:t>
      </w:r>
      <w:r>
        <w:rPr>
          <w:spacing w:val="-55"/>
        </w:rPr>
        <w:t> </w:t>
      </w:r>
      <w:r>
        <w:rPr>
          <w:spacing w:val="-55"/>
        </w:rPr>
      </w:r>
      <w:r>
        <w:rPr>
          <w:spacing w:val="-1"/>
        </w:rPr>
        <w:t>过对高级管理人员及核心业务骨干实施全面的绩效考核管理机制，推行合伙人制度，激励公司经</w:t>
      </w:r>
      <w:r>
        <w:rPr>
          <w:spacing w:val="-54"/>
        </w:rPr>
        <w:t> </w:t>
      </w:r>
      <w:r>
        <w:rPr>
          <w:spacing w:val="-54"/>
        </w:rPr>
      </w:r>
      <w:r>
        <w:rPr/>
        <w:t>营管理团队努力提升经营业绩，形成强大合力，为公司持续快速发展奠定坚实基础。</w:t>
      </w:r>
    </w:p>
    <w:p>
      <w:pPr>
        <w:spacing w:after="0" w:line="314" w:lineRule="auto"/>
        <w:jc w:val="both"/>
        <w:sectPr>
          <w:pgSz w:w="11910" w:h="16840"/>
          <w:pgMar w:header="855" w:footer="979" w:top="1140" w:bottom="116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2797" w:right="2513"/>
        <w:jc w:val="left"/>
        <w:rPr>
          <w:b w:val="0"/>
          <w:bCs w:val="0"/>
        </w:rPr>
      </w:pPr>
      <w:bookmarkStart w:name="_TOC_250008" w:id="4"/>
      <w:r>
        <w:rPr/>
        <w:t>第四节</w:t>
      </w:r>
      <w:r>
        <w:rPr>
          <w:spacing w:val="-2"/>
        </w:rPr>
        <w:t> </w:t>
      </w:r>
      <w:r>
        <w:rPr/>
        <w:t>经营情况讨论与分析</w:t>
      </w:r>
      <w:bookmarkEnd w:id="4"/>
      <w:r>
        <w:rPr>
          <w:b w:val="0"/>
          <w:bCs w:val="0"/>
        </w:rPr>
      </w:r>
    </w:p>
    <w:p>
      <w:pPr>
        <w:pStyle w:val="Heading3"/>
        <w:spacing w:line="240" w:lineRule="auto" w:before="219"/>
        <w:ind w:left="138" w:right="2513"/>
        <w:jc w:val="left"/>
        <w:rPr>
          <w:b w:val="0"/>
          <w:bCs w:val="0"/>
        </w:rPr>
      </w:pPr>
      <w:r>
        <w:rPr/>
        <w:t>一、经营情况讨论与分析</w:t>
      </w:r>
      <w:r>
        <w:rPr>
          <w:b w:val="0"/>
          <w:bCs w:val="0"/>
        </w:rPr>
      </w:r>
    </w:p>
    <w:p>
      <w:pPr>
        <w:pStyle w:val="BodyText"/>
        <w:spacing w:line="309" w:lineRule="auto" w:before="152"/>
        <w:ind w:left="138" w:right="307"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spacing w:val="-3"/>
        </w:rPr>
        <w:t>年是公司直面挑战与实现自我突破的一年。这一年来，公司在董事会的正确领导及全体</w:t>
      </w:r>
      <w:r>
        <w:rPr>
          <w:w w:val="100"/>
        </w:rPr>
        <w:t> </w:t>
      </w:r>
      <w:r>
        <w:rPr>
          <w:spacing w:val="-1"/>
        </w:rPr>
        <w:t>员工的共同努力下，继续深化改革，抓住市场机遇，全面调整战略定位与职能分工，统筹推进智</w:t>
      </w:r>
      <w:r>
        <w:rPr>
          <w:spacing w:val="-55"/>
        </w:rPr>
        <w:t> </w:t>
      </w:r>
      <w:r>
        <w:rPr>
          <w:spacing w:val="-55"/>
        </w:rPr>
      </w:r>
      <w:r>
        <w:rPr>
          <w:spacing w:val="-1"/>
        </w:rPr>
        <w:t>慧城市的投资、建设和运营，协调发展传统业务与新兴业态，成功实现战略转型，取得了可喜的</w:t>
      </w:r>
      <w:r>
        <w:rPr>
          <w:spacing w:val="-55"/>
        </w:rPr>
        <w:t> </w:t>
      </w:r>
      <w:r>
        <w:rPr>
          <w:spacing w:val="-55"/>
        </w:rPr>
      </w:r>
      <w:r>
        <w:rPr>
          <w:spacing w:val="-3"/>
        </w:rPr>
        <w:t>阶段性成果。报告期内，公司实现营业收入</w:t>
      </w:r>
      <w:r>
        <w:rPr>
          <w:spacing w:val="-44"/>
        </w:rPr>
        <w:t> </w:t>
      </w:r>
      <w:r>
        <w:rPr>
          <w:rFonts w:ascii="Times New Roman" w:hAnsi="Times New Roman" w:cs="Times New Roman" w:eastAsia="Times New Roman" w:hint="default"/>
        </w:rPr>
        <w:t>80,731.31</w:t>
      </w:r>
      <w:r>
        <w:rPr>
          <w:rFonts w:ascii="Times New Roman" w:hAnsi="Times New Roman" w:cs="Times New Roman" w:eastAsia="Times New Roman" w:hint="default"/>
          <w:spacing w:val="9"/>
        </w:rPr>
        <w:t> </w:t>
      </w:r>
      <w:r>
        <w:rPr>
          <w:spacing w:val="-4"/>
        </w:rPr>
        <w:t>万元，同比增长</w:t>
      </w:r>
      <w:r>
        <w:rPr>
          <w:spacing w:val="-44"/>
        </w:rPr>
        <w:t> </w:t>
      </w:r>
      <w:r>
        <w:rPr>
          <w:rFonts w:ascii="Times New Roman" w:hAnsi="Times New Roman" w:cs="Times New Roman" w:eastAsia="Times New Roman" w:hint="default"/>
          <w:spacing w:val="-3"/>
        </w:rPr>
        <w:t>72.48%</w:t>
      </w:r>
      <w:r>
        <w:rPr>
          <w:spacing w:val="-3"/>
        </w:rPr>
        <w:t>；公司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年主营</w:t>
      </w:r>
    </w:p>
    <w:p>
      <w:pPr>
        <w:pStyle w:val="BodyText"/>
        <w:spacing w:line="297" w:lineRule="auto" w:before="2"/>
        <w:ind w:left="138" w:right="0"/>
        <w:jc w:val="left"/>
      </w:pPr>
      <w:r>
        <w:rPr>
          <w:spacing w:val="-4"/>
        </w:rPr>
        <w:t>业务能量得到充分的释放，新业务类型的扩充为</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4"/>
        </w:rPr>
        <w:t>年收入的增长带来积极的影响。同时公司夯</w:t>
      </w:r>
      <w:r>
        <w:rPr>
          <w:spacing w:val="-65"/>
        </w:rPr>
        <w:t> </w:t>
      </w:r>
      <w:r>
        <w:rPr>
          <w:spacing w:val="-65"/>
        </w:rPr>
      </w:r>
      <w:r>
        <w:rPr>
          <w:spacing w:val="-15"/>
          <w:w w:val="100"/>
        </w:rPr>
        <w:t>实管理，从管理上要效益，</w:t>
      </w:r>
      <w:r>
        <w:rPr>
          <w:rFonts w:ascii="Times New Roman" w:hAnsi="Times New Roman" w:cs="Times New Roman" w:eastAsia="Times New Roman" w:hint="default"/>
          <w:spacing w:val="-15"/>
          <w:w w:val="100"/>
        </w:rPr>
        <w:t>2017</w:t>
      </w:r>
      <w:r>
        <w:rPr>
          <w:rFonts w:ascii="Times New Roman" w:hAnsi="Times New Roman" w:cs="Times New Roman" w:eastAsia="Times New Roman" w:hint="default"/>
          <w:spacing w:val="2"/>
          <w:w w:val="100"/>
        </w:rPr>
        <w:t> </w:t>
      </w:r>
      <w:r>
        <w:rPr>
          <w:spacing w:val="-2"/>
          <w:w w:val="100"/>
        </w:rPr>
        <w:t>年归属于上市股东的净利润为</w:t>
      </w:r>
      <w:r>
        <w:rPr>
          <w:spacing w:val="-50"/>
          <w:w w:val="100"/>
        </w:rPr>
        <w:t> </w:t>
      </w:r>
      <w:r>
        <w:rPr>
          <w:rFonts w:ascii="Times New Roman" w:hAnsi="Times New Roman" w:cs="Times New Roman" w:eastAsia="Times New Roman" w:hint="default"/>
          <w:spacing w:val="-1"/>
          <w:w w:val="100"/>
        </w:rPr>
        <w:t>10,302.55</w:t>
      </w:r>
      <w:r>
        <w:rPr>
          <w:rFonts w:ascii="Times New Roman" w:hAnsi="Times New Roman" w:cs="Times New Roman" w:eastAsia="Times New Roman" w:hint="default"/>
          <w:w w:val="100"/>
        </w:rPr>
        <w:t> </w:t>
      </w:r>
      <w:r>
        <w:rPr>
          <w:spacing w:val="-14"/>
          <w:w w:val="100"/>
        </w:rPr>
        <w:t>万元，较去年增长</w:t>
      </w:r>
      <w:r>
        <w:rPr>
          <w:spacing w:val="-50"/>
          <w:w w:val="100"/>
        </w:rPr>
        <w:t> </w:t>
      </w:r>
      <w:r>
        <w:rPr>
          <w:rFonts w:ascii="Times New Roman" w:hAnsi="Times New Roman" w:cs="Times New Roman" w:eastAsia="Times New Roman" w:hint="default"/>
          <w:spacing w:val="-1"/>
          <w:w w:val="100"/>
        </w:rPr>
        <w:t>100.15%</w:t>
      </w:r>
      <w:r>
        <w:rPr>
          <w:spacing w:val="-1"/>
          <w:w w:val="100"/>
        </w:rPr>
        <w:t>，</w:t>
      </w:r>
      <w:r>
        <w:rPr>
          <w:spacing w:val="-104"/>
          <w:w w:val="100"/>
        </w:rPr>
        <w:t> </w:t>
      </w:r>
      <w:r>
        <w:rPr/>
        <w:t>归属于上市公司股东的扣除非经常性损益的净利润为 </w:t>
      </w:r>
      <w:r>
        <w:rPr>
          <w:rFonts w:ascii="Times New Roman" w:hAnsi="Times New Roman" w:cs="Times New Roman" w:eastAsia="Times New Roman" w:hint="default"/>
        </w:rPr>
        <w:t>8,595.32 </w:t>
      </w:r>
      <w:r>
        <w:rPr/>
        <w:t>万元，较去年增长</w:t>
      </w:r>
      <w:r>
        <w:rPr>
          <w:spacing w:val="-10"/>
        </w:rPr>
        <w:t> </w:t>
      </w:r>
      <w:r>
        <w:rPr>
          <w:rFonts w:ascii="Times New Roman" w:hAnsi="Times New Roman" w:cs="Times New Roman" w:eastAsia="Times New Roman" w:hint="default"/>
        </w:rPr>
        <w:t>88.56%</w:t>
      </w:r>
      <w:r>
        <w:rPr/>
        <w:t>。截止</w:t>
      </w:r>
      <w:r>
        <w:rPr>
          <w:w w:val="10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日，公司总资产</w:t>
      </w:r>
      <w:r>
        <w:rPr>
          <w:spacing w:val="-43"/>
        </w:rPr>
        <w:t> </w:t>
      </w:r>
      <w:r>
        <w:rPr>
          <w:rFonts w:ascii="Times New Roman" w:hAnsi="Times New Roman" w:cs="Times New Roman" w:eastAsia="Times New Roman" w:hint="default"/>
        </w:rPr>
        <w:t>196,449.76</w:t>
      </w:r>
      <w:r>
        <w:rPr>
          <w:rFonts w:ascii="Times New Roman" w:hAnsi="Times New Roman" w:cs="Times New Roman" w:eastAsia="Times New Roman" w:hint="default"/>
          <w:spacing w:val="9"/>
        </w:rPr>
        <w:t> </w:t>
      </w:r>
      <w:r>
        <w:rPr/>
        <w:t>万元，较年初增长</w:t>
      </w:r>
      <w:r>
        <w:rPr>
          <w:spacing w:val="-43"/>
        </w:rPr>
        <w:t> </w:t>
      </w:r>
      <w:r>
        <w:rPr>
          <w:rFonts w:ascii="Times New Roman" w:hAnsi="Times New Roman" w:cs="Times New Roman" w:eastAsia="Times New Roman" w:hint="default"/>
        </w:rPr>
        <w:t>49.67%</w:t>
      </w:r>
      <w:r>
        <w:rPr/>
        <w:t>；归属于上市股东的所有</w:t>
      </w:r>
      <w:r>
        <w:rPr>
          <w:spacing w:val="-103"/>
        </w:rPr>
        <w:t> </w:t>
      </w:r>
      <w:r>
        <w:rPr>
          <w:spacing w:val="-103"/>
        </w:rPr>
      </w:r>
      <w:r>
        <w:rPr/>
        <w:t>者权益为</w:t>
      </w:r>
      <w:r>
        <w:rPr>
          <w:spacing w:val="-54"/>
        </w:rPr>
        <w:t> </w:t>
      </w:r>
      <w:r>
        <w:rPr>
          <w:rFonts w:ascii="Times New Roman" w:hAnsi="Times New Roman" w:cs="Times New Roman" w:eastAsia="Times New Roman" w:hint="default"/>
        </w:rPr>
        <w:t>100,908.24</w:t>
      </w:r>
      <w:r>
        <w:rPr>
          <w:rFonts w:ascii="Times New Roman" w:hAnsi="Times New Roman" w:cs="Times New Roman" w:eastAsia="Times New Roman" w:hint="default"/>
          <w:spacing w:val="-4"/>
        </w:rPr>
        <w:t> </w:t>
      </w:r>
      <w:r>
        <w:rPr/>
        <w:t>万元，较年初增长</w:t>
      </w:r>
      <w:r>
        <w:rPr>
          <w:spacing w:val="-53"/>
        </w:rPr>
        <w:t> </w:t>
      </w:r>
      <w:r>
        <w:rPr>
          <w:rFonts w:ascii="Times New Roman" w:hAnsi="Times New Roman" w:cs="Times New Roman" w:eastAsia="Times New Roman" w:hint="default"/>
        </w:rPr>
        <w:t>14.24%</w:t>
      </w:r>
      <w:r>
        <w:rPr/>
        <w:t>。</w:t>
      </w:r>
    </w:p>
    <w:p>
      <w:pPr>
        <w:pStyle w:val="BodyText"/>
        <w:spacing w:line="297" w:lineRule="auto" w:before="13"/>
        <w:ind w:left="138" w:right="308" w:firstLine="419"/>
        <w:jc w:val="both"/>
      </w:pPr>
      <w:r>
        <w:rPr>
          <w:spacing w:val="-3"/>
        </w:rPr>
        <w:t>公司准确把握政策风口，全面开启智慧城市商业模式，积极探讨 </w:t>
      </w:r>
      <w:r>
        <w:rPr>
          <w:rFonts w:ascii="Times New Roman" w:hAnsi="Times New Roman" w:cs="Times New Roman" w:eastAsia="Times New Roman" w:hint="default"/>
        </w:rPr>
        <w:t>PPP</w:t>
      </w:r>
      <w:r>
        <w:rPr>
          <w:rFonts w:ascii="Times New Roman" w:hAnsi="Times New Roman" w:cs="Times New Roman" w:eastAsia="Times New Roman" w:hint="default"/>
          <w:spacing w:val="-6"/>
        </w:rPr>
        <w:t> </w:t>
      </w:r>
      <w:r>
        <w:rPr/>
        <w:t>及政府购买服务类项目</w:t>
      </w:r>
      <w:r>
        <w:rPr>
          <w:w w:val="100"/>
        </w:rPr>
        <w:t> </w:t>
      </w:r>
      <w:r>
        <w:rPr/>
        <w:t>模式落地方式，</w:t>
      </w:r>
      <w:r>
        <w:rPr>
          <w:rFonts w:ascii="Times New Roman" w:hAnsi="Times New Roman" w:cs="Times New Roman" w:eastAsia="Times New Roman" w:hint="default"/>
        </w:rPr>
        <w:t>2017 </w:t>
      </w:r>
      <w:r>
        <w:rPr/>
        <w:t>年全年签订合同总额达 </w:t>
      </w:r>
      <w:r>
        <w:rPr>
          <w:rFonts w:ascii="Times New Roman" w:hAnsi="Times New Roman" w:cs="Times New Roman" w:eastAsia="Times New Roman" w:hint="default"/>
        </w:rPr>
        <w:t>26.68 </w:t>
      </w:r>
      <w:r>
        <w:rPr/>
        <w:t>亿，同比增长</w:t>
      </w:r>
      <w:r>
        <w:rPr>
          <w:spacing w:val="-13"/>
        </w:rPr>
        <w:t> </w:t>
      </w:r>
      <w:r>
        <w:rPr>
          <w:rFonts w:ascii="Times New Roman" w:hAnsi="Times New Roman" w:cs="Times New Roman" w:eastAsia="Times New Roman" w:hint="default"/>
        </w:rPr>
        <w:t>662%</w:t>
      </w:r>
      <w:r>
        <w:rPr/>
        <w:t>，销售订单的迅速增长为</w:t>
      </w:r>
      <w:r>
        <w:rPr>
          <w:w w:val="100"/>
        </w:rPr>
        <w:t> </w:t>
      </w:r>
      <w:r>
        <w:rPr/>
        <w:t>公司</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年及未来的发展奠定了良好的基础。</w:t>
      </w:r>
    </w:p>
    <w:p>
      <w:pPr>
        <w:pStyle w:val="BodyText"/>
        <w:spacing w:line="240" w:lineRule="auto" w:before="13"/>
        <w:ind w:left="558" w:right="2513"/>
        <w:jc w:val="left"/>
      </w:pPr>
      <w:r>
        <w:rPr/>
        <w:t>报告期内，公司重点完成以下工作：</w:t>
      </w:r>
    </w:p>
    <w:p>
      <w:pPr>
        <w:pStyle w:val="Heading3"/>
        <w:spacing w:line="240" w:lineRule="auto" w:before="85"/>
        <w:ind w:left="560" w:right="2513"/>
        <w:jc w:val="left"/>
        <w:rPr>
          <w:b w:val="0"/>
          <w:bCs w:val="0"/>
        </w:rPr>
      </w:pPr>
      <w:r>
        <w:rPr/>
        <w:t>（一）机构改革，实现全国各区域全业务拓展</w:t>
      </w:r>
      <w:r>
        <w:rPr>
          <w:b w:val="0"/>
          <w:bCs w:val="0"/>
        </w:rPr>
      </w:r>
    </w:p>
    <w:p>
      <w:pPr>
        <w:pStyle w:val="BodyText"/>
        <w:spacing w:line="388" w:lineRule="auto" w:before="164"/>
        <w:ind w:left="138" w:right="0" w:firstLine="419"/>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46"/>
        </w:rPr>
        <w:t> </w:t>
      </w:r>
      <w:r>
        <w:rPr>
          <w:spacing w:val="-3"/>
        </w:rPr>
        <w:t>年南威软件传统主营业务增长明显，一定程度上得益于公司建立了更加灵活的营销模式。</w:t>
      </w:r>
      <w:r>
        <w:rPr>
          <w:w w:val="100"/>
        </w:rPr>
        <w:t> </w:t>
      </w:r>
      <w:r>
        <w:rPr/>
        <w:t>通过区域分支机构和行业分支机构两个维度构建</w:t>
      </w:r>
      <w:r>
        <w:rPr>
          <w:rFonts w:ascii="Times New Roman" w:hAnsi="Times New Roman" w:cs="Times New Roman" w:eastAsia="Times New Roman" w:hint="default"/>
        </w:rPr>
        <w:t>“</w:t>
      </w:r>
      <w:r>
        <w:rPr/>
        <w:t>矩阵式</w:t>
      </w:r>
      <w:r>
        <w:rPr>
          <w:rFonts w:ascii="Times New Roman" w:hAnsi="Times New Roman" w:cs="Times New Roman" w:eastAsia="Times New Roman" w:hint="default"/>
        </w:rPr>
        <w:t>”</w:t>
      </w:r>
      <w:r>
        <w:rPr/>
        <w:t>的营销模式。行业分支机构负责行业业</w:t>
      </w:r>
      <w:r>
        <w:rPr>
          <w:spacing w:val="-69"/>
        </w:rPr>
        <w:t> </w:t>
      </w:r>
      <w:r>
        <w:rPr>
          <w:spacing w:val="-69"/>
        </w:rPr>
      </w:r>
      <w:r>
        <w:rPr/>
        <w:t>务统筹，为区域分支机构提供本专业领域的业务指导、技术服务与专家团队支撑。区域分支机构</w:t>
      </w:r>
      <w:r>
        <w:rPr>
          <w:spacing w:val="-97"/>
        </w:rPr>
        <w:t> </w:t>
      </w:r>
      <w:r>
        <w:rPr>
          <w:spacing w:val="-97"/>
        </w:rPr>
      </w:r>
      <w:r>
        <w:rPr/>
        <w:t>可灵活调配资源拓展各行业业务。该模式充分利用了行业机构的专业优势，有效促进区域业务机</w:t>
      </w:r>
      <w:r>
        <w:rPr>
          <w:spacing w:val="-97"/>
        </w:rPr>
        <w:t> </w:t>
      </w:r>
      <w:r>
        <w:rPr>
          <w:spacing w:val="-97"/>
        </w:rPr>
      </w:r>
      <w:r>
        <w:rPr/>
        <w:t>构的全业务成长。南威软件全面开启智慧城市商业模式，</w:t>
      </w:r>
      <w:r>
        <w:rPr>
          <w:rFonts w:ascii="Times New Roman" w:hAnsi="Times New Roman" w:cs="Times New Roman" w:eastAsia="Times New Roman" w:hint="default"/>
        </w:rPr>
        <w:t>2017 </w:t>
      </w:r>
      <w:r>
        <w:rPr/>
        <w:t>年成功签订多个</w:t>
      </w:r>
      <w:r>
        <w:rPr>
          <w:spacing w:val="-65"/>
        </w:rPr>
        <w:t> </w:t>
      </w:r>
      <w:r>
        <w:rPr>
          <w:rFonts w:ascii="Times New Roman" w:hAnsi="Times New Roman" w:cs="Times New Roman" w:eastAsia="Times New Roman" w:hint="default"/>
        </w:rPr>
        <w:t>PPP</w:t>
      </w:r>
      <w:r>
        <w:rPr/>
        <w:t>、政府购买服</w:t>
      </w:r>
      <w:r>
        <w:rPr>
          <w:w w:val="100"/>
        </w:rPr>
        <w:t> </w:t>
      </w:r>
      <w:r>
        <w:rPr>
          <w:spacing w:val="-6"/>
        </w:rPr>
        <w:t>务类项目，此类项目规模大、影响力大，对公司的发展意义深远。</w:t>
      </w:r>
      <w:r>
        <w:rPr>
          <w:rFonts w:ascii="Times New Roman" w:hAnsi="Times New Roman" w:cs="Times New Roman" w:eastAsia="Times New Roman" w:hint="default"/>
          <w:spacing w:val="-6"/>
        </w:rPr>
        <w:t>2017  </w:t>
      </w:r>
      <w:r>
        <w:rPr/>
        <w:t>年累计签订合同额达</w:t>
      </w:r>
      <w:r>
        <w:rPr>
          <w:spacing w:val="-49"/>
        </w:rPr>
        <w:t> </w:t>
      </w:r>
      <w:r>
        <w:rPr>
          <w:rFonts w:ascii="Times New Roman" w:hAnsi="Times New Roman" w:cs="Times New Roman" w:eastAsia="Times New Roman" w:hint="default"/>
        </w:rPr>
        <w:t>26.68</w:t>
      </w:r>
    </w:p>
    <w:p>
      <w:pPr>
        <w:pStyle w:val="BodyText"/>
        <w:spacing w:line="240" w:lineRule="auto" w:before="23"/>
        <w:ind w:left="138" w:right="123"/>
        <w:jc w:val="left"/>
      </w:pPr>
      <w:r>
        <w:rPr/>
        <w:t>亿元，销售订单的迅速增长为公司</w:t>
      </w:r>
      <w:r>
        <w:rPr>
          <w:spacing w:val="-57"/>
        </w:rPr>
        <w:t> </w:t>
      </w:r>
      <w:r>
        <w:rPr>
          <w:rFonts w:ascii="Calibri" w:hAnsi="Calibri" w:cs="Calibri" w:eastAsia="Calibri" w:hint="default"/>
        </w:rPr>
        <w:t>2018</w:t>
      </w:r>
      <w:r>
        <w:rPr>
          <w:rFonts w:ascii="Calibri" w:hAnsi="Calibri" w:cs="Calibri" w:eastAsia="Calibri" w:hint="default"/>
          <w:spacing w:val="4"/>
        </w:rPr>
        <w:t> </w:t>
      </w:r>
      <w:r>
        <w:rPr/>
        <w:t>年及未来的发展奠定了良好的基础。</w:t>
      </w:r>
    </w:p>
    <w:p>
      <w:pPr>
        <w:pStyle w:val="Heading3"/>
        <w:spacing w:line="240" w:lineRule="auto" w:before="80"/>
        <w:ind w:left="560" w:right="2513"/>
        <w:jc w:val="left"/>
        <w:rPr>
          <w:b w:val="0"/>
          <w:bCs w:val="0"/>
        </w:rPr>
      </w:pPr>
      <w:r>
        <w:rPr/>
        <w:t>（二）传统行业与新业态稳步发展</w:t>
      </w:r>
      <w:r>
        <w:rPr>
          <w:b w:val="0"/>
          <w:bCs w:val="0"/>
        </w:rPr>
      </w:r>
    </w:p>
    <w:p>
      <w:pPr>
        <w:pStyle w:val="BodyText"/>
        <w:spacing w:line="240" w:lineRule="auto" w:before="85"/>
        <w:ind w:left="558" w:right="12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5"/>
        </w:rPr>
        <w:t> </w:t>
      </w:r>
      <w:r>
        <w:rPr/>
        <w:t>年公司抓住互联网</w:t>
      </w:r>
      <w:r>
        <w:rPr>
          <w:rFonts w:ascii="Times New Roman" w:hAnsi="Times New Roman" w:cs="Times New Roman" w:eastAsia="Times New Roman" w:hint="default"/>
        </w:rPr>
        <w:t>+</w:t>
      </w:r>
      <w:r>
        <w:rPr/>
        <w:t>政务服务政策风口，加强政务服务、电子证照、政务大数据等六大</w:t>
      </w:r>
    </w:p>
    <w:p>
      <w:pPr>
        <w:pStyle w:val="BodyText"/>
        <w:spacing w:line="304" w:lineRule="auto" w:before="69"/>
        <w:ind w:left="138" w:right="308"/>
        <w:jc w:val="both"/>
      </w:pPr>
      <w:r>
        <w:rPr>
          <w:spacing w:val="-3"/>
        </w:rPr>
        <w:t>应用领域的研发投入，电子证照解决方案成果推广新增至 </w:t>
      </w:r>
      <w:r>
        <w:rPr>
          <w:rFonts w:ascii="Times New Roman" w:hAnsi="Times New Roman" w:cs="Times New Roman" w:eastAsia="Times New Roman" w:hint="default"/>
        </w:rPr>
        <w:t>10 </w:t>
      </w:r>
      <w:r>
        <w:rPr>
          <w:spacing w:val="-6"/>
        </w:rPr>
        <w:t>个省份，品牌效应凸显。在智慧公安</w:t>
      </w:r>
      <w:r>
        <w:rPr>
          <w:spacing w:val="-87"/>
        </w:rPr>
        <w:t> </w:t>
      </w:r>
      <w:r>
        <w:rPr>
          <w:spacing w:val="-87"/>
        </w:rPr>
      </w:r>
      <w:r>
        <w:rPr>
          <w:spacing w:val="-1"/>
        </w:rPr>
        <w:t>领域以智能感知大数据平台、涉车大数据平台、移动终端采集大数据平台等为代表，其中智能感</w:t>
      </w:r>
      <w:r>
        <w:rPr>
          <w:spacing w:val="-55"/>
        </w:rPr>
        <w:t> </w:t>
      </w:r>
      <w:r>
        <w:rPr>
          <w:spacing w:val="-55"/>
        </w:rPr>
      </w:r>
      <w:r>
        <w:rPr>
          <w:spacing w:val="-1"/>
        </w:rPr>
        <w:t>知大数据平台成功应用于多个省份项目，获得客户的认可，充分验证了公司的研发实力。网链科</w:t>
      </w:r>
      <w:r>
        <w:rPr>
          <w:spacing w:val="-55"/>
        </w:rPr>
        <w:t> </w:t>
      </w:r>
      <w:r>
        <w:rPr>
          <w:spacing w:val="-55"/>
        </w:rPr>
      </w:r>
      <w:r>
        <w:rPr>
          <w:spacing w:val="-7"/>
          <w:w w:val="100"/>
        </w:rPr>
        <w:t>技明确以城市级互联网运营平台为核心业务，大力拓展</w:t>
      </w:r>
      <w:r>
        <w:rPr>
          <w:rFonts w:ascii="Times New Roman" w:hAnsi="Times New Roman" w:cs="Times New Roman" w:eastAsia="Times New Roman" w:hint="default"/>
          <w:spacing w:val="-7"/>
          <w:w w:val="100"/>
        </w:rPr>
        <w:t>“</w:t>
      </w:r>
      <w:r>
        <w:rPr>
          <w:spacing w:val="-7"/>
          <w:w w:val="100"/>
        </w:rPr>
        <w:t>小电卫士</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蜻蜓停车</w:t>
      </w:r>
      <w:r>
        <w:rPr>
          <w:rFonts w:ascii="Times New Roman" w:hAnsi="Times New Roman" w:cs="Times New Roman" w:eastAsia="Times New Roman" w:hint="default"/>
          <w:spacing w:val="-7"/>
          <w:w w:val="100"/>
        </w:rPr>
        <w:t>”</w:t>
      </w:r>
      <w:r>
        <w:rPr>
          <w:spacing w:val="-7"/>
          <w:w w:val="100"/>
        </w:rPr>
        <w:t>两大业务体系。</w:t>
      </w:r>
      <w:r>
        <w:rPr>
          <w:rFonts w:ascii="Times New Roman" w:hAnsi="Times New Roman" w:cs="Times New Roman" w:eastAsia="Times New Roman" w:hint="default"/>
          <w:spacing w:val="-7"/>
          <w:w w:val="100"/>
        </w:rPr>
        <w:t>“</w:t>
      </w:r>
      <w:r>
        <w:rPr>
          <w:spacing w:val="-7"/>
          <w:w w:val="100"/>
        </w:rPr>
        <w:t>小</w:t>
      </w:r>
      <w:r>
        <w:rPr>
          <w:spacing w:val="-90"/>
          <w:w w:val="100"/>
        </w:rPr>
        <w:t> </w:t>
      </w:r>
      <w:r>
        <w:rPr>
          <w:spacing w:val="-3"/>
        </w:rPr>
        <w:t>电卫士</w:t>
      </w:r>
      <w:r>
        <w:rPr>
          <w:rFonts w:ascii="Times New Roman" w:hAnsi="Times New Roman" w:cs="Times New Roman" w:eastAsia="Times New Roman" w:hint="default"/>
          <w:spacing w:val="-3"/>
        </w:rPr>
        <w:t>”</w:t>
      </w:r>
      <w:r>
        <w:rPr>
          <w:spacing w:val="-3"/>
        </w:rPr>
        <w:t>已经成功落地几个城市的运营权，</w:t>
      </w:r>
      <w:r>
        <w:rPr>
          <w:rFonts w:ascii="Times New Roman" w:hAnsi="Times New Roman" w:cs="Times New Roman" w:eastAsia="Times New Roman" w:hint="default"/>
          <w:spacing w:val="-3"/>
        </w:rPr>
        <w:t>“</w:t>
      </w:r>
      <w:r>
        <w:rPr>
          <w:spacing w:val="-3"/>
        </w:rPr>
        <w:t>蜻蜓停车</w:t>
      </w:r>
      <w:r>
        <w:rPr>
          <w:rFonts w:ascii="Times New Roman" w:hAnsi="Times New Roman" w:cs="Times New Roman" w:eastAsia="Times New Roman" w:hint="default"/>
          <w:spacing w:val="-3"/>
        </w:rPr>
        <w:t>”</w:t>
      </w:r>
      <w:r>
        <w:rPr>
          <w:spacing w:val="-3"/>
        </w:rPr>
        <w:t>不断创新运营模式，旨在建设城市级停车运</w:t>
      </w:r>
      <w:r>
        <w:rPr>
          <w:spacing w:val="-39"/>
        </w:rPr>
        <w:t> </w:t>
      </w:r>
      <w:r>
        <w:rPr>
          <w:spacing w:val="-39"/>
        </w:rPr>
      </w:r>
      <w:r>
        <w:rPr>
          <w:spacing w:val="-1"/>
        </w:rPr>
        <w:t>营平台，已经在多个城市开始运营，网链科技的价值逐步体现，是公司在物联网和共享经济领域</w:t>
      </w:r>
      <w:r>
        <w:rPr>
          <w:spacing w:val="-55"/>
        </w:rPr>
        <w:t> </w:t>
      </w:r>
      <w:r>
        <w:rPr>
          <w:spacing w:val="-55"/>
        </w:rPr>
      </w:r>
      <w:r>
        <w:rPr/>
        <w:t>的重要布局。</w:t>
      </w:r>
    </w:p>
    <w:p>
      <w:pPr>
        <w:pStyle w:val="Heading3"/>
        <w:spacing w:line="240" w:lineRule="auto" w:before="28"/>
        <w:ind w:left="560" w:right="2513"/>
        <w:jc w:val="left"/>
        <w:rPr>
          <w:b w:val="0"/>
          <w:bCs w:val="0"/>
        </w:rPr>
      </w:pPr>
      <w:r>
        <w:rPr/>
        <w:t>（三）绩效改革，关注员工发展</w:t>
      </w:r>
      <w:r>
        <w:rPr>
          <w:b w:val="0"/>
          <w:bCs w:val="0"/>
        </w:rPr>
      </w:r>
    </w:p>
    <w:p>
      <w:pPr>
        <w:pStyle w:val="BodyText"/>
        <w:spacing w:line="297" w:lineRule="auto" w:before="85"/>
        <w:ind w:left="138" w:right="304"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spacing w:val="-3"/>
        </w:rPr>
        <w:t>年集团全面推行绩效考核改革，坚持绩效导向的用人原则。实行储备干部制度，引入专</w:t>
      </w:r>
      <w:r>
        <w:rPr>
          <w:w w:val="100"/>
        </w:rPr>
        <w:t> </w:t>
      </w:r>
      <w:r>
        <w:rPr>
          <w:spacing w:val="-6"/>
          <w:w w:val="100"/>
        </w:rPr>
        <w:t>业机构建立管理与专业技术双轨发展的职业发展体系，满足员工的职业发展需求。关注员工培训，</w:t>
      </w:r>
    </w:p>
    <w:p>
      <w:pPr>
        <w:spacing w:after="0" w:line="297" w:lineRule="auto"/>
        <w:jc w:val="left"/>
        <w:sectPr>
          <w:pgSz w:w="11910" w:h="16840"/>
          <w:pgMar w:header="855" w:footer="979" w:top="1140" w:bottom="1160" w:left="1660" w:right="960"/>
        </w:sectPr>
      </w:pPr>
    </w:p>
    <w:p>
      <w:pPr>
        <w:spacing w:line="240" w:lineRule="auto" w:before="4"/>
        <w:rPr>
          <w:rFonts w:ascii="宋体" w:hAnsi="宋体" w:cs="宋体" w:eastAsia="宋体" w:hint="default"/>
          <w:sz w:val="29"/>
          <w:szCs w:val="29"/>
        </w:rPr>
      </w:pPr>
    </w:p>
    <w:p>
      <w:pPr>
        <w:pStyle w:val="BodyText"/>
        <w:spacing w:line="314" w:lineRule="auto" w:before="36"/>
        <w:ind w:right="228"/>
        <w:jc w:val="both"/>
      </w:pPr>
      <w:r>
        <w:rPr>
          <w:spacing w:val="-1"/>
        </w:rPr>
        <w:t>通过构建集团知识库、互动社区、直播微课等方式，实施全员线上学习，提升员工学习效率、扎</w:t>
      </w:r>
      <w:r>
        <w:rPr>
          <w:spacing w:val="-55"/>
        </w:rPr>
        <w:t> </w:t>
      </w:r>
      <w:r>
        <w:rPr>
          <w:spacing w:val="-55"/>
        </w:rPr>
      </w:r>
      <w:r>
        <w:rPr>
          <w:spacing w:val="-1"/>
        </w:rPr>
        <w:t>实学习成果。薪酬绩效方面，推进绩效信息化建设，完善薪酬体系，辅助双职业发展通道落地执</w:t>
      </w:r>
      <w:r>
        <w:rPr>
          <w:spacing w:val="-55"/>
        </w:rPr>
        <w:t> </w:t>
      </w:r>
      <w:r>
        <w:rPr>
          <w:spacing w:val="-55"/>
        </w:rPr>
      </w:r>
      <w:r>
        <w:rPr/>
        <w:t>行，提升员工幸福感。</w:t>
      </w:r>
    </w:p>
    <w:p>
      <w:pPr>
        <w:pStyle w:val="Heading3"/>
        <w:spacing w:line="240" w:lineRule="auto" w:before="20"/>
        <w:ind w:left="640" w:right="2513"/>
        <w:jc w:val="left"/>
        <w:rPr>
          <w:b w:val="0"/>
          <w:bCs w:val="0"/>
        </w:rPr>
      </w:pPr>
      <w:r>
        <w:rPr/>
        <w:t>（四）持续跟进投融资管理，深化落实资本运作</w:t>
      </w:r>
      <w:r>
        <w:rPr>
          <w:b w:val="0"/>
          <w:bCs w:val="0"/>
        </w:rPr>
      </w:r>
    </w:p>
    <w:p>
      <w:pPr>
        <w:pStyle w:val="BodyText"/>
        <w:spacing w:line="304" w:lineRule="auto" w:before="85"/>
        <w:ind w:right="227" w:firstLine="419"/>
        <w:jc w:val="both"/>
      </w:pPr>
      <w:r>
        <w:rPr>
          <w:rFonts w:ascii="Times New Roman" w:hAnsi="Times New Roman" w:cs="Times New Roman" w:eastAsia="Times New Roman" w:hint="default"/>
        </w:rPr>
        <w:t>1</w:t>
      </w:r>
      <w:r>
        <w:rPr/>
        <w:t>、完成配股公开发行，推动主营业务跨越发展。公司配股公开发行于</w:t>
      </w:r>
      <w:r>
        <w:rPr>
          <w:spacing w:val="-50"/>
        </w:rPr>
        <w:t> </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3"/>
        </w:rPr>
        <w:t>日获</w:t>
      </w:r>
      <w:r>
        <w:rPr>
          <w:spacing w:val="-3"/>
          <w:w w:val="100"/>
        </w:rPr>
        <w:t> </w:t>
      </w:r>
      <w:r>
        <w:rPr>
          <w:spacing w:val="-3"/>
        </w:rPr>
        <w:t>得中国证监会发行审核委员会审核通过。</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3 </w:t>
      </w:r>
      <w:r>
        <w:rPr>
          <w:spacing w:val="-3"/>
        </w:rPr>
        <w:t>月，公司正式启动配股发行工作并完成本次配</w:t>
      </w:r>
      <w:r>
        <w:rPr>
          <w:spacing w:val="-76"/>
        </w:rPr>
        <w:t> </w:t>
      </w:r>
      <w:r>
        <w:rPr>
          <w:spacing w:val="-76"/>
        </w:rPr>
      </w:r>
      <w:r>
        <w:rPr/>
        <w:t>售网上及网下认缴，共募集资金 </w:t>
      </w:r>
      <w:r>
        <w:rPr>
          <w:rFonts w:ascii="Times New Roman" w:hAnsi="Times New Roman" w:cs="Times New Roman" w:eastAsia="Times New Roman" w:hint="default"/>
        </w:rPr>
        <w:t>6.61 </w:t>
      </w:r>
      <w:r>
        <w:rPr/>
        <w:t>亿元，配股认购完成率为</w:t>
      </w:r>
      <w:r>
        <w:rPr>
          <w:spacing w:val="-66"/>
        </w:rPr>
        <w:t> </w:t>
      </w:r>
      <w:r>
        <w:rPr>
          <w:rFonts w:ascii="Times New Roman" w:hAnsi="Times New Roman" w:cs="Times New Roman" w:eastAsia="Times New Roman" w:hint="default"/>
        </w:rPr>
        <w:t>98.45%</w:t>
      </w:r>
      <w:r>
        <w:rPr/>
        <w:t>。本次配股再融资将有利</w:t>
      </w:r>
      <w:r>
        <w:rPr>
          <w:w w:val="100"/>
        </w:rPr>
        <w:t> </w:t>
      </w:r>
      <w:r>
        <w:rPr>
          <w:spacing w:val="-1"/>
        </w:rPr>
        <w:t>于公司加快建立以大数据为支撑的互联网产业链，发展分享经济平台运营新业态，拓展智慧城市</w:t>
      </w:r>
      <w:r>
        <w:rPr>
          <w:spacing w:val="-55"/>
        </w:rPr>
        <w:t> </w:t>
      </w:r>
      <w:r>
        <w:rPr>
          <w:spacing w:val="-55"/>
        </w:rPr>
      </w:r>
      <w:r>
        <w:rPr>
          <w:spacing w:val="-1"/>
        </w:rPr>
        <w:t>综合开发业务，完善智慧城市产业链条，为公司研发投入、智慧城市布局提供了资金支持，为公</w:t>
      </w:r>
      <w:r>
        <w:rPr>
          <w:spacing w:val="-55"/>
        </w:rPr>
        <w:t> </w:t>
      </w:r>
      <w:r>
        <w:rPr>
          <w:spacing w:val="-55"/>
        </w:rPr>
      </w:r>
      <w:r>
        <w:rPr/>
        <w:t>司的可持续发展提供了有效保障。</w:t>
      </w:r>
    </w:p>
    <w:p>
      <w:pPr>
        <w:pStyle w:val="BodyText"/>
        <w:spacing w:line="304" w:lineRule="auto" w:before="28"/>
        <w:ind w:right="227" w:firstLine="419"/>
        <w:jc w:val="both"/>
      </w:pPr>
      <w:r>
        <w:rPr>
          <w:rFonts w:ascii="Times New Roman" w:hAnsi="Times New Roman" w:cs="Times New Roman" w:eastAsia="Times New Roman" w:hint="default"/>
          <w:spacing w:val="-3"/>
        </w:rPr>
        <w:t>2</w:t>
      </w:r>
      <w:r>
        <w:rPr>
          <w:spacing w:val="-3"/>
        </w:rPr>
        <w:t>、全面整合资源，发挥各方互补优势。</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月，福建南威引入战略投资者福建省电子</w:t>
      </w:r>
      <w:r>
        <w:rPr>
          <w:w w:val="100"/>
        </w:rPr>
        <w:t> </w:t>
      </w:r>
      <w:r>
        <w:rPr/>
        <w:t>信息（集团）有限责任公司，福建省电子信息集团共计向福建南威投资 </w:t>
      </w:r>
      <w:r>
        <w:rPr>
          <w:rFonts w:ascii="Times New Roman" w:hAnsi="Times New Roman" w:cs="Times New Roman" w:eastAsia="Times New Roman" w:hint="default"/>
        </w:rPr>
        <w:t>8,000</w:t>
      </w:r>
      <w:r>
        <w:rPr>
          <w:rFonts w:ascii="Times New Roman" w:hAnsi="Times New Roman" w:cs="Times New Roman" w:eastAsia="Times New Roman" w:hint="default"/>
          <w:spacing w:val="5"/>
        </w:rPr>
        <w:t> </w:t>
      </w:r>
      <w:r>
        <w:rPr/>
        <w:t>万元，本次引进战</w:t>
      </w:r>
      <w:r>
        <w:rPr>
          <w:w w:val="100"/>
        </w:rPr>
        <w:t> </w:t>
      </w:r>
      <w:r>
        <w:rPr>
          <w:spacing w:val="-1"/>
        </w:rPr>
        <w:t>略投资者将有利于福建南威整合各方面资源，加快福建南威的业务发展，增强福建南威的核心竞</w:t>
      </w:r>
      <w:r>
        <w:rPr>
          <w:spacing w:val="-55"/>
        </w:rPr>
        <w:t> </w:t>
      </w:r>
      <w:r>
        <w:rPr>
          <w:spacing w:val="-55"/>
        </w:rPr>
      </w:r>
      <w:r>
        <w:rPr/>
        <w:t>争力，提升福建南威的整体盈利能力；</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月，公司完成了福建神威的股权重组，实现了</w:t>
      </w:r>
      <w:r>
        <w:rPr>
          <w:w w:val="100"/>
        </w:rPr>
        <w:t> </w:t>
      </w:r>
      <w:r>
        <w:rPr>
          <w:spacing w:val="-1"/>
        </w:rPr>
        <w:t>公司资源的优化配置、优化主营业务结构，提高资产运营效益；完成对泉州市数字云谷信息产业</w:t>
      </w:r>
      <w:r>
        <w:rPr>
          <w:spacing w:val="-55"/>
        </w:rPr>
        <w:t> </w:t>
      </w:r>
      <w:r>
        <w:rPr>
          <w:spacing w:val="-55"/>
        </w:rPr>
      </w:r>
      <w:r>
        <w:rPr>
          <w:spacing w:val="-6"/>
          <w:w w:val="100"/>
        </w:rPr>
        <w:t>发展有限公司的参股投资，协调整合云计算中心资源，促进公司产业链的形成与战略目标的实现。</w:t>
      </w:r>
    </w:p>
    <w:p>
      <w:pPr>
        <w:spacing w:line="314" w:lineRule="auto" w:before="28"/>
        <w:ind w:left="638" w:right="123" w:firstLine="2"/>
        <w:jc w:val="left"/>
        <w:rPr>
          <w:rFonts w:ascii="宋体" w:hAnsi="宋体" w:cs="宋体" w:eastAsia="宋体" w:hint="default"/>
          <w:sz w:val="21"/>
          <w:szCs w:val="21"/>
        </w:rPr>
      </w:pPr>
      <w:r>
        <w:rPr>
          <w:rFonts w:ascii="宋体" w:hAnsi="宋体" w:cs="宋体" w:eastAsia="宋体" w:hint="default"/>
          <w:b/>
          <w:bCs/>
          <w:sz w:val="21"/>
          <w:szCs w:val="21"/>
        </w:rPr>
        <w:t>（五）加强党建引领作用，促进公司提质增效</w:t>
      </w:r>
      <w:r>
        <w:rPr>
          <w:rFonts w:ascii="宋体" w:hAnsi="宋体" w:cs="宋体" w:eastAsia="宋体" w:hint="default"/>
          <w:b/>
          <w:bCs/>
          <w:w w:val="100"/>
          <w:sz w:val="21"/>
          <w:szCs w:val="21"/>
        </w:rPr>
        <w:t> </w:t>
      </w:r>
      <w:r>
        <w:rPr>
          <w:rFonts w:ascii="宋体" w:hAnsi="宋体" w:cs="宋体" w:eastAsia="宋体" w:hint="default"/>
          <w:spacing w:val="-1"/>
          <w:sz w:val="21"/>
          <w:szCs w:val="21"/>
        </w:rPr>
        <w:t>围绕</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发展抓党建，抓好党建促发展</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的思路，集团成立了中共南威软件集团委员会（下设七</w:t>
      </w:r>
    </w:p>
    <w:p>
      <w:pPr>
        <w:pStyle w:val="BodyText"/>
        <w:spacing w:line="309" w:lineRule="auto"/>
        <w:ind w:right="228"/>
        <w:jc w:val="both"/>
      </w:pPr>
      <w:r>
        <w:rPr>
          <w:spacing w:val="-6"/>
          <w:w w:val="100"/>
        </w:rPr>
        <w:t>个支部委员会）、中共南威软件集团纪律检查委员会、共青团南威软件集团委员会、南威软件集团</w:t>
      </w:r>
      <w:r>
        <w:rPr>
          <w:w w:val="100"/>
        </w:rPr>
        <w:t> </w:t>
      </w:r>
      <w:r>
        <w:rPr>
          <w:spacing w:val="-1"/>
        </w:rPr>
        <w:t>妇委会、工会委员会，集团武装部也在筹备中。建成集团党建中心，将党建写入公司章程，定期</w:t>
      </w:r>
      <w:r>
        <w:rPr>
          <w:spacing w:val="-55"/>
        </w:rPr>
        <w:t> </w:t>
      </w:r>
      <w:r>
        <w:rPr>
          <w:spacing w:val="-55"/>
        </w:rPr>
      </w:r>
      <w:r>
        <w:rPr>
          <w:spacing w:val="-14"/>
          <w:w w:val="100"/>
        </w:rPr>
        <w:t>出版《南威前沿动态》、《南威软件集团党委工作简报》，研发党建</w:t>
      </w:r>
      <w:r>
        <w:rPr>
          <w:spacing w:val="-45"/>
          <w:w w:val="100"/>
        </w:rPr>
        <w:t> </w:t>
      </w:r>
      <w:r>
        <w:rPr>
          <w:rFonts w:ascii="Times New Roman" w:hAnsi="Times New Roman" w:cs="Times New Roman" w:eastAsia="Times New Roman" w:hint="default"/>
          <w:w w:val="100"/>
        </w:rPr>
        <w:t>e</w:t>
      </w:r>
      <w:r>
        <w:rPr>
          <w:rFonts w:ascii="Times New Roman" w:hAnsi="Times New Roman" w:cs="Times New Roman" w:eastAsia="Times New Roman" w:hint="default"/>
          <w:spacing w:val="4"/>
          <w:w w:val="100"/>
        </w:rPr>
        <w:t> </w:t>
      </w:r>
      <w:r>
        <w:rPr>
          <w:spacing w:val="-4"/>
          <w:w w:val="100"/>
        </w:rPr>
        <w:t>家，党建工作无处不在，成为</w:t>
      </w:r>
      <w:r>
        <w:rPr>
          <w:spacing w:val="-103"/>
          <w:w w:val="100"/>
        </w:rPr>
        <w:t> </w:t>
      </w:r>
      <w:r>
        <w:rPr>
          <w:spacing w:val="-103"/>
          <w:w w:val="100"/>
        </w:rPr>
      </w:r>
      <w:r>
        <w:rPr/>
        <w:t>了企业的发展新引擎，并成为福建省非公企业党建示范基地。</w:t>
      </w:r>
    </w:p>
    <w:p>
      <w:pPr>
        <w:spacing w:line="240" w:lineRule="auto" w:before="1"/>
        <w:rPr>
          <w:rFonts w:ascii="宋体" w:hAnsi="宋体" w:cs="宋体" w:eastAsia="宋体" w:hint="default"/>
          <w:sz w:val="26"/>
          <w:szCs w:val="26"/>
        </w:rPr>
      </w:pPr>
    </w:p>
    <w:p>
      <w:pPr>
        <w:pStyle w:val="Heading3"/>
        <w:spacing w:line="240" w:lineRule="auto"/>
        <w:ind w:right="0"/>
        <w:jc w:val="both"/>
        <w:rPr>
          <w:b w:val="0"/>
          <w:bCs w:val="0"/>
        </w:rPr>
      </w:pPr>
      <w:r>
        <w:rPr/>
        <w:t>二、报告期内主要经营情况</w:t>
      </w:r>
      <w:r>
        <w:rPr>
          <w:b w:val="0"/>
          <w:bCs w:val="0"/>
        </w:rPr>
      </w:r>
    </w:p>
    <w:p>
      <w:pPr>
        <w:pStyle w:val="BodyText"/>
        <w:spacing w:line="297" w:lineRule="auto" w:before="152"/>
        <w:ind w:right="227" w:firstLine="419"/>
        <w:jc w:val="both"/>
      </w:pPr>
      <w:r>
        <w:rPr/>
        <w:t>报告期内，公司实现营业收入 </w:t>
      </w:r>
      <w:r>
        <w:rPr>
          <w:rFonts w:ascii="Times New Roman" w:hAnsi="Times New Roman" w:cs="Times New Roman" w:eastAsia="Times New Roman" w:hint="default"/>
        </w:rPr>
        <w:t>80,731.31 </w:t>
      </w:r>
      <w:r>
        <w:rPr/>
        <w:t>万元，同比增长</w:t>
      </w:r>
      <w:r>
        <w:rPr>
          <w:spacing w:val="-65"/>
        </w:rPr>
        <w:t> </w:t>
      </w:r>
      <w:r>
        <w:rPr>
          <w:rFonts w:ascii="Times New Roman" w:hAnsi="Times New Roman" w:cs="Times New Roman" w:eastAsia="Times New Roman" w:hint="default"/>
        </w:rPr>
        <w:t>72.48%</w:t>
      </w:r>
      <w:r>
        <w:rPr/>
        <w:t>；归属于上市股东的净利润</w:t>
      </w:r>
      <w:r>
        <w:rPr>
          <w:w w:val="100"/>
        </w:rPr>
        <w:t> </w:t>
      </w:r>
      <w:r>
        <w:rPr/>
        <w:t>为 </w:t>
      </w:r>
      <w:r>
        <w:rPr>
          <w:rFonts w:ascii="Times New Roman" w:hAnsi="Times New Roman" w:cs="Times New Roman" w:eastAsia="Times New Roman" w:hint="default"/>
        </w:rPr>
        <w:t>10,302.55 </w:t>
      </w:r>
      <w:r>
        <w:rPr/>
        <w:t>万元，较去年增长</w:t>
      </w:r>
      <w:r>
        <w:rPr>
          <w:spacing w:val="-12"/>
        </w:rPr>
        <w:t> </w:t>
      </w:r>
      <w:r>
        <w:rPr>
          <w:rFonts w:ascii="Times New Roman" w:hAnsi="Times New Roman" w:cs="Times New Roman" w:eastAsia="Times New Roman" w:hint="default"/>
        </w:rPr>
        <w:t>100.15%</w:t>
      </w:r>
      <w:r>
        <w:rPr/>
        <w:t>，归属于上市公司股东的扣除非经常性损益的净利润为</w:t>
      </w:r>
      <w:r>
        <w:rPr>
          <w:w w:val="100"/>
        </w:rPr>
        <w:t> </w:t>
      </w:r>
      <w:r>
        <w:rPr>
          <w:rFonts w:ascii="Times New Roman" w:hAnsi="Times New Roman" w:cs="Times New Roman" w:eastAsia="Times New Roman" w:hint="default"/>
        </w:rPr>
        <w:t>8,595.32</w:t>
      </w:r>
      <w:r>
        <w:rPr>
          <w:rFonts w:ascii="Times New Roman" w:hAnsi="Times New Roman" w:cs="Times New Roman" w:eastAsia="Times New Roman" w:hint="default"/>
          <w:spacing w:val="9"/>
        </w:rPr>
        <w:t> </w:t>
      </w:r>
      <w:r>
        <w:rPr/>
        <w:t>万元，较去年增长</w:t>
      </w:r>
      <w:r>
        <w:rPr>
          <w:spacing w:val="-43"/>
        </w:rPr>
        <w:t> </w:t>
      </w:r>
      <w:r>
        <w:rPr>
          <w:rFonts w:ascii="Times New Roman" w:hAnsi="Times New Roman" w:cs="Times New Roman" w:eastAsia="Times New Roman" w:hint="default"/>
        </w:rPr>
        <w:t>88.56%</w:t>
      </w:r>
      <w:r>
        <w:rPr/>
        <w:t>。截止</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日，公司总资产</w:t>
      </w:r>
      <w:r>
        <w:rPr>
          <w:spacing w:val="-43"/>
        </w:rPr>
        <w:t> </w:t>
      </w:r>
      <w:r>
        <w:rPr>
          <w:rFonts w:ascii="Times New Roman" w:hAnsi="Times New Roman" w:cs="Times New Roman" w:eastAsia="Times New Roman" w:hint="default"/>
        </w:rPr>
        <w:t>196,449.76</w:t>
      </w:r>
      <w:r>
        <w:rPr>
          <w:rFonts w:ascii="Times New Roman" w:hAnsi="Times New Roman" w:cs="Times New Roman" w:eastAsia="Times New Roman" w:hint="default"/>
          <w:spacing w:val="10"/>
        </w:rPr>
        <w:t> </w:t>
      </w:r>
      <w:r>
        <w:rPr/>
        <w:t>万元，较</w:t>
      </w:r>
      <w:r>
        <w:rPr>
          <w:w w:val="100"/>
        </w:rPr>
        <w:t> </w:t>
      </w:r>
      <w:r>
        <w:rPr/>
        <w:t>年初增长</w:t>
      </w:r>
      <w:r>
        <w:rPr>
          <w:spacing w:val="-54"/>
        </w:rPr>
        <w:t> </w:t>
      </w:r>
      <w:r>
        <w:rPr>
          <w:rFonts w:ascii="Times New Roman" w:hAnsi="Times New Roman" w:cs="Times New Roman" w:eastAsia="Times New Roman" w:hint="default"/>
        </w:rPr>
        <w:t>49.67%</w:t>
      </w:r>
      <w:r>
        <w:rPr/>
        <w:t>；归属于上市股东的所有者权益为</w:t>
      </w:r>
      <w:r>
        <w:rPr>
          <w:spacing w:val="-56"/>
        </w:rPr>
        <w:t> </w:t>
      </w:r>
      <w:r>
        <w:rPr>
          <w:rFonts w:ascii="Times New Roman" w:hAnsi="Times New Roman" w:cs="Times New Roman" w:eastAsia="Times New Roman" w:hint="default"/>
        </w:rPr>
        <w:t>100,908.24</w:t>
      </w:r>
      <w:r>
        <w:rPr>
          <w:rFonts w:ascii="Times New Roman" w:hAnsi="Times New Roman" w:cs="Times New Roman" w:eastAsia="Times New Roman" w:hint="default"/>
          <w:spacing w:val="-4"/>
        </w:rPr>
        <w:t> </w:t>
      </w:r>
      <w:r>
        <w:rPr/>
        <w:t>万元，较年初增长</w:t>
      </w:r>
      <w:r>
        <w:rPr>
          <w:spacing w:val="-53"/>
        </w:rPr>
        <w:t> </w:t>
      </w:r>
      <w:r>
        <w:rPr>
          <w:rFonts w:ascii="Times New Roman" w:hAnsi="Times New Roman" w:cs="Times New Roman" w:eastAsia="Times New Roman" w:hint="default"/>
        </w:rPr>
        <w:t>14.24%</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w:t>
      </w:r>
      <w:r>
        <w:rPr/>
        <w:t>一</w:t>
      </w:r>
      <w:r>
        <w:rPr>
          <w:rFonts w:ascii="宋体" w:hAnsi="宋体" w:cs="宋体" w:eastAsia="宋体" w:hint="default"/>
        </w:rPr>
        <w:t>)</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3"/>
        <w:spacing w:line="240" w:lineRule="auto" w:before="146"/>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3" w:equalWidth="0">
            <w:col w:w="1908" w:space="795"/>
            <w:col w:w="4016" w:space="223"/>
            <w:col w:w="234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807,313,135.82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468,074,426.65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72.48</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538,273,165.94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316,113,244.04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70.28</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40,945,076.88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28,708,733.35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42.62</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119,221,016.89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86,516,718.24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37.8</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581,958.82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-2,197,705.73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126.48</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138,408,077.65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-57,182,000.10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342.05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1"/>
                <w:szCs w:val="21"/>
              </w:rPr>
            </w:pPr>
            <w:r>
              <w:rPr>
                <w:rFonts w:ascii="Times New Roman"/>
                <w:spacing w:val="-1"/>
                <w:sz w:val="21"/>
              </w:rPr>
              <w:t>-199,976,307.26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-186,992,657.36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-6.94</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-39,020,805.70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81,893,068.76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-147.65</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70,687,652.26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59,099,732.58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19.61</w:t>
            </w:r>
          </w:p>
        </w:tc>
      </w:tr>
    </w:tbl>
    <w:p>
      <w:pPr>
        <w:spacing w:line="240" w:lineRule="auto" w:before="9"/>
        <w:rPr>
          <w:rFonts w:ascii="宋体" w:hAnsi="宋体" w:cs="宋体" w:eastAsia="宋体" w:hint="default"/>
          <w:sz w:val="24"/>
          <w:szCs w:val="24"/>
        </w:rPr>
      </w:pPr>
    </w:p>
    <w:p>
      <w:pPr>
        <w:pStyle w:val="Heading3"/>
        <w:tabs>
          <w:tab w:pos="637" w:val="left" w:leader="none"/>
        </w:tabs>
        <w:spacing w:line="240" w:lineRule="auto" w:before="36"/>
        <w:ind w:right="463"/>
        <w:jc w:val="left"/>
        <w:rPr>
          <w:b w:val="0"/>
          <w:bCs w:val="0"/>
        </w:rPr>
      </w:pPr>
      <w:r>
        <w:rPr>
          <w:rFonts w:ascii="Times New Roman" w:hAnsi="Times New Roman" w:cs="Times New Roman" w:eastAsia="Times New Roman" w:hint="default"/>
        </w:rPr>
        <w:t>1.</w:t>
        <w:tab/>
      </w:r>
      <w:r>
        <w:rPr/>
        <w:t>收入和成本分析</w:t>
      </w:r>
      <w:r>
        <w:rPr>
          <w:b w:val="0"/>
          <w:bCs w:val="0"/>
        </w:rPr>
      </w:r>
    </w:p>
    <w:p>
      <w:pPr>
        <w:pStyle w:val="BodyText"/>
        <w:tabs>
          <w:tab w:pos="1060" w:val="left" w:leader="none"/>
        </w:tabs>
        <w:spacing w:line="240" w:lineRule="auto" w:before="81"/>
        <w:ind w:right="46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97" w:lineRule="auto" w:before="77"/>
        <w:ind w:right="463" w:firstLine="419"/>
        <w:jc w:val="left"/>
      </w:pPr>
      <w:r>
        <w:rPr/>
        <w:t>报告期内，公司营业收入同比增长 </w:t>
      </w:r>
      <w:r>
        <w:rPr>
          <w:rFonts w:ascii="Times New Roman" w:hAnsi="Times New Roman" w:cs="Times New Roman" w:eastAsia="Times New Roman" w:hint="default"/>
        </w:rPr>
        <w:t>72.94%</w:t>
      </w:r>
      <w:r>
        <w:rPr/>
        <w:t>，营业成本同比上升</w:t>
      </w:r>
      <w:r>
        <w:rPr>
          <w:spacing w:val="-29"/>
        </w:rPr>
        <w:t> </w:t>
      </w:r>
      <w:r>
        <w:rPr>
          <w:rFonts w:ascii="Times New Roman" w:hAnsi="Times New Roman" w:cs="Times New Roman" w:eastAsia="Times New Roman" w:hint="default"/>
        </w:rPr>
        <w:t>70.71%</w:t>
      </w:r>
      <w:r>
        <w:rPr/>
        <w:t>。收入与成本的增长</w:t>
      </w:r>
      <w:r>
        <w:rPr>
          <w:w w:val="100"/>
        </w:rPr>
        <w:t> </w:t>
      </w:r>
      <w:r>
        <w:rPr/>
        <w:t>配比基本合理，毛利率趋于平稳。</w:t>
      </w:r>
    </w:p>
    <w:p>
      <w:pPr>
        <w:spacing w:line="240" w:lineRule="auto" w:before="1"/>
        <w:rPr>
          <w:rFonts w:ascii="宋体" w:hAnsi="宋体" w:cs="宋体" w:eastAsia="宋体" w:hint="default"/>
          <w:sz w:val="24"/>
          <w:szCs w:val="24"/>
        </w:rPr>
      </w:pPr>
    </w:p>
    <w:p>
      <w:pPr>
        <w:pStyle w:val="Heading3"/>
        <w:tabs>
          <w:tab w:pos="784" w:val="left" w:leader="none"/>
        </w:tabs>
        <w:spacing w:line="240" w:lineRule="auto" w:before="36"/>
        <w:ind w:right="463"/>
        <w:jc w:val="left"/>
        <w:rPr>
          <w:b w:val="0"/>
          <w:bCs w:val="0"/>
        </w:rPr>
      </w:pPr>
      <w:r>
        <w:rPr>
          <w:rFonts w:ascii="Times New Roman" w:hAnsi="Times New Roman" w:cs="Times New Roman" w:eastAsia="Times New Roman" w:hint="default"/>
          <w:spacing w:val="-1"/>
        </w:rPr>
        <w:t>(1).</w:t>
        <w:tab/>
      </w:r>
      <w:r>
        <w:rPr>
          <w:spacing w:val="-1"/>
        </w:rPr>
        <w:t>主营业务分行业、分产品、分地区情况</w:t>
      </w:r>
      <w:r>
        <w:rPr>
          <w:b w:val="0"/>
          <w:bCs w:val="0"/>
          <w:spacing w:val="-1"/>
        </w:rPr>
      </w:r>
    </w:p>
    <w:p>
      <w:pPr>
        <w:pStyle w:val="BodyText"/>
        <w:spacing w:line="240" w:lineRule="auto" w:before="82"/>
        <w:ind w:left="0" w:right="470"/>
        <w:jc w:val="right"/>
      </w:pPr>
      <w:r>
        <w:rPr>
          <w:spacing w:val="-1"/>
        </w:rPr>
        <w:t>单位</w:t>
      </w:r>
      <w:r>
        <w:rPr>
          <w:rFonts w:ascii="Calibri" w:hAnsi="Calibri" w:cs="Calibri" w:eastAsia="Calibri" w:hint="default"/>
          <w:spacing w:val="-1"/>
        </w:rPr>
        <w:t>:</w:t>
      </w:r>
      <w:r>
        <w:rPr>
          <w:spacing w:val="-1"/>
        </w:rPr>
        <w:t>元币种</w:t>
      </w:r>
      <w:r>
        <w:rPr>
          <w:rFonts w:ascii="Calibri" w:hAnsi="Calibri" w:cs="Calibri" w:eastAsia="Calibri" w:hint="default"/>
          <w:spacing w:val="-1"/>
        </w:rPr>
        <w:t>:</w:t>
      </w:r>
      <w:r>
        <w:rPr>
          <w:spacing w:val="-1"/>
        </w:rPr>
        <w:t>人民币</w:t>
      </w:r>
    </w:p>
    <w:tbl>
      <w:tblPr>
        <w:tblW w:w="0" w:type="auto"/>
        <w:jc w:val="left"/>
        <w:tblInd w:w="105" w:type="dxa"/>
        <w:tblLayout w:type="fixed"/>
        <w:tblCellMar>
          <w:top w:w="0" w:type="dxa"/>
          <w:left w:w="0" w:type="dxa"/>
          <w:bottom w:w="0" w:type="dxa"/>
          <w:right w:w="0" w:type="dxa"/>
        </w:tblCellMar>
        <w:tblLook w:val="01E0"/>
      </w:tblPr>
      <w:tblGrid>
        <w:gridCol w:w="1183"/>
        <w:gridCol w:w="1568"/>
        <w:gridCol w:w="1567"/>
        <w:gridCol w:w="1186"/>
        <w:gridCol w:w="1186"/>
        <w:gridCol w:w="1184"/>
        <w:gridCol w:w="1428"/>
      </w:tblGrid>
      <w:tr>
        <w:trPr>
          <w:trHeight w:val="322" w:hRule="exact"/>
        </w:trPr>
        <w:tc>
          <w:tcPr>
            <w:tcW w:w="93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8" w:right="163"/>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5" w:right="16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86" w:firstLine="7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805,616,804.00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537,512,734.41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72.94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322" w:hRule="exact"/>
        </w:trPr>
        <w:tc>
          <w:tcPr>
            <w:tcW w:w="93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8" w:right="163"/>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5" w:right="16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86" w:firstLine="7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8"/>
              <w:jc w:val="left"/>
              <w:rPr>
                <w:rFonts w:ascii="宋体" w:hAnsi="宋体" w:cs="宋体" w:eastAsia="宋体" w:hint="default"/>
                <w:sz w:val="21"/>
                <w:szCs w:val="21"/>
              </w:rPr>
            </w:pP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务服务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293,999,311.31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189,825,861.01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78.86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78.18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5"/>
              <w:jc w:val="left"/>
              <w:rPr>
                <w:rFonts w:ascii="宋体" w:hAnsi="宋体" w:cs="宋体" w:eastAsia="宋体" w:hint="default"/>
                <w:sz w:val="21"/>
                <w:szCs w:val="21"/>
              </w:rPr>
            </w:pPr>
            <w:r>
              <w:rPr>
                <w:rFonts w:ascii="宋体" w:hAnsi="宋体" w:cs="宋体" w:eastAsia="宋体" w:hint="default"/>
                <w:sz w:val="21"/>
                <w:szCs w:val="21"/>
              </w:rPr>
              <w:t>平安城市</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443,769,532.89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305,381,094.93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31.18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75.13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5"/>
              <w:jc w:val="left"/>
              <w:rPr>
                <w:rFonts w:ascii="宋体" w:hAnsi="宋体" w:cs="宋体" w:eastAsia="宋体" w:hint="default"/>
                <w:sz w:val="21"/>
                <w:szCs w:val="21"/>
              </w:rPr>
            </w:pPr>
            <w:r>
              <w:rPr>
                <w:rFonts w:ascii="宋体" w:hAnsi="宋体" w:cs="宋体" w:eastAsia="宋体" w:hint="default"/>
                <w:sz w:val="21"/>
                <w:szCs w:val="21"/>
              </w:rPr>
              <w:t>行业大数</w:t>
            </w:r>
            <w:r>
              <w:rPr>
                <w:rFonts w:ascii="宋体" w:hAnsi="宋体" w:cs="宋体" w:eastAsia="宋体" w:hint="default"/>
                <w:w w:val="100"/>
                <w:sz w:val="21"/>
                <w:szCs w:val="21"/>
              </w:rPr>
              <w:t> </w:t>
            </w:r>
            <w:r>
              <w:rPr>
                <w:rFonts w:ascii="宋体" w:hAnsi="宋体" w:cs="宋体" w:eastAsia="宋体" w:hint="default"/>
                <w:sz w:val="21"/>
                <w:szCs w:val="21"/>
              </w:rPr>
              <w:t>据产品</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37,624,868.19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18,059,949.28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116.35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127.61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30,223,091.61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24,245,829.19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38.31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1"/>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6"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805,616,804.00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537,512,734.41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72.94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101"/>
              <w:jc w:val="left"/>
              <w:rPr>
                <w:rFonts w:ascii="宋体" w:hAnsi="宋体" w:cs="宋体" w:eastAsia="宋体" w:hint="default"/>
                <w:sz w:val="21"/>
                <w:szCs w:val="21"/>
              </w:rPr>
            </w:pPr>
            <w:r>
              <w:rPr>
                <w:rFonts w:ascii="宋体" w:hAnsi="宋体" w:cs="宋体" w:eastAsia="宋体" w:hint="default"/>
                <w:sz w:val="21"/>
                <w:szCs w:val="21"/>
              </w:rPr>
              <w:t>增加 </w:t>
            </w:r>
            <w:r>
              <w:rPr>
                <w:rFonts w:ascii="Times New Roman" w:hAnsi="Times New Roman" w:cs="Times New Roman" w:eastAsia="Times New Roman" w:hint="default"/>
                <w:sz w:val="21"/>
                <w:szCs w:val="21"/>
              </w:rPr>
              <w:t>0.87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470" w:hRule="exact"/>
        </w:trPr>
        <w:tc>
          <w:tcPr>
            <w:tcW w:w="93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946"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8" w:right="163"/>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5" w:right="16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86" w:firstLine="7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692,412,202.46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480,112,759.52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78.39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70.83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45,578,536.45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16,429,771.44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59.42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102.1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22,796,751.28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3,955,755.02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82.65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-8.35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32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西部区</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44,829,313.81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37,014,448.43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17.43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84.99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224.78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35.54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tc>
      </w:tr>
    </w:tbl>
    <w:p>
      <w:pPr>
        <w:spacing w:after="0" w:line="278" w:lineRule="exact"/>
        <w:jc w:val="left"/>
        <w:rPr>
          <w:rFonts w:ascii="宋体" w:hAnsi="宋体" w:cs="宋体" w:eastAsia="宋体" w:hint="default"/>
          <w:sz w:val="21"/>
          <w:szCs w:val="21"/>
        </w:rPr>
        <w:sectPr>
          <w:pgSz w:w="11910" w:h="16840"/>
          <w:pgMar w:header="855" w:footer="979" w:top="1140" w:bottom="1160" w:left="1580" w:right="800"/>
        </w:sectPr>
      </w:pPr>
    </w:p>
    <w:p>
      <w:pPr>
        <w:spacing w:line="240" w:lineRule="auto" w:before="10"/>
        <w:rPr>
          <w:rFonts w:ascii="宋体" w:hAnsi="宋体" w:cs="宋体" w:eastAsia="宋体" w:hint="default"/>
          <w:sz w:val="28"/>
          <w:szCs w:val="28"/>
        </w:rPr>
      </w:pPr>
    </w:p>
    <w:tbl>
      <w:tblPr>
        <w:tblW w:w="0" w:type="auto"/>
        <w:jc w:val="left"/>
        <w:tblInd w:w="665" w:type="dxa"/>
        <w:tblLayout w:type="fixed"/>
        <w:tblCellMar>
          <w:top w:w="0" w:type="dxa"/>
          <w:left w:w="0" w:type="dxa"/>
          <w:bottom w:w="0" w:type="dxa"/>
          <w:right w:w="0" w:type="dxa"/>
        </w:tblCellMar>
        <w:tblLook w:val="01E0"/>
      </w:tblPr>
      <w:tblGrid>
        <w:gridCol w:w="1183"/>
        <w:gridCol w:w="1568"/>
        <w:gridCol w:w="1567"/>
        <w:gridCol w:w="1186"/>
        <w:gridCol w:w="1186"/>
        <w:gridCol w:w="1184"/>
        <w:gridCol w:w="1428"/>
      </w:tblGrid>
      <w:tr>
        <w:trPr>
          <w:trHeight w:val="324" w:hRule="exact"/>
        </w:trPr>
        <w:tc>
          <w:tcPr>
            <w:tcW w:w="118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76"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805,616,804.00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537,512,734.41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0" w:right="0"/>
              <w:jc w:val="left"/>
              <w:rPr>
                <w:rFonts w:ascii="Times New Roman" w:hAnsi="Times New Roman" w:cs="Times New Roman" w:eastAsia="Times New Roman" w:hint="default"/>
                <w:sz w:val="21"/>
                <w:szCs w:val="21"/>
              </w:rPr>
            </w:pPr>
            <w:r>
              <w:rPr>
                <w:rFonts w:ascii="Times New Roman"/>
                <w:sz w:val="21"/>
              </w:rPr>
              <w:t>33.28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0" w:right="0"/>
              <w:jc w:val="left"/>
              <w:rPr>
                <w:rFonts w:ascii="Times New Roman" w:hAnsi="Times New Roman" w:cs="Times New Roman" w:eastAsia="Times New Roman" w:hint="default"/>
                <w:sz w:val="21"/>
                <w:szCs w:val="21"/>
              </w:rPr>
            </w:pPr>
            <w:r>
              <w:rPr>
                <w:rFonts w:ascii="Times New Roman"/>
                <w:sz w:val="21"/>
              </w:rPr>
              <w:t>72.94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98" w:right="0"/>
              <w:jc w:val="left"/>
              <w:rPr>
                <w:rFonts w:ascii="Times New Roman" w:hAnsi="Times New Roman" w:cs="Times New Roman" w:eastAsia="Times New Roman" w:hint="default"/>
                <w:sz w:val="21"/>
                <w:szCs w:val="21"/>
              </w:rPr>
            </w:pPr>
            <w:r>
              <w:rPr>
                <w:rFonts w:ascii="Times New Roman"/>
                <w:sz w:val="21"/>
              </w:rPr>
              <w:t>70.71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21"/>
              <w:ind w:left="681"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2"/>
        <w:rPr>
          <w:rFonts w:ascii="宋体" w:hAnsi="宋体" w:cs="宋体" w:eastAsia="宋体" w:hint="default"/>
          <w:sz w:val="20"/>
          <w:szCs w:val="20"/>
        </w:rPr>
      </w:pPr>
    </w:p>
    <w:p>
      <w:pPr>
        <w:pStyle w:val="BodyText"/>
        <w:spacing w:line="240" w:lineRule="auto" w:before="36"/>
        <w:ind w:left="778" w:right="784"/>
        <w:jc w:val="left"/>
      </w:pPr>
      <w:r>
        <w:rPr/>
        <w:t>主营业务分行业、分产品、分地区情况的说明</w:t>
      </w:r>
    </w:p>
    <w:p>
      <w:pPr>
        <w:pStyle w:val="BodyText"/>
        <w:spacing w:line="240" w:lineRule="auto" w:before="37"/>
        <w:ind w:left="778" w:right="784"/>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97" w:lineRule="auto" w:before="65"/>
        <w:ind w:left="778" w:right="787" w:firstLine="419"/>
        <w:jc w:val="both"/>
      </w:pPr>
      <w:r>
        <w:rPr>
          <w:spacing w:val="-3"/>
        </w:rPr>
        <w:t>报告期内，公司主营业务收入比上年同期增长</w:t>
      </w:r>
      <w:r>
        <w:rPr>
          <w:spacing w:val="-7"/>
        </w:rPr>
        <w:t> </w:t>
      </w:r>
      <w:r>
        <w:rPr>
          <w:rFonts w:ascii="Times New Roman" w:hAnsi="Times New Roman" w:cs="Times New Roman" w:eastAsia="Times New Roman" w:hint="default"/>
          <w:spacing w:val="-3"/>
        </w:rPr>
        <w:t>72.94%</w:t>
      </w:r>
      <w:r>
        <w:rPr>
          <w:spacing w:val="-3"/>
        </w:rPr>
        <w:t>，主要产品增长势头良好，主要产品毛</w:t>
      </w:r>
      <w:r>
        <w:rPr>
          <w:w w:val="100"/>
        </w:rPr>
        <w:t> </w:t>
      </w:r>
      <w:r>
        <w:rPr/>
        <w:t>利率稳中略有上升。</w:t>
      </w:r>
    </w:p>
    <w:p>
      <w:pPr>
        <w:pStyle w:val="BodyText"/>
        <w:spacing w:line="297" w:lineRule="auto" w:before="34"/>
        <w:ind w:left="778" w:right="787" w:firstLine="419"/>
        <w:jc w:val="both"/>
      </w:pPr>
      <w:r>
        <w:rPr>
          <w:spacing w:val="-3"/>
        </w:rPr>
        <w:t>报告期内，华南区仍然是公司业务主战区，销售额同比增长 </w:t>
      </w:r>
      <w:r>
        <w:rPr>
          <w:rFonts w:ascii="Times New Roman" w:hAnsi="Times New Roman" w:cs="Times New Roman" w:eastAsia="Times New Roman" w:hint="default"/>
          <w:spacing w:val="-3"/>
        </w:rPr>
        <w:t>78.39%</w:t>
      </w:r>
      <w:r>
        <w:rPr>
          <w:spacing w:val="-3"/>
        </w:rPr>
        <w:t>，业务占比为</w:t>
      </w:r>
      <w:r>
        <w:rPr>
          <w:spacing w:val="-53"/>
        </w:rPr>
        <w:t> </w:t>
      </w:r>
      <w:r>
        <w:rPr>
          <w:rFonts w:ascii="Times New Roman" w:hAnsi="Times New Roman" w:cs="Times New Roman" w:eastAsia="Times New Roman" w:hint="default"/>
          <w:spacing w:val="-5"/>
        </w:rPr>
        <w:t>86%</w:t>
      </w:r>
      <w:r>
        <w:rPr>
          <w:spacing w:val="-5"/>
        </w:rPr>
        <w:t>；华东</w:t>
      </w:r>
      <w:r>
        <w:rPr>
          <w:w w:val="100"/>
        </w:rPr>
        <w:t> </w:t>
      </w:r>
      <w:r>
        <w:rPr/>
        <w:t>区和西部区的业务增长迅速，但公司仍然存在业务区域相对集中的风险。</w:t>
      </w:r>
    </w:p>
    <w:p>
      <w:pPr>
        <w:pStyle w:val="BodyText"/>
        <w:spacing w:line="314" w:lineRule="auto" w:before="35"/>
        <w:ind w:left="778" w:right="790" w:firstLine="419"/>
        <w:jc w:val="both"/>
      </w:pPr>
      <w:r>
        <w:rPr>
          <w:spacing w:val="-2"/>
        </w:rPr>
        <w:t>注：目前公司华南区业务涵盖福建省、广东省、广西省、海南省、湖南省、湖北省等；华东</w:t>
      </w:r>
      <w:r>
        <w:rPr>
          <w:w w:val="100"/>
        </w:rPr>
        <w:t> </w:t>
      </w:r>
      <w:r>
        <w:rPr>
          <w:spacing w:val="-7"/>
        </w:rPr>
        <w:t>区为上海市、江苏省、浙江省、江西省、安徽省等；华北区为北京市、河北省、河南省、山东省、</w:t>
      </w:r>
      <w:r>
        <w:rPr>
          <w:spacing w:val="-18"/>
        </w:rPr>
        <w:t> </w:t>
      </w:r>
      <w:r>
        <w:rPr>
          <w:spacing w:val="-18"/>
        </w:rPr>
      </w:r>
      <w:r>
        <w:rPr/>
        <w:t>辽宁省等；西部区为四川省、重庆市、陕西省、宁夏、甘肃省和新疆自治区。</w:t>
      </w:r>
    </w:p>
    <w:p>
      <w:pPr>
        <w:spacing w:line="240" w:lineRule="auto" w:before="10"/>
        <w:rPr>
          <w:rFonts w:ascii="宋体" w:hAnsi="宋体" w:cs="宋体" w:eastAsia="宋体" w:hint="default"/>
          <w:sz w:val="25"/>
          <w:szCs w:val="25"/>
        </w:rPr>
      </w:pPr>
    </w:p>
    <w:p>
      <w:pPr>
        <w:pStyle w:val="Heading3"/>
        <w:tabs>
          <w:tab w:pos="1344" w:val="left" w:leader="none"/>
        </w:tabs>
        <w:spacing w:line="240" w:lineRule="auto"/>
        <w:ind w:left="778" w:right="784"/>
        <w:jc w:val="left"/>
        <w:rPr>
          <w:b w:val="0"/>
          <w:bCs w:val="0"/>
        </w:rPr>
      </w:pPr>
      <w:r>
        <w:rPr>
          <w:rFonts w:ascii="Times New Roman" w:hAnsi="Times New Roman" w:cs="Times New Roman" w:eastAsia="Times New Roman" w:hint="default"/>
          <w:spacing w:val="-1"/>
        </w:rPr>
        <w:t>(2).</w:t>
        <w:tab/>
      </w:r>
      <w:r>
        <w:rPr/>
        <w:t>产销量情况分析表</w:t>
      </w:r>
      <w:r>
        <w:rPr>
          <w:b w:val="0"/>
          <w:bCs w:val="0"/>
        </w:rPr>
      </w:r>
    </w:p>
    <w:p>
      <w:pPr>
        <w:pStyle w:val="BodyText"/>
        <w:tabs>
          <w:tab w:pos="1620" w:val="left" w:leader="none"/>
        </w:tabs>
        <w:spacing w:line="240" w:lineRule="auto" w:before="81"/>
        <w:ind w:left="778" w:right="784"/>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tabs>
          <w:tab w:pos="1344" w:val="left" w:leader="none"/>
        </w:tabs>
        <w:spacing w:line="240" w:lineRule="auto" w:before="36"/>
        <w:ind w:left="778" w:right="784"/>
        <w:jc w:val="left"/>
        <w:rPr>
          <w:b w:val="0"/>
          <w:bCs w:val="0"/>
        </w:rPr>
      </w:pPr>
      <w:r>
        <w:rPr>
          <w:rFonts w:ascii="Times New Roman" w:hAnsi="Times New Roman" w:cs="Times New Roman" w:eastAsia="Times New Roman" w:hint="default"/>
          <w:spacing w:val="-1"/>
        </w:rPr>
        <w:t>(3).</w:t>
        <w:tab/>
      </w:r>
      <w:r>
        <w:rPr/>
        <w:t>成本分析表</w:t>
      </w:r>
      <w:r>
        <w:rPr>
          <w:b w:val="0"/>
          <w:bCs w:val="0"/>
        </w:rPr>
      </w:r>
    </w:p>
    <w:p>
      <w:pPr>
        <w:pStyle w:val="BodyText"/>
        <w:spacing w:line="240" w:lineRule="auto" w:before="81"/>
        <w:ind w:left="0" w:right="79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88"/>
        <w:gridCol w:w="1010"/>
        <w:gridCol w:w="1688"/>
        <w:gridCol w:w="977"/>
        <w:gridCol w:w="1688"/>
        <w:gridCol w:w="910"/>
        <w:gridCol w:w="884"/>
        <w:gridCol w:w="1932"/>
      </w:tblGrid>
      <w:tr>
        <w:trPr>
          <w:trHeight w:val="322" w:hRule="exact"/>
        </w:trPr>
        <w:tc>
          <w:tcPr>
            <w:tcW w:w="101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57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1" w:right="133" w:firstLine="33"/>
              <w:jc w:val="both"/>
              <w:rPr>
                <w:rFonts w:ascii="Calibri" w:hAnsi="Calibri" w:cs="Calibri" w:eastAsia="Calibri"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Calibri" w:hAnsi="Calibri" w:cs="Calibri" w:eastAsia="Calibri"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4" w:right="131"/>
              <w:jc w:val="both"/>
              <w:rPr>
                <w:rFonts w:ascii="Calibri" w:hAnsi="Calibri" w:cs="Calibri" w:eastAsia="Calibri"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Calibri" w:hAnsi="Calibri" w:cs="Calibri" w:eastAsia="Calibri" w:hint="default"/>
                <w:sz w:val="21"/>
                <w:szCs w:val="21"/>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 w:right="118"/>
              <w:jc w:val="both"/>
              <w:rPr>
                <w:rFonts w:ascii="Calibri" w:hAnsi="Calibri" w:cs="Calibri" w:eastAsia="Calibri"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Calibri" w:hAnsi="Calibri" w:cs="Calibri" w:eastAsia="Calibri" w:hint="default"/>
                <w:sz w:val="21"/>
                <w:szCs w:val="21"/>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51" w:right="746"/>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322"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1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537,512,734.41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1" w:right="0"/>
              <w:jc w:val="left"/>
              <w:rPr>
                <w:rFonts w:ascii="Times New Roman" w:hAnsi="Times New Roman" w:cs="Times New Roman" w:eastAsia="Times New Roman" w:hint="default"/>
                <w:sz w:val="21"/>
                <w:szCs w:val="21"/>
              </w:rPr>
            </w:pPr>
            <w:r>
              <w:rPr>
                <w:rFonts w:ascii="Times New Roman"/>
                <w:sz w:val="21"/>
              </w:rPr>
              <w:t>314,862,630.01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70.71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57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5" w:right="113"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4" w:right="131"/>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 w:right="118"/>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51" w:right="746"/>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94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3"/>
              <w:ind w:left="103" w:right="130"/>
              <w:jc w:val="left"/>
              <w:rPr>
                <w:rFonts w:ascii="宋体" w:hAnsi="宋体" w:cs="宋体" w:eastAsia="宋体" w:hint="default"/>
                <w:sz w:val="21"/>
                <w:szCs w:val="21"/>
              </w:rPr>
            </w:pP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政务服务</w:t>
            </w:r>
          </w:p>
        </w:tc>
        <w:tc>
          <w:tcPr>
            <w:tcW w:w="101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189,825,861.01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106,537,678.55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33.84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78.18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产品毛利率较为稳</w:t>
            </w:r>
            <w:r>
              <w:rPr>
                <w:rFonts w:ascii="宋体" w:hAnsi="宋体" w:cs="宋体" w:eastAsia="宋体" w:hint="default"/>
                <w:w w:val="100"/>
                <w:sz w:val="21"/>
                <w:szCs w:val="21"/>
              </w:rPr>
              <w:t> </w:t>
            </w:r>
            <w:r>
              <w:rPr>
                <w:rFonts w:ascii="宋体" w:hAnsi="宋体" w:cs="宋体" w:eastAsia="宋体" w:hint="default"/>
                <w:sz w:val="21"/>
                <w:szCs w:val="21"/>
              </w:rPr>
              <w:t>定，成本与收入同</w:t>
            </w:r>
            <w:r>
              <w:rPr>
                <w:rFonts w:ascii="宋体" w:hAnsi="宋体" w:cs="宋体" w:eastAsia="宋体" w:hint="default"/>
                <w:w w:val="100"/>
                <w:sz w:val="21"/>
                <w:szCs w:val="21"/>
              </w:rPr>
              <w:t> </w:t>
            </w:r>
            <w:r>
              <w:rPr>
                <w:rFonts w:ascii="宋体" w:hAnsi="宋体" w:cs="宋体" w:eastAsia="宋体" w:hint="default"/>
                <w:sz w:val="21"/>
                <w:szCs w:val="21"/>
              </w:rPr>
              <w:t>比例增长。</w:t>
            </w:r>
          </w:p>
        </w:tc>
      </w:tr>
      <w:tr>
        <w:trPr>
          <w:trHeight w:val="1258"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z w:val="21"/>
                <w:szCs w:val="21"/>
              </w:rPr>
              <w:t>平安城市</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01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305,381,094.93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56.81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182,859,603.25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58.08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67.00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主要系公司加强项</w:t>
            </w:r>
            <w:r>
              <w:rPr>
                <w:rFonts w:ascii="宋体" w:hAnsi="宋体" w:cs="宋体" w:eastAsia="宋体" w:hint="default"/>
                <w:w w:val="100"/>
                <w:sz w:val="21"/>
                <w:szCs w:val="21"/>
              </w:rPr>
              <w:t> </w:t>
            </w:r>
            <w:r>
              <w:rPr>
                <w:rFonts w:ascii="宋体" w:hAnsi="宋体" w:cs="宋体" w:eastAsia="宋体" w:hint="default"/>
                <w:sz w:val="21"/>
                <w:szCs w:val="21"/>
              </w:rPr>
              <w:t>目的成本、费用管</w:t>
            </w:r>
            <w:r>
              <w:rPr>
                <w:rFonts w:ascii="宋体" w:hAnsi="宋体" w:cs="宋体" w:eastAsia="宋体" w:hint="default"/>
                <w:w w:val="100"/>
                <w:sz w:val="21"/>
                <w:szCs w:val="21"/>
              </w:rPr>
              <w:t> </w:t>
            </w:r>
            <w:r>
              <w:rPr>
                <w:rFonts w:ascii="宋体" w:hAnsi="宋体" w:cs="宋体" w:eastAsia="宋体" w:hint="default"/>
                <w:sz w:val="21"/>
                <w:szCs w:val="21"/>
              </w:rPr>
              <w:t>理，产品毛利率有</w:t>
            </w:r>
            <w:r>
              <w:rPr>
                <w:rFonts w:ascii="宋体" w:hAnsi="宋体" w:cs="宋体" w:eastAsia="宋体" w:hint="default"/>
                <w:w w:val="100"/>
                <w:sz w:val="21"/>
                <w:szCs w:val="21"/>
              </w:rPr>
              <w:t> </w:t>
            </w:r>
            <w:r>
              <w:rPr>
                <w:rFonts w:ascii="宋体" w:hAnsi="宋体" w:cs="宋体" w:eastAsia="宋体" w:hint="default"/>
                <w:sz w:val="21"/>
                <w:szCs w:val="21"/>
              </w:rPr>
              <w:t>所上升。</w:t>
            </w:r>
          </w:p>
        </w:tc>
      </w:tr>
      <w:tr>
        <w:trPr>
          <w:trHeight w:val="63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z w:val="21"/>
                <w:szCs w:val="21"/>
              </w:rPr>
              <w:t>行业大数</w:t>
            </w:r>
            <w:r>
              <w:rPr>
                <w:rFonts w:ascii="宋体" w:hAnsi="宋体" w:cs="宋体" w:eastAsia="宋体" w:hint="default"/>
                <w:w w:val="100"/>
                <w:sz w:val="21"/>
                <w:szCs w:val="21"/>
              </w:rPr>
              <w:t> </w:t>
            </w:r>
            <w:r>
              <w:rPr>
                <w:rFonts w:ascii="宋体" w:hAnsi="宋体" w:cs="宋体" w:eastAsia="宋体" w:hint="default"/>
                <w:sz w:val="21"/>
                <w:szCs w:val="21"/>
              </w:rPr>
              <w:t>据应用</w:t>
            </w:r>
          </w:p>
        </w:tc>
        <w:tc>
          <w:tcPr>
            <w:tcW w:w="101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18,059,949.28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7,934,688.80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127.61</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24,245,829.19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4.51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17,530,659.41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5.57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38.31</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979" w:top="1140" w:bottom="1160" w:left="1020" w:right="480"/>
        </w:sectPr>
      </w:pPr>
    </w:p>
    <w:p>
      <w:pPr>
        <w:spacing w:line="240" w:lineRule="auto" w:before="10"/>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088"/>
        <w:gridCol w:w="1010"/>
        <w:gridCol w:w="1688"/>
        <w:gridCol w:w="977"/>
        <w:gridCol w:w="1688"/>
        <w:gridCol w:w="910"/>
        <w:gridCol w:w="884"/>
        <w:gridCol w:w="1932"/>
      </w:tblGrid>
      <w:tr>
        <w:trPr>
          <w:trHeight w:val="32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9"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1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59" w:right="0"/>
              <w:jc w:val="left"/>
              <w:rPr>
                <w:rFonts w:ascii="Times New Roman" w:hAnsi="Times New Roman" w:cs="Times New Roman" w:eastAsia="Times New Roman" w:hint="default"/>
                <w:sz w:val="21"/>
                <w:szCs w:val="21"/>
              </w:rPr>
            </w:pPr>
            <w:r>
              <w:rPr>
                <w:rFonts w:ascii="Times New Roman"/>
                <w:sz w:val="21"/>
              </w:rPr>
              <w:t>537,512,734.41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49" w:right="0"/>
              <w:jc w:val="left"/>
              <w:rPr>
                <w:rFonts w:ascii="Times New Roman" w:hAnsi="Times New Roman" w:cs="Times New Roman" w:eastAsia="Times New Roman" w:hint="default"/>
                <w:sz w:val="21"/>
                <w:szCs w:val="21"/>
              </w:rPr>
            </w:pPr>
            <w:r>
              <w:rPr>
                <w:rFonts w:ascii="Times New Roman"/>
                <w:sz w:val="21"/>
              </w:rPr>
              <w:t>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61" w:right="0"/>
              <w:jc w:val="left"/>
              <w:rPr>
                <w:rFonts w:ascii="Times New Roman" w:hAnsi="Times New Roman" w:cs="Times New Roman" w:eastAsia="Times New Roman" w:hint="default"/>
                <w:sz w:val="21"/>
                <w:szCs w:val="21"/>
              </w:rPr>
            </w:pPr>
            <w:r>
              <w:rPr>
                <w:rFonts w:ascii="Times New Roman"/>
                <w:sz w:val="21"/>
              </w:rPr>
              <w:t>314,862,630.01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82" w:right="0"/>
              <w:jc w:val="left"/>
              <w:rPr>
                <w:rFonts w:ascii="Times New Roman" w:hAnsi="Times New Roman" w:cs="Times New Roman" w:eastAsia="Times New Roman" w:hint="default"/>
                <w:sz w:val="21"/>
                <w:szCs w:val="21"/>
              </w:rPr>
            </w:pPr>
            <w:r>
              <w:rPr>
                <w:rFonts w:ascii="Times New Roman"/>
                <w:sz w:val="21"/>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97" w:right="0"/>
              <w:jc w:val="left"/>
              <w:rPr>
                <w:rFonts w:ascii="Times New Roman" w:hAnsi="Times New Roman" w:cs="Times New Roman" w:eastAsia="Times New Roman" w:hint="default"/>
                <w:sz w:val="21"/>
                <w:szCs w:val="21"/>
              </w:rPr>
            </w:pPr>
            <w:r>
              <w:rPr>
                <w:rFonts w:ascii="Times New Roman"/>
                <w:sz w:val="21"/>
              </w:rPr>
              <w:t>70.71</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778" w:right="0"/>
        <w:jc w:val="both"/>
      </w:pPr>
      <w:r>
        <w:rPr/>
        <w:t>成本分析其他情况说明</w:t>
      </w:r>
    </w:p>
    <w:p>
      <w:pPr>
        <w:pStyle w:val="BodyText"/>
        <w:spacing w:line="240" w:lineRule="auto" w:before="37"/>
        <w:ind w:left="77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778" w:right="0"/>
        <w:jc w:val="both"/>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5"/>
        </w:rPr>
        <w:t> </w:t>
      </w:r>
      <w:r>
        <w:rPr/>
        <w:t>主要销售客户及主要供应商情况</w:t>
      </w:r>
      <w:r>
        <w:rPr>
          <w:b w:val="0"/>
          <w:bCs w:val="0"/>
        </w:rPr>
      </w:r>
    </w:p>
    <w:p>
      <w:pPr>
        <w:pStyle w:val="BodyText"/>
        <w:spacing w:line="240" w:lineRule="auto" w:before="81"/>
        <w:ind w:left="778" w:right="0"/>
        <w:jc w:val="both"/>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97" w:lineRule="auto" w:before="65"/>
        <w:ind w:left="778" w:right="784" w:firstLine="419"/>
        <w:jc w:val="left"/>
      </w:pPr>
      <w:r>
        <w:rPr/>
        <w:t>前五名客户销售额 </w:t>
      </w:r>
      <w:r>
        <w:rPr>
          <w:rFonts w:ascii="Times New Roman" w:hAnsi="Times New Roman" w:cs="Times New Roman" w:eastAsia="Times New Roman" w:hint="default"/>
        </w:rPr>
        <w:t>39,835.88 </w:t>
      </w:r>
      <w:r>
        <w:rPr/>
        <w:t>万元，占年度销售总额</w:t>
      </w:r>
      <w:r>
        <w:rPr>
          <w:spacing w:val="-65"/>
        </w:rPr>
        <w:t> </w:t>
      </w:r>
      <w:r>
        <w:rPr>
          <w:rFonts w:ascii="Times New Roman" w:hAnsi="Times New Roman" w:cs="Times New Roman" w:eastAsia="Times New Roman" w:hint="default"/>
        </w:rPr>
        <w:t>49.34%</w:t>
      </w:r>
      <w:r>
        <w:rPr/>
        <w:t>；其中前五名客户销售额中关联</w:t>
      </w:r>
      <w:r>
        <w:rPr>
          <w:w w:val="100"/>
        </w:rPr>
        <w:t> </w:t>
      </w:r>
      <w:r>
        <w:rPr/>
        <w:t>方销售额</w:t>
      </w:r>
      <w:r>
        <w:rPr>
          <w:spacing w:val="-55"/>
        </w:rPr>
        <w:t> </w:t>
      </w:r>
      <w:r>
        <w:rPr>
          <w:rFonts w:ascii="Times New Roman" w:hAnsi="Times New Roman" w:cs="Times New Roman" w:eastAsia="Times New Roman" w:hint="default"/>
        </w:rPr>
        <w:t>13,115.22</w:t>
      </w:r>
      <w:r>
        <w:rPr>
          <w:rFonts w:ascii="Times New Roman" w:hAnsi="Times New Roman" w:cs="Times New Roman" w:eastAsia="Times New Roman" w:hint="default"/>
          <w:spacing w:val="-5"/>
        </w:rPr>
        <w:t> </w:t>
      </w:r>
      <w:r>
        <w:rPr/>
        <w:t>万元，占年度销售总</w:t>
      </w:r>
      <w:r>
        <w:rPr>
          <w:spacing w:val="-55"/>
        </w:rPr>
        <w:t> </w:t>
      </w:r>
      <w:r>
        <w:rPr>
          <w:rFonts w:ascii="Times New Roman" w:hAnsi="Times New Roman" w:cs="Times New Roman" w:eastAsia="Times New Roman" w:hint="default"/>
        </w:rPr>
        <w:t>i</w:t>
      </w:r>
      <w:r>
        <w:rPr>
          <w:rFonts w:ascii="Times New Roman" w:hAnsi="Times New Roman" w:cs="Times New Roman" w:eastAsia="Times New Roman" w:hint="default"/>
          <w:spacing w:val="-6"/>
        </w:rPr>
        <w:t> </w:t>
      </w:r>
      <w:r>
        <w:rPr/>
        <w:t>额</w:t>
      </w:r>
      <w:r>
        <w:rPr>
          <w:spacing w:val="-55"/>
        </w:rPr>
        <w:t> </w:t>
      </w:r>
      <w:r>
        <w:rPr>
          <w:rFonts w:ascii="Times New Roman" w:hAnsi="Times New Roman" w:cs="Times New Roman" w:eastAsia="Times New Roman" w:hint="default"/>
        </w:rPr>
        <w:t>16.25%</w:t>
      </w:r>
      <w:r>
        <w:rPr/>
        <w:t>。</w:t>
      </w:r>
    </w:p>
    <w:p>
      <w:pPr>
        <w:pStyle w:val="BodyText"/>
        <w:spacing w:line="297" w:lineRule="auto" w:before="13"/>
        <w:ind w:left="778" w:right="788" w:firstLine="419"/>
        <w:jc w:val="left"/>
      </w:pPr>
      <w:r>
        <w:rPr/>
        <w:t>前五名供应商采购额 </w:t>
      </w:r>
      <w:r>
        <w:rPr>
          <w:rFonts w:ascii="Times New Roman" w:hAnsi="Times New Roman" w:cs="Times New Roman" w:eastAsia="Times New Roman" w:hint="default"/>
        </w:rPr>
        <w:t>26,301.25 </w:t>
      </w:r>
      <w:r>
        <w:rPr/>
        <w:t>万元，占年度采购总额</w:t>
      </w:r>
      <w:r>
        <w:rPr>
          <w:spacing w:val="-69"/>
        </w:rPr>
        <w:t> </w:t>
      </w:r>
      <w:r>
        <w:rPr>
          <w:rFonts w:ascii="Times New Roman" w:hAnsi="Times New Roman" w:cs="Times New Roman" w:eastAsia="Times New Roman" w:hint="default"/>
        </w:rPr>
        <w:t>40.48%</w:t>
      </w:r>
      <w:r>
        <w:rPr/>
        <w:t>；其中前五名供应商采购额中</w:t>
      </w:r>
      <w:r>
        <w:rPr>
          <w:w w:val="100"/>
        </w:rPr>
        <w:t> </w:t>
      </w:r>
      <w:r>
        <w:rPr/>
        <w:t>关联方采购额</w:t>
      </w:r>
      <w:r>
        <w:rPr>
          <w:spacing w:val="-54"/>
        </w:rPr>
        <w:t> </w:t>
      </w:r>
      <w:r>
        <w:rPr>
          <w:rFonts w:ascii="Times New Roman" w:hAnsi="Times New Roman" w:cs="Times New Roman" w:eastAsia="Times New Roman" w:hint="default"/>
        </w:rPr>
        <w:t>3,266.49</w:t>
      </w:r>
      <w:r>
        <w:rPr>
          <w:rFonts w:ascii="Times New Roman" w:hAnsi="Times New Roman" w:cs="Times New Roman" w:eastAsia="Times New Roman" w:hint="default"/>
          <w:spacing w:val="-1"/>
        </w:rPr>
        <w:t> </w:t>
      </w:r>
      <w:r>
        <w:rPr/>
        <w:t>万元，占年度采购总额</w:t>
      </w:r>
      <w:r>
        <w:rPr>
          <w:spacing w:val="-54"/>
        </w:rPr>
        <w:t> </w:t>
      </w:r>
      <w:r>
        <w:rPr>
          <w:rFonts w:ascii="Times New Roman" w:hAnsi="Times New Roman" w:cs="Times New Roman" w:eastAsia="Times New Roman" w:hint="default"/>
        </w:rPr>
        <w:t>5.03%</w:t>
      </w:r>
      <w:r>
        <w:rPr/>
        <w:t>。</w:t>
      </w:r>
    </w:p>
    <w:p>
      <w:pPr>
        <w:spacing w:line="240" w:lineRule="auto" w:before="4"/>
        <w:rPr>
          <w:rFonts w:ascii="宋体" w:hAnsi="宋体" w:cs="宋体" w:eastAsia="宋体" w:hint="default"/>
          <w:sz w:val="24"/>
          <w:szCs w:val="24"/>
        </w:rPr>
      </w:pPr>
    </w:p>
    <w:p>
      <w:pPr>
        <w:pStyle w:val="BodyText"/>
        <w:spacing w:line="240" w:lineRule="auto"/>
        <w:ind w:left="778" w:right="0"/>
        <w:jc w:val="both"/>
      </w:pPr>
      <w:r>
        <w:rPr/>
        <w:t>其他说明</w:t>
      </w:r>
    </w:p>
    <w:p>
      <w:pPr>
        <w:pStyle w:val="BodyText"/>
        <w:spacing w:line="297" w:lineRule="auto" w:before="92"/>
        <w:ind w:left="778" w:right="0"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月，公司作为社会资本方中标</w:t>
      </w:r>
      <w:r>
        <w:rPr>
          <w:rFonts w:ascii="Times New Roman" w:hAnsi="Times New Roman" w:cs="Times New Roman" w:eastAsia="Times New Roman" w:hint="default"/>
        </w:rPr>
        <w:t>“</w:t>
      </w:r>
      <w:r>
        <w:rPr/>
        <w:t>福建省应急通信工程</w:t>
      </w:r>
      <w:r>
        <w:rPr>
          <w:spacing w:val="-46"/>
        </w:rPr>
        <w:t> </w:t>
      </w:r>
      <w:r>
        <w:rPr>
          <w:rFonts w:ascii="Times New Roman" w:hAnsi="Times New Roman" w:cs="Times New Roman" w:eastAsia="Times New Roman" w:hint="default"/>
        </w:rPr>
        <w:t>PPP</w:t>
      </w:r>
      <w:r>
        <w:rPr>
          <w:rFonts w:ascii="Times New Roman" w:hAnsi="Times New Roman" w:cs="Times New Roman" w:eastAsia="Times New Roman" w:hint="default"/>
          <w:spacing w:val="9"/>
        </w:rPr>
        <w:t> </w:t>
      </w:r>
      <w:r>
        <w:rPr/>
        <w:t>项目采购（二次）</w:t>
      </w:r>
      <w:r>
        <w:rPr>
          <w:rFonts w:ascii="Times New Roman" w:hAnsi="Times New Roman" w:cs="Times New Roman" w:eastAsia="Times New Roman" w:hint="default"/>
        </w:rPr>
        <w:t>”</w:t>
      </w:r>
      <w:r>
        <w:rPr/>
        <w:t>项目，</w:t>
      </w:r>
      <w:r>
        <w:rPr>
          <w:w w:val="100"/>
        </w:rPr>
        <w:t> </w:t>
      </w:r>
      <w:r>
        <w:rPr>
          <w:spacing w:val="-3"/>
        </w:rPr>
        <w:t>与福建省电子信息（集团）有限公司共同对本项目的项目公司（</w:t>
      </w:r>
      <w:r>
        <w:rPr>
          <w:rFonts w:ascii="Times New Roman" w:hAnsi="Times New Roman" w:cs="Times New Roman" w:eastAsia="Times New Roman" w:hint="default"/>
          <w:spacing w:val="-3"/>
        </w:rPr>
        <w:t>SPV</w:t>
      </w:r>
      <w:r>
        <w:rPr>
          <w:spacing w:val="-3"/>
        </w:rPr>
        <w:t>）</w:t>
      </w:r>
      <w:r>
        <w:rPr>
          <w:rFonts w:ascii="Times New Roman" w:hAnsi="Times New Roman" w:cs="Times New Roman" w:eastAsia="Times New Roman" w:hint="default"/>
          <w:spacing w:val="-3"/>
        </w:rPr>
        <w:t>“</w:t>
      </w:r>
      <w:r>
        <w:rPr>
          <w:spacing w:val="-3"/>
        </w:rPr>
        <w:t>福建省应急通信运营有限</w:t>
      </w:r>
      <w:r>
        <w:rPr>
          <w:spacing w:val="-30"/>
        </w:rPr>
        <w:t> </w:t>
      </w:r>
      <w:r>
        <w:rPr>
          <w:spacing w:val="-30"/>
        </w:rPr>
      </w:r>
      <w:r>
        <w:rPr>
          <w:spacing w:val="-3"/>
        </w:rPr>
        <w:t>公司</w:t>
      </w:r>
      <w:r>
        <w:rPr>
          <w:rFonts w:ascii="Times New Roman" w:hAnsi="Times New Roman" w:cs="Times New Roman" w:eastAsia="Times New Roman" w:hint="default"/>
          <w:spacing w:val="-3"/>
        </w:rPr>
        <w:t>”</w:t>
      </w:r>
      <w:r>
        <w:rPr>
          <w:spacing w:val="-3"/>
        </w:rPr>
        <w:t>进行注资，其中公司作为社会资本方出资</w:t>
      </w:r>
      <w:r>
        <w:rPr>
          <w:spacing w:val="-44"/>
        </w:rPr>
        <w:t> </w:t>
      </w:r>
      <w:r>
        <w:rPr>
          <w:rFonts w:ascii="Times New Roman" w:hAnsi="Times New Roman" w:cs="Times New Roman" w:eastAsia="Times New Roman" w:hint="default"/>
          <w:spacing w:val="-3"/>
        </w:rPr>
        <w:t>49%</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日，项目公司完成了工商变</w:t>
      </w:r>
      <w:r>
        <w:rPr>
          <w:spacing w:val="-83"/>
        </w:rPr>
        <w:t> </w:t>
      </w:r>
      <w:r>
        <w:rPr>
          <w:spacing w:val="-83"/>
        </w:rPr>
      </w:r>
      <w:r>
        <w:rPr/>
        <w:t>更登记手续，福建省应急通信运营有限公司成为公司的参股公司。</w:t>
      </w:r>
    </w:p>
    <w:p>
      <w:pPr>
        <w:pStyle w:val="BodyText"/>
        <w:spacing w:line="240" w:lineRule="auto" w:before="34"/>
        <w:ind w:left="1198"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月，公司发布《关于全资子公司福建南威软件有限公司引进战略投资者福建省电</w:t>
      </w:r>
    </w:p>
    <w:p>
      <w:pPr>
        <w:pStyle w:val="BodyText"/>
        <w:spacing w:line="240" w:lineRule="auto" w:before="69"/>
        <w:ind w:left="778" w:right="0"/>
        <w:jc w:val="both"/>
      </w:pPr>
      <w:r>
        <w:rPr>
          <w:w w:val="100"/>
        </w:rPr>
        <w:t>子信</w:t>
      </w:r>
      <w:r>
        <w:rPr>
          <w:spacing w:val="-3"/>
          <w:w w:val="100"/>
        </w:rPr>
        <w:t>息</w:t>
      </w:r>
      <w:r>
        <w:rPr>
          <w:w w:val="100"/>
        </w:rPr>
        <w:t>（</w:t>
      </w:r>
      <w:r>
        <w:rPr>
          <w:spacing w:val="-3"/>
          <w:w w:val="100"/>
        </w:rPr>
        <w:t>集</w:t>
      </w:r>
      <w:r>
        <w:rPr>
          <w:w w:val="100"/>
        </w:rPr>
        <w:t>团</w:t>
      </w:r>
      <w:r>
        <w:rPr>
          <w:spacing w:val="-3"/>
          <w:w w:val="100"/>
        </w:rPr>
        <w:t>）</w:t>
      </w:r>
      <w:r>
        <w:rPr>
          <w:w w:val="100"/>
        </w:rPr>
        <w:t>有</w:t>
      </w:r>
      <w:r>
        <w:rPr>
          <w:spacing w:val="-3"/>
          <w:w w:val="100"/>
        </w:rPr>
        <w:t>限</w:t>
      </w:r>
      <w:r>
        <w:rPr>
          <w:w w:val="100"/>
        </w:rPr>
        <w:t>责</w:t>
      </w:r>
      <w:r>
        <w:rPr>
          <w:spacing w:val="-3"/>
          <w:w w:val="100"/>
        </w:rPr>
        <w:t>任</w:t>
      </w:r>
      <w:r>
        <w:rPr>
          <w:w w:val="100"/>
        </w:rPr>
        <w:t>公司</w:t>
      </w:r>
      <w:r>
        <w:rPr>
          <w:spacing w:val="-3"/>
          <w:w w:val="100"/>
        </w:rPr>
        <w:t>签</w:t>
      </w:r>
      <w:r>
        <w:rPr>
          <w:w w:val="100"/>
        </w:rPr>
        <w:t>订</w:t>
      </w:r>
      <w:r>
        <w:rPr>
          <w:spacing w:val="-3"/>
          <w:w w:val="100"/>
        </w:rPr>
        <w:t>增</w:t>
      </w:r>
      <w:r>
        <w:rPr>
          <w:w w:val="100"/>
        </w:rPr>
        <w:t>资</w:t>
      </w:r>
      <w:r>
        <w:rPr>
          <w:spacing w:val="-3"/>
          <w:w w:val="100"/>
        </w:rPr>
        <w:t>扩</w:t>
      </w:r>
      <w:r>
        <w:rPr>
          <w:w w:val="100"/>
        </w:rPr>
        <w:t>股</w:t>
      </w:r>
      <w:r>
        <w:rPr>
          <w:spacing w:val="-3"/>
          <w:w w:val="100"/>
        </w:rPr>
        <w:t>协</w:t>
      </w:r>
      <w:r>
        <w:rPr>
          <w:w w:val="100"/>
        </w:rPr>
        <w:t>议</w:t>
      </w:r>
      <w:r>
        <w:rPr>
          <w:spacing w:val="-3"/>
          <w:w w:val="100"/>
        </w:rPr>
        <w:t>》</w:t>
      </w:r>
      <w:r>
        <w:rPr>
          <w:w w:val="100"/>
        </w:rPr>
        <w:t>的公</w:t>
      </w:r>
      <w:r>
        <w:rPr>
          <w:spacing w:val="-3"/>
          <w:w w:val="100"/>
        </w:rPr>
        <w:t>告</w:t>
      </w:r>
      <w:r>
        <w:rPr>
          <w:w w:val="100"/>
        </w:rPr>
        <w:t>（</w:t>
      </w:r>
      <w:r>
        <w:rPr>
          <w:spacing w:val="-3"/>
          <w:w w:val="100"/>
        </w:rPr>
        <w:t>公</w:t>
      </w:r>
      <w:r>
        <w:rPr>
          <w:w w:val="100"/>
        </w:rPr>
        <w:t>告</w:t>
      </w:r>
      <w:r>
        <w:rPr>
          <w:spacing w:val="-3"/>
          <w:w w:val="100"/>
        </w:rPr>
        <w:t>编</w:t>
      </w:r>
      <w:r>
        <w:rPr>
          <w:w w:val="100"/>
        </w:rPr>
        <w:t>号</w:t>
      </w:r>
      <w:r>
        <w:rPr>
          <w:spacing w:val="-3"/>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10</w:t>
      </w:r>
      <w:r>
        <w:rPr>
          <w:spacing w:val="-108"/>
          <w:w w:val="100"/>
        </w:rPr>
        <w:t>）</w:t>
      </w:r>
      <w:r>
        <w:rPr>
          <w:w w:val="100"/>
        </w:rPr>
        <w:t>，</w:t>
      </w:r>
      <w:r>
        <w:rPr>
          <w:spacing w:val="-3"/>
          <w:w w:val="100"/>
        </w:rPr>
        <w:t>并</w:t>
      </w:r>
      <w:r>
        <w:rPr>
          <w:w w:val="100"/>
        </w:rPr>
        <w:t>于</w:t>
      </w:r>
      <w:r>
        <w:rPr>
          <w:spacing w:val="-24"/>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w w:val="100"/>
        </w:rPr>
        <w:t>年</w:t>
      </w:r>
    </w:p>
    <w:p>
      <w:pPr>
        <w:pStyle w:val="BodyText"/>
        <w:spacing w:line="304" w:lineRule="auto" w:before="69"/>
        <w:ind w:left="778" w:right="788"/>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6 </w:t>
      </w:r>
      <w:r>
        <w:rPr>
          <w:spacing w:val="-3"/>
        </w:rPr>
        <w:t>日完成股东变更的工商登记手续。根据中国证监会及相关法律法规对关联方的定义，因福</w:t>
      </w:r>
      <w:r>
        <w:rPr>
          <w:spacing w:val="-93"/>
        </w:rPr>
        <w:t> </w:t>
      </w:r>
      <w:r>
        <w:rPr>
          <w:spacing w:val="-93"/>
        </w:rPr>
      </w:r>
      <w:r>
        <w:rPr>
          <w:spacing w:val="-1"/>
        </w:rPr>
        <w:t>建南威软件有限公司为公司的重要控股子公司，自福建南威完成股东工商登记变更之日起，福建</w:t>
      </w:r>
      <w:r>
        <w:rPr>
          <w:spacing w:val="-55"/>
        </w:rPr>
        <w:t> </w:t>
      </w:r>
      <w:r>
        <w:rPr>
          <w:spacing w:val="-55"/>
        </w:rPr>
      </w:r>
      <w:r>
        <w:rPr/>
        <w:t>省电子信息（集团）有限责任公司及其控制的企业成为公司的关联方。</w:t>
      </w:r>
    </w:p>
    <w:p>
      <w:pPr>
        <w:pStyle w:val="BodyText"/>
        <w:spacing w:line="309" w:lineRule="auto" w:before="28"/>
        <w:ind w:left="778" w:right="787" w:firstLine="419"/>
        <w:jc w:val="both"/>
      </w:pPr>
      <w:r>
        <w:rPr>
          <w:spacing w:val="-2"/>
        </w:rPr>
        <w:t>上述关联方销售是公司与福建应急通信运营有限公司的建设项目；上述关联方采购额，是公</w:t>
      </w:r>
      <w:r>
        <w:rPr>
          <w:w w:val="100"/>
        </w:rPr>
        <w:t> </w:t>
      </w:r>
      <w:r>
        <w:rPr>
          <w:spacing w:val="-1"/>
        </w:rPr>
        <w:t>司与福建省福建省电子信息（集团）有限责任公司的控股子公司产生的采购，因上述销售、采购</w:t>
      </w:r>
      <w:r>
        <w:rPr>
          <w:spacing w:val="-55"/>
        </w:rPr>
        <w:t> </w:t>
      </w:r>
      <w:r>
        <w:rPr>
          <w:spacing w:val="-55"/>
        </w:rPr>
      </w:r>
      <w:r>
        <w:rPr/>
        <w:t>合同签订时点均在</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5"/>
        </w:rPr>
        <w:t>月以前，合同签订时签约对方尚未成为公司的关联方，故无须履行相</w:t>
      </w:r>
      <w:r>
        <w:rPr>
          <w:spacing w:val="-101"/>
        </w:rPr>
        <w:t> </w:t>
      </w:r>
      <w:r>
        <w:rPr>
          <w:spacing w:val="-101"/>
        </w:rPr>
      </w:r>
      <w:r>
        <w:rPr/>
        <w:t>关的审批决策程序及信息披露。</w:t>
      </w:r>
    </w:p>
    <w:p>
      <w:pPr>
        <w:spacing w:line="240" w:lineRule="auto" w:before="1"/>
        <w:rPr>
          <w:rFonts w:ascii="宋体" w:hAnsi="宋体" w:cs="宋体" w:eastAsia="宋体" w:hint="default"/>
          <w:sz w:val="26"/>
          <w:szCs w:val="26"/>
        </w:rPr>
      </w:pPr>
    </w:p>
    <w:p>
      <w:pPr>
        <w:pStyle w:val="Heading3"/>
        <w:spacing w:line="240" w:lineRule="auto"/>
        <w:ind w:left="778" w:right="0"/>
        <w:jc w:val="both"/>
        <w:rPr>
          <w:b w:val="0"/>
          <w:bCs w:val="0"/>
        </w:rPr>
      </w:pPr>
      <w:r>
        <w:rPr>
          <w:rFonts w:ascii="Times New Roman" w:hAnsi="Times New Roman" w:cs="Times New Roman" w:eastAsia="Times New Roman" w:hint="default"/>
        </w:rPr>
        <w:t>2.     </w:t>
      </w:r>
      <w:r>
        <w:rPr/>
        <w:t>费用</w:t>
      </w:r>
      <w:r>
        <w:rPr>
          <w:b w:val="0"/>
          <w:bCs w:val="0"/>
        </w:rPr>
      </w:r>
    </w:p>
    <w:p>
      <w:pPr>
        <w:pStyle w:val="BodyText"/>
        <w:spacing w:line="240" w:lineRule="auto" w:before="82"/>
        <w:ind w:left="778" w:right="0"/>
        <w:jc w:val="both"/>
      </w:pP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6"/>
        <w:rPr>
          <w:rFonts w:ascii="宋体" w:hAnsi="宋体" w:cs="宋体" w:eastAsia="宋体" w:hint="default"/>
          <w:sz w:val="26"/>
          <w:szCs w:val="26"/>
        </w:rPr>
      </w:pPr>
    </w:p>
    <w:tbl>
      <w:tblPr>
        <w:tblW w:w="0" w:type="auto"/>
        <w:jc w:val="left"/>
        <w:tblInd w:w="725" w:type="dxa"/>
        <w:tblLayout w:type="fixed"/>
        <w:tblCellMar>
          <w:top w:w="0" w:type="dxa"/>
          <w:left w:w="0" w:type="dxa"/>
          <w:bottom w:w="0" w:type="dxa"/>
          <w:right w:w="0" w:type="dxa"/>
        </w:tblCellMar>
        <w:tblLook w:val="01E0"/>
      </w:tblPr>
      <w:tblGrid>
        <w:gridCol w:w="1697"/>
        <w:gridCol w:w="1688"/>
        <w:gridCol w:w="1755"/>
        <w:gridCol w:w="1334"/>
        <w:gridCol w:w="2456"/>
      </w:tblGrid>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增减比率</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94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7,247,672.28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3,986,205.69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81.82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7"/>
              <w:jc w:val="both"/>
              <w:rPr>
                <w:rFonts w:ascii="宋体" w:hAnsi="宋体" w:cs="宋体" w:eastAsia="宋体" w:hint="default"/>
                <w:sz w:val="21"/>
                <w:szCs w:val="21"/>
              </w:rPr>
            </w:pPr>
            <w:r>
              <w:rPr>
                <w:rFonts w:ascii="宋体" w:hAnsi="宋体" w:cs="宋体" w:eastAsia="宋体" w:hint="default"/>
                <w:spacing w:val="13"/>
                <w:sz w:val="21"/>
                <w:szCs w:val="21"/>
              </w:rPr>
              <w:t>主要系报告期收入增加</w:t>
            </w:r>
            <w:r>
              <w:rPr>
                <w:rFonts w:ascii="宋体" w:hAnsi="宋体" w:cs="宋体" w:eastAsia="宋体" w:hint="default"/>
                <w:spacing w:val="-84"/>
                <w:sz w:val="21"/>
                <w:szCs w:val="21"/>
              </w:rPr>
              <w:t> </w:t>
            </w:r>
            <w:r>
              <w:rPr>
                <w:rFonts w:ascii="宋体" w:hAnsi="宋体" w:cs="宋体" w:eastAsia="宋体" w:hint="default"/>
                <w:spacing w:val="13"/>
                <w:sz w:val="21"/>
                <w:szCs w:val="21"/>
              </w:rPr>
              <w:t>及增值税会计政策变更</w:t>
            </w:r>
            <w:r>
              <w:rPr>
                <w:rFonts w:ascii="宋体" w:hAnsi="宋体" w:cs="宋体" w:eastAsia="宋体" w:hint="default"/>
                <w:spacing w:val="-84"/>
                <w:sz w:val="21"/>
                <w:szCs w:val="21"/>
              </w:rPr>
              <w:t> </w:t>
            </w:r>
            <w:r>
              <w:rPr>
                <w:rFonts w:ascii="宋体" w:hAnsi="宋体" w:cs="宋体" w:eastAsia="宋体" w:hint="default"/>
                <w:sz w:val="21"/>
                <w:szCs w:val="21"/>
              </w:rPr>
              <w:t>的原因所致</w:t>
            </w:r>
          </w:p>
        </w:tc>
      </w:tr>
      <w:tr>
        <w:trPr>
          <w:trHeight w:val="125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40,945,076.88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28,708,733.35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
              <w:jc w:val="both"/>
              <w:rPr>
                <w:rFonts w:ascii="宋体" w:hAnsi="宋体" w:cs="宋体" w:eastAsia="宋体" w:hint="default"/>
                <w:sz w:val="21"/>
                <w:szCs w:val="21"/>
              </w:rPr>
            </w:pPr>
            <w:r>
              <w:rPr>
                <w:rFonts w:ascii="宋体" w:hAnsi="宋体" w:cs="宋体" w:eastAsia="宋体" w:hint="default"/>
                <w:spacing w:val="13"/>
                <w:sz w:val="21"/>
                <w:szCs w:val="21"/>
              </w:rPr>
              <w:t>主要系公司销售订单增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长良好，销售人员费用、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3"/>
                <w:sz w:val="21"/>
                <w:szCs w:val="21"/>
              </w:rPr>
              <w:t>招待宣传费和涉及销售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股权激励费用分摊所致。</w:t>
            </w:r>
          </w:p>
        </w:tc>
      </w:tr>
      <w:tr>
        <w:trPr>
          <w:trHeight w:val="32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119,221,016.89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86,516,718.24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37.8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pacing w:val="13"/>
                <w:sz w:val="21"/>
                <w:szCs w:val="21"/>
              </w:rPr>
              <w:t>主要系资产折旧摊销增</w:t>
            </w:r>
            <w:r>
              <w:rPr>
                <w:rFonts w:ascii="宋体" w:hAnsi="宋体" w:cs="宋体" w:eastAsia="宋体" w:hint="default"/>
                <w:sz w:val="21"/>
                <w:szCs w:val="21"/>
              </w:rPr>
            </w:r>
          </w:p>
        </w:tc>
      </w:tr>
    </w:tbl>
    <w:p>
      <w:pPr>
        <w:spacing w:after="0" w:line="262" w:lineRule="exact"/>
        <w:jc w:val="center"/>
        <w:rPr>
          <w:rFonts w:ascii="宋体" w:hAnsi="宋体" w:cs="宋体" w:eastAsia="宋体" w:hint="default"/>
          <w:sz w:val="21"/>
          <w:szCs w:val="21"/>
        </w:rPr>
        <w:sectPr>
          <w:pgSz w:w="11910" w:h="16840"/>
          <w:pgMar w:header="855" w:footer="979" w:top="1140" w:bottom="1160" w:left="1020" w:right="480"/>
        </w:sectPr>
      </w:pPr>
    </w:p>
    <w:p>
      <w:pPr>
        <w:spacing w:line="240" w:lineRule="auto" w:before="10"/>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1697"/>
        <w:gridCol w:w="1688"/>
        <w:gridCol w:w="1755"/>
        <w:gridCol w:w="1334"/>
        <w:gridCol w:w="2456"/>
      </w:tblGrid>
      <w:tr>
        <w:trPr>
          <w:trHeight w:val="1260"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6"/>
              <w:jc w:val="both"/>
              <w:rPr>
                <w:rFonts w:ascii="宋体" w:hAnsi="宋体" w:cs="宋体" w:eastAsia="宋体" w:hint="default"/>
                <w:sz w:val="21"/>
                <w:szCs w:val="21"/>
              </w:rPr>
            </w:pPr>
            <w:r>
              <w:rPr>
                <w:rFonts w:ascii="宋体" w:hAnsi="宋体" w:cs="宋体" w:eastAsia="宋体" w:hint="default"/>
                <w:spacing w:val="-8"/>
                <w:sz w:val="21"/>
                <w:szCs w:val="21"/>
              </w:rPr>
              <w:t>加、研发费用投入及管理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3"/>
                <w:sz w:val="21"/>
                <w:szCs w:val="21"/>
              </w:rPr>
              <w:t>人员薪酬和涉及管理的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3"/>
                <w:sz w:val="21"/>
                <w:szCs w:val="21"/>
              </w:rPr>
              <w:t>股权激励费用分摊变化</w:t>
            </w:r>
            <w:r>
              <w:rPr>
                <w:rFonts w:ascii="宋体" w:hAnsi="宋体" w:cs="宋体" w:eastAsia="宋体" w:hint="default"/>
                <w:spacing w:val="-84"/>
                <w:sz w:val="21"/>
                <w:szCs w:val="21"/>
              </w:rPr>
              <w:t> </w:t>
            </w:r>
            <w:r>
              <w:rPr>
                <w:rFonts w:ascii="宋体" w:hAnsi="宋体" w:cs="宋体" w:eastAsia="宋体" w:hint="default"/>
                <w:sz w:val="21"/>
                <w:szCs w:val="21"/>
              </w:rPr>
              <w:t>所致。</w:t>
            </w:r>
          </w:p>
        </w:tc>
      </w:tr>
      <w:tr>
        <w:trPr>
          <w:trHeight w:val="94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581,958.82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-2,197,705.73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126.48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7"/>
              <w:jc w:val="both"/>
              <w:rPr>
                <w:rFonts w:ascii="宋体" w:hAnsi="宋体" w:cs="宋体" w:eastAsia="宋体" w:hint="default"/>
                <w:sz w:val="21"/>
                <w:szCs w:val="21"/>
              </w:rPr>
            </w:pPr>
            <w:r>
              <w:rPr>
                <w:rFonts w:ascii="宋体" w:hAnsi="宋体" w:cs="宋体" w:eastAsia="宋体" w:hint="default"/>
                <w:spacing w:val="13"/>
                <w:sz w:val="21"/>
                <w:szCs w:val="21"/>
              </w:rPr>
              <w:t>主要系公司的定期存款</w:t>
            </w:r>
            <w:r>
              <w:rPr>
                <w:rFonts w:ascii="宋体" w:hAnsi="宋体" w:cs="宋体" w:eastAsia="宋体" w:hint="default"/>
                <w:spacing w:val="-84"/>
                <w:sz w:val="21"/>
                <w:szCs w:val="21"/>
              </w:rPr>
              <w:t> </w:t>
            </w:r>
            <w:r>
              <w:rPr>
                <w:rFonts w:ascii="宋体" w:hAnsi="宋体" w:cs="宋体" w:eastAsia="宋体" w:hint="default"/>
                <w:spacing w:val="13"/>
                <w:sz w:val="21"/>
                <w:szCs w:val="21"/>
              </w:rPr>
              <w:t>减少，利息收入相应减</w:t>
            </w:r>
            <w:r>
              <w:rPr>
                <w:rFonts w:ascii="宋体" w:hAnsi="宋体" w:cs="宋体" w:eastAsia="宋体" w:hint="default"/>
                <w:spacing w:val="-84"/>
                <w:sz w:val="21"/>
                <w:szCs w:val="21"/>
              </w:rPr>
              <w:t> </w:t>
            </w:r>
            <w:r>
              <w:rPr>
                <w:rFonts w:ascii="宋体" w:hAnsi="宋体" w:cs="宋体" w:eastAsia="宋体" w:hint="default"/>
                <w:sz w:val="21"/>
                <w:szCs w:val="21"/>
              </w:rPr>
              <w:t>少。</w:t>
            </w:r>
          </w:p>
        </w:tc>
      </w:tr>
      <w:tr>
        <w:trPr>
          <w:trHeight w:val="125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18,499,436.74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12,328,706.61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
              <w:jc w:val="both"/>
              <w:rPr>
                <w:rFonts w:ascii="宋体" w:hAnsi="宋体" w:cs="宋体" w:eastAsia="宋体" w:hint="default"/>
                <w:sz w:val="21"/>
                <w:szCs w:val="21"/>
              </w:rPr>
            </w:pPr>
            <w:r>
              <w:rPr>
                <w:rFonts w:ascii="宋体" w:hAnsi="宋体" w:cs="宋体" w:eastAsia="宋体" w:hint="default"/>
                <w:spacing w:val="13"/>
                <w:sz w:val="21"/>
                <w:szCs w:val="21"/>
              </w:rPr>
              <w:t>主要系随着公司收入增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加，应收账款有所增加，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3"/>
                <w:sz w:val="21"/>
                <w:szCs w:val="21"/>
              </w:rPr>
              <w:t>计提的坏账准备金增加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p>
        </w:tc>
      </w:tr>
      <w:tr>
        <w:trPr>
          <w:trHeight w:val="15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18,833,539.26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-1,181,423.77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spacing w:val="-1"/>
                <w:sz w:val="21"/>
              </w:rPr>
              <w:t>1694.14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7"/>
              <w:jc w:val="both"/>
              <w:rPr>
                <w:rFonts w:ascii="宋体" w:hAnsi="宋体" w:cs="宋体" w:eastAsia="宋体" w:hint="default"/>
                <w:sz w:val="21"/>
                <w:szCs w:val="21"/>
              </w:rPr>
            </w:pPr>
            <w:r>
              <w:rPr>
                <w:rFonts w:ascii="宋体" w:hAnsi="宋体" w:cs="宋体" w:eastAsia="宋体" w:hint="default"/>
                <w:spacing w:val="13"/>
                <w:sz w:val="21"/>
                <w:szCs w:val="21"/>
              </w:rPr>
              <w:t>主要系利润增加相应当</w:t>
            </w:r>
            <w:r>
              <w:rPr>
                <w:rFonts w:ascii="宋体" w:hAnsi="宋体" w:cs="宋体" w:eastAsia="宋体" w:hint="default"/>
                <w:spacing w:val="-84"/>
                <w:sz w:val="21"/>
                <w:szCs w:val="21"/>
              </w:rPr>
              <w:t> </w:t>
            </w:r>
            <w:r>
              <w:rPr>
                <w:rFonts w:ascii="宋体" w:hAnsi="宋体" w:cs="宋体" w:eastAsia="宋体" w:hint="default"/>
                <w:spacing w:val="13"/>
                <w:sz w:val="21"/>
                <w:szCs w:val="21"/>
              </w:rPr>
              <w:t>期所得税费用增加及转</w:t>
            </w:r>
            <w:r>
              <w:rPr>
                <w:rFonts w:ascii="宋体" w:hAnsi="宋体" w:cs="宋体" w:eastAsia="宋体" w:hint="default"/>
                <w:spacing w:val="-84"/>
                <w:sz w:val="21"/>
                <w:szCs w:val="21"/>
              </w:rPr>
              <w:t> </w:t>
            </w:r>
            <w:r>
              <w:rPr>
                <w:rFonts w:ascii="宋体" w:hAnsi="宋体" w:cs="宋体" w:eastAsia="宋体" w:hint="default"/>
                <w:spacing w:val="13"/>
                <w:sz w:val="21"/>
                <w:szCs w:val="21"/>
              </w:rPr>
              <w:t>回部分未确认递延所得</w:t>
            </w:r>
            <w:r>
              <w:rPr>
                <w:rFonts w:ascii="宋体" w:hAnsi="宋体" w:cs="宋体" w:eastAsia="宋体" w:hint="default"/>
                <w:spacing w:val="-84"/>
                <w:sz w:val="21"/>
                <w:szCs w:val="21"/>
              </w:rPr>
              <w:t> </w:t>
            </w:r>
            <w:r>
              <w:rPr>
                <w:rFonts w:ascii="宋体" w:hAnsi="宋体" w:cs="宋体" w:eastAsia="宋体" w:hint="default"/>
                <w:spacing w:val="13"/>
                <w:sz w:val="21"/>
                <w:szCs w:val="21"/>
              </w:rPr>
              <w:t>税资产的可抵扣暂时性</w:t>
            </w:r>
            <w:r>
              <w:rPr>
                <w:rFonts w:ascii="宋体" w:hAnsi="宋体" w:cs="宋体" w:eastAsia="宋体" w:hint="default"/>
                <w:spacing w:val="-84"/>
                <w:sz w:val="21"/>
                <w:szCs w:val="21"/>
              </w:rPr>
              <w:t> </w:t>
            </w:r>
            <w:r>
              <w:rPr>
                <w:rFonts w:ascii="宋体" w:hAnsi="宋体" w:cs="宋体" w:eastAsia="宋体" w:hint="default"/>
                <w:sz w:val="21"/>
                <w:szCs w:val="21"/>
              </w:rPr>
              <w:t>差异所致。</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55" w:footer="979" w:top="1140" w:bottom="1160" w:left="1560" w:right="1040"/>
        </w:sectPr>
      </w:pPr>
    </w:p>
    <w:p>
      <w:pPr>
        <w:pStyle w:val="Heading3"/>
        <w:tabs>
          <w:tab w:pos="657" w:val="left" w:leader="none"/>
        </w:tabs>
        <w:spacing w:line="307" w:lineRule="auto" w:before="36"/>
        <w:ind w:left="238" w:right="307"/>
        <w:jc w:val="left"/>
        <w:rPr>
          <w:b w:val="0"/>
          <w:bCs w:val="0"/>
        </w:rPr>
      </w:pPr>
      <w:r>
        <w:rPr>
          <w:rFonts w:ascii="Times New Roman" w:hAnsi="Times New Roman" w:cs="Times New Roman" w:eastAsia="Times New Roman" w:hint="default"/>
        </w:rPr>
        <w:t>3.</w:t>
        <w:tab/>
      </w:r>
      <w:r>
        <w:rPr/>
        <w:t>研发投入</w:t>
      </w:r>
      <w:r>
        <w:rPr>
          <w:w w:val="100"/>
        </w:rPr>
        <w:t> </w:t>
      </w:r>
      <w:r>
        <w:rPr/>
        <w:t>研发投入情况表</w:t>
      </w:r>
      <w:r>
        <w:rPr>
          <w:b w:val="0"/>
          <w:bCs w:val="0"/>
        </w:rPr>
      </w:r>
    </w:p>
    <w:p>
      <w:pPr>
        <w:pStyle w:val="BodyText"/>
        <w:tabs>
          <w:tab w:pos="1183" w:val="left" w:leader="none"/>
        </w:tabs>
        <w:spacing w:line="240" w:lineRule="auto" w:before="38"/>
        <w:ind w:left="238"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8" w:right="0"/>
        <w:jc w:val="left"/>
      </w:pPr>
      <w:r>
        <w:rPr/>
        <w:t>单位：元</w:t>
      </w:r>
    </w:p>
    <w:p>
      <w:pPr>
        <w:spacing w:after="0" w:line="240" w:lineRule="auto"/>
        <w:jc w:val="left"/>
        <w:sectPr>
          <w:type w:val="continuous"/>
          <w:pgSz w:w="11910" w:h="16840"/>
          <w:pgMar w:top="1580" w:bottom="280" w:left="1560" w:right="1040"/>
          <w:cols w:num="2" w:equalWidth="0">
            <w:col w:w="2027" w:space="5967"/>
            <w:col w:w="1316"/>
          </w:cols>
        </w:sectPr>
      </w:pP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16,656,111.55</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54,031,540.71</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70,687,652.26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Calibri" w:hAnsi="Calibri" w:cs="Calibri" w:eastAsia="Calibri"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8.76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297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研发人员数量占公司总人数的比例（</w:t>
            </w:r>
            <w:r>
              <w:rPr>
                <w:rFonts w:ascii="Calibri" w:hAnsi="Calibri" w:cs="Calibri" w:eastAsia="Calibri" w:hint="default"/>
                <w:spacing w:val="-4"/>
                <w:sz w:val="21"/>
                <w:szCs w:val="21"/>
              </w:rPr>
              <w:t>%</w:t>
            </w:r>
            <w:r>
              <w:rPr>
                <w:rFonts w:ascii="宋体" w:hAnsi="宋体" w:cs="宋体" w:eastAsia="宋体" w:hint="default"/>
                <w:spacing w:val="-4"/>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24.09</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Calibri" w:hAnsi="Calibri" w:cs="Calibri" w:eastAsia="Calibri"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76.44</w:t>
            </w:r>
          </w:p>
        </w:tc>
      </w:tr>
    </w:tbl>
    <w:p>
      <w:pPr>
        <w:spacing w:line="240" w:lineRule="auto" w:before="10"/>
        <w:rPr>
          <w:rFonts w:ascii="宋体" w:hAnsi="宋体" w:cs="宋体" w:eastAsia="宋体" w:hint="default"/>
          <w:sz w:val="24"/>
          <w:szCs w:val="24"/>
        </w:rPr>
      </w:pPr>
    </w:p>
    <w:p>
      <w:pPr>
        <w:pStyle w:val="Heading3"/>
        <w:spacing w:line="240" w:lineRule="auto" w:before="36"/>
        <w:ind w:left="238" w:right="3282"/>
        <w:jc w:val="left"/>
        <w:rPr>
          <w:b w:val="0"/>
          <w:bCs w:val="0"/>
        </w:rPr>
      </w:pPr>
      <w:r>
        <w:rPr/>
        <w:t>情况说明</w:t>
      </w:r>
      <w:r>
        <w:rPr>
          <w:b w:val="0"/>
          <w:bCs w:val="0"/>
        </w:rPr>
      </w:r>
    </w:p>
    <w:p>
      <w:pPr>
        <w:pStyle w:val="BodyText"/>
        <w:tabs>
          <w:tab w:pos="974" w:val="left" w:leader="none"/>
        </w:tabs>
        <w:spacing w:line="240" w:lineRule="auto" w:before="97"/>
        <w:ind w:left="238" w:right="3282"/>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97" w:lineRule="auto" w:before="125"/>
        <w:ind w:left="238" w:right="228" w:firstLine="419"/>
        <w:jc w:val="both"/>
      </w:pPr>
      <w:r>
        <w:rPr>
          <w:spacing w:val="-3"/>
        </w:rPr>
        <w:t>报告期内，公司的研发投入总额为 </w:t>
      </w:r>
      <w:r>
        <w:rPr>
          <w:rFonts w:ascii="Times New Roman" w:hAnsi="Times New Roman" w:cs="Times New Roman" w:eastAsia="Times New Roman" w:hint="default"/>
        </w:rPr>
        <w:t>7,068.77 </w:t>
      </w:r>
      <w:r>
        <w:rPr>
          <w:spacing w:val="-4"/>
        </w:rPr>
        <w:t>万元，同比增长</w:t>
      </w:r>
      <w:r>
        <w:rPr>
          <w:spacing w:val="-50"/>
        </w:rPr>
        <w:t> </w:t>
      </w:r>
      <w:r>
        <w:rPr>
          <w:rFonts w:ascii="Times New Roman" w:hAnsi="Times New Roman" w:cs="Times New Roman" w:eastAsia="Times New Roman" w:hint="default"/>
          <w:spacing w:val="-3"/>
        </w:rPr>
        <w:t>19.61%</w:t>
      </w:r>
      <w:r>
        <w:rPr>
          <w:spacing w:val="-3"/>
        </w:rPr>
        <w:t>，研发投入占营业收入比</w:t>
      </w:r>
      <w:r>
        <w:rPr>
          <w:w w:val="100"/>
        </w:rPr>
        <w:t> </w:t>
      </w:r>
      <w:r>
        <w:rPr/>
        <w:t>例为</w:t>
      </w:r>
      <w:r>
        <w:rPr>
          <w:spacing w:val="-41"/>
        </w:rPr>
        <w:t> </w:t>
      </w:r>
      <w:r>
        <w:rPr>
          <w:rFonts w:ascii="Times New Roman" w:hAnsi="Times New Roman" w:cs="Times New Roman" w:eastAsia="Times New Roman" w:hint="default"/>
          <w:spacing w:val="-4"/>
        </w:rPr>
        <w:t>8.76%</w:t>
      </w:r>
      <w:r>
        <w:rPr>
          <w:spacing w:val="-4"/>
        </w:rPr>
        <w:t>，同比上年减少</w:t>
      </w:r>
      <w:r>
        <w:rPr>
          <w:spacing w:val="-40"/>
        </w:rPr>
        <w:t> </w:t>
      </w:r>
      <w:r>
        <w:rPr>
          <w:rFonts w:ascii="Times New Roman" w:hAnsi="Times New Roman" w:cs="Times New Roman" w:eastAsia="Times New Roman" w:hint="default"/>
        </w:rPr>
        <w:t>3.87</w:t>
      </w:r>
      <w:r>
        <w:rPr>
          <w:rFonts w:ascii="Times New Roman" w:hAnsi="Times New Roman" w:cs="Times New Roman" w:eastAsia="Times New Roman" w:hint="default"/>
          <w:spacing w:val="12"/>
        </w:rPr>
        <w:t> </w:t>
      </w:r>
      <w:r>
        <w:rPr>
          <w:spacing w:val="-3"/>
        </w:rPr>
        <w:t>个百分点。研发投入的资本化比重为</w:t>
      </w:r>
      <w:r>
        <w:rPr>
          <w:spacing w:val="-41"/>
        </w:rPr>
        <w:t> </w:t>
      </w:r>
      <w:r>
        <w:rPr>
          <w:rFonts w:ascii="Times New Roman" w:hAnsi="Times New Roman" w:cs="Times New Roman" w:eastAsia="Times New Roman" w:hint="default"/>
          <w:spacing w:val="-3"/>
        </w:rPr>
        <w:t>76.44%</w:t>
      </w:r>
      <w:r>
        <w:rPr>
          <w:spacing w:val="-3"/>
        </w:rPr>
        <w:t>，同比上期资本化比</w:t>
      </w:r>
      <w:r>
        <w:rPr>
          <w:spacing w:val="-100"/>
        </w:rPr>
        <w:t> </w:t>
      </w:r>
      <w:r>
        <w:rPr>
          <w:spacing w:val="-100"/>
        </w:rPr>
      </w:r>
      <w:r>
        <w:rPr/>
        <w:t>重下降了</w:t>
      </w:r>
      <w:r>
        <w:rPr>
          <w:spacing w:val="-52"/>
        </w:rPr>
        <w:t> </w:t>
      </w:r>
      <w:r>
        <w:rPr>
          <w:rFonts w:ascii="Times New Roman" w:hAnsi="Times New Roman" w:cs="Times New Roman" w:eastAsia="Times New Roman" w:hint="default"/>
        </w:rPr>
        <w:t>6.47</w:t>
      </w:r>
      <w:r>
        <w:rPr>
          <w:rFonts w:ascii="Times New Roman" w:hAnsi="Times New Roman" w:cs="Times New Roman" w:eastAsia="Times New Roman" w:hint="default"/>
          <w:spacing w:val="-3"/>
        </w:rPr>
        <w:t> </w:t>
      </w:r>
      <w:r>
        <w:rPr/>
        <w:t>个百分点。</w:t>
      </w:r>
    </w:p>
    <w:p>
      <w:pPr>
        <w:spacing w:line="240" w:lineRule="auto" w:before="3"/>
        <w:rPr>
          <w:rFonts w:ascii="宋体" w:hAnsi="宋体" w:cs="宋体" w:eastAsia="宋体" w:hint="default"/>
          <w:sz w:val="25"/>
          <w:szCs w:val="25"/>
        </w:rPr>
      </w:pPr>
    </w:p>
    <w:p>
      <w:pPr>
        <w:pStyle w:val="Heading3"/>
        <w:tabs>
          <w:tab w:pos="657" w:val="left" w:leader="none"/>
        </w:tabs>
        <w:spacing w:line="240" w:lineRule="auto"/>
        <w:ind w:left="238" w:right="3282"/>
        <w:jc w:val="left"/>
        <w:rPr>
          <w:b w:val="0"/>
          <w:bCs w:val="0"/>
        </w:rPr>
      </w:pPr>
      <w:r>
        <w:rPr>
          <w:rFonts w:ascii="Times New Roman" w:hAnsi="Times New Roman" w:cs="Times New Roman" w:eastAsia="Times New Roman" w:hint="default"/>
        </w:rPr>
        <w:t>4.</w:t>
        <w:tab/>
      </w:r>
      <w:r>
        <w:rPr/>
        <w:t>现金流</w:t>
      </w:r>
      <w:r>
        <w:rPr>
          <w:b w:val="0"/>
          <w:bCs w:val="0"/>
        </w:rPr>
      </w:r>
    </w:p>
    <w:p>
      <w:pPr>
        <w:pStyle w:val="BodyText"/>
        <w:tabs>
          <w:tab w:pos="1080" w:val="left" w:leader="none"/>
        </w:tabs>
        <w:spacing w:line="240" w:lineRule="auto" w:before="81"/>
        <w:ind w:left="238" w:right="3282"/>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694"/>
        <w:gridCol w:w="1957"/>
        <w:gridCol w:w="1702"/>
        <w:gridCol w:w="1135"/>
        <w:gridCol w:w="2590"/>
      </w:tblGrid>
      <w:tr>
        <w:trPr>
          <w:trHeight w:val="634"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77"/>
                <w:sz w:val="21"/>
                <w:szCs w:val="21"/>
              </w:rPr>
              <w:t> </w:t>
            </w:r>
            <w:r>
              <w:rPr>
                <w:rFonts w:ascii="宋体" w:hAnsi="宋体" w:cs="宋体" w:eastAsia="宋体" w:hint="default"/>
                <w:spacing w:val="11"/>
                <w:sz w:val="21"/>
                <w:szCs w:val="21"/>
              </w:rPr>
              <w:t>长比</w:t>
            </w:r>
            <w:r>
              <w:rPr>
                <w:rFonts w:ascii="宋体" w:hAnsi="宋体" w:cs="宋体" w:eastAsia="宋体" w:hint="default"/>
                <w:spacing w:val="-77"/>
                <w:sz w:val="21"/>
                <w:szCs w:val="21"/>
              </w:rPr>
              <w:t> </w:t>
            </w:r>
            <w:r>
              <w:rPr>
                <w:rFonts w:ascii="宋体" w:hAnsi="宋体" w:cs="宋体" w:eastAsia="宋体" w:hint="default"/>
                <w:sz w:val="21"/>
                <w:szCs w:val="21"/>
              </w:rPr>
              <w:t>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变动原因</w:t>
            </w:r>
          </w:p>
        </w:tc>
      </w:tr>
    </w:tbl>
    <w:p>
      <w:pPr>
        <w:spacing w:after="0" w:line="240" w:lineRule="auto"/>
        <w:jc w:val="left"/>
        <w:rPr>
          <w:rFonts w:ascii="宋体" w:hAnsi="宋体" w:cs="宋体" w:eastAsia="宋体" w:hint="default"/>
          <w:sz w:val="21"/>
          <w:szCs w:val="21"/>
        </w:rPr>
        <w:sectPr>
          <w:type w:val="continuous"/>
          <w:pgSz w:w="11910" w:h="16840"/>
          <w:pgMar w:top="1580" w:bottom="280" w:left="1560" w:right="1040"/>
        </w:sectPr>
      </w:pPr>
    </w:p>
    <w:p>
      <w:pPr>
        <w:spacing w:line="240" w:lineRule="auto" w:before="10"/>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694"/>
        <w:gridCol w:w="1957"/>
        <w:gridCol w:w="1702"/>
        <w:gridCol w:w="1135"/>
        <w:gridCol w:w="2590"/>
      </w:tblGrid>
      <w:tr>
        <w:trPr>
          <w:trHeight w:val="948"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138,408,077.65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-57,182,000.10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342.05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3"/>
                <w:sz w:val="21"/>
                <w:szCs w:val="21"/>
              </w:rPr>
              <w:t>主要系公司货款回收的增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加，及公司加强应付票据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支付管理所致。</w:t>
            </w:r>
          </w:p>
        </w:tc>
      </w:tr>
      <w:tr>
        <w:trPr>
          <w:trHeight w:val="1258"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-199,976,307.26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-186,992,657.36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-6.94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6"/>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spacing w:val="-76"/>
                <w:sz w:val="21"/>
                <w:szCs w:val="21"/>
              </w:rPr>
              <w:t> </w:t>
            </w:r>
            <w:r>
              <w:rPr>
                <w:rFonts w:ascii="宋体" w:hAnsi="宋体" w:cs="宋体" w:eastAsia="宋体" w:hint="default"/>
                <w:sz w:val="21"/>
                <w:szCs w:val="21"/>
              </w:rPr>
              <w:t>加</w:t>
            </w:r>
            <w:r>
              <w:rPr>
                <w:rFonts w:ascii="宋体" w:hAnsi="宋体" w:cs="宋体" w:eastAsia="宋体" w:hint="default"/>
                <w:spacing w:val="-76"/>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买</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财</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pacing w:val="3"/>
                <w:sz w:val="21"/>
                <w:szCs w:val="21"/>
              </w:rPr>
              <w:t>务、投资联营企业及购置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或形成固定资产、无形资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产的支出所致。</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6"/>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-39,020,805.70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81,893,068.76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-147.65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3"/>
                <w:sz w:val="21"/>
                <w:szCs w:val="21"/>
              </w:rPr>
              <w:t>主要系公司提高承兑汇票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支付的比例故保证金支出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增加所致。</w:t>
            </w:r>
          </w:p>
        </w:tc>
      </w:tr>
    </w:tbl>
    <w:p>
      <w:pPr>
        <w:spacing w:line="240" w:lineRule="auto" w:before="10"/>
        <w:rPr>
          <w:rFonts w:ascii="宋体" w:hAnsi="宋体" w:cs="宋体" w:eastAsia="宋体" w:hint="default"/>
          <w:sz w:val="24"/>
          <w:szCs w:val="24"/>
        </w:rPr>
      </w:pPr>
    </w:p>
    <w:p>
      <w:pPr>
        <w:pStyle w:val="Heading3"/>
        <w:spacing w:line="240" w:lineRule="auto" w:before="36"/>
        <w:ind w:left="238" w:right="0"/>
        <w:jc w:val="left"/>
        <w:rPr>
          <w:b w:val="0"/>
          <w:bCs w:val="0"/>
        </w:rPr>
      </w:pPr>
      <w:r>
        <w:rPr>
          <w:rFonts w:ascii="宋体" w:hAnsi="宋体" w:cs="宋体" w:eastAsia="宋体" w:hint="default"/>
        </w:rPr>
        <w:t>(</w:t>
      </w:r>
      <w:r>
        <w:rPr/>
        <w:t>二</w:t>
      </w:r>
      <w:r>
        <w:rPr>
          <w:rFonts w:ascii="宋体" w:hAnsi="宋体" w:cs="宋体" w:eastAsia="宋体" w:hint="default"/>
        </w:rPr>
        <w:t>)</w:t>
      </w:r>
      <w:r>
        <w:rPr/>
        <w:t>非主营业务导致利润重大变化的说明</w:t>
      </w:r>
      <w:r>
        <w:rPr>
          <w:b w:val="0"/>
          <w:bCs w:val="0"/>
        </w:rPr>
      </w:r>
    </w:p>
    <w:p>
      <w:pPr>
        <w:pStyle w:val="BodyText"/>
        <w:tabs>
          <w:tab w:pos="1080" w:val="left" w:leader="none"/>
        </w:tabs>
        <w:spacing w:line="240" w:lineRule="auto" w:before="97"/>
        <w:ind w:left="2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55" w:footer="979" w:top="1140" w:bottom="1160" w:left="1560" w:right="880"/>
        </w:sectPr>
      </w:pPr>
    </w:p>
    <w:p>
      <w:pPr>
        <w:pStyle w:val="Heading3"/>
        <w:spacing w:line="240" w:lineRule="auto" w:before="36"/>
        <w:ind w:left="238" w:right="-17"/>
        <w:jc w:val="left"/>
        <w:rPr>
          <w:b w:val="0"/>
          <w:bCs w:val="0"/>
        </w:rPr>
      </w:pPr>
      <w:r>
        <w:rPr>
          <w:rFonts w:ascii="宋体" w:hAnsi="宋体" w:cs="宋体" w:eastAsia="宋体" w:hint="default"/>
        </w:rPr>
        <w:t>(</w:t>
      </w:r>
      <w:r>
        <w:rPr/>
        <w:t>三</w:t>
      </w:r>
      <w:r>
        <w:rPr>
          <w:rFonts w:ascii="宋体" w:hAnsi="宋体" w:cs="宋体" w:eastAsia="宋体" w:hint="default"/>
        </w:rPr>
        <w:t>)</w:t>
      </w:r>
      <w:r>
        <w:rPr/>
        <w:t>资产、负债情况分析</w:t>
      </w:r>
      <w:r>
        <w:rPr>
          <w:b w:val="0"/>
          <w:bCs w:val="0"/>
        </w:rPr>
      </w:r>
    </w:p>
    <w:p>
      <w:pPr>
        <w:pStyle w:val="BodyText"/>
        <w:tabs>
          <w:tab w:pos="1183" w:val="left" w:leader="none"/>
        </w:tabs>
        <w:spacing w:line="240" w:lineRule="auto" w:before="97"/>
        <w:ind w:left="238" w:right="-17"/>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pStyle w:val="Heading3"/>
        <w:tabs>
          <w:tab w:pos="662" w:val="left" w:leader="none"/>
        </w:tabs>
        <w:spacing w:line="240" w:lineRule="auto" w:before="82"/>
        <w:ind w:left="238" w:right="-17"/>
        <w:jc w:val="left"/>
        <w:rPr>
          <w:b w:val="0"/>
          <w:bCs w:val="0"/>
        </w:rPr>
      </w:pPr>
      <w:r>
        <w:rPr>
          <w:rFonts w:ascii="Times New Roman" w:hAnsi="Times New Roman" w:cs="Times New Roman" w:eastAsia="Times New Roman" w:hint="default"/>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38" w:right="0"/>
        <w:jc w:val="left"/>
      </w:pPr>
      <w:r>
        <w:rPr/>
        <w:t>单位：元</w:t>
      </w:r>
    </w:p>
    <w:p>
      <w:pPr>
        <w:spacing w:after="0" w:line="240" w:lineRule="auto"/>
        <w:jc w:val="left"/>
        <w:sectPr>
          <w:type w:val="continuous"/>
          <w:pgSz w:w="11910" w:h="16840"/>
          <w:pgMar w:top="1580" w:bottom="280" w:left="1560" w:right="880"/>
          <w:cols w:num="2" w:equalWidth="0">
            <w:col w:w="2562" w:space="5432"/>
            <w:col w:w="1476"/>
          </w:cols>
        </w:sectPr>
      </w:pP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222"/>
        <w:gridCol w:w="1582"/>
        <w:gridCol w:w="1157"/>
        <w:gridCol w:w="1268"/>
        <w:gridCol w:w="1418"/>
        <w:gridCol w:w="1280"/>
        <w:gridCol w:w="1284"/>
      </w:tblGrid>
      <w:tr>
        <w:trPr>
          <w:trHeight w:val="125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51"/>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28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7" w:right="175"/>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Calibri" w:hAnsi="Calibri" w:cs="Calibri" w:eastAsia="Calibri" w:hint="default"/>
                <w:sz w:val="21"/>
                <w:szCs w:val="21"/>
              </w:rPr>
              <w:t>%</w:t>
            </w:r>
            <w:r>
              <w:rPr>
                <w:rFonts w:ascii="宋体" w:hAnsi="宋体" w:cs="宋体" w:eastAsia="宋体" w:hint="default"/>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6"/>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额较上期期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末变动比例</w:t>
            </w:r>
          </w:p>
          <w:p>
            <w:pPr>
              <w:pStyle w:val="TableParagraph"/>
              <w:spacing w:line="240" w:lineRule="auto" w:before="7"/>
              <w:ind w:left="348"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19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0"/>
                <w:sz w:val="21"/>
                <w:szCs w:val="21"/>
              </w:rPr>
              <w:t> </w:t>
            </w:r>
            <w:r>
              <w:rPr>
                <w:rFonts w:ascii="宋体" w:hAnsi="宋体" w:cs="宋体" w:eastAsia="宋体" w:hint="default"/>
                <w:sz w:val="21"/>
                <w:szCs w:val="21"/>
              </w:rPr>
              <w:t>他</w:t>
            </w:r>
            <w:r>
              <w:rPr>
                <w:rFonts w:ascii="宋体" w:hAnsi="宋体" w:cs="宋体" w:eastAsia="宋体" w:hint="default"/>
                <w:spacing w:val="-50"/>
                <w:sz w:val="21"/>
                <w:szCs w:val="21"/>
              </w:rPr>
              <w:t> </w:t>
            </w:r>
            <w:r>
              <w:rPr>
                <w:rFonts w:ascii="宋体" w:hAnsi="宋体" w:cs="宋体" w:eastAsia="宋体" w:hint="default"/>
                <w:sz w:val="21"/>
                <w:szCs w:val="21"/>
              </w:rPr>
              <w:t>非</w:t>
            </w:r>
            <w:r>
              <w:rPr>
                <w:rFonts w:ascii="宋体" w:hAnsi="宋体" w:cs="宋体" w:eastAsia="宋体" w:hint="default"/>
                <w:spacing w:val="-52"/>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17,288,590.48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0.88</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支付尚未完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成工商变更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登记的长期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投资款及购</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买固定资产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款项所致</w:t>
            </w:r>
          </w:p>
        </w:tc>
      </w:tr>
      <w:tr>
        <w:trPr>
          <w:trHeight w:val="2197"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pacing w:val="-50"/>
                <w:sz w:val="21"/>
                <w:szCs w:val="21"/>
              </w:rPr>
              <w:t> </w:t>
            </w:r>
            <w:r>
              <w:rPr>
                <w:rFonts w:ascii="宋体" w:hAnsi="宋体" w:cs="宋体" w:eastAsia="宋体" w:hint="default"/>
                <w:sz w:val="21"/>
                <w:szCs w:val="21"/>
              </w:rPr>
              <w:t>分</w:t>
            </w:r>
            <w:r>
              <w:rPr>
                <w:rFonts w:ascii="宋体" w:hAnsi="宋体" w:cs="宋体" w:eastAsia="宋体" w:hint="default"/>
                <w:spacing w:val="-50"/>
                <w:sz w:val="21"/>
                <w:szCs w:val="21"/>
              </w:rPr>
              <w:t> </w:t>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待</w:t>
            </w:r>
            <w:r>
              <w:rPr>
                <w:rFonts w:ascii="宋体" w:hAnsi="宋体" w:cs="宋体" w:eastAsia="宋体" w:hint="default"/>
                <w:spacing w:val="-50"/>
                <w:sz w:val="21"/>
                <w:szCs w:val="21"/>
              </w:rPr>
              <w:t> </w:t>
            </w:r>
            <w:r>
              <w:rPr>
                <w:rFonts w:ascii="宋体" w:hAnsi="宋体" w:cs="宋体" w:eastAsia="宋体" w:hint="default"/>
                <w:sz w:val="21"/>
                <w:szCs w:val="21"/>
              </w:rPr>
              <w:t>售</w:t>
            </w:r>
            <w:r>
              <w:rPr>
                <w:rFonts w:ascii="宋体" w:hAnsi="宋体" w:cs="宋体" w:eastAsia="宋体" w:hint="default"/>
                <w:spacing w:val="-52"/>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91,480,843.82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4.66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支付尚未完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成工商变更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登记的长期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投资款及购</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买固定资产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款项所致</w:t>
            </w:r>
          </w:p>
        </w:tc>
      </w:tr>
      <w:tr>
        <w:trPr>
          <w:trHeight w:val="946"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0"/>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89,199,109.24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4.54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154,576.56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57,605.46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主要系投资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新设联营企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业所致</w:t>
            </w:r>
          </w:p>
        </w:tc>
      </w:tr>
      <w:tr>
        <w:trPr>
          <w:trHeight w:val="946"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0"/>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207,050,074.30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10.54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309,620.00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66,772.32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期新增长期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收款业务收</w:t>
            </w:r>
          </w:p>
        </w:tc>
      </w:tr>
    </w:tbl>
    <w:p>
      <w:pPr>
        <w:spacing w:after="0" w:line="273" w:lineRule="auto"/>
        <w:jc w:val="both"/>
        <w:rPr>
          <w:rFonts w:ascii="宋体" w:hAnsi="宋体" w:cs="宋体" w:eastAsia="宋体" w:hint="default"/>
          <w:sz w:val="21"/>
          <w:szCs w:val="21"/>
        </w:rPr>
        <w:sectPr>
          <w:type w:val="continuous"/>
          <w:pgSz w:w="11910" w:h="16840"/>
          <w:pgMar w:top="1580" w:bottom="280" w:left="1560" w:right="8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22"/>
        <w:gridCol w:w="1582"/>
        <w:gridCol w:w="1157"/>
        <w:gridCol w:w="1268"/>
        <w:gridCol w:w="1418"/>
        <w:gridCol w:w="1280"/>
        <w:gridCol w:w="1284"/>
      </w:tblGrid>
      <w:tr>
        <w:trPr>
          <w:trHeight w:val="324" w:hRule="exact"/>
        </w:trPr>
        <w:tc>
          <w:tcPr>
            <w:tcW w:w="12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入所致</w:t>
            </w:r>
          </w:p>
        </w:tc>
      </w:tr>
      <w:tr>
        <w:trPr>
          <w:trHeight w:val="281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允</w:t>
            </w:r>
            <w:r>
              <w:rPr>
                <w:rFonts w:ascii="宋体" w:hAnsi="宋体" w:cs="宋体" w:eastAsia="宋体" w:hint="default"/>
                <w:spacing w:val="-52"/>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pacing w:val="-50"/>
                <w:sz w:val="21"/>
                <w:szCs w:val="21"/>
              </w:rPr>
              <w:t> </w:t>
            </w:r>
            <w:r>
              <w:rPr>
                <w:rFonts w:ascii="宋体" w:hAnsi="宋体" w:cs="宋体" w:eastAsia="宋体" w:hint="default"/>
                <w:sz w:val="21"/>
                <w:szCs w:val="21"/>
              </w:rPr>
              <w:t>计</w:t>
            </w:r>
            <w:r>
              <w:rPr>
                <w:rFonts w:ascii="宋体" w:hAnsi="宋体" w:cs="宋体" w:eastAsia="宋体" w:hint="default"/>
                <w:spacing w:val="-50"/>
                <w:sz w:val="21"/>
                <w:szCs w:val="21"/>
              </w:rPr>
              <w:t> </w:t>
            </w:r>
            <w:r>
              <w:rPr>
                <w:rFonts w:ascii="宋体" w:hAnsi="宋体" w:cs="宋体" w:eastAsia="宋体" w:hint="default"/>
                <w:sz w:val="21"/>
                <w:szCs w:val="21"/>
              </w:rPr>
              <w:t>量</w:t>
            </w:r>
            <w:r>
              <w:rPr>
                <w:rFonts w:ascii="宋体" w:hAnsi="宋体" w:cs="宋体" w:eastAsia="宋体" w:hint="default"/>
                <w:spacing w:val="-52"/>
                <w:sz w:val="21"/>
                <w:szCs w:val="21"/>
              </w:rPr>
              <w:t> </w:t>
            </w:r>
            <w:r>
              <w:rPr>
                <w:rFonts w:ascii="宋体" w:hAnsi="宋体" w:cs="宋体" w:eastAsia="宋体" w:hint="default"/>
                <w:sz w:val="21"/>
                <w:szCs w:val="21"/>
              </w:rPr>
              <w:t>且</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spacing w:val="-50"/>
                <w:sz w:val="21"/>
                <w:szCs w:val="21"/>
              </w:rPr>
              <w:t> </w:t>
            </w:r>
            <w:r>
              <w:rPr>
                <w:rFonts w:ascii="宋体" w:hAnsi="宋体" w:cs="宋体" w:eastAsia="宋体" w:hint="default"/>
                <w:sz w:val="21"/>
                <w:szCs w:val="21"/>
              </w:rPr>
              <w:t>变</w:t>
            </w:r>
            <w:r>
              <w:rPr>
                <w:rFonts w:ascii="宋体" w:hAnsi="宋体" w:cs="宋体" w:eastAsia="宋体" w:hint="default"/>
                <w:spacing w:val="-50"/>
                <w:sz w:val="21"/>
                <w:szCs w:val="21"/>
              </w:rPr>
              <w:t> </w:t>
            </w:r>
            <w:r>
              <w:rPr>
                <w:rFonts w:ascii="宋体" w:hAnsi="宋体" w:cs="宋体" w:eastAsia="宋体" w:hint="default"/>
                <w:sz w:val="21"/>
                <w:szCs w:val="21"/>
              </w:rPr>
              <w:t>动</w:t>
            </w:r>
            <w:r>
              <w:rPr>
                <w:rFonts w:ascii="宋体" w:hAnsi="宋体" w:cs="宋体" w:eastAsia="宋体" w:hint="default"/>
                <w:spacing w:val="-52"/>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50"/>
                <w:sz w:val="21"/>
                <w:szCs w:val="21"/>
              </w:rPr>
              <w:t> </w:t>
            </w:r>
            <w:r>
              <w:rPr>
                <w:rFonts w:ascii="宋体" w:hAnsi="宋体" w:cs="宋体" w:eastAsia="宋体" w:hint="default"/>
                <w:sz w:val="21"/>
                <w:szCs w:val="21"/>
              </w:rPr>
              <w:t>当</w:t>
            </w:r>
            <w:r>
              <w:rPr>
                <w:rFonts w:ascii="宋体" w:hAnsi="宋体" w:cs="宋体" w:eastAsia="宋体" w:hint="default"/>
                <w:spacing w:val="-50"/>
                <w:sz w:val="21"/>
                <w:szCs w:val="21"/>
              </w:rPr>
              <w:t> </w:t>
            </w:r>
            <w:r>
              <w:rPr>
                <w:rFonts w:ascii="宋体" w:hAnsi="宋体" w:cs="宋体" w:eastAsia="宋体" w:hint="default"/>
                <w:sz w:val="21"/>
                <w:szCs w:val="21"/>
              </w:rPr>
              <w:t>期</w:t>
            </w:r>
            <w:r>
              <w:rPr>
                <w:rFonts w:ascii="宋体" w:hAnsi="宋体" w:cs="宋体" w:eastAsia="宋体" w:hint="default"/>
                <w:spacing w:val="-52"/>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50"/>
                <w:sz w:val="21"/>
                <w:szCs w:val="21"/>
              </w:rPr>
              <w:t> </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113,710,759.27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z w:val="21"/>
              </w:rPr>
              <w:t>5.79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1,321,283.1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z w:val="21"/>
              </w:rPr>
              <w:t>0.10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8,506.09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98" w:hanging="106"/>
              <w:jc w:val="both"/>
              <w:rPr>
                <w:rFonts w:ascii="宋体" w:hAnsi="宋体" w:cs="宋体" w:eastAsia="宋体" w:hint="default"/>
                <w:sz w:val="21"/>
                <w:szCs w:val="21"/>
              </w:rPr>
            </w:pPr>
            <w:r>
              <w:rPr>
                <w:rFonts w:ascii="宋体" w:hAnsi="宋体" w:cs="宋体" w:eastAsia="宋体" w:hint="default"/>
                <w:spacing w:val="2"/>
                <w:sz w:val="21"/>
                <w:szCs w:val="21"/>
              </w:rPr>
              <w:t>主要系报告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期</w:t>
            </w:r>
            <w:r>
              <w:rPr>
                <w:rFonts w:ascii="宋体" w:hAnsi="宋体" w:cs="宋体" w:eastAsia="宋体" w:hint="default"/>
                <w:spacing w:val="-64"/>
                <w:sz w:val="21"/>
                <w:szCs w:val="21"/>
              </w:rPr>
              <w:t> </w:t>
            </w:r>
            <w:r>
              <w:rPr>
                <w:rFonts w:ascii="宋体" w:hAnsi="宋体" w:cs="宋体" w:eastAsia="宋体" w:hint="default"/>
                <w:sz w:val="21"/>
                <w:szCs w:val="21"/>
              </w:rPr>
              <w:t>短</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具</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活</w:t>
            </w:r>
            <w:r>
              <w:rPr>
                <w:rFonts w:ascii="宋体" w:hAnsi="宋体" w:cs="宋体" w:eastAsia="宋体" w:hint="default"/>
                <w:w w:val="100"/>
                <w:sz w:val="21"/>
                <w:szCs w:val="21"/>
              </w:rPr>
              <w:t> </w:t>
            </w:r>
            <w:r>
              <w:rPr>
                <w:rFonts w:ascii="宋体" w:hAnsi="宋体" w:cs="宋体" w:eastAsia="宋体" w:hint="default"/>
                <w:spacing w:val="-19"/>
                <w:w w:val="100"/>
                <w:sz w:val="21"/>
                <w:szCs w:val="21"/>
              </w:rPr>
              <w:t>跃市场，公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spacing w:val="-64"/>
                <w:sz w:val="21"/>
                <w:szCs w:val="21"/>
              </w:rPr>
              <w:t> </w:t>
            </w:r>
            <w:r>
              <w:rPr>
                <w:rFonts w:ascii="宋体" w:hAnsi="宋体" w:cs="宋体" w:eastAsia="宋体" w:hint="default"/>
                <w:sz w:val="21"/>
                <w:szCs w:val="21"/>
              </w:rPr>
              <w:t>价</w:t>
            </w:r>
            <w:r>
              <w:rPr>
                <w:rFonts w:ascii="宋体" w:hAnsi="宋体" w:cs="宋体" w:eastAsia="宋体" w:hint="default"/>
                <w:spacing w:val="-64"/>
                <w:sz w:val="21"/>
                <w:szCs w:val="21"/>
              </w:rPr>
              <w:t> </w:t>
            </w:r>
            <w:r>
              <w:rPr>
                <w:rFonts w:ascii="宋体" w:hAnsi="宋体" w:cs="宋体" w:eastAsia="宋体" w:hint="default"/>
                <w:sz w:val="21"/>
                <w:szCs w:val="21"/>
              </w:rPr>
              <w:t>值</w:t>
            </w:r>
            <w:r>
              <w:rPr>
                <w:rFonts w:ascii="宋体" w:hAnsi="宋体" w:cs="宋体" w:eastAsia="宋体" w:hint="default"/>
                <w:spacing w:val="-66"/>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够</w:t>
            </w:r>
            <w:r>
              <w:rPr>
                <w:rFonts w:ascii="宋体" w:hAnsi="宋体" w:cs="宋体" w:eastAsia="宋体" w:hint="default"/>
                <w:spacing w:val="-64"/>
                <w:sz w:val="21"/>
                <w:szCs w:val="21"/>
              </w:rPr>
              <w:t> </w:t>
            </w:r>
            <w:r>
              <w:rPr>
                <w:rFonts w:ascii="宋体" w:hAnsi="宋体" w:cs="宋体" w:eastAsia="宋体" w:hint="default"/>
                <w:sz w:val="21"/>
                <w:szCs w:val="21"/>
              </w:rPr>
              <w:t>通</w:t>
            </w:r>
            <w:r>
              <w:rPr>
                <w:rFonts w:ascii="宋体" w:hAnsi="宋体" w:cs="宋体" w:eastAsia="宋体" w:hint="default"/>
                <w:spacing w:val="-64"/>
                <w:sz w:val="21"/>
                <w:szCs w:val="21"/>
              </w:rPr>
              <w:t> </w:t>
            </w:r>
            <w:r>
              <w:rPr>
                <w:rFonts w:ascii="宋体" w:hAnsi="宋体" w:cs="宋体" w:eastAsia="宋体" w:hint="default"/>
                <w:sz w:val="21"/>
                <w:szCs w:val="21"/>
              </w:rPr>
              <w:t>过</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spacing w:val="-64"/>
                <w:sz w:val="21"/>
                <w:szCs w:val="21"/>
              </w:rPr>
              <w:t> </w:t>
            </w:r>
            <w:r>
              <w:rPr>
                <w:rFonts w:ascii="宋体" w:hAnsi="宋体" w:cs="宋体" w:eastAsia="宋体" w:hint="default"/>
                <w:sz w:val="21"/>
                <w:szCs w:val="21"/>
              </w:rPr>
              <w:t>获</w:t>
            </w:r>
            <w:r>
              <w:rPr>
                <w:rFonts w:ascii="宋体" w:hAnsi="宋体" w:cs="宋体" w:eastAsia="宋体" w:hint="default"/>
                <w:spacing w:val="-64"/>
                <w:sz w:val="21"/>
                <w:szCs w:val="21"/>
              </w:rPr>
              <w:t> </w:t>
            </w:r>
            <w:r>
              <w:rPr>
                <w:rFonts w:ascii="宋体" w:hAnsi="宋体" w:cs="宋体" w:eastAsia="宋体" w:hint="default"/>
                <w:sz w:val="21"/>
                <w:szCs w:val="21"/>
              </w:rPr>
              <w:t>取</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融</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157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4,411,849.92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0.22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8,915,733.5</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-50.52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期在建工程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投入使用形</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成固定资产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所致</w:t>
            </w:r>
          </w:p>
        </w:tc>
      </w:tr>
      <w:tr>
        <w:trPr>
          <w:trHeight w:val="188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3,999,134.00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imes New Roman" w:hAnsi="Times New Roman" w:cs="Times New Roman" w:eastAsia="Times New Roman" w:hint="default"/>
                <w:sz w:val="21"/>
                <w:szCs w:val="21"/>
              </w:rPr>
            </w:pPr>
            <w:r>
              <w:rPr>
                <w:rFonts w:ascii="Times New Roman"/>
                <w:sz w:val="21"/>
              </w:rPr>
              <w:t>0.20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574,166.67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0.04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596.51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期内收到递</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延至下个报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告年度确认</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收益的政府</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补助所致</w:t>
            </w:r>
          </w:p>
        </w:tc>
      </w:tr>
      <w:tr>
        <w:trPr>
          <w:trHeight w:val="157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29,798,901.11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1.52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18,921,223.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57.49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主要系研发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的项目仍在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研发阶段，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投入增加所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致</w:t>
            </w:r>
          </w:p>
        </w:tc>
      </w:tr>
      <w:tr>
        <w:trPr>
          <w:trHeight w:val="125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12,602,685.07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0.64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8,664,335.3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0.66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报告期内预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付成本类的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采购款所致</w:t>
            </w:r>
          </w:p>
        </w:tc>
      </w:tr>
      <w:tr>
        <w:trPr>
          <w:trHeight w:val="126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161,404,754.24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8.22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2"/>
                <w:sz w:val="21"/>
              </w:rPr>
              <w:t>115,951,543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8.83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39.20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司福建南威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办公大楼投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入使用所致</w:t>
            </w:r>
          </w:p>
        </w:tc>
      </w:tr>
      <w:tr>
        <w:trPr>
          <w:trHeight w:val="157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278,665,932.12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14.19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208,143,006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15.86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33.88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2"/>
                <w:sz w:val="21"/>
                <w:szCs w:val="21"/>
              </w:rPr>
              <w:t>主要系公司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营业收入增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加，应收款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项相应增加</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所致</w:t>
            </w:r>
          </w:p>
        </w:tc>
      </w:tr>
      <w:tr>
        <w:trPr>
          <w:trHeight w:val="125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0"/>
                <w:sz w:val="21"/>
                <w:szCs w:val="21"/>
              </w:rPr>
              <w:t> </w:t>
            </w:r>
            <w:r>
              <w:rPr>
                <w:rFonts w:ascii="宋体" w:hAnsi="宋体" w:cs="宋体" w:eastAsia="宋体" w:hint="default"/>
                <w:sz w:val="21"/>
                <w:szCs w:val="21"/>
              </w:rPr>
              <w:t>他</w:t>
            </w:r>
            <w:r>
              <w:rPr>
                <w:rFonts w:ascii="宋体" w:hAnsi="宋体" w:cs="宋体" w:eastAsia="宋体" w:hint="default"/>
                <w:spacing w:val="-50"/>
                <w:sz w:val="21"/>
                <w:szCs w:val="21"/>
              </w:rPr>
              <w:t> </w:t>
            </w: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49,211,259.64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2.51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37,044,088.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32.85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主要系项目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投标及履约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保证金增加</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所致</w:t>
            </w:r>
          </w:p>
        </w:tc>
      </w:tr>
      <w:tr>
        <w:trPr>
          <w:trHeight w:val="32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0"/>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待</w:t>
            </w:r>
            <w:r>
              <w:rPr>
                <w:rFonts w:ascii="宋体" w:hAnsi="宋体" w:cs="宋体" w:eastAsia="宋体" w:hint="default"/>
                <w:spacing w:val="-52"/>
                <w:sz w:val="21"/>
                <w:szCs w:val="21"/>
              </w:rPr>
              <w:t> </w:t>
            </w:r>
            <w:r>
              <w:rPr>
                <w:rFonts w:ascii="宋体" w:hAnsi="宋体" w:cs="宋体" w:eastAsia="宋体" w:hint="default"/>
                <w:sz w:val="21"/>
                <w:szCs w:val="21"/>
              </w:rPr>
              <w:t>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209,867.68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0.01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418,118.43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-49.81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主要系报告</w:t>
            </w:r>
          </w:p>
        </w:tc>
      </w:tr>
    </w:tbl>
    <w:p>
      <w:pPr>
        <w:spacing w:after="0" w:line="262" w:lineRule="exact"/>
        <w:jc w:val="left"/>
        <w:rPr>
          <w:rFonts w:ascii="宋体" w:hAnsi="宋体" w:cs="宋体" w:eastAsia="宋体" w:hint="default"/>
          <w:sz w:val="21"/>
          <w:szCs w:val="21"/>
        </w:rPr>
        <w:sectPr>
          <w:pgSz w:w="11910" w:h="16840"/>
          <w:pgMar w:header="855" w:footer="979" w:top="1140" w:bottom="1160" w:left="1580" w:right="8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22"/>
        <w:gridCol w:w="1582"/>
        <w:gridCol w:w="1157"/>
        <w:gridCol w:w="1268"/>
        <w:gridCol w:w="1418"/>
        <w:gridCol w:w="1280"/>
        <w:gridCol w:w="1284"/>
      </w:tblGrid>
      <w:tr>
        <w:trPr>
          <w:trHeight w:val="157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期上期的长</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期待摊费用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项目新增，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报告期进入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摊销期所致</w:t>
            </w:r>
          </w:p>
        </w:tc>
      </w:tr>
      <w:tr>
        <w:trPr>
          <w:trHeight w:val="188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pacing w:val="-50"/>
                <w:sz w:val="21"/>
                <w:szCs w:val="21"/>
              </w:rPr>
              <w:t> </w:t>
            </w:r>
            <w:r>
              <w:rPr>
                <w:rFonts w:ascii="宋体" w:hAnsi="宋体" w:cs="宋体" w:eastAsia="宋体" w:hint="default"/>
                <w:sz w:val="21"/>
                <w:szCs w:val="21"/>
              </w:rPr>
              <w:t>分</w:t>
            </w:r>
            <w:r>
              <w:rPr>
                <w:rFonts w:ascii="宋体" w:hAnsi="宋体" w:cs="宋体" w:eastAsia="宋体" w:hint="default"/>
                <w:spacing w:val="-50"/>
                <w:sz w:val="21"/>
                <w:szCs w:val="21"/>
              </w:rPr>
              <w:t> </w:t>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待</w:t>
            </w:r>
            <w:r>
              <w:rPr>
                <w:rFonts w:ascii="宋体" w:hAnsi="宋体" w:cs="宋体" w:eastAsia="宋体" w:hint="default"/>
                <w:spacing w:val="-50"/>
                <w:sz w:val="21"/>
                <w:szCs w:val="21"/>
              </w:rPr>
              <w:t> </w:t>
            </w:r>
            <w:r>
              <w:rPr>
                <w:rFonts w:ascii="宋体" w:hAnsi="宋体" w:cs="宋体" w:eastAsia="宋体" w:hint="default"/>
                <w:sz w:val="21"/>
                <w:szCs w:val="21"/>
              </w:rPr>
              <w:t>售</w:t>
            </w:r>
            <w:r>
              <w:rPr>
                <w:rFonts w:ascii="宋体" w:hAnsi="宋体" w:cs="宋体" w:eastAsia="宋体" w:hint="default"/>
                <w:spacing w:val="-52"/>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62,378,883.93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1"/>
              <w:jc w:val="right"/>
              <w:rPr>
                <w:rFonts w:ascii="Times New Roman" w:hAnsi="Times New Roman" w:cs="Times New Roman" w:eastAsia="Times New Roman" w:hint="default"/>
                <w:sz w:val="21"/>
                <w:szCs w:val="21"/>
              </w:rPr>
            </w:pPr>
            <w:r>
              <w:rPr>
                <w:rFonts w:ascii="Times New Roman"/>
                <w:sz w:val="21"/>
              </w:rPr>
              <w:t>3.18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主要系持有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已签订出售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股权协议尚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未完成出售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的控股子公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司负债所致</w:t>
            </w:r>
          </w:p>
        </w:tc>
      </w:tr>
      <w:tr>
        <w:trPr>
          <w:trHeight w:val="219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0"/>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81,142,857.14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主要系报告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期明股实债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的投资人投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入的本息合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计所形成的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长</w:t>
            </w:r>
            <w:r>
              <w:rPr>
                <w:rFonts w:ascii="宋体" w:hAnsi="宋体" w:cs="宋体" w:eastAsia="宋体" w:hint="default"/>
                <w:spacing w:val="-30"/>
                <w:sz w:val="21"/>
                <w:szCs w:val="21"/>
              </w:rPr>
              <w:t> </w:t>
            </w:r>
            <w:r>
              <w:rPr>
                <w:rFonts w:ascii="宋体" w:hAnsi="宋体" w:cs="宋体" w:eastAsia="宋体" w:hint="default"/>
                <w:sz w:val="21"/>
                <w:szCs w:val="21"/>
              </w:rPr>
              <w:t>期</w:t>
            </w:r>
            <w:r>
              <w:rPr>
                <w:rFonts w:ascii="宋体" w:hAnsi="宋体" w:cs="宋体" w:eastAsia="宋体" w:hint="default"/>
                <w:spacing w:val="-28"/>
                <w:sz w:val="21"/>
                <w:szCs w:val="21"/>
              </w:rPr>
              <w:t> </w:t>
            </w:r>
            <w:r>
              <w:rPr>
                <w:rFonts w:ascii="宋体" w:hAnsi="宋体" w:cs="宋体" w:eastAsia="宋体" w:hint="default"/>
                <w:sz w:val="21"/>
                <w:szCs w:val="21"/>
              </w:rPr>
              <w:t>应</w:t>
            </w:r>
            <w:r>
              <w:rPr>
                <w:rFonts w:ascii="宋体" w:hAnsi="宋体" w:cs="宋体" w:eastAsia="宋体" w:hint="default"/>
                <w:spacing w:val="-30"/>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p>
        </w:tc>
      </w:tr>
      <w:tr>
        <w:trPr>
          <w:trHeight w:val="125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238,486,982.59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12.14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10,032,833.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0.76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2,277.07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期内未支付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银行汇票所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致</w:t>
            </w:r>
          </w:p>
        </w:tc>
      </w:tr>
      <w:tr>
        <w:trPr>
          <w:trHeight w:val="125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56,972,058.15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2.90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9,683,268.1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0.74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488.36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期收入增加</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相应增加应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缴税金所致</w:t>
            </w:r>
          </w:p>
        </w:tc>
      </w:tr>
      <w:tr>
        <w:trPr>
          <w:trHeight w:val="125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286,895,744.76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14.60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147,454,646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11.23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94.57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主要系公司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项目建设增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加成本类的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采购款所致</w:t>
            </w:r>
          </w:p>
        </w:tc>
      </w:tr>
      <w:tr>
        <w:trPr>
          <w:trHeight w:val="126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2,773,660.9</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主要系报告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期无短期借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款</w:t>
            </w:r>
            <w:r>
              <w:rPr>
                <w:rFonts w:ascii="宋体" w:hAnsi="宋体" w:cs="宋体" w:eastAsia="宋体" w:hint="default"/>
                <w:spacing w:val="-30"/>
                <w:sz w:val="21"/>
                <w:szCs w:val="21"/>
              </w:rPr>
              <w:t> </w:t>
            </w:r>
            <w:r>
              <w:rPr>
                <w:rFonts w:ascii="宋体" w:hAnsi="宋体" w:cs="宋体" w:eastAsia="宋体" w:hint="default"/>
                <w:sz w:val="21"/>
                <w:szCs w:val="21"/>
              </w:rPr>
              <w:t>偿</w:t>
            </w:r>
            <w:r>
              <w:rPr>
                <w:rFonts w:ascii="宋体" w:hAnsi="宋体" w:cs="宋体" w:eastAsia="宋体" w:hint="default"/>
                <w:spacing w:val="-28"/>
                <w:sz w:val="21"/>
                <w:szCs w:val="21"/>
              </w:rPr>
              <w:t> </w:t>
            </w:r>
            <w:r>
              <w:rPr>
                <w:rFonts w:ascii="宋体" w:hAnsi="宋体" w:cs="宋体" w:eastAsia="宋体" w:hint="default"/>
                <w:sz w:val="21"/>
                <w:szCs w:val="21"/>
              </w:rPr>
              <w:t>还</w:t>
            </w:r>
            <w:r>
              <w:rPr>
                <w:rFonts w:ascii="宋体" w:hAnsi="宋体" w:cs="宋体" w:eastAsia="宋体" w:hint="default"/>
                <w:spacing w:val="-30"/>
                <w:sz w:val="21"/>
                <w:szCs w:val="21"/>
              </w:rPr>
              <w:t> </w:t>
            </w:r>
            <w:r>
              <w:rPr>
                <w:rFonts w:ascii="宋体" w:hAnsi="宋体" w:cs="宋体" w:eastAsia="宋体" w:hint="default"/>
                <w:sz w:val="21"/>
                <w:szCs w:val="21"/>
              </w:rPr>
              <w:t>义</w:t>
            </w:r>
            <w:r>
              <w:rPr>
                <w:rFonts w:ascii="宋体" w:hAnsi="宋体" w:cs="宋体" w:eastAsia="宋体" w:hint="default"/>
                <w:w w:val="100"/>
                <w:sz w:val="21"/>
                <w:szCs w:val="21"/>
              </w:rPr>
              <w:t> </w:t>
            </w:r>
            <w:r>
              <w:rPr>
                <w:rFonts w:ascii="宋体" w:hAnsi="宋体" w:cs="宋体" w:eastAsia="宋体" w:hint="default"/>
                <w:sz w:val="21"/>
                <w:szCs w:val="21"/>
              </w:rPr>
              <w:t>务。</w:t>
            </w:r>
          </w:p>
        </w:tc>
      </w:tr>
    </w:tbl>
    <w:p>
      <w:pPr>
        <w:spacing w:line="240" w:lineRule="auto" w:before="10"/>
        <w:rPr>
          <w:rFonts w:ascii="Times New Roman" w:hAnsi="Times New Roman" w:cs="Times New Roman" w:eastAsia="Times New Roman" w:hint="default"/>
          <w:sz w:val="22"/>
          <w:szCs w:val="22"/>
        </w:rPr>
      </w:pPr>
    </w:p>
    <w:p>
      <w:pPr>
        <w:pStyle w:val="BodyText"/>
        <w:spacing w:line="273" w:lineRule="auto" w:before="36"/>
        <w:ind w:right="8368"/>
        <w:jc w:val="left"/>
      </w:pPr>
      <w:r>
        <w:rPr/>
        <w:t>其他说明</w:t>
      </w:r>
      <w:r>
        <w:rPr>
          <w:w w:val="100"/>
        </w:rPr>
        <w:t> </w:t>
      </w:r>
      <w:r>
        <w:rPr/>
        <w:t>无</w:t>
      </w:r>
    </w:p>
    <w:p>
      <w:pPr>
        <w:spacing w:line="240" w:lineRule="auto" w:before="0"/>
        <w:rPr>
          <w:rFonts w:ascii="宋体" w:hAnsi="宋体" w:cs="宋体" w:eastAsia="宋体" w:hint="default"/>
          <w:sz w:val="29"/>
          <w:szCs w:val="29"/>
        </w:rPr>
      </w:pPr>
    </w:p>
    <w:p>
      <w:pPr>
        <w:pStyle w:val="Heading3"/>
        <w:tabs>
          <w:tab w:pos="642" w:val="left" w:leader="none"/>
        </w:tabs>
        <w:spacing w:line="240" w:lineRule="auto"/>
        <w:ind w:right="0"/>
        <w:jc w:val="left"/>
        <w:rPr>
          <w:b w:val="0"/>
          <w:bCs w:val="0"/>
        </w:rPr>
      </w:pPr>
      <w:r>
        <w:rPr>
          <w:rFonts w:ascii="Times New Roman" w:hAnsi="Times New Roman" w:cs="Times New Roman" w:eastAsia="Times New Roman" w:hint="default"/>
        </w:rPr>
        <w:t>2.</w:t>
        <w:tab/>
      </w:r>
      <w:r>
        <w:rPr/>
        <w:t>截至报告期末主要资产受限情况</w:t>
      </w:r>
      <w:r>
        <w:rPr>
          <w:b w:val="0"/>
          <w:bCs w:val="0"/>
        </w:rPr>
      </w:r>
    </w:p>
    <w:p>
      <w:pPr>
        <w:pStyle w:val="BodyText"/>
        <w:tabs>
          <w:tab w:pos="1057" w:val="left" w:leader="none"/>
        </w:tabs>
        <w:spacing w:line="240" w:lineRule="auto" w:before="81"/>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8"/>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3" w:right="0"/>
              <w:jc w:val="left"/>
              <w:rPr>
                <w:rFonts w:ascii="Times New Roman" w:hAnsi="Times New Roman" w:cs="Times New Roman" w:eastAsia="Times New Roman" w:hint="default"/>
                <w:sz w:val="21"/>
                <w:szCs w:val="21"/>
              </w:rPr>
            </w:pPr>
            <w:r>
              <w:rPr>
                <w:rFonts w:ascii="Times New Roman"/>
                <w:sz w:val="21"/>
              </w:rPr>
              <w:t>62,113,402.27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宋体" w:hAnsi="宋体" w:cs="宋体" w:eastAsia="宋体" w:hint="default"/>
                <w:sz w:val="21"/>
                <w:szCs w:val="21"/>
              </w:rPr>
              <w:t>楼银行授信抵押、</w:t>
            </w:r>
          </w:p>
        </w:tc>
      </w:tr>
    </w:tbl>
    <w:p>
      <w:pPr>
        <w:spacing w:after="0" w:line="289" w:lineRule="exact"/>
        <w:jc w:val="left"/>
        <w:rPr>
          <w:rFonts w:ascii="宋体" w:hAnsi="宋体" w:cs="宋体" w:eastAsia="宋体" w:hint="default"/>
          <w:sz w:val="21"/>
          <w:szCs w:val="21"/>
        </w:rPr>
        <w:sectPr>
          <w:pgSz w:w="11910" w:h="16840"/>
          <w:pgMar w:header="855" w:footer="979" w:top="1140" w:bottom="1160" w:left="1580" w:right="880"/>
        </w:sectPr>
      </w:pPr>
    </w:p>
    <w:p>
      <w:pPr>
        <w:spacing w:line="240" w:lineRule="auto" w:before="10"/>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324"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产权证正在办理</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1" w:right="0"/>
              <w:jc w:val="left"/>
              <w:rPr>
                <w:rFonts w:ascii="Times New Roman" w:hAnsi="Times New Roman" w:cs="Times New Roman" w:eastAsia="Times New Roman" w:hint="default"/>
                <w:sz w:val="21"/>
                <w:szCs w:val="21"/>
              </w:rPr>
            </w:pPr>
            <w:r>
              <w:rPr>
                <w:rFonts w:ascii="Times New Roman"/>
                <w:sz w:val="21"/>
              </w:rPr>
              <w:t>26,501,190.44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1" w:right="0"/>
              <w:jc w:val="left"/>
              <w:rPr>
                <w:rFonts w:ascii="Times New Roman" w:hAnsi="Times New Roman" w:cs="Times New Roman" w:eastAsia="Times New Roman" w:hint="default"/>
                <w:sz w:val="21"/>
                <w:szCs w:val="21"/>
              </w:rPr>
            </w:pPr>
            <w:r>
              <w:rPr>
                <w:rFonts w:ascii="Times New Roman"/>
                <w:sz w:val="21"/>
              </w:rPr>
              <w:t>37,383,008.92</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63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61" w:right="0"/>
              <w:jc w:val="left"/>
              <w:rPr>
                <w:rFonts w:ascii="Times New Roman" w:hAnsi="Times New Roman" w:cs="Times New Roman" w:eastAsia="Times New Roman" w:hint="default"/>
                <w:sz w:val="21"/>
                <w:szCs w:val="21"/>
              </w:rPr>
            </w:pPr>
            <w:r>
              <w:rPr>
                <w:rFonts w:ascii="Times New Roman"/>
                <w:sz w:val="21"/>
              </w:rPr>
              <w:t>30,129,707.66</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39"/>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宋体" w:hAnsi="宋体" w:cs="宋体" w:eastAsia="宋体" w:hint="default"/>
                <w:sz w:val="21"/>
                <w:szCs w:val="21"/>
              </w:rPr>
              <w:t>楼银行授信抵押、</w:t>
            </w:r>
            <w:r>
              <w:rPr>
                <w:rFonts w:ascii="宋体" w:hAnsi="宋体" w:cs="宋体" w:eastAsia="宋体" w:hint="default"/>
                <w:w w:val="100"/>
                <w:sz w:val="21"/>
                <w:szCs w:val="21"/>
              </w:rPr>
              <w:t> </w:t>
            </w:r>
            <w:r>
              <w:rPr>
                <w:rFonts w:ascii="宋体" w:hAnsi="宋体" w:cs="宋体" w:eastAsia="宋体" w:hint="default"/>
                <w:sz w:val="21"/>
                <w:szCs w:val="21"/>
              </w:rPr>
              <w:t>产权证正在办理</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08" w:right="0"/>
              <w:jc w:val="left"/>
              <w:rPr>
                <w:rFonts w:ascii="Times New Roman" w:hAnsi="Times New Roman" w:cs="Times New Roman" w:eastAsia="Times New Roman" w:hint="default"/>
                <w:sz w:val="21"/>
                <w:szCs w:val="21"/>
              </w:rPr>
            </w:pPr>
            <w:r>
              <w:rPr>
                <w:rFonts w:ascii="Times New Roman"/>
                <w:sz w:val="21"/>
              </w:rPr>
              <w:t>156,127,309.29</w:t>
            </w:r>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6"/>
        <w:ind w:right="0"/>
        <w:jc w:val="both"/>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5"/>
        </w:rPr>
        <w:t> </w:t>
      </w:r>
      <w:r>
        <w:rPr/>
        <w:t>其他说明</w:t>
      </w:r>
      <w:r>
        <w:rPr>
          <w:b w:val="0"/>
          <w:bCs w:val="0"/>
        </w:rPr>
      </w:r>
    </w:p>
    <w:p>
      <w:pPr>
        <w:pStyle w:val="BodyText"/>
        <w:spacing w:line="240" w:lineRule="auto" w:before="81"/>
        <w:ind w:right="0"/>
        <w:jc w:val="both"/>
      </w:pPr>
      <w:r>
        <w:rPr/>
        <w:t>□适用  </w:t>
      </w:r>
      <w:r>
        <w:rPr>
          <w:spacing w:val="1"/>
        </w:rPr>
        <w:t> </w:t>
      </w:r>
      <w:r>
        <w:rPr/>
        <w:t>√不适用</w:t>
      </w:r>
    </w:p>
    <w:p>
      <w:pPr>
        <w:spacing w:line="240" w:lineRule="auto" w:before="0"/>
        <w:rPr>
          <w:rFonts w:ascii="宋体" w:hAnsi="宋体" w:cs="宋体" w:eastAsia="宋体" w:hint="default"/>
          <w:sz w:val="20"/>
          <w:szCs w:val="20"/>
        </w:rPr>
      </w:pPr>
    </w:p>
    <w:p>
      <w:pPr>
        <w:pStyle w:val="Heading3"/>
        <w:spacing w:line="240" w:lineRule="auto" w:before="148"/>
        <w:ind w:right="0"/>
        <w:jc w:val="both"/>
        <w:rPr>
          <w:b w:val="0"/>
          <w:bCs w:val="0"/>
        </w:rPr>
      </w:pPr>
      <w:r>
        <w:rPr>
          <w:rFonts w:ascii="宋体" w:hAnsi="宋体" w:cs="宋体" w:eastAsia="宋体" w:hint="default"/>
        </w:rPr>
        <w:t>(</w:t>
      </w:r>
      <w:r>
        <w:rPr/>
        <w:t>四</w:t>
      </w:r>
      <w:r>
        <w:rPr>
          <w:rFonts w:ascii="宋体" w:hAnsi="宋体" w:cs="宋体" w:eastAsia="宋体" w:hint="default"/>
        </w:rPr>
        <w:t>)</w:t>
      </w:r>
      <w:r>
        <w:rPr/>
        <w:t>行业经营性信息分析</w:t>
      </w:r>
      <w:r>
        <w:rPr>
          <w:b w:val="0"/>
          <w:bCs w:val="0"/>
        </w:rPr>
      </w:r>
    </w:p>
    <w:p>
      <w:pPr>
        <w:pStyle w:val="BodyText"/>
        <w:spacing w:line="240" w:lineRule="auto" w:before="97"/>
        <w:ind w:right="0"/>
        <w:jc w:val="both"/>
      </w:pPr>
      <w:r>
        <w:rPr/>
        <w:t>√适用  </w:t>
      </w:r>
      <w:r>
        <w:rPr>
          <w:spacing w:val="1"/>
        </w:rPr>
        <w:t> </w:t>
      </w:r>
      <w:r>
        <w:rPr/>
        <w:t>□不适用</w:t>
      </w:r>
    </w:p>
    <w:p>
      <w:pPr>
        <w:spacing w:line="297" w:lineRule="auto" w:before="92"/>
        <w:ind w:left="63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、政策导向推动明显，行业趋势持续向好</w:t>
      </w:r>
      <w:r>
        <w:rPr>
          <w:rFonts w:ascii="宋体" w:hAnsi="宋体" w:cs="宋体" w:eastAsia="宋体" w:hint="default"/>
          <w:b/>
          <w:bCs/>
          <w:w w:val="100"/>
          <w:sz w:val="21"/>
          <w:szCs w:val="21"/>
        </w:rPr>
        <w:t> </w:t>
      </w:r>
      <w:r>
        <w:rPr>
          <w:rFonts w:ascii="宋体" w:hAnsi="宋体" w:cs="宋体" w:eastAsia="宋体" w:hint="default"/>
          <w:spacing w:val="-1"/>
          <w:sz w:val="21"/>
          <w:szCs w:val="21"/>
        </w:rPr>
        <w:t>在智慧城市领域，十九大报告中提出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网络强国、数字中国、平安中国、智慧社会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等理念，</w:t>
      </w:r>
    </w:p>
    <w:p>
      <w:pPr>
        <w:pStyle w:val="BodyText"/>
        <w:spacing w:line="297" w:lineRule="auto" w:before="13"/>
        <w:ind w:right="128"/>
        <w:jc w:val="both"/>
      </w:pPr>
      <w:r>
        <w:rPr>
          <w:spacing w:val="-8"/>
          <w:w w:val="100"/>
        </w:rPr>
        <w:t>为智慧城市建设提出并明确了发展路径。《</w:t>
      </w:r>
      <w:r>
        <w:rPr>
          <w:rFonts w:ascii="Times New Roman" w:hAnsi="Times New Roman" w:cs="Times New Roman" w:eastAsia="Times New Roman" w:hint="default"/>
          <w:spacing w:val="-8"/>
          <w:w w:val="100"/>
        </w:rPr>
        <w:t>“</w:t>
      </w:r>
      <w:r>
        <w:rPr>
          <w:spacing w:val="-8"/>
          <w:w w:val="100"/>
        </w:rPr>
        <w:t>十三五</w:t>
      </w:r>
      <w:r>
        <w:rPr>
          <w:rFonts w:ascii="Times New Roman" w:hAnsi="Times New Roman" w:cs="Times New Roman" w:eastAsia="Times New Roman" w:hint="default"/>
          <w:spacing w:val="-8"/>
          <w:w w:val="100"/>
        </w:rPr>
        <w:t>”</w:t>
      </w:r>
      <w:r>
        <w:rPr>
          <w:spacing w:val="-8"/>
          <w:w w:val="100"/>
        </w:rPr>
        <w:t>国家信息化规划》中提出</w:t>
      </w:r>
      <w:r>
        <w:rPr>
          <w:rFonts w:ascii="Times New Roman" w:hAnsi="Times New Roman" w:cs="Times New Roman" w:eastAsia="Times New Roman" w:hint="default"/>
          <w:spacing w:val="-8"/>
          <w:w w:val="100"/>
        </w:rPr>
        <w:t>“</w:t>
      </w:r>
      <w:r>
        <w:rPr>
          <w:spacing w:val="-8"/>
          <w:w w:val="100"/>
        </w:rPr>
        <w:t>加快新型城市建设，</w:t>
      </w:r>
      <w:r>
        <w:rPr>
          <w:spacing w:val="-76"/>
          <w:w w:val="100"/>
        </w:rPr>
        <w:t> </w:t>
      </w:r>
      <w:r>
        <w:rPr>
          <w:spacing w:val="-76"/>
          <w:w w:val="100"/>
        </w:rPr>
      </w:r>
      <w:r>
        <w:rPr>
          <w:spacing w:val="-4"/>
        </w:rPr>
        <w:t>加强现代信息基础设施建设，推进大数据和物联网发展，建设智慧城市</w:t>
      </w:r>
      <w:r>
        <w:rPr>
          <w:rFonts w:ascii="Times New Roman" w:hAnsi="Times New Roman" w:cs="Times New Roman" w:eastAsia="Times New Roman" w:hint="default"/>
          <w:spacing w:val="-4"/>
        </w:rPr>
        <w:t>”</w:t>
      </w:r>
      <w:r>
        <w:rPr>
          <w:spacing w:val="-4"/>
        </w:rPr>
        <w:t>。将新型智慧城市作为十</w:t>
      </w:r>
      <w:r>
        <w:rPr>
          <w:spacing w:val="-23"/>
        </w:rPr>
        <w:t> </w:t>
      </w:r>
      <w:r>
        <w:rPr>
          <w:spacing w:val="-23"/>
        </w:rPr>
      </w:r>
      <w:r>
        <w:rPr/>
        <w:t>二大优先行动计划之一，明确了</w:t>
      </w:r>
      <w:r>
        <w:rPr>
          <w:spacing w:val="-52"/>
        </w:rPr>
        <w:t> </w:t>
      </w:r>
      <w:r>
        <w:rPr>
          <w:rFonts w:ascii="Times New Roman" w:hAnsi="Times New Roman" w:cs="Times New Roman" w:eastAsia="Times New Roman" w:hint="default"/>
        </w:rPr>
        <w:t>2018 </w:t>
      </w:r>
      <w:r>
        <w:rPr/>
        <w:t>年和</w:t>
      </w:r>
      <w:r>
        <w:rPr>
          <w:spacing w:val="-52"/>
        </w:rPr>
        <w:t> </w:t>
      </w:r>
      <w:r>
        <w:rPr>
          <w:rFonts w:ascii="Times New Roman" w:hAnsi="Times New Roman" w:cs="Times New Roman" w:eastAsia="Times New Roman" w:hint="default"/>
        </w:rPr>
        <w:t>2020 </w:t>
      </w:r>
      <w:r>
        <w:rPr/>
        <w:t>年新型智慧城市的发展目标，提供建设方法和推</w:t>
      </w:r>
      <w:r>
        <w:rPr>
          <w:w w:val="100"/>
        </w:rPr>
        <w:t> </w:t>
      </w:r>
      <w:r>
        <w:rPr/>
        <w:t>进路径，从实施层面为新型智慧城市建设指明了方向和关键环节，政策利好十分明显。</w:t>
      </w:r>
    </w:p>
    <w:p>
      <w:pPr>
        <w:pStyle w:val="BodyText"/>
        <w:spacing w:line="240" w:lineRule="auto" w:before="35"/>
        <w:ind w:left="0" w:right="130"/>
        <w:jc w:val="right"/>
      </w:pPr>
      <w:r>
        <w:rPr>
          <w:w w:val="100"/>
        </w:rPr>
        <w:t>在智</w:t>
      </w:r>
      <w:r>
        <w:rPr>
          <w:spacing w:val="-3"/>
          <w:w w:val="100"/>
        </w:rPr>
        <w:t>慧</w:t>
      </w:r>
      <w:r>
        <w:rPr>
          <w:w w:val="100"/>
        </w:rPr>
        <w:t>政</w:t>
      </w:r>
      <w:r>
        <w:rPr>
          <w:spacing w:val="-3"/>
          <w:w w:val="100"/>
        </w:rPr>
        <w:t>务</w:t>
      </w:r>
      <w:r>
        <w:rPr>
          <w:w w:val="100"/>
        </w:rPr>
        <w:t>领</w:t>
      </w:r>
      <w:r>
        <w:rPr>
          <w:spacing w:val="-3"/>
          <w:w w:val="100"/>
        </w:rPr>
        <w:t>域</w:t>
      </w:r>
      <w:r>
        <w:rPr>
          <w:w w:val="100"/>
        </w:rPr>
        <w:t>，从</w:t>
      </w:r>
      <w:r>
        <w:rPr>
          <w:spacing w:val="-36"/>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spacing w:val="17"/>
        </w:rPr>
        <w:t> </w:t>
      </w:r>
      <w:r>
        <w:rPr>
          <w:w w:val="100"/>
        </w:rPr>
        <w:t>年的</w:t>
      </w:r>
      <w:r>
        <w:rPr>
          <w:spacing w:val="-3"/>
          <w:w w:val="100"/>
        </w:rPr>
        <w:t>《</w:t>
      </w:r>
      <w:r>
        <w:rPr>
          <w:w w:val="100"/>
        </w:rPr>
        <w:t>推</w:t>
      </w:r>
      <w:r>
        <w:rPr>
          <w:spacing w:val="-3"/>
          <w:w w:val="100"/>
        </w:rPr>
        <w:t>进</w:t>
      </w:r>
      <w:r>
        <w:rPr>
          <w:rFonts w:ascii="Times New Roman" w:hAnsi="Times New Roman" w:cs="Times New Roman" w:eastAsia="Times New Roman" w:hint="default"/>
          <w:spacing w:val="-1"/>
          <w:w w:val="100"/>
        </w:rPr>
        <w:t>“</w:t>
      </w:r>
      <w:r>
        <w:rPr>
          <w:spacing w:val="-3"/>
          <w:w w:val="100"/>
        </w:rPr>
        <w:t>互</w:t>
      </w:r>
      <w:r>
        <w:rPr>
          <w:w w:val="100"/>
        </w:rPr>
        <w:t>联</w:t>
      </w:r>
      <w:r>
        <w:rPr>
          <w:spacing w:val="-3"/>
          <w:w w:val="100"/>
        </w:rPr>
        <w:t>网</w:t>
      </w:r>
      <w:r>
        <w:rPr>
          <w:w w:val="100"/>
        </w:rPr>
        <w:t>＋</w:t>
      </w:r>
      <w:r>
        <w:rPr>
          <w:spacing w:val="-3"/>
          <w:w w:val="100"/>
        </w:rPr>
        <w:t>政务</w:t>
      </w:r>
      <w:r>
        <w:rPr>
          <w:rFonts w:ascii="Times New Roman" w:hAnsi="Times New Roman" w:cs="Times New Roman" w:eastAsia="Times New Roman" w:hint="default"/>
          <w:spacing w:val="-1"/>
          <w:w w:val="100"/>
        </w:rPr>
        <w:t>”</w:t>
      </w:r>
      <w:r>
        <w:rPr>
          <w:w w:val="100"/>
        </w:rPr>
        <w:t>开</w:t>
      </w:r>
      <w:r>
        <w:rPr>
          <w:spacing w:val="-3"/>
          <w:w w:val="100"/>
        </w:rPr>
        <w:t>展</w:t>
      </w:r>
      <w:r>
        <w:rPr>
          <w:w w:val="100"/>
        </w:rPr>
        <w:t>信</w:t>
      </w:r>
      <w:r>
        <w:rPr>
          <w:spacing w:val="-3"/>
          <w:w w:val="100"/>
        </w:rPr>
        <w:t>息</w:t>
      </w:r>
      <w:r>
        <w:rPr>
          <w:w w:val="100"/>
        </w:rPr>
        <w:t>惠</w:t>
      </w:r>
      <w:r>
        <w:rPr>
          <w:spacing w:val="-3"/>
          <w:w w:val="100"/>
        </w:rPr>
        <w:t>民</w:t>
      </w:r>
      <w:r>
        <w:rPr>
          <w:w w:val="100"/>
        </w:rPr>
        <w:t>试</w:t>
      </w:r>
      <w:r>
        <w:rPr>
          <w:spacing w:val="-3"/>
          <w:w w:val="100"/>
        </w:rPr>
        <w:t>点</w:t>
      </w:r>
      <w:r>
        <w:rPr>
          <w:w w:val="100"/>
        </w:rPr>
        <w:t>实</w:t>
      </w:r>
      <w:r>
        <w:rPr>
          <w:spacing w:val="-3"/>
          <w:w w:val="100"/>
        </w:rPr>
        <w:t>施方</w:t>
      </w:r>
      <w:r>
        <w:rPr>
          <w:w w:val="100"/>
        </w:rPr>
        <w:t>案</w:t>
      </w:r>
      <w:r>
        <w:rPr>
          <w:spacing w:val="-106"/>
          <w:w w:val="100"/>
        </w:rPr>
        <w:t>》</w:t>
      </w:r>
      <w:r>
        <w:rPr>
          <w:spacing w:val="-3"/>
          <w:w w:val="100"/>
        </w:rPr>
        <w:t>（</w:t>
      </w:r>
      <w:r>
        <w:rPr>
          <w:w w:val="100"/>
        </w:rPr>
        <w:t>国</w:t>
      </w:r>
      <w:r>
        <w:rPr>
          <w:spacing w:val="-3"/>
          <w:w w:val="100"/>
        </w:rPr>
        <w:t>办</w:t>
      </w:r>
      <w:r>
        <w:rPr>
          <w:w w:val="100"/>
        </w:rPr>
        <w:t>发</w:t>
      </w:r>
    </w:p>
    <w:p>
      <w:pPr>
        <w:pStyle w:val="BodyText"/>
        <w:spacing w:line="297" w:lineRule="auto" w:before="69"/>
        <w:ind w:right="127"/>
        <w:jc w:val="both"/>
      </w:pPr>
      <w:r>
        <w:rPr>
          <w:spacing w:val="-1"/>
          <w:w w:val="100"/>
        </w:rPr>
        <w:t>〔</w:t>
      </w:r>
      <w:r>
        <w:rPr>
          <w:rFonts w:ascii="Times New Roman" w:hAnsi="Times New Roman" w:cs="Times New Roman" w:eastAsia="Times New Roman" w:hint="default"/>
          <w:w w:val="100"/>
        </w:rPr>
        <w:t>2016</w:t>
      </w:r>
      <w:r>
        <w:rPr>
          <w:w w:val="100"/>
        </w:rPr>
        <w:t>〕</w:t>
      </w:r>
      <w:r>
        <w:rPr>
          <w:rFonts w:ascii="Times New Roman" w:hAnsi="Times New Roman" w:cs="Times New Roman" w:eastAsia="Times New Roman" w:hint="default"/>
          <w:w w:val="100"/>
        </w:rPr>
        <w:t>23</w:t>
      </w:r>
      <w:r>
        <w:rPr>
          <w:rFonts w:ascii="Times New Roman" w:hAnsi="Times New Roman" w:cs="Times New Roman" w:eastAsia="Times New Roman" w:hint="default"/>
        </w:rPr>
        <w:t>  </w:t>
      </w:r>
      <w:r>
        <w:rPr>
          <w:spacing w:val="-3"/>
          <w:w w:val="100"/>
        </w:rPr>
        <w:t>号</w:t>
      </w:r>
      <w:r>
        <w:rPr>
          <w:spacing w:val="-106"/>
          <w:w w:val="100"/>
        </w:rPr>
        <w:t>）</w:t>
      </w:r>
      <w:r>
        <w:rPr>
          <w:spacing w:val="-104"/>
          <w:w w:val="100"/>
        </w:rPr>
        <w:t>、</w:t>
      </w:r>
      <w:r>
        <w:rPr>
          <w:w w:val="100"/>
        </w:rPr>
        <w:t>《国</w:t>
      </w:r>
      <w:r>
        <w:rPr>
          <w:spacing w:val="-3"/>
          <w:w w:val="100"/>
        </w:rPr>
        <w:t>务院</w:t>
      </w:r>
      <w:r>
        <w:rPr>
          <w:w w:val="100"/>
        </w:rPr>
        <w:t>关于加快推进</w:t>
      </w:r>
      <w:r>
        <w:rPr>
          <w:rFonts w:ascii="Times New Roman" w:hAnsi="Times New Roman" w:cs="Times New Roman" w:eastAsia="Times New Roman" w:hint="default"/>
          <w:spacing w:val="-1"/>
          <w:w w:val="100"/>
        </w:rPr>
        <w:t>“</w:t>
      </w:r>
      <w:r>
        <w:rPr>
          <w:w w:val="100"/>
        </w:rPr>
        <w:t>互联网＋</w:t>
      </w:r>
      <w:r>
        <w:rPr>
          <w:spacing w:val="-3"/>
          <w:w w:val="100"/>
        </w:rPr>
        <w:t>政</w:t>
      </w:r>
      <w:r>
        <w:rPr>
          <w:w w:val="100"/>
        </w:rPr>
        <w:t>务服务</w:t>
      </w:r>
      <w:r>
        <w:rPr>
          <w:rFonts w:ascii="Times New Roman" w:hAnsi="Times New Roman" w:cs="Times New Roman" w:eastAsia="Times New Roman" w:hint="default"/>
          <w:spacing w:val="-1"/>
          <w:w w:val="100"/>
        </w:rPr>
        <w:t>”</w:t>
      </w:r>
      <w:r>
        <w:rPr>
          <w:w w:val="100"/>
        </w:rPr>
        <w:t>工作的指导意</w:t>
      </w:r>
      <w:r>
        <w:rPr>
          <w:spacing w:val="-3"/>
          <w:w w:val="100"/>
        </w:rPr>
        <w:t>见</w:t>
      </w:r>
      <w:r>
        <w:rPr>
          <w:spacing w:val="-106"/>
          <w:w w:val="100"/>
        </w:rPr>
        <w:t>》</w:t>
      </w:r>
      <w:r>
        <w:rPr>
          <w:w w:val="100"/>
        </w:rPr>
        <w:t>（国办发〔</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6</w:t>
      </w:r>
      <w:r>
        <w:rPr>
          <w:w w:val="100"/>
        </w:rPr>
        <w:t>〕 </w:t>
      </w:r>
      <w:r>
        <w:rPr>
          <w:rFonts w:ascii="Times New Roman" w:hAnsi="Times New Roman" w:cs="Times New Roman" w:eastAsia="Times New Roman" w:hint="default"/>
          <w:w w:val="100"/>
        </w:rPr>
        <w:t>55</w:t>
      </w:r>
      <w:r>
        <w:rPr>
          <w:rFonts w:ascii="Times New Roman" w:hAnsi="Times New Roman" w:cs="Times New Roman" w:eastAsia="Times New Roman" w:hint="default"/>
          <w:spacing w:val="5"/>
        </w:rPr>
        <w:t> </w:t>
      </w:r>
      <w:r>
        <w:rPr>
          <w:w w:val="100"/>
        </w:rPr>
        <w:t>号</w:t>
      </w:r>
      <w:r>
        <w:rPr>
          <w:spacing w:val="-106"/>
          <w:w w:val="100"/>
        </w:rPr>
        <w:t>）</w:t>
      </w:r>
      <w:r>
        <w:rPr>
          <w:spacing w:val="-108"/>
          <w:w w:val="100"/>
        </w:rPr>
        <w:t>、</w:t>
      </w:r>
      <w:r>
        <w:rPr>
          <w:spacing w:val="-1"/>
          <w:w w:val="100"/>
        </w:rPr>
        <w:t>《</w:t>
      </w:r>
      <w:r>
        <w:rPr>
          <w:rFonts w:ascii="Times New Roman" w:hAnsi="Times New Roman" w:cs="Times New Roman" w:eastAsia="Times New Roman" w:hint="default"/>
          <w:spacing w:val="-1"/>
          <w:w w:val="100"/>
        </w:rPr>
        <w:t>“</w:t>
      </w:r>
      <w:r>
        <w:rPr>
          <w:spacing w:val="-3"/>
          <w:w w:val="100"/>
        </w:rPr>
        <w:t>互</w:t>
      </w:r>
      <w:r>
        <w:rPr>
          <w:w w:val="100"/>
        </w:rPr>
        <w:t>联</w:t>
      </w:r>
      <w:r>
        <w:rPr>
          <w:spacing w:val="-3"/>
          <w:w w:val="100"/>
        </w:rPr>
        <w:t>网</w:t>
      </w:r>
      <w:r>
        <w:rPr>
          <w:rFonts w:ascii="Times New Roman" w:hAnsi="Times New Roman" w:cs="Times New Roman" w:eastAsia="Times New Roman" w:hint="default"/>
          <w:w w:val="100"/>
        </w:rPr>
        <w:t>+</w:t>
      </w:r>
      <w:r>
        <w:rPr>
          <w:spacing w:val="-3"/>
          <w:w w:val="100"/>
        </w:rPr>
        <w:t>政</w:t>
      </w:r>
      <w:r>
        <w:rPr>
          <w:w w:val="100"/>
        </w:rPr>
        <w:t>务</w:t>
      </w:r>
      <w:r>
        <w:rPr>
          <w:spacing w:val="-3"/>
          <w:w w:val="100"/>
        </w:rPr>
        <w:t>服</w:t>
      </w:r>
      <w:r>
        <w:rPr>
          <w:w w:val="100"/>
        </w:rPr>
        <w:t>务</w:t>
      </w:r>
      <w:r>
        <w:rPr>
          <w:rFonts w:ascii="Times New Roman" w:hAnsi="Times New Roman" w:cs="Times New Roman" w:eastAsia="Times New Roman" w:hint="default"/>
          <w:spacing w:val="-1"/>
          <w:w w:val="100"/>
        </w:rPr>
        <w:t>”</w:t>
      </w:r>
      <w:r>
        <w:rPr>
          <w:spacing w:val="-3"/>
          <w:w w:val="100"/>
        </w:rPr>
        <w:t>技</w:t>
      </w:r>
      <w:r>
        <w:rPr>
          <w:w w:val="100"/>
        </w:rPr>
        <w:t>术</w:t>
      </w:r>
      <w:r>
        <w:rPr>
          <w:spacing w:val="-3"/>
          <w:w w:val="100"/>
        </w:rPr>
        <w:t>体</w:t>
      </w:r>
      <w:r>
        <w:rPr>
          <w:w w:val="100"/>
        </w:rPr>
        <w:t>系</w:t>
      </w:r>
      <w:r>
        <w:rPr>
          <w:spacing w:val="-3"/>
          <w:w w:val="100"/>
        </w:rPr>
        <w:t>建</w:t>
      </w:r>
      <w:r>
        <w:rPr>
          <w:w w:val="100"/>
        </w:rPr>
        <w:t>设</w:t>
      </w:r>
      <w:r>
        <w:rPr>
          <w:spacing w:val="-3"/>
          <w:w w:val="100"/>
        </w:rPr>
        <w:t>指</w:t>
      </w:r>
      <w:r>
        <w:rPr>
          <w:w w:val="100"/>
        </w:rPr>
        <w:t>南</w:t>
      </w:r>
      <w:r>
        <w:rPr>
          <w:spacing w:val="-106"/>
          <w:w w:val="100"/>
        </w:rPr>
        <w:t>》</w:t>
      </w:r>
      <w:r>
        <w:rPr>
          <w:spacing w:val="-3"/>
          <w:w w:val="100"/>
        </w:rPr>
        <w:t>（</w:t>
      </w:r>
      <w:r>
        <w:rPr>
          <w:w w:val="100"/>
        </w:rPr>
        <w:t>国办</w:t>
      </w:r>
      <w:r>
        <w:rPr>
          <w:spacing w:val="-3"/>
          <w:w w:val="100"/>
        </w:rPr>
        <w:t>函</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6</w:t>
      </w:r>
      <w:r>
        <w:rPr>
          <w:spacing w:val="-3"/>
          <w:w w:val="100"/>
        </w:rPr>
        <w:t>〕</w:t>
      </w:r>
      <w:r>
        <w:rPr>
          <w:rFonts w:ascii="Times New Roman" w:hAnsi="Times New Roman" w:cs="Times New Roman" w:eastAsia="Times New Roman" w:hint="default"/>
          <w:w w:val="100"/>
        </w:rPr>
        <w:t>108</w:t>
      </w:r>
      <w:r>
        <w:rPr>
          <w:rFonts w:ascii="Times New Roman" w:hAnsi="Times New Roman" w:cs="Times New Roman" w:eastAsia="Times New Roman" w:hint="default"/>
          <w:spacing w:val="5"/>
        </w:rPr>
        <w:t> </w:t>
      </w:r>
      <w:r>
        <w:rPr>
          <w:spacing w:val="-3"/>
          <w:w w:val="100"/>
        </w:rPr>
        <w:t>号</w:t>
      </w:r>
      <w:r>
        <w:rPr>
          <w:spacing w:val="-106"/>
          <w:w w:val="100"/>
        </w:rPr>
        <w:t>）</w:t>
      </w:r>
      <w:r>
        <w:rPr>
          <w:spacing w:val="-3"/>
          <w:w w:val="100"/>
        </w:rPr>
        <w:t>、</w:t>
      </w:r>
      <w:r>
        <w:rPr>
          <w:w w:val="100"/>
        </w:rPr>
        <w:t>再到</w:t>
      </w:r>
      <w:r>
        <w:rPr>
          <w:spacing w:val="-47"/>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2"/>
        </w:rPr>
        <w:t> </w:t>
      </w:r>
      <w:r>
        <w:rPr>
          <w:w w:val="100"/>
        </w:rPr>
        <w:t>年</w:t>
      </w:r>
      <w:r>
        <w:rPr>
          <w:spacing w:val="-3"/>
          <w:w w:val="100"/>
        </w:rPr>
        <w:t>的《</w:t>
      </w:r>
      <w:r>
        <w:rPr>
          <w:w w:val="100"/>
        </w:rPr>
        <w:t>政</w:t>
      </w:r>
      <w:r>
        <w:rPr>
          <w:w w:val="100"/>
        </w:rPr>
        <w:t> 务信息</w:t>
      </w:r>
      <w:r>
        <w:rPr>
          <w:spacing w:val="-3"/>
          <w:w w:val="100"/>
        </w:rPr>
        <w:t>系</w:t>
      </w:r>
      <w:r>
        <w:rPr>
          <w:w w:val="100"/>
        </w:rPr>
        <w:t>统整</w:t>
      </w:r>
      <w:r>
        <w:rPr>
          <w:spacing w:val="-3"/>
          <w:w w:val="100"/>
        </w:rPr>
        <w:t>合</w:t>
      </w:r>
      <w:r>
        <w:rPr>
          <w:w w:val="100"/>
        </w:rPr>
        <w:t>共</w:t>
      </w:r>
      <w:r>
        <w:rPr>
          <w:spacing w:val="-3"/>
          <w:w w:val="100"/>
        </w:rPr>
        <w:t>享</w:t>
      </w:r>
      <w:r>
        <w:rPr>
          <w:w w:val="100"/>
        </w:rPr>
        <w:t>实</w:t>
      </w:r>
      <w:r>
        <w:rPr>
          <w:spacing w:val="-3"/>
          <w:w w:val="100"/>
        </w:rPr>
        <w:t>施</w:t>
      </w:r>
      <w:r>
        <w:rPr>
          <w:w w:val="100"/>
        </w:rPr>
        <w:t>方案</w:t>
      </w:r>
      <w:r>
        <w:rPr>
          <w:spacing w:val="-106"/>
          <w:w w:val="100"/>
        </w:rPr>
        <w:t>》</w:t>
      </w:r>
      <w:r>
        <w:rPr>
          <w:spacing w:val="-3"/>
          <w:w w:val="100"/>
        </w:rPr>
        <w:t>（</w:t>
      </w:r>
      <w:r>
        <w:rPr>
          <w:w w:val="100"/>
        </w:rPr>
        <w:t>国办</w:t>
      </w:r>
      <w:r>
        <w:rPr>
          <w:spacing w:val="-3"/>
          <w:w w:val="100"/>
        </w:rPr>
        <w:t>发</w:t>
      </w:r>
      <w:r>
        <w:rPr>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7</w:t>
      </w:r>
      <w:r>
        <w:rPr>
          <w:w w:val="100"/>
        </w:rPr>
        <w:t>〕</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号）</w:t>
      </w:r>
      <w:r>
        <w:rPr>
          <w:spacing w:val="-3"/>
          <w:w w:val="100"/>
        </w:rPr>
        <w:t>及</w:t>
      </w:r>
      <w:r>
        <w:rPr>
          <w:w w:val="100"/>
        </w:rPr>
        <w:t>国</w:t>
      </w:r>
      <w:r>
        <w:rPr>
          <w:spacing w:val="-3"/>
          <w:w w:val="100"/>
        </w:rPr>
        <w:t>家</w:t>
      </w:r>
      <w:r>
        <w:rPr>
          <w:w w:val="100"/>
        </w:rPr>
        <w:t>发展</w:t>
      </w:r>
      <w:r>
        <w:rPr>
          <w:spacing w:val="-3"/>
          <w:w w:val="100"/>
        </w:rPr>
        <w:t>改</w:t>
      </w:r>
      <w:r>
        <w:rPr>
          <w:w w:val="100"/>
        </w:rPr>
        <w:t>革</w:t>
      </w:r>
      <w:r>
        <w:rPr>
          <w:spacing w:val="-3"/>
          <w:w w:val="100"/>
        </w:rPr>
        <w:t>委</w:t>
      </w:r>
      <w:r>
        <w:rPr>
          <w:w w:val="100"/>
        </w:rPr>
        <w:t>中央网</w:t>
      </w:r>
      <w:r>
        <w:rPr>
          <w:spacing w:val="-3"/>
          <w:w w:val="100"/>
        </w:rPr>
        <w:t>信</w:t>
      </w:r>
      <w:r>
        <w:rPr>
          <w:w w:val="100"/>
        </w:rPr>
        <w:t>办</w:t>
      </w:r>
      <w:r>
        <w:rPr>
          <w:spacing w:val="-3"/>
          <w:w w:val="100"/>
        </w:rPr>
        <w:t>关</w:t>
      </w:r>
      <w:r>
        <w:rPr>
          <w:w w:val="100"/>
        </w:rPr>
        <w:t>于印发</w:t>
      </w:r>
    </w:p>
    <w:p>
      <w:pPr>
        <w:pStyle w:val="BodyText"/>
        <w:spacing w:line="297" w:lineRule="auto" w:before="13"/>
        <w:ind w:right="128"/>
        <w:jc w:val="both"/>
        <w:rPr>
          <w:rFonts w:ascii="Times New Roman" w:hAnsi="Times New Roman" w:cs="Times New Roman" w:eastAsia="Times New Roman" w:hint="default"/>
        </w:rPr>
      </w:pPr>
      <w:r>
        <w:rPr>
          <w:spacing w:val="-8"/>
          <w:w w:val="100"/>
        </w:rPr>
        <w:t>《政务信息资源目录编制指南》（试行）的通知（发改高技〔</w:t>
      </w:r>
      <w:r>
        <w:rPr>
          <w:rFonts w:ascii="Times New Roman" w:hAnsi="Times New Roman" w:cs="Times New Roman" w:eastAsia="Times New Roman" w:hint="default"/>
          <w:spacing w:val="-8"/>
          <w:w w:val="100"/>
        </w:rPr>
        <w:t>2017</w:t>
      </w:r>
      <w:r>
        <w:rPr>
          <w:spacing w:val="-8"/>
          <w:w w:val="100"/>
        </w:rPr>
        <w:t>〕</w:t>
      </w:r>
      <w:r>
        <w:rPr>
          <w:rFonts w:ascii="Times New Roman" w:hAnsi="Times New Roman" w:cs="Times New Roman" w:eastAsia="Times New Roman" w:hint="default"/>
          <w:spacing w:val="-8"/>
          <w:w w:val="100"/>
        </w:rPr>
        <w:t>1272</w:t>
      </w:r>
      <w:r>
        <w:rPr>
          <w:rFonts w:ascii="Times New Roman" w:hAnsi="Times New Roman" w:cs="Times New Roman" w:eastAsia="Times New Roman" w:hint="default"/>
          <w:spacing w:val="15"/>
          <w:w w:val="100"/>
        </w:rPr>
        <w:t> </w:t>
      </w:r>
      <w:r>
        <w:rPr>
          <w:spacing w:val="-4"/>
          <w:w w:val="100"/>
        </w:rPr>
        <w:t>号）等文件的密集出台，</w:t>
      </w:r>
      <w:r>
        <w:rPr>
          <w:spacing w:val="-100"/>
          <w:w w:val="100"/>
        </w:rPr>
        <w:t> </w:t>
      </w:r>
      <w:r>
        <w:rPr>
          <w:spacing w:val="-100"/>
          <w:w w:val="100"/>
        </w:rPr>
      </w:r>
      <w:r>
        <w:rPr/>
        <w:t>标志国家对智慧政务发展的重视。据不完全统计，</w:t>
      </w:r>
      <w:r>
        <w:rPr>
          <w:rFonts w:ascii="Times New Roman" w:hAnsi="Times New Roman" w:cs="Times New Roman" w:eastAsia="Times New Roman" w:hint="default"/>
        </w:rPr>
        <w:t>2015  </w:t>
      </w:r>
      <w:r>
        <w:rPr/>
        <w:t>年我国电子政务总体投资规模达到</w:t>
      </w:r>
      <w:r>
        <w:rPr>
          <w:spacing w:val="-51"/>
        </w:rPr>
        <w:t> </w:t>
      </w:r>
      <w:r>
        <w:rPr>
          <w:rFonts w:ascii="Times New Roman" w:hAnsi="Times New Roman" w:cs="Times New Roman" w:eastAsia="Times New Roman" w:hint="default"/>
        </w:rPr>
        <w:t>2,245</w:t>
      </w:r>
    </w:p>
    <w:p>
      <w:pPr>
        <w:pStyle w:val="BodyText"/>
        <w:spacing w:line="302" w:lineRule="auto" w:before="13"/>
        <w:ind w:right="127"/>
        <w:jc w:val="both"/>
      </w:pPr>
      <w:r>
        <w:rPr>
          <w:spacing w:val="-7"/>
        </w:rPr>
        <w:t>亿元，未来我国电子政务市场规模仍将保持较快增长。到</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spacing w:val="-7"/>
        </w:rPr>
        <w:t>年，总体投资规模预计将超过</w:t>
      </w:r>
      <w:r>
        <w:rPr>
          <w:spacing w:val="-36"/>
        </w:rPr>
        <w:t> </w:t>
      </w:r>
      <w:r>
        <w:rPr>
          <w:rFonts w:ascii="Times New Roman" w:hAnsi="Times New Roman" w:cs="Times New Roman" w:eastAsia="Times New Roman" w:hint="default"/>
        </w:rPr>
        <w:t>3,400</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1"/>
        </w:rPr>
        <w:t>亿元。随着我国电子政务发展逐步向智慧政务过渡，大规模的硬件投入需求将逐步降低，软件及</w:t>
      </w:r>
      <w:r>
        <w:rPr>
          <w:spacing w:val="-55"/>
        </w:rPr>
        <w:t> </w:t>
      </w:r>
      <w:r>
        <w:rPr>
          <w:spacing w:val="-55"/>
        </w:rPr>
      </w:r>
      <w:r>
        <w:rPr>
          <w:spacing w:val="-4"/>
        </w:rPr>
        <w:t>服务的需求比例将逐渐加大。上述趋势将为拥有自主核心软件产品及具备专业化</w:t>
      </w:r>
      <w:r>
        <w:rPr>
          <w:spacing w:val="-32"/>
        </w:rPr>
        <w:t> </w:t>
      </w:r>
      <w:r>
        <w:rPr>
          <w:rFonts w:ascii="Times New Roman" w:hAnsi="Times New Roman" w:cs="Times New Roman" w:eastAsia="Times New Roman" w:hint="default"/>
        </w:rPr>
        <w:t>IT</w:t>
      </w:r>
      <w:r>
        <w:rPr>
          <w:rFonts w:ascii="Times New Roman" w:hAnsi="Times New Roman" w:cs="Times New Roman" w:eastAsia="Times New Roman" w:hint="default"/>
          <w:spacing w:val="20"/>
        </w:rPr>
        <w:t> </w:t>
      </w:r>
      <w:r>
        <w:rPr/>
        <w:t>服务能力的综</w:t>
      </w:r>
      <w:r>
        <w:rPr>
          <w:spacing w:val="-97"/>
        </w:rPr>
        <w:t> </w:t>
      </w:r>
      <w:r>
        <w:rPr>
          <w:spacing w:val="-97"/>
        </w:rPr>
      </w:r>
      <w:r>
        <w:rPr/>
        <w:t>合性服务供应商营造良好的发展环境。</w:t>
      </w:r>
    </w:p>
    <w:p>
      <w:pPr>
        <w:pStyle w:val="BodyText"/>
        <w:spacing w:line="309" w:lineRule="auto" w:before="30"/>
        <w:ind w:right="127" w:firstLine="419"/>
        <w:jc w:val="right"/>
      </w:pPr>
      <w:r>
        <w:rPr>
          <w:spacing w:val="-2"/>
        </w:rPr>
        <w:t>在智慧公安领域，公安十三五规划中将大数据、云计算等新技术应用作为优化基础性技术设</w:t>
      </w:r>
      <w:r>
        <w:rPr>
          <w:w w:val="100"/>
        </w:rPr>
        <w:t> </w:t>
      </w:r>
      <w:r>
        <w:rPr>
          <w:spacing w:val="-1"/>
        </w:rPr>
        <w:t>施、提升信息化支撑能力的重要建设内容。根据公安部《关于推进公安信息化发展若干问题的意</w:t>
      </w:r>
      <w:r>
        <w:rPr>
          <w:spacing w:val="-71"/>
        </w:rPr>
        <w:t> </w:t>
      </w:r>
      <w:r>
        <w:rPr>
          <w:spacing w:val="-71"/>
        </w:rPr>
      </w:r>
      <w:r>
        <w:rPr>
          <w:spacing w:val="-6"/>
          <w:w w:val="100"/>
        </w:rPr>
        <w:t>见》、《公安科技创新</w:t>
      </w:r>
      <w:r>
        <w:rPr>
          <w:rFonts w:ascii="Times New Roman" w:hAnsi="Times New Roman" w:cs="Times New Roman" w:eastAsia="Times New Roman" w:hint="default"/>
          <w:spacing w:val="-6"/>
          <w:w w:val="100"/>
        </w:rPr>
        <w:t>“</w:t>
      </w:r>
      <w:r>
        <w:rPr>
          <w:spacing w:val="-6"/>
          <w:w w:val="100"/>
        </w:rPr>
        <w:t>十三五</w:t>
      </w:r>
      <w:r>
        <w:rPr>
          <w:rFonts w:ascii="Times New Roman" w:hAnsi="Times New Roman" w:cs="Times New Roman" w:eastAsia="Times New Roman" w:hint="default"/>
          <w:spacing w:val="-6"/>
          <w:w w:val="100"/>
        </w:rPr>
        <w:t>”</w:t>
      </w:r>
      <w:r>
        <w:rPr>
          <w:spacing w:val="-6"/>
          <w:w w:val="100"/>
        </w:rPr>
        <w:t>专项规划》等文件要求，科技信息化在公安工作中具有战略性、基</w:t>
      </w:r>
      <w:r>
        <w:rPr>
          <w:spacing w:val="-85"/>
          <w:w w:val="100"/>
        </w:rPr>
        <w:t> </w:t>
      </w:r>
      <w:r>
        <w:rPr>
          <w:spacing w:val="-85"/>
          <w:w w:val="100"/>
        </w:rPr>
      </w:r>
      <w:r>
        <w:rPr>
          <w:spacing w:val="-1"/>
        </w:rPr>
        <w:t>础性、全局性地位。随着全国平安城市、雪亮工程的快速建设，国家深入实施科技强警战略，公</w:t>
      </w:r>
      <w:r>
        <w:rPr>
          <w:spacing w:val="-71"/>
        </w:rPr>
        <w:t> </w:t>
      </w:r>
      <w:r>
        <w:rPr>
          <w:spacing w:val="-71"/>
        </w:rPr>
      </w:r>
      <w:r>
        <w:rPr>
          <w:spacing w:val="-2"/>
        </w:rPr>
        <w:t>安信息化建设工作的开展逐步规范、高效，数据警务的实战和管理服务需求将不断扩大和增加。</w:t>
      </w:r>
      <w:r>
        <w:rPr>
          <w:spacing w:val="-53"/>
        </w:rPr>
        <w:t> </w:t>
      </w:r>
      <w:r>
        <w:rPr>
          <w:spacing w:val="-53"/>
        </w:rPr>
      </w:r>
      <w:r>
        <w:rPr>
          <w:spacing w:val="-2"/>
        </w:rPr>
        <w:t>在智慧民生领域，习近平总书记在中共中央政治局第二次集体学习时强调，要坚持以人民为</w:t>
      </w:r>
      <w:r>
        <w:rPr>
          <w:w w:val="100"/>
        </w:rPr>
        <w:t> </w:t>
      </w:r>
      <w:r>
        <w:rPr>
          <w:spacing w:val="-1"/>
        </w:rPr>
        <w:t>中心的发展思想，抓住民生领域的突出矛盾和问题，强化民生服务，弥补民生短板，推进教育、</w:t>
      </w:r>
      <w:r>
        <w:rPr>
          <w:spacing w:val="-71"/>
        </w:rPr>
        <w:t> </w:t>
      </w:r>
      <w:r>
        <w:rPr>
          <w:spacing w:val="-71"/>
        </w:rPr>
      </w:r>
      <w:r>
        <w:rPr>
          <w:spacing w:val="-1"/>
        </w:rPr>
        <w:t>就业、社保、医药卫生、住房、交通等领域大数据普及应用，深度开发各类便民应用。让老百姓</w:t>
      </w:r>
      <w:r>
        <w:rPr>
          <w:spacing w:val="-71"/>
        </w:rPr>
        <w:t> </w:t>
      </w:r>
      <w:r>
        <w:rPr>
          <w:spacing w:val="-71"/>
        </w:rPr>
      </w:r>
      <w:r>
        <w:rPr>
          <w:spacing w:val="-4"/>
        </w:rPr>
        <w:t>少跑腿、数据多跑路，不断提升公共服务均等化、普惠化、便捷化水平。随着</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思维的逐</w:t>
      </w:r>
      <w:r>
        <w:rPr>
          <w:spacing w:val="-43"/>
        </w:rPr>
        <w:t> </w:t>
      </w:r>
      <w:r>
        <w:rPr>
          <w:spacing w:val="-43"/>
        </w:rPr>
      </w:r>
      <w:r>
        <w:rPr>
          <w:spacing w:val="-1"/>
        </w:rPr>
        <w:t>步渗透，运用物联网及移动互联网推进智慧民生发展，加快物联网及移动互联网在民生领域的普</w:t>
      </w:r>
    </w:p>
    <w:p>
      <w:pPr>
        <w:spacing w:after="0" w:line="309" w:lineRule="auto"/>
        <w:jc w:val="right"/>
        <w:sectPr>
          <w:pgSz w:w="11910" w:h="16840"/>
          <w:pgMar w:header="855" w:footer="979" w:top="1140" w:bottom="1160" w:left="1580" w:right="1140"/>
        </w:sectPr>
      </w:pPr>
    </w:p>
    <w:p>
      <w:pPr>
        <w:spacing w:line="240" w:lineRule="auto" w:before="4"/>
        <w:rPr>
          <w:rFonts w:ascii="宋体" w:hAnsi="宋体" w:cs="宋体" w:eastAsia="宋体" w:hint="default"/>
          <w:sz w:val="29"/>
          <w:szCs w:val="29"/>
        </w:rPr>
      </w:pPr>
    </w:p>
    <w:p>
      <w:pPr>
        <w:spacing w:line="304" w:lineRule="auto" w:before="36"/>
        <w:ind w:left="558" w:right="130" w:hanging="420"/>
        <w:jc w:val="left"/>
        <w:rPr>
          <w:rFonts w:ascii="宋体" w:hAnsi="宋体" w:cs="宋体" w:eastAsia="宋体" w:hint="default"/>
          <w:sz w:val="21"/>
          <w:szCs w:val="21"/>
        </w:rPr>
      </w:pPr>
      <w:r>
        <w:rPr>
          <w:rFonts w:ascii="宋体" w:hAnsi="宋体" w:cs="宋体" w:eastAsia="宋体" w:hint="default"/>
          <w:sz w:val="21"/>
          <w:szCs w:val="21"/>
        </w:rPr>
        <w:t>及和应用将大幅提升社会整体服务效率和水平，使更多的百姓获益。</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、智慧城市建设方兴未艾，社会投入不断加大</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近年来，随着政策导向利好、科技迅猛发展，我国智慧城市建设进入实质阶段，全国各地不</w:t>
      </w:r>
    </w:p>
    <w:p>
      <w:pPr>
        <w:pStyle w:val="BodyText"/>
        <w:spacing w:line="314" w:lineRule="auto" w:before="28"/>
        <w:ind w:left="138" w:right="128"/>
        <w:jc w:val="both"/>
      </w:pPr>
      <w:r>
        <w:rPr>
          <w:spacing w:val="-1"/>
        </w:rPr>
        <w:t>断推出新举措，加大投入推进智慧城市建设。报告期内，全国所有副省级以上城市、九成地级及</w:t>
      </w:r>
      <w:r>
        <w:rPr>
          <w:spacing w:val="-55"/>
        </w:rPr>
        <w:t> </w:t>
      </w:r>
      <w:r>
        <w:rPr>
          <w:spacing w:val="-55"/>
        </w:rPr>
      </w:r>
      <w:r>
        <w:rPr>
          <w:spacing w:val="-1"/>
        </w:rPr>
        <w:t>以上城市、近一半县级及以上城市在推进智慧城市建设。随着智慧城市建设规划落地，预计未来</w:t>
      </w:r>
      <w:r>
        <w:rPr>
          <w:spacing w:val="-55"/>
        </w:rPr>
        <w:t> </w:t>
      </w:r>
      <w:r>
        <w:rPr>
          <w:spacing w:val="-55"/>
        </w:rPr>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年，市场规模复合增长率将超过</w:t>
      </w:r>
      <w:r>
        <w:rPr>
          <w:spacing w:val="-55"/>
        </w:rPr>
        <w:t> </w:t>
      </w:r>
      <w:r>
        <w:rPr>
          <w:rFonts w:ascii="Times New Roman" w:hAnsi="Times New Roman" w:cs="Times New Roman" w:eastAsia="Times New Roman" w:hint="default"/>
        </w:rPr>
        <w:t>30%</w:t>
      </w:r>
      <w:r>
        <w:rPr/>
        <w:t>，到</w:t>
      </w:r>
      <w:r>
        <w:rPr>
          <w:spacing w:val="-5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年有望达到</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万亿，前景一片大好。</w:t>
      </w:r>
    </w:p>
    <w:p>
      <w:pPr>
        <w:spacing w:line="297" w:lineRule="auto" w:before="0"/>
        <w:ind w:left="558" w:right="12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、不断创新商业模式层出不穷，合作方式不断创新</w:t>
      </w:r>
      <w:r>
        <w:rPr>
          <w:rFonts w:ascii="宋体" w:hAnsi="宋体" w:cs="宋体" w:eastAsia="宋体" w:hint="default"/>
          <w:b/>
          <w:bCs/>
          <w:w w:val="100"/>
          <w:sz w:val="21"/>
          <w:szCs w:val="21"/>
        </w:rPr>
        <w:t> </w:t>
      </w:r>
      <w:r>
        <w:rPr>
          <w:rFonts w:ascii="宋体" w:hAnsi="宋体" w:cs="宋体" w:eastAsia="宋体" w:hint="default"/>
          <w:sz w:val="21"/>
          <w:szCs w:val="21"/>
        </w:rPr>
        <w:t>智慧城市的发展日益成熟，商业模式不断创新，政府购买服务、</w:t>
      </w:r>
      <w:r>
        <w:rPr>
          <w:rFonts w:ascii="Times New Roman" w:hAnsi="Times New Roman" w:cs="Times New Roman" w:eastAsia="Times New Roman" w:hint="default"/>
          <w:sz w:val="21"/>
          <w:szCs w:val="21"/>
        </w:rPr>
        <w:t>PPP </w:t>
      </w:r>
      <w:r>
        <w:rPr>
          <w:rFonts w:ascii="宋体" w:hAnsi="宋体" w:cs="宋体" w:eastAsia="宋体" w:hint="default"/>
          <w:sz w:val="21"/>
          <w:szCs w:val="21"/>
        </w:rPr>
        <w:t>模式、</w:t>
      </w:r>
      <w:r>
        <w:rPr>
          <w:rFonts w:ascii="Times New Roman" w:hAnsi="Times New Roman" w:cs="Times New Roman" w:eastAsia="Times New Roman" w:hint="default"/>
          <w:sz w:val="21"/>
          <w:szCs w:val="21"/>
        </w:rPr>
        <w:t>EPC</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模式等在内</w:t>
      </w:r>
    </w:p>
    <w:p>
      <w:pPr>
        <w:pStyle w:val="BodyText"/>
        <w:spacing w:line="314" w:lineRule="auto" w:before="13"/>
        <w:ind w:left="138" w:right="128"/>
        <w:jc w:val="both"/>
      </w:pPr>
      <w:r>
        <w:rPr>
          <w:spacing w:val="-1"/>
        </w:rPr>
        <w:t>的各项投资建设运营模式层出不穷。通过整合政府和社会资本、行业上下游资源，建立智慧城市</w:t>
      </w:r>
      <w:r>
        <w:rPr>
          <w:spacing w:val="-56"/>
        </w:rPr>
        <w:t> </w:t>
      </w:r>
      <w:r>
        <w:rPr>
          <w:spacing w:val="-56"/>
        </w:rPr>
      </w:r>
      <w:r>
        <w:rPr>
          <w:spacing w:val="-7"/>
        </w:rPr>
        <w:t>协作体系，联合行业领先企业、国资委、商业协会等进行合作，协同推进智慧城市发展，为政府、</w:t>
      </w:r>
      <w:r>
        <w:rPr>
          <w:spacing w:val="-16"/>
        </w:rPr>
        <w:t> </w:t>
      </w:r>
      <w:r>
        <w:rPr>
          <w:spacing w:val="-16"/>
        </w:rPr>
      </w:r>
      <w:r>
        <w:rPr/>
        <w:t>企业和个人提供服务。</w:t>
      </w:r>
    </w:p>
    <w:p>
      <w:pPr>
        <w:spacing w:line="297" w:lineRule="auto" w:before="20"/>
        <w:ind w:left="558" w:right="1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、技术创新与更迭，对信息化建设提出更高挑战</w:t>
      </w:r>
      <w:r>
        <w:rPr>
          <w:rFonts w:ascii="宋体" w:hAnsi="宋体" w:cs="宋体" w:eastAsia="宋体" w:hint="default"/>
          <w:b/>
          <w:bCs/>
          <w:w w:val="100"/>
          <w:sz w:val="21"/>
          <w:szCs w:val="21"/>
        </w:rPr>
        <w:t> </w:t>
      </w:r>
      <w:r>
        <w:rPr>
          <w:rFonts w:ascii="宋体" w:hAnsi="宋体" w:cs="宋体" w:eastAsia="宋体" w:hint="default"/>
          <w:spacing w:val="-2"/>
          <w:sz w:val="21"/>
          <w:szCs w:val="21"/>
        </w:rPr>
        <w:t>当今社会，已经进入了一个以知识和技术不断创新为基础的知识经济时代，随着云计算、大</w:t>
      </w:r>
    </w:p>
    <w:p>
      <w:pPr>
        <w:pStyle w:val="BodyText"/>
        <w:spacing w:line="314" w:lineRule="auto" w:before="34"/>
        <w:ind w:left="138" w:right="128"/>
        <w:jc w:val="both"/>
      </w:pPr>
      <w:r>
        <w:rPr>
          <w:spacing w:val="-1"/>
        </w:rPr>
        <w:t>数据、物联网、人工智能、移动互联网等时代先进技术的蓬勃发展，技术创新与更迭不断改变各</w:t>
      </w:r>
      <w:r>
        <w:rPr>
          <w:spacing w:val="-55"/>
        </w:rPr>
        <w:t> </w:t>
      </w:r>
      <w:r>
        <w:rPr>
          <w:spacing w:val="-55"/>
        </w:rPr>
      </w:r>
      <w:r>
        <w:rPr>
          <w:spacing w:val="-1"/>
        </w:rPr>
        <w:t>行业的现有状态，甚至导致行业的颠覆与重构。企业在激烈的技术革新及创新浪潮中唯有保持行</w:t>
      </w:r>
      <w:r>
        <w:rPr>
          <w:spacing w:val="-55"/>
        </w:rPr>
        <w:t> </w:t>
      </w:r>
      <w:r>
        <w:rPr>
          <w:spacing w:val="-55"/>
        </w:rPr>
      </w:r>
      <w:r>
        <w:rPr>
          <w:spacing w:val="-1"/>
        </w:rPr>
        <w:t>业前瞻性，以创新扎根市场，以客户需求为导向，快速进行信息化建设的全面部署，通过不断创</w:t>
      </w:r>
      <w:r>
        <w:rPr>
          <w:spacing w:val="-55"/>
        </w:rPr>
        <w:t> </w:t>
      </w:r>
      <w:r>
        <w:rPr>
          <w:spacing w:val="-55"/>
        </w:rPr>
      </w:r>
      <w:r>
        <w:rPr/>
        <w:t>新，持续提高企业核心竞争力。</w:t>
      </w:r>
    </w:p>
    <w:p>
      <w:pPr>
        <w:spacing w:line="297" w:lineRule="auto" w:before="20"/>
        <w:ind w:left="558" w:right="1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、缺乏整体规划及统一标准，行业水平参差不齐</w:t>
      </w:r>
      <w:r>
        <w:rPr>
          <w:rFonts w:ascii="宋体" w:hAnsi="宋体" w:cs="宋体" w:eastAsia="宋体" w:hint="default"/>
          <w:b/>
          <w:bCs/>
          <w:w w:val="100"/>
          <w:sz w:val="21"/>
          <w:szCs w:val="21"/>
        </w:rPr>
        <w:t> </w:t>
      </w:r>
      <w:r>
        <w:rPr>
          <w:rFonts w:ascii="宋体" w:hAnsi="宋体" w:cs="宋体" w:eastAsia="宋体" w:hint="default"/>
          <w:spacing w:val="-2"/>
          <w:sz w:val="21"/>
          <w:szCs w:val="21"/>
        </w:rPr>
        <w:t>随着智慧城市投资规模的不断扩大，智慧城市业务领域日渐成熟，进入市场抢夺份额的企业</w:t>
      </w:r>
    </w:p>
    <w:p>
      <w:pPr>
        <w:pStyle w:val="BodyText"/>
        <w:spacing w:line="314" w:lineRule="auto" w:before="34"/>
        <w:ind w:left="138" w:right="128"/>
        <w:jc w:val="both"/>
      </w:pPr>
      <w:r>
        <w:rPr>
          <w:spacing w:val="-1"/>
        </w:rPr>
        <w:t>逐渐增多，在各细分领域竞争激烈，行业水平参差不齐，对智慧城市建设缺乏统一规划。作为智</w:t>
      </w:r>
      <w:r>
        <w:rPr>
          <w:spacing w:val="-55"/>
        </w:rPr>
        <w:t> </w:t>
      </w:r>
      <w:r>
        <w:rPr>
          <w:spacing w:val="-55"/>
        </w:rPr>
      </w:r>
      <w:r>
        <w:rPr>
          <w:spacing w:val="-1"/>
        </w:rPr>
        <w:t>慧城市建设的核心，我国电子政务是在各级政府、不同部门中零散进行的，存在条块分割严重、</w:t>
      </w:r>
      <w:r>
        <w:rPr>
          <w:spacing w:val="-55"/>
        </w:rPr>
        <w:t> </w:t>
      </w:r>
      <w:r>
        <w:rPr>
          <w:spacing w:val="-55"/>
        </w:rPr>
      </w:r>
      <w:r>
        <w:rPr>
          <w:spacing w:val="-1"/>
        </w:rPr>
        <w:t>系统模式不统一、难实现互联、互通、互利用、互操作等问题。跨部门、跨地区对数据互联共享</w:t>
      </w:r>
      <w:r>
        <w:rPr>
          <w:spacing w:val="-55"/>
        </w:rPr>
        <w:t> </w:t>
      </w:r>
      <w:r>
        <w:rPr>
          <w:spacing w:val="-55"/>
        </w:rPr>
      </w:r>
      <w:r>
        <w:rPr>
          <w:spacing w:val="-1"/>
        </w:rPr>
        <w:t>的需求十分迫切，电子政务标准化已成焦点问题。公司凭借电子政务多年经验及优势，在标准化</w:t>
      </w:r>
      <w:r>
        <w:rPr>
          <w:spacing w:val="-55"/>
        </w:rPr>
        <w:t> </w:t>
      </w:r>
      <w:r>
        <w:rPr>
          <w:spacing w:val="-55"/>
        </w:rPr>
      </w:r>
      <w:r>
        <w:rPr/>
        <w:t>方面大有作为。</w:t>
      </w:r>
    </w:p>
    <w:p>
      <w:pPr>
        <w:spacing w:line="297" w:lineRule="auto" w:before="20"/>
        <w:ind w:left="337" w:right="130" w:firstLine="2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、区域发展不均衡，行业收入季节变化明显</w:t>
      </w:r>
      <w:r>
        <w:rPr>
          <w:rFonts w:ascii="宋体" w:hAnsi="宋体" w:cs="宋体" w:eastAsia="宋体" w:hint="default"/>
          <w:b/>
          <w:bCs/>
          <w:w w:val="100"/>
          <w:sz w:val="21"/>
          <w:szCs w:val="21"/>
        </w:rPr>
        <w:t> </w:t>
      </w:r>
      <w:r>
        <w:rPr>
          <w:rFonts w:ascii="宋体" w:hAnsi="宋体" w:cs="宋体" w:eastAsia="宋体" w:hint="default"/>
          <w:spacing w:val="-1"/>
          <w:sz w:val="21"/>
          <w:szCs w:val="21"/>
        </w:rPr>
        <w:t>现阶段智慧城市、政务、公安等业务建设呈现区域不均衡的特点，经济发达的东部沿海地区的</w:t>
      </w:r>
    </w:p>
    <w:p>
      <w:pPr>
        <w:pStyle w:val="BodyText"/>
        <w:spacing w:line="314" w:lineRule="auto" w:before="34"/>
        <w:ind w:left="138" w:right="128"/>
        <w:jc w:val="both"/>
      </w:pPr>
      <w:r>
        <w:rPr>
          <w:spacing w:val="-1"/>
        </w:rPr>
        <w:t>信息化建设和应用起步较早，目前市场机会主要以行业大数据分析为基础的智能深化应用，经济</w:t>
      </w:r>
      <w:r>
        <w:rPr>
          <w:spacing w:val="-55"/>
        </w:rPr>
        <w:t> </w:t>
      </w:r>
      <w:r>
        <w:rPr>
          <w:spacing w:val="-55"/>
        </w:rPr>
      </w:r>
      <w:r>
        <w:rPr>
          <w:spacing w:val="-1"/>
        </w:rPr>
        <w:t>较为落后的中西部地区信息化建设相对薄弱，基础应用平台仍存在一定的需求空间。政府部门在</w:t>
      </w:r>
      <w:r>
        <w:rPr>
          <w:spacing w:val="-55"/>
        </w:rPr>
        <w:t> </w:t>
      </w:r>
      <w:r>
        <w:rPr>
          <w:spacing w:val="-55"/>
        </w:rPr>
      </w:r>
      <w:r>
        <w:rPr>
          <w:spacing w:val="-1"/>
        </w:rPr>
        <w:t>实施信息化建设时有严格的预算管理制度，审批、招标的安排通常在上半年，而系统调试、验收</w:t>
      </w:r>
      <w:r>
        <w:rPr>
          <w:spacing w:val="-55"/>
        </w:rPr>
        <w:t> </w:t>
      </w:r>
      <w:r>
        <w:rPr>
          <w:spacing w:val="-55"/>
        </w:rPr>
      </w:r>
      <w:r>
        <w:rPr/>
        <w:t>则更多集中于下半年，因此政务、公安信息化服务企业收入的实现具有明显的季节性特征。</w:t>
      </w:r>
    </w:p>
    <w:p>
      <w:pPr>
        <w:spacing w:after="0" w:line="314" w:lineRule="auto"/>
        <w:jc w:val="both"/>
        <w:sectPr>
          <w:pgSz w:w="11910" w:h="16840"/>
          <w:pgMar w:header="855" w:footer="979" w:top="1140" w:bottom="1160" w:left="1660" w:right="1140"/>
        </w:sectPr>
      </w:pPr>
    </w:p>
    <w:p>
      <w:pPr>
        <w:spacing w:line="240" w:lineRule="auto" w:before="9"/>
        <w:rPr>
          <w:rFonts w:ascii="宋体" w:hAnsi="宋体" w:cs="宋体" w:eastAsia="宋体" w:hint="default"/>
          <w:sz w:val="29"/>
          <w:szCs w:val="29"/>
        </w:rPr>
      </w:pPr>
    </w:p>
    <w:p>
      <w:pPr>
        <w:pStyle w:val="Heading3"/>
        <w:spacing w:line="240" w:lineRule="auto" w:before="36"/>
        <w:ind w:right="102"/>
        <w:jc w:val="left"/>
        <w:rPr>
          <w:b w:val="0"/>
          <w:bCs w:val="0"/>
        </w:rPr>
      </w:pPr>
      <w:r>
        <w:rPr>
          <w:rFonts w:ascii="宋体" w:hAnsi="宋体" w:cs="宋体" w:eastAsia="宋体" w:hint="default"/>
        </w:rPr>
        <w:t>(</w:t>
      </w:r>
      <w:r>
        <w:rPr/>
        <w:t>五</w:t>
      </w:r>
      <w:r>
        <w:rPr>
          <w:rFonts w:ascii="宋体" w:hAnsi="宋体" w:cs="宋体" w:eastAsia="宋体" w:hint="default"/>
        </w:rPr>
        <w:t>)</w:t>
      </w:r>
      <w:r>
        <w:rPr/>
        <w:t>投资状况分析</w:t>
      </w:r>
      <w:r>
        <w:rPr>
          <w:b w:val="0"/>
          <w:bCs w:val="0"/>
        </w:rPr>
      </w:r>
    </w:p>
    <w:p>
      <w:pPr>
        <w:pStyle w:val="Heading3"/>
        <w:spacing w:line="240" w:lineRule="auto" w:before="97"/>
        <w:ind w:right="102"/>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tabs>
          <w:tab w:pos="954" w:val="left" w:leader="none"/>
        </w:tabs>
        <w:spacing w:line="247" w:lineRule="auto" w:before="97"/>
        <w:ind w:right="5296"/>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t>报告期内，公司新增设立</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家子公司。</w:t>
      </w:r>
    </w:p>
    <w:p>
      <w:pPr>
        <w:spacing w:line="240" w:lineRule="auto" w:before="7"/>
        <w:rPr>
          <w:rFonts w:ascii="宋体" w:hAnsi="宋体" w:cs="宋体" w:eastAsia="宋体" w:hint="default"/>
          <w:sz w:val="29"/>
          <w:szCs w:val="29"/>
        </w:rPr>
      </w:pPr>
    </w:p>
    <w:p>
      <w:pPr>
        <w:pStyle w:val="Heading3"/>
        <w:spacing w:line="240" w:lineRule="auto"/>
        <w:ind w:right="102"/>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163" w:val="left" w:leader="none"/>
        </w:tabs>
        <w:spacing w:line="240" w:lineRule="auto" w:before="97"/>
        <w:ind w:right="102"/>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pStyle w:val="BodyText"/>
        <w:spacing w:line="240" w:lineRule="auto" w:before="77"/>
        <w:ind w:left="404" w:right="122"/>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spacing w:val="-6"/>
        </w:rPr>
        <w:t>年，在传统电子政务业务方面，公司新增设立投资</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7"/>
        </w:rPr>
        <w:t>家子公司，设立了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家控股孙公司，</w:t>
      </w:r>
    </w:p>
    <w:p>
      <w:pPr>
        <w:pStyle w:val="BodyText"/>
        <w:spacing w:line="240" w:lineRule="auto" w:before="69"/>
        <w:ind w:right="102"/>
        <w:jc w:val="left"/>
      </w:pPr>
      <w:r>
        <w:rPr/>
        <w:t>另新增</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家联营企业。</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年母公司对</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家控股企业共计注入资金</w:t>
      </w:r>
      <w:r>
        <w:rPr>
          <w:spacing w:val="-44"/>
        </w:rPr>
        <w:t> </w:t>
      </w:r>
      <w:r>
        <w:rPr>
          <w:rFonts w:ascii="Times New Roman" w:hAnsi="Times New Roman" w:cs="Times New Roman" w:eastAsia="Times New Roman" w:hint="default"/>
        </w:rPr>
        <w:t>14,706.41</w:t>
      </w:r>
      <w:r>
        <w:rPr>
          <w:rFonts w:ascii="Times New Roman" w:hAnsi="Times New Roman" w:cs="Times New Roman" w:eastAsia="Times New Roman" w:hint="default"/>
          <w:spacing w:val="6"/>
        </w:rPr>
        <w:t> </w:t>
      </w:r>
      <w:r>
        <w:rPr/>
        <w:t>万元。主要股权出</w:t>
      </w:r>
    </w:p>
    <w:p>
      <w:pPr>
        <w:pStyle w:val="BodyText"/>
        <w:spacing w:line="240" w:lineRule="auto" w:before="70"/>
        <w:ind w:right="102"/>
        <w:jc w:val="left"/>
      </w:pPr>
      <w:r>
        <w:rPr/>
        <w:t>资金额较大的子公司有智慧城市（泉州丰泽）运营管理有限公司</w:t>
      </w:r>
      <w:r>
        <w:rPr>
          <w:spacing w:val="-52"/>
        </w:rPr>
        <w:t> </w:t>
      </w:r>
      <w:r>
        <w:rPr>
          <w:rFonts w:ascii="Times New Roman" w:hAnsi="Times New Roman" w:cs="Times New Roman" w:eastAsia="Times New Roman" w:hint="default"/>
        </w:rPr>
        <w:t>9,062.62</w:t>
      </w:r>
      <w:r>
        <w:rPr>
          <w:rFonts w:ascii="Times New Roman" w:hAnsi="Times New Roman" w:cs="Times New Roman" w:eastAsia="Times New Roman" w:hint="default"/>
          <w:spacing w:val="3"/>
        </w:rPr>
        <w:t> </w:t>
      </w:r>
      <w:r>
        <w:rPr/>
        <w:t>万元，泉州威盾智能交</w:t>
      </w:r>
    </w:p>
    <w:p>
      <w:pPr>
        <w:pStyle w:val="BodyText"/>
        <w:spacing w:line="240" w:lineRule="auto" w:before="69"/>
        <w:ind w:right="102"/>
        <w:jc w:val="left"/>
      </w:pPr>
      <w:r>
        <w:rPr/>
        <w:t>通系统有限公司</w:t>
      </w:r>
      <w:r>
        <w:rPr>
          <w:spacing w:val="-51"/>
        </w:rPr>
        <w:t> </w:t>
      </w:r>
      <w:r>
        <w:rPr>
          <w:rFonts w:ascii="Times New Roman" w:hAnsi="Times New Roman" w:cs="Times New Roman" w:eastAsia="Times New Roman" w:hint="default"/>
        </w:rPr>
        <w:t>4,000 </w:t>
      </w:r>
      <w:r>
        <w:rPr/>
        <w:t>万元，福建网链科技有限公司</w:t>
      </w:r>
      <w:r>
        <w:rPr>
          <w:spacing w:val="-50"/>
        </w:rPr>
        <w:t> </w:t>
      </w:r>
      <w:r>
        <w:rPr>
          <w:rFonts w:ascii="Times New Roman" w:hAnsi="Times New Roman" w:cs="Times New Roman" w:eastAsia="Times New Roman" w:hint="default"/>
        </w:rPr>
        <w:t>641.79 </w:t>
      </w:r>
      <w:r>
        <w:rPr/>
        <w:t>万元，厦门市南威软件科技有限公司</w:t>
      </w:r>
    </w:p>
    <w:p>
      <w:pPr>
        <w:pStyle w:val="BodyText"/>
        <w:spacing w:line="297" w:lineRule="auto" w:before="69"/>
        <w:ind w:right="127"/>
        <w:jc w:val="left"/>
      </w:pPr>
      <w:r>
        <w:rPr>
          <w:rFonts w:ascii="Times New Roman" w:hAnsi="Times New Roman" w:cs="Times New Roman" w:eastAsia="Times New Roman" w:hint="default"/>
        </w:rPr>
        <w:t>500 </w:t>
      </w:r>
      <w:r>
        <w:rPr/>
        <w:t>万，福建威盾科技有限公司</w:t>
      </w:r>
      <w:r>
        <w:rPr>
          <w:spacing w:val="-52"/>
        </w:rPr>
        <w:t> </w:t>
      </w:r>
      <w:r>
        <w:rPr>
          <w:rFonts w:ascii="Times New Roman" w:hAnsi="Times New Roman" w:cs="Times New Roman" w:eastAsia="Times New Roman" w:hint="default"/>
        </w:rPr>
        <w:t>400 </w:t>
      </w:r>
      <w:r>
        <w:rPr/>
        <w:t>万元。</w:t>
      </w:r>
      <w:r>
        <w:rPr>
          <w:rFonts w:ascii="Times New Roman" w:hAnsi="Times New Roman" w:cs="Times New Roman" w:eastAsia="Times New Roman" w:hint="default"/>
        </w:rPr>
        <w:t>2017 </w:t>
      </w:r>
      <w:r>
        <w:rPr/>
        <w:t>年母公司对联营企业注资较大的有福建省应急通</w:t>
      </w:r>
      <w:r>
        <w:rPr>
          <w:w w:val="100"/>
        </w:rPr>
        <w:t> </w:t>
      </w:r>
      <w:r>
        <w:rPr/>
        <w:t>信运营有限公司</w:t>
      </w:r>
      <w:r>
        <w:rPr>
          <w:spacing w:val="-54"/>
        </w:rPr>
        <w:t> </w:t>
      </w:r>
      <w:r>
        <w:rPr>
          <w:rFonts w:ascii="Times New Roman" w:hAnsi="Times New Roman" w:cs="Times New Roman" w:eastAsia="Times New Roman" w:hint="default"/>
        </w:rPr>
        <w:t>7,969.65</w:t>
      </w:r>
      <w:r>
        <w:rPr>
          <w:rFonts w:ascii="Times New Roman" w:hAnsi="Times New Roman" w:cs="Times New Roman" w:eastAsia="Times New Roman" w:hint="default"/>
          <w:spacing w:val="-3"/>
        </w:rPr>
        <w:t> </w:t>
      </w:r>
      <w:r>
        <w:rPr/>
        <w:t>万元，厦门会同鼎盛股权投资合伙企业（有限合伙）</w:t>
      </w:r>
      <w:r>
        <w:rPr>
          <w:rFonts w:ascii="Times New Roman" w:hAnsi="Times New Roman" w:cs="Times New Roman" w:eastAsia="Times New Roman" w:hint="default"/>
        </w:rPr>
        <w:t>950</w:t>
      </w:r>
      <w:r>
        <w:rPr>
          <w:rFonts w:ascii="Times New Roman" w:hAnsi="Times New Roman" w:cs="Times New Roman" w:eastAsia="Times New Roman" w:hint="default"/>
          <w:spacing w:val="-4"/>
        </w:rPr>
        <w:t> </w:t>
      </w:r>
      <w:r>
        <w:rPr/>
        <w:t>万元。</w:t>
      </w:r>
    </w:p>
    <w:p>
      <w:pPr>
        <w:spacing w:line="240" w:lineRule="auto" w:before="3"/>
        <w:rPr>
          <w:rFonts w:ascii="宋体" w:hAnsi="宋体" w:cs="宋体" w:eastAsia="宋体" w:hint="default"/>
          <w:sz w:val="25"/>
          <w:szCs w:val="25"/>
        </w:rPr>
      </w:pPr>
    </w:p>
    <w:p>
      <w:pPr>
        <w:pStyle w:val="Heading3"/>
        <w:spacing w:line="240" w:lineRule="auto"/>
        <w:ind w:right="102"/>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163" w:val="left" w:leader="none"/>
        </w:tabs>
        <w:spacing w:line="240" w:lineRule="auto" w:before="97"/>
        <w:ind w:right="102"/>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102"/>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163" w:val="left" w:leader="none"/>
        </w:tabs>
        <w:spacing w:line="240" w:lineRule="auto" w:before="97"/>
        <w:ind w:right="102"/>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764"/>
        <w:gridCol w:w="1765"/>
        <w:gridCol w:w="1764"/>
        <w:gridCol w:w="1766"/>
        <w:gridCol w:w="1765"/>
      </w:tblGrid>
      <w:tr>
        <w:trPr>
          <w:trHeight w:val="63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6"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2" w:right="137" w:hanging="420"/>
              <w:jc w:val="left"/>
              <w:rPr>
                <w:rFonts w:ascii="宋体" w:hAnsi="宋体" w:cs="宋体" w:eastAsia="宋体" w:hint="default"/>
                <w:sz w:val="21"/>
                <w:szCs w:val="21"/>
              </w:rPr>
            </w:pPr>
            <w:r>
              <w:rPr>
                <w:rFonts w:ascii="宋体" w:hAnsi="宋体" w:cs="宋体" w:eastAsia="宋体" w:hint="default"/>
                <w:sz w:val="21"/>
                <w:szCs w:val="21"/>
              </w:rPr>
              <w:t>对当期利润的影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响金额</w:t>
            </w:r>
          </w:p>
        </w:tc>
      </w:tr>
      <w:tr>
        <w:trPr>
          <w:trHeight w:val="32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1,321,283.18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113,710,759.27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112,389,476.09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3,948,531.95</w:t>
            </w:r>
          </w:p>
        </w:tc>
      </w:tr>
      <w:tr>
        <w:trPr>
          <w:trHeight w:val="32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1,321,283.18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113,710,759.27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112,389,476.09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3,948,531.95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6"/>
        <w:ind w:right="102"/>
        <w:jc w:val="left"/>
        <w:rPr>
          <w:b w:val="0"/>
          <w:bCs w:val="0"/>
        </w:rPr>
      </w:pPr>
      <w:r>
        <w:rPr>
          <w:rFonts w:ascii="宋体" w:hAnsi="宋体" w:cs="宋体" w:eastAsia="宋体" w:hint="default"/>
        </w:rPr>
        <w:t>(</w:t>
      </w:r>
      <w:r>
        <w:rPr/>
        <w:t>六</w:t>
      </w:r>
      <w:r>
        <w:rPr>
          <w:rFonts w:ascii="宋体" w:hAnsi="宋体" w:cs="宋体" w:eastAsia="宋体" w:hint="default"/>
        </w:rPr>
        <w:t>)</w:t>
      </w:r>
      <w:r>
        <w:rPr/>
        <w:t>重大资产和股权出售</w:t>
      </w:r>
      <w:r>
        <w:rPr>
          <w:b w:val="0"/>
          <w:bCs w:val="0"/>
        </w:rPr>
      </w:r>
    </w:p>
    <w:p>
      <w:pPr>
        <w:pStyle w:val="BodyText"/>
        <w:tabs>
          <w:tab w:pos="1163" w:val="left" w:leader="none"/>
        </w:tabs>
        <w:spacing w:line="240" w:lineRule="auto" w:before="97"/>
        <w:ind w:right="102"/>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8"/>
        <w:ind w:right="102"/>
        <w:jc w:val="left"/>
        <w:rPr>
          <w:b w:val="0"/>
          <w:bCs w:val="0"/>
        </w:rPr>
      </w:pPr>
      <w:r>
        <w:rPr>
          <w:rFonts w:ascii="宋体" w:hAnsi="宋体" w:cs="宋体" w:eastAsia="宋体" w:hint="default"/>
        </w:rPr>
        <w:t>(</w:t>
      </w:r>
      <w:r>
        <w:rPr/>
        <w:t>七</w:t>
      </w:r>
      <w:r>
        <w:rPr>
          <w:rFonts w:ascii="宋体" w:hAnsi="宋体" w:cs="宋体" w:eastAsia="宋体" w:hint="default"/>
        </w:rPr>
        <w:t>)</w:t>
      </w:r>
      <w:r>
        <w:rPr/>
        <w:t>主要控股参股公司分析</w:t>
      </w:r>
      <w:r>
        <w:rPr>
          <w:b w:val="0"/>
          <w:bCs w:val="0"/>
        </w:rPr>
      </w:r>
    </w:p>
    <w:p>
      <w:pPr>
        <w:pStyle w:val="BodyText"/>
        <w:tabs>
          <w:tab w:pos="1163" w:val="left" w:leader="none"/>
        </w:tabs>
        <w:spacing w:line="240" w:lineRule="auto" w:before="97"/>
        <w:ind w:right="102"/>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562"/>
        <w:gridCol w:w="1135"/>
        <w:gridCol w:w="992"/>
        <w:gridCol w:w="569"/>
        <w:gridCol w:w="895"/>
        <w:gridCol w:w="1088"/>
        <w:gridCol w:w="1277"/>
        <w:gridCol w:w="1277"/>
        <w:gridCol w:w="1030"/>
      </w:tblGrid>
      <w:tr>
        <w:trPr>
          <w:trHeight w:val="125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0" w:right="168"/>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84" w:right="173"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3"/>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33" w:right="125" w:hanging="209"/>
              <w:jc w:val="left"/>
              <w:rPr>
                <w:rFonts w:ascii="宋体" w:hAnsi="宋体" w:cs="宋体" w:eastAsia="宋体" w:hint="default"/>
                <w:sz w:val="21"/>
                <w:szCs w:val="21"/>
              </w:rPr>
            </w:pPr>
            <w:r>
              <w:rPr>
                <w:rFonts w:ascii="宋体" w:hAnsi="宋体" w:cs="宋体" w:eastAsia="宋体" w:hint="default"/>
                <w:sz w:val="21"/>
                <w:szCs w:val="21"/>
              </w:rPr>
              <w:t>成立时</w:t>
            </w:r>
            <w:r>
              <w:rPr>
                <w:rFonts w:ascii="宋体" w:hAnsi="宋体" w:cs="宋体" w:eastAsia="宋体" w:hint="default"/>
                <w:spacing w:val="-102"/>
                <w:sz w:val="21"/>
                <w:szCs w:val="21"/>
              </w:rPr>
              <w:t> </w:t>
            </w:r>
            <w:r>
              <w:rPr>
                <w:rFonts w:ascii="宋体" w:hAnsi="宋体" w:cs="宋体" w:eastAsia="宋体" w:hint="default"/>
                <w:sz w:val="21"/>
                <w:szCs w:val="21"/>
              </w:rPr>
              <w:t>间</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28" w:right="115" w:hanging="212"/>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范围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94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 w:right="0"/>
              <w:jc w:val="center"/>
              <w:rPr>
                <w:rFonts w:ascii="Calibri" w:hAnsi="Calibri" w:cs="Calibri" w:eastAsia="Calibri" w:hint="default"/>
                <w:sz w:val="21"/>
                <w:szCs w:val="21"/>
              </w:rPr>
            </w:pPr>
            <w:r>
              <w:rPr>
                <w:rFonts w:ascii="Calibri"/>
                <w:w w:val="100"/>
                <w:sz w:val="21"/>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pacing w:val="11"/>
                <w:sz w:val="21"/>
                <w:szCs w:val="21"/>
              </w:rPr>
              <w:t>建南</w:t>
            </w:r>
            <w:r>
              <w:rPr>
                <w:rFonts w:ascii="宋体" w:hAnsi="宋体" w:cs="宋体" w:eastAsia="宋体" w:hint="default"/>
                <w:spacing w:val="-77"/>
                <w:sz w:val="21"/>
                <w:szCs w:val="21"/>
              </w:rPr>
              <w:t> </w:t>
            </w:r>
            <w:r>
              <w:rPr>
                <w:rFonts w:ascii="宋体" w:hAnsi="宋体" w:cs="宋体" w:eastAsia="宋体" w:hint="default"/>
                <w:sz w:val="21"/>
                <w:szCs w:val="21"/>
              </w:rPr>
              <w:t>威</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spacing w:val="-77"/>
                <w:sz w:val="21"/>
                <w:szCs w:val="21"/>
              </w:rPr>
              <w:t> </w:t>
            </w:r>
            <w:r>
              <w:rPr>
                <w:rFonts w:ascii="宋体" w:hAnsi="宋体" w:cs="宋体" w:eastAsia="宋体" w:hint="default"/>
                <w:spacing w:val="11"/>
                <w:sz w:val="21"/>
                <w:szCs w:val="21"/>
              </w:rPr>
              <w:t>件有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125,000,</w:t>
            </w:r>
          </w:p>
          <w:p>
            <w:pPr>
              <w:pStyle w:val="TableParagraph"/>
              <w:spacing w:line="240" w:lineRule="auto" w:before="70"/>
              <w:ind w:left="198" w:right="0"/>
              <w:jc w:val="center"/>
              <w:rPr>
                <w:rFonts w:ascii="Times New Roman" w:hAnsi="Times New Roman" w:cs="Times New Roman" w:eastAsia="Times New Roman" w:hint="default"/>
                <w:sz w:val="21"/>
                <w:szCs w:val="21"/>
              </w:rPr>
            </w:pPr>
            <w:r>
              <w:rPr>
                <w:rFonts w:ascii="Times New Roman"/>
                <w:sz w:val="21"/>
              </w:rPr>
              <w:t>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173" w:right="0"/>
              <w:jc w:val="center"/>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1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软件开发</w:t>
            </w:r>
            <w:r>
              <w:rPr>
                <w:rFonts w:ascii="宋体" w:hAnsi="宋体" w:cs="宋体" w:eastAsia="宋体" w:hint="default"/>
                <w:spacing w:val="-97"/>
                <w:sz w:val="21"/>
                <w:szCs w:val="21"/>
              </w:rPr>
              <w:t> </w:t>
            </w:r>
            <w:r>
              <w:rPr>
                <w:rFonts w:ascii="宋体" w:hAnsi="宋体" w:cs="宋体" w:eastAsia="宋体" w:hint="default"/>
                <w:spacing w:val="8"/>
                <w:sz w:val="21"/>
                <w:szCs w:val="21"/>
              </w:rPr>
              <w:t>与技术服</w:t>
            </w:r>
            <w:r>
              <w:rPr>
                <w:rFonts w:ascii="宋体" w:hAnsi="宋体" w:cs="宋体" w:eastAsia="宋体" w:hint="default"/>
                <w:spacing w:val="-97"/>
                <w:sz w:val="21"/>
                <w:szCs w:val="21"/>
              </w:rPr>
              <w:t> </w:t>
            </w:r>
            <w:r>
              <w:rPr>
                <w:rFonts w:ascii="宋体" w:hAnsi="宋体" w:cs="宋体" w:eastAsia="宋体" w:hint="default"/>
                <w:sz w:val="21"/>
                <w:szCs w:val="21"/>
              </w:rPr>
              <w:t>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327,498,717</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230,362,977</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.52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42,780,3</w:t>
            </w:r>
          </w:p>
          <w:p>
            <w:pPr>
              <w:pStyle w:val="TableParagraph"/>
              <w:spacing w:line="240" w:lineRule="auto" w:before="70"/>
              <w:ind w:left="444" w:right="0"/>
              <w:jc w:val="left"/>
              <w:rPr>
                <w:rFonts w:ascii="Times New Roman" w:hAnsi="Times New Roman" w:cs="Times New Roman" w:eastAsia="Times New Roman" w:hint="default"/>
                <w:sz w:val="21"/>
                <w:szCs w:val="21"/>
              </w:rPr>
            </w:pPr>
            <w:r>
              <w:rPr>
                <w:rFonts w:ascii="Times New Roman"/>
                <w:sz w:val="21"/>
              </w:rPr>
              <w:t>00.85</w:t>
            </w:r>
          </w:p>
        </w:tc>
      </w:tr>
      <w:tr>
        <w:trPr>
          <w:trHeight w:val="32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Calibri" w:hAnsi="Calibri" w:cs="Calibri" w:eastAsia="Calibri" w:hint="default"/>
                <w:sz w:val="21"/>
                <w:szCs w:val="21"/>
              </w:rPr>
            </w:pPr>
            <w:r>
              <w:rPr>
                <w:rFonts w:ascii="Calibri"/>
                <w:w w:val="100"/>
                <w:sz w:val="21"/>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pacing w:val="11"/>
                <w:sz w:val="21"/>
                <w:szCs w:val="21"/>
              </w:rPr>
              <w:t>建威</w:t>
            </w:r>
            <w:r>
              <w:rPr>
                <w:rFonts w:ascii="宋体" w:hAnsi="宋体" w:cs="宋体" w:eastAsia="宋体" w:hint="default"/>
                <w:spacing w:val="-77"/>
                <w:sz w:val="21"/>
                <w:szCs w:val="21"/>
              </w:rPr>
              <w:t> </w:t>
            </w:r>
            <w:r>
              <w:rPr>
                <w:rFonts w:ascii="宋体" w:hAnsi="宋体" w:cs="宋体" w:eastAsia="宋体" w:hint="default"/>
                <w:sz w:val="21"/>
                <w:szCs w:val="21"/>
              </w:rPr>
              <w:t>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44" w:right="0"/>
              <w:jc w:val="left"/>
              <w:rPr>
                <w:rFonts w:ascii="Times New Roman" w:hAnsi="Times New Roman" w:cs="Times New Roman" w:eastAsia="Times New Roman" w:hint="default"/>
                <w:sz w:val="21"/>
                <w:szCs w:val="21"/>
              </w:rPr>
            </w:pPr>
            <w:r>
              <w:rPr>
                <w:rFonts w:ascii="Times New Roman"/>
                <w:sz w:val="21"/>
              </w:rPr>
              <w:t>10,000,0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9" w:right="0"/>
              <w:jc w:val="left"/>
              <w:rPr>
                <w:rFonts w:ascii="Times New Roman" w:hAnsi="Times New Roman" w:cs="Times New Roman" w:eastAsia="Times New Roman" w:hint="default"/>
                <w:sz w:val="21"/>
                <w:szCs w:val="21"/>
              </w:rPr>
            </w:pPr>
            <w:r>
              <w:rPr>
                <w:rFonts w:ascii="Times New Roman"/>
                <w:sz w:val="21"/>
              </w:rPr>
              <w:t>100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软件开发</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1" w:right="0"/>
              <w:jc w:val="center"/>
              <w:rPr>
                <w:rFonts w:ascii="Times New Roman" w:hAnsi="Times New Roman" w:cs="Times New Roman" w:eastAsia="Times New Roman" w:hint="default"/>
                <w:sz w:val="21"/>
                <w:szCs w:val="21"/>
              </w:rPr>
            </w:pPr>
            <w:r>
              <w:rPr>
                <w:rFonts w:ascii="Times New Roman"/>
                <w:sz w:val="21"/>
              </w:rPr>
              <w:t>3,356,071.1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4" w:right="0"/>
              <w:jc w:val="center"/>
              <w:rPr>
                <w:rFonts w:ascii="Times New Roman" w:hAnsi="Times New Roman" w:cs="Times New Roman" w:eastAsia="Times New Roman" w:hint="default"/>
                <w:sz w:val="21"/>
                <w:szCs w:val="21"/>
              </w:rPr>
            </w:pPr>
            <w:r>
              <w:rPr>
                <w:rFonts w:ascii="Times New Roman"/>
                <w:sz w:val="21"/>
              </w:rPr>
              <w:t>2,650,401.3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2" w:right="0"/>
              <w:jc w:val="center"/>
              <w:rPr>
                <w:rFonts w:ascii="Times New Roman" w:hAnsi="Times New Roman" w:cs="Times New Roman" w:eastAsia="Times New Roman" w:hint="default"/>
                <w:sz w:val="21"/>
                <w:szCs w:val="21"/>
              </w:rPr>
            </w:pPr>
            <w:r>
              <w:rPr>
                <w:rFonts w:ascii="Times New Roman"/>
                <w:sz w:val="21"/>
              </w:rPr>
              <w:t>-1,381,72</w:t>
            </w:r>
          </w:p>
        </w:tc>
      </w:tr>
    </w:tbl>
    <w:p>
      <w:pPr>
        <w:spacing w:after="0" w:line="240" w:lineRule="auto"/>
        <w:jc w:val="center"/>
        <w:rPr>
          <w:rFonts w:ascii="Times New Roman" w:hAnsi="Times New Roman" w:cs="Times New Roman" w:eastAsia="Times New Roman" w:hint="default"/>
          <w:sz w:val="21"/>
          <w:szCs w:val="21"/>
        </w:rPr>
        <w:sectPr>
          <w:pgSz w:w="11910" w:h="16840"/>
          <w:pgMar w:header="855" w:footer="979" w:top="1140" w:bottom="116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62"/>
        <w:gridCol w:w="1135"/>
        <w:gridCol w:w="992"/>
        <w:gridCol w:w="569"/>
        <w:gridCol w:w="895"/>
        <w:gridCol w:w="1088"/>
        <w:gridCol w:w="1277"/>
        <w:gridCol w:w="1277"/>
        <w:gridCol w:w="1030"/>
      </w:tblGrid>
      <w:tr>
        <w:trPr>
          <w:trHeight w:val="636" w:hRule="exact"/>
        </w:trPr>
        <w:tc>
          <w:tcPr>
            <w:tcW w:w="56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pacing w:val="11"/>
                <w:sz w:val="21"/>
                <w:szCs w:val="21"/>
              </w:rPr>
              <w:t>技有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73" w:right="0"/>
              <w:jc w:val="center"/>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left"/>
              <w:rPr>
                <w:rFonts w:ascii="宋体" w:hAnsi="宋体" w:cs="宋体" w:eastAsia="宋体" w:hint="default"/>
                <w:sz w:val="21"/>
                <w:szCs w:val="21"/>
              </w:rPr>
            </w:pPr>
            <w:r>
              <w:rPr>
                <w:rFonts w:ascii="宋体" w:hAnsi="宋体" w:cs="宋体" w:eastAsia="宋体" w:hint="default"/>
                <w:spacing w:val="8"/>
                <w:sz w:val="21"/>
                <w:szCs w:val="21"/>
              </w:rPr>
              <w:t>与技术服</w:t>
            </w:r>
            <w:r>
              <w:rPr>
                <w:rFonts w:ascii="宋体" w:hAnsi="宋体" w:cs="宋体" w:eastAsia="宋体" w:hint="default"/>
                <w:spacing w:val="-97"/>
                <w:sz w:val="21"/>
                <w:szCs w:val="21"/>
              </w:rPr>
              <w:t> </w:t>
            </w:r>
            <w:r>
              <w:rPr>
                <w:rFonts w:ascii="宋体" w:hAnsi="宋体" w:cs="宋体" w:eastAsia="宋体" w:hint="default"/>
                <w:sz w:val="21"/>
                <w:szCs w:val="21"/>
              </w:rPr>
              <w:t>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w w:val="100"/>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1.86</w:t>
            </w:r>
          </w:p>
        </w:tc>
      </w:tr>
      <w:tr>
        <w:trPr>
          <w:trHeight w:val="15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3" w:right="0"/>
              <w:jc w:val="left"/>
              <w:rPr>
                <w:rFonts w:ascii="Calibri" w:hAnsi="Calibri" w:cs="Calibri" w:eastAsia="Calibri" w:hint="default"/>
                <w:sz w:val="21"/>
                <w:szCs w:val="21"/>
              </w:rPr>
            </w:pPr>
            <w:r>
              <w:rPr>
                <w:rFonts w:ascii="Calibri"/>
                <w:w w:val="100"/>
                <w:sz w:val="21"/>
              </w:rPr>
              <w:t>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pacing w:val="11"/>
                <w:sz w:val="21"/>
                <w:szCs w:val="21"/>
              </w:rPr>
              <w:t>海南</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pacing w:val="11"/>
                <w:sz w:val="21"/>
                <w:szCs w:val="21"/>
              </w:rPr>
              <w:t>息科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70"/>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70</w:t>
            </w:r>
          </w:p>
          <w:p>
            <w:pPr>
              <w:pStyle w:val="TableParagraph"/>
              <w:spacing w:line="240" w:lineRule="auto" w:before="70"/>
              <w:ind w:left="278" w:right="0"/>
              <w:jc w:val="left"/>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1"/>
              <w:ind w:left="1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从事信息</w:t>
            </w:r>
            <w:r>
              <w:rPr>
                <w:rFonts w:ascii="宋体" w:hAnsi="宋体" w:cs="宋体" w:eastAsia="宋体" w:hint="default"/>
                <w:spacing w:val="-97"/>
                <w:sz w:val="21"/>
                <w:szCs w:val="21"/>
              </w:rPr>
              <w:t> </w:t>
            </w:r>
            <w:r>
              <w:rPr>
                <w:rFonts w:ascii="宋体" w:hAnsi="宋体" w:cs="宋体" w:eastAsia="宋体" w:hint="default"/>
                <w:spacing w:val="8"/>
                <w:sz w:val="21"/>
                <w:szCs w:val="21"/>
              </w:rPr>
              <w:t>科技，技</w:t>
            </w:r>
            <w:r>
              <w:rPr>
                <w:rFonts w:ascii="宋体" w:hAnsi="宋体" w:cs="宋体" w:eastAsia="宋体" w:hint="default"/>
                <w:spacing w:val="-97"/>
                <w:sz w:val="21"/>
                <w:szCs w:val="21"/>
              </w:rPr>
              <w:t> </w:t>
            </w:r>
            <w:r>
              <w:rPr>
                <w:rFonts w:ascii="宋体" w:hAnsi="宋体" w:cs="宋体" w:eastAsia="宋体" w:hint="default"/>
                <w:spacing w:val="8"/>
                <w:sz w:val="21"/>
                <w:szCs w:val="21"/>
              </w:rPr>
              <w:t>术开发与</w:t>
            </w:r>
            <w:r>
              <w:rPr>
                <w:rFonts w:ascii="宋体" w:hAnsi="宋体" w:cs="宋体" w:eastAsia="宋体" w:hint="default"/>
                <w:spacing w:val="-97"/>
                <w:sz w:val="21"/>
                <w:szCs w:val="21"/>
              </w:rPr>
              <w:t> </w:t>
            </w:r>
            <w:r>
              <w:rPr>
                <w:rFonts w:ascii="宋体" w:hAnsi="宋体" w:cs="宋体" w:eastAsia="宋体" w:hint="default"/>
                <w:spacing w:val="8"/>
                <w:sz w:val="21"/>
                <w:szCs w:val="21"/>
              </w:rPr>
              <w:t>技术服务</w:t>
            </w:r>
            <w:r>
              <w:rPr>
                <w:rFonts w:ascii="宋体" w:hAnsi="宋体" w:cs="宋体" w:eastAsia="宋体" w:hint="default"/>
                <w:spacing w:val="-97"/>
                <w:sz w:val="21"/>
                <w:szCs w:val="21"/>
              </w:rPr>
              <w:t> </w:t>
            </w:r>
            <w:r>
              <w:rPr>
                <w:rFonts w:ascii="宋体" w:hAnsi="宋体" w:cs="宋体" w:eastAsia="宋体" w:hint="default"/>
                <w:sz w:val="21"/>
                <w:szCs w:val="21"/>
              </w:rPr>
              <w:t>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1,380,325.4</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633,748.02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604,458.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82</w:t>
            </w:r>
          </w:p>
        </w:tc>
      </w:tr>
      <w:tr>
        <w:trPr>
          <w:trHeight w:val="219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3" w:right="0"/>
              <w:jc w:val="left"/>
              <w:rPr>
                <w:rFonts w:ascii="Calibri" w:hAnsi="Calibri" w:cs="Calibri" w:eastAsia="Calibri" w:hint="default"/>
                <w:sz w:val="21"/>
                <w:szCs w:val="21"/>
              </w:rPr>
            </w:pPr>
            <w:r>
              <w:rPr>
                <w:rFonts w:ascii="Calibri"/>
                <w:w w:val="100"/>
                <w:sz w:val="21"/>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99"/>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pacing w:val="11"/>
                <w:sz w:val="21"/>
                <w:szCs w:val="21"/>
              </w:rPr>
              <w:t>京万</w:t>
            </w:r>
            <w:r>
              <w:rPr>
                <w:rFonts w:ascii="宋体" w:hAnsi="宋体" w:cs="宋体" w:eastAsia="宋体" w:hint="default"/>
                <w:spacing w:val="-77"/>
                <w:sz w:val="21"/>
                <w:szCs w:val="21"/>
              </w:rPr>
              <w:t> </w:t>
            </w:r>
            <w:r>
              <w:rPr>
                <w:rFonts w:ascii="宋体" w:hAnsi="宋体" w:cs="宋体" w:eastAsia="宋体" w:hint="default"/>
                <w:sz w:val="21"/>
                <w:szCs w:val="21"/>
              </w:rPr>
              <w:t>创</w:t>
            </w:r>
            <w:r>
              <w:rPr>
                <w:rFonts w:ascii="宋体" w:hAnsi="宋体" w:cs="宋体" w:eastAsia="宋体" w:hint="default"/>
                <w:w w:val="100"/>
                <w:sz w:val="21"/>
                <w:szCs w:val="21"/>
              </w:rPr>
              <w:t> </w:t>
            </w:r>
            <w:r>
              <w:rPr>
                <w:rFonts w:ascii="宋体" w:hAnsi="宋体" w:cs="宋体" w:eastAsia="宋体" w:hint="default"/>
                <w:sz w:val="21"/>
                <w:szCs w:val="21"/>
              </w:rPr>
              <w:t>聚</w:t>
            </w:r>
            <w:r>
              <w:rPr>
                <w:rFonts w:ascii="宋体" w:hAnsi="宋体" w:cs="宋体" w:eastAsia="宋体" w:hint="default"/>
                <w:spacing w:val="-77"/>
                <w:sz w:val="21"/>
                <w:szCs w:val="21"/>
              </w:rPr>
              <w:t> </w:t>
            </w:r>
            <w:r>
              <w:rPr>
                <w:rFonts w:ascii="宋体" w:hAnsi="宋体" w:cs="宋体" w:eastAsia="宋体" w:hint="default"/>
                <w:spacing w:val="11"/>
                <w:sz w:val="21"/>
                <w:szCs w:val="21"/>
              </w:rPr>
              <w:t>力科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44"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71"/>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42" w:right="0"/>
              <w:jc w:val="left"/>
              <w:rPr>
                <w:rFonts w:ascii="Times New Roman" w:hAnsi="Times New Roman" w:cs="Times New Roman" w:eastAsia="Times New Roman" w:hint="default"/>
                <w:sz w:val="21"/>
                <w:szCs w:val="21"/>
              </w:rPr>
            </w:pPr>
            <w:r>
              <w:rPr>
                <w:rFonts w:ascii="Times New Roman"/>
                <w:sz w:val="21"/>
              </w:rPr>
              <w:t>60</w:t>
            </w:r>
          </w:p>
          <w:p>
            <w:pPr>
              <w:pStyle w:val="TableParagraph"/>
              <w:spacing w:line="240" w:lineRule="auto" w:before="71"/>
              <w:ind w:left="278" w:right="0"/>
              <w:jc w:val="left"/>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94"/>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z w:val="21"/>
                <w:szCs w:val="21"/>
              </w:rPr>
              <w:t>技 术</w:t>
            </w:r>
            <w:r>
              <w:rPr>
                <w:rFonts w:ascii="宋体" w:hAnsi="宋体" w:cs="宋体" w:eastAsia="宋体" w:hint="default"/>
                <w:spacing w:val="33"/>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pacing w:val="8"/>
                <w:sz w:val="21"/>
                <w:szCs w:val="21"/>
              </w:rPr>
              <w:t>发、技术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推广、技</w:t>
            </w:r>
            <w:r>
              <w:rPr>
                <w:rFonts w:ascii="宋体" w:hAnsi="宋体" w:cs="宋体" w:eastAsia="宋体" w:hint="default"/>
                <w:spacing w:val="-97"/>
                <w:sz w:val="21"/>
                <w:szCs w:val="21"/>
              </w:rPr>
              <w:t> </w:t>
            </w:r>
            <w:r>
              <w:rPr>
                <w:rFonts w:ascii="宋体" w:hAnsi="宋体" w:cs="宋体" w:eastAsia="宋体" w:hint="default"/>
                <w:spacing w:val="8"/>
                <w:sz w:val="21"/>
                <w:szCs w:val="21"/>
              </w:rPr>
              <w:t>术转让、</w:t>
            </w:r>
            <w:r>
              <w:rPr>
                <w:rFonts w:ascii="宋体" w:hAnsi="宋体" w:cs="宋体" w:eastAsia="宋体" w:hint="default"/>
                <w:spacing w:val="-97"/>
                <w:sz w:val="21"/>
                <w:szCs w:val="21"/>
              </w:rPr>
              <w:t> </w:t>
            </w:r>
            <w:r>
              <w:rPr>
                <w:rFonts w:ascii="宋体" w:hAnsi="宋体" w:cs="宋体" w:eastAsia="宋体" w:hint="default"/>
                <w:sz w:val="21"/>
                <w:szCs w:val="21"/>
              </w:rPr>
              <w:t>技 术</w:t>
            </w:r>
            <w:r>
              <w:rPr>
                <w:rFonts w:ascii="宋体" w:hAnsi="宋体" w:cs="宋体" w:eastAsia="宋体" w:hint="default"/>
                <w:spacing w:val="3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pacing w:val="8"/>
                <w:sz w:val="21"/>
                <w:szCs w:val="21"/>
              </w:rPr>
              <w:t>询、软件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开发等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25,690,860.</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2"/>
                <w:sz w:val="21"/>
              </w:rPr>
              <w:t>19,689,119.</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46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12" w:right="0"/>
              <w:jc w:val="left"/>
              <w:rPr>
                <w:rFonts w:ascii="Times New Roman" w:hAnsi="Times New Roman" w:cs="Times New Roman" w:eastAsia="Times New Roman" w:hint="default"/>
                <w:sz w:val="21"/>
                <w:szCs w:val="21"/>
              </w:rPr>
            </w:pPr>
            <w:r>
              <w:rPr>
                <w:rFonts w:ascii="Times New Roman"/>
                <w:sz w:val="21"/>
              </w:rPr>
              <w:t>-7,938,27</w:t>
            </w:r>
          </w:p>
          <w:p>
            <w:pPr>
              <w:pStyle w:val="TableParagraph"/>
              <w:spacing w:line="240" w:lineRule="auto" w:before="71"/>
              <w:ind w:left="549" w:right="0"/>
              <w:jc w:val="left"/>
              <w:rPr>
                <w:rFonts w:ascii="Times New Roman" w:hAnsi="Times New Roman" w:cs="Times New Roman" w:eastAsia="Times New Roman" w:hint="default"/>
                <w:sz w:val="21"/>
                <w:szCs w:val="21"/>
              </w:rPr>
            </w:pPr>
            <w:r>
              <w:rPr>
                <w:rFonts w:ascii="Times New Roman"/>
                <w:sz w:val="21"/>
              </w:rPr>
              <w:t>4.91</w:t>
            </w:r>
          </w:p>
        </w:tc>
      </w:tr>
      <w:tr>
        <w:trPr>
          <w:trHeight w:val="15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3" w:right="0"/>
              <w:jc w:val="left"/>
              <w:rPr>
                <w:rFonts w:ascii="Calibri" w:hAnsi="Calibri" w:cs="Calibri" w:eastAsia="Calibri" w:hint="default"/>
                <w:sz w:val="21"/>
                <w:szCs w:val="21"/>
              </w:rPr>
            </w:pPr>
            <w:r>
              <w:rPr>
                <w:rFonts w:ascii="Calibri"/>
                <w:w w:val="100"/>
                <w:sz w:val="21"/>
              </w:rPr>
              <w:t>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both"/>
              <w:rPr>
                <w:rFonts w:ascii="宋体" w:hAnsi="宋体" w:cs="宋体" w:eastAsia="宋体" w:hint="default"/>
                <w:sz w:val="21"/>
                <w:szCs w:val="21"/>
              </w:rPr>
            </w:pPr>
            <w:r>
              <w:rPr>
                <w:rFonts w:ascii="宋体" w:hAnsi="宋体" w:cs="宋体" w:eastAsia="宋体" w:hint="default"/>
                <w:sz w:val="21"/>
                <w:szCs w:val="21"/>
              </w:rPr>
              <w:t>泉</w:t>
            </w:r>
            <w:r>
              <w:rPr>
                <w:rFonts w:ascii="宋体" w:hAnsi="宋体" w:cs="宋体" w:eastAsia="宋体" w:hint="default"/>
                <w:spacing w:val="-77"/>
                <w:sz w:val="21"/>
                <w:szCs w:val="21"/>
              </w:rPr>
              <w:t> </w:t>
            </w:r>
            <w:r>
              <w:rPr>
                <w:rFonts w:ascii="宋体" w:hAnsi="宋体" w:cs="宋体" w:eastAsia="宋体" w:hint="default"/>
                <w:spacing w:val="11"/>
                <w:sz w:val="21"/>
                <w:szCs w:val="21"/>
              </w:rPr>
              <w:t>州威</w:t>
            </w:r>
            <w:r>
              <w:rPr>
                <w:rFonts w:ascii="宋体" w:hAnsi="宋体" w:cs="宋体" w:eastAsia="宋体" w:hint="default"/>
                <w:spacing w:val="-77"/>
                <w:sz w:val="21"/>
                <w:szCs w:val="21"/>
              </w:rPr>
              <w:t> </w:t>
            </w:r>
            <w:r>
              <w:rPr>
                <w:rFonts w:ascii="宋体" w:hAnsi="宋体" w:cs="宋体" w:eastAsia="宋体" w:hint="default"/>
                <w:sz w:val="21"/>
                <w:szCs w:val="21"/>
              </w:rPr>
              <w:t>盾</w:t>
            </w:r>
            <w:r>
              <w:rPr>
                <w:rFonts w:ascii="宋体" w:hAnsi="宋体" w:cs="宋体" w:eastAsia="宋体" w:hint="default"/>
                <w:w w:val="100"/>
                <w:sz w:val="21"/>
                <w:szCs w:val="21"/>
              </w:rPr>
              <w:t> </w:t>
            </w:r>
            <w:r>
              <w:rPr>
                <w:rFonts w:ascii="宋体" w:hAnsi="宋体" w:cs="宋体" w:eastAsia="宋体" w:hint="default"/>
                <w:sz w:val="21"/>
                <w:szCs w:val="21"/>
              </w:rPr>
              <w:t>智</w:t>
            </w:r>
            <w:r>
              <w:rPr>
                <w:rFonts w:ascii="宋体" w:hAnsi="宋体" w:cs="宋体" w:eastAsia="宋体" w:hint="default"/>
                <w:spacing w:val="-77"/>
                <w:sz w:val="21"/>
                <w:szCs w:val="21"/>
              </w:rPr>
              <w:t> </w:t>
            </w:r>
            <w:r>
              <w:rPr>
                <w:rFonts w:ascii="宋体" w:hAnsi="宋体" w:cs="宋体" w:eastAsia="宋体" w:hint="default"/>
                <w:spacing w:val="11"/>
                <w:sz w:val="21"/>
                <w:szCs w:val="21"/>
              </w:rPr>
              <w:t>能交</w:t>
            </w:r>
            <w:r>
              <w:rPr>
                <w:rFonts w:ascii="宋体" w:hAnsi="宋体" w:cs="宋体" w:eastAsia="宋体" w:hint="default"/>
                <w:spacing w:val="-77"/>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pacing w:val="-77"/>
                <w:sz w:val="21"/>
                <w:szCs w:val="21"/>
              </w:rPr>
              <w:t> </w:t>
            </w:r>
            <w:r>
              <w:rPr>
                <w:rFonts w:ascii="宋体" w:hAnsi="宋体" w:cs="宋体" w:eastAsia="宋体" w:hint="default"/>
                <w:spacing w:val="11"/>
                <w:sz w:val="21"/>
                <w:szCs w:val="21"/>
              </w:rPr>
              <w:t>统有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40,000,0</w:t>
            </w:r>
          </w:p>
          <w:p>
            <w:pPr>
              <w:pStyle w:val="TableParagraph"/>
              <w:spacing w:line="240" w:lineRule="auto" w:before="70"/>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173" w:right="0"/>
              <w:jc w:val="center"/>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1"/>
              <w:ind w:left="1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交通系统</w:t>
            </w:r>
            <w:r>
              <w:rPr>
                <w:rFonts w:ascii="宋体" w:hAnsi="宋体" w:cs="宋体" w:eastAsia="宋体" w:hint="default"/>
                <w:spacing w:val="-97"/>
                <w:sz w:val="21"/>
                <w:szCs w:val="21"/>
              </w:rPr>
              <w:t> </w:t>
            </w:r>
            <w:r>
              <w:rPr>
                <w:rFonts w:ascii="宋体" w:hAnsi="宋体" w:cs="宋体" w:eastAsia="宋体" w:hint="default"/>
                <w:spacing w:val="8"/>
                <w:sz w:val="21"/>
                <w:szCs w:val="21"/>
              </w:rPr>
              <w:t>软件及交</w:t>
            </w:r>
            <w:r>
              <w:rPr>
                <w:rFonts w:ascii="宋体" w:hAnsi="宋体" w:cs="宋体" w:eastAsia="宋体" w:hint="default"/>
                <w:spacing w:val="-97"/>
                <w:sz w:val="21"/>
                <w:szCs w:val="21"/>
              </w:rPr>
              <w:t> </w:t>
            </w:r>
            <w:r>
              <w:rPr>
                <w:rFonts w:ascii="宋体" w:hAnsi="宋体" w:cs="宋体" w:eastAsia="宋体" w:hint="default"/>
                <w:spacing w:val="8"/>
                <w:sz w:val="21"/>
                <w:szCs w:val="21"/>
              </w:rPr>
              <w:t>通网络技</w:t>
            </w:r>
            <w:r>
              <w:rPr>
                <w:rFonts w:ascii="宋体" w:hAnsi="宋体" w:cs="宋体" w:eastAsia="宋体" w:hint="default"/>
                <w:spacing w:val="-97"/>
                <w:sz w:val="21"/>
                <w:szCs w:val="21"/>
              </w:rPr>
              <w:t> </w:t>
            </w:r>
            <w:r>
              <w:rPr>
                <w:rFonts w:ascii="宋体" w:hAnsi="宋体" w:cs="宋体" w:eastAsia="宋体" w:hint="default"/>
                <w:spacing w:val="8"/>
                <w:sz w:val="21"/>
                <w:szCs w:val="21"/>
              </w:rPr>
              <w:t>术的研究</w:t>
            </w:r>
            <w:r>
              <w:rPr>
                <w:rFonts w:ascii="宋体" w:hAnsi="宋体" w:cs="宋体" w:eastAsia="宋体" w:hint="default"/>
                <w:spacing w:val="-97"/>
                <w:sz w:val="21"/>
                <w:szCs w:val="21"/>
              </w:rPr>
              <w:t> </w:t>
            </w:r>
            <w:r>
              <w:rPr>
                <w:rFonts w:ascii="宋体" w:hAnsi="宋体" w:cs="宋体" w:eastAsia="宋体" w:hint="default"/>
                <w:sz w:val="21"/>
                <w:szCs w:val="21"/>
              </w:rPr>
              <w:t>与开发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40,076,210.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39,804,246.</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52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-195,753.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48</w:t>
            </w:r>
          </w:p>
        </w:tc>
      </w:tr>
      <w:tr>
        <w:trPr>
          <w:trHeight w:val="125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3" w:right="0"/>
              <w:jc w:val="left"/>
              <w:rPr>
                <w:rFonts w:ascii="Calibri" w:hAnsi="Calibri" w:cs="Calibri" w:eastAsia="Calibri" w:hint="default"/>
                <w:sz w:val="21"/>
                <w:szCs w:val="21"/>
              </w:rPr>
            </w:pPr>
            <w:r>
              <w:rPr>
                <w:rFonts w:ascii="Calibri"/>
                <w:w w:val="100"/>
                <w:sz w:val="21"/>
              </w:rPr>
              <w:t>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77"/>
                <w:sz w:val="21"/>
                <w:szCs w:val="21"/>
              </w:rPr>
              <w:t> </w:t>
            </w:r>
            <w:r>
              <w:rPr>
                <w:rFonts w:ascii="宋体" w:hAnsi="宋体" w:cs="宋体" w:eastAsia="宋体" w:hint="default"/>
                <w:spacing w:val="11"/>
                <w:sz w:val="21"/>
                <w:szCs w:val="21"/>
              </w:rPr>
              <w:t>门市</w:t>
            </w:r>
            <w:r>
              <w:rPr>
                <w:rFonts w:ascii="宋体" w:hAnsi="宋体" w:cs="宋体" w:eastAsia="宋体" w:hint="default"/>
                <w:spacing w:val="-77"/>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威</w:t>
            </w:r>
            <w:r>
              <w:rPr>
                <w:rFonts w:ascii="宋体" w:hAnsi="宋体" w:cs="宋体" w:eastAsia="宋体" w:hint="default"/>
                <w:spacing w:val="-77"/>
                <w:sz w:val="21"/>
                <w:szCs w:val="21"/>
              </w:rPr>
              <w:t> </w:t>
            </w:r>
            <w:r>
              <w:rPr>
                <w:rFonts w:ascii="宋体" w:hAnsi="宋体" w:cs="宋体" w:eastAsia="宋体" w:hint="default"/>
                <w:spacing w:val="11"/>
                <w:sz w:val="21"/>
                <w:szCs w:val="21"/>
              </w:rPr>
              <w:t>软件</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77"/>
                <w:sz w:val="21"/>
                <w:szCs w:val="21"/>
              </w:rPr>
              <w:t> </w:t>
            </w:r>
            <w:r>
              <w:rPr>
                <w:rFonts w:ascii="宋体" w:hAnsi="宋体" w:cs="宋体" w:eastAsia="宋体" w:hint="default"/>
                <w:spacing w:val="11"/>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44"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71"/>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6"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1"/>
              <w:ind w:left="173" w:right="0"/>
              <w:jc w:val="center"/>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1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89"/>
              <w:jc w:val="both"/>
              <w:rPr>
                <w:rFonts w:ascii="宋体" w:hAnsi="宋体" w:cs="宋体" w:eastAsia="宋体" w:hint="default"/>
                <w:sz w:val="21"/>
                <w:szCs w:val="21"/>
              </w:rPr>
            </w:pPr>
            <w:r>
              <w:rPr>
                <w:rFonts w:ascii="宋体" w:hAnsi="宋体" w:cs="宋体" w:eastAsia="宋体" w:hint="default"/>
                <w:spacing w:val="8"/>
                <w:sz w:val="21"/>
                <w:szCs w:val="21"/>
              </w:rPr>
              <w:t>软件开发</w:t>
            </w:r>
            <w:r>
              <w:rPr>
                <w:rFonts w:ascii="宋体" w:hAnsi="宋体" w:cs="宋体" w:eastAsia="宋体" w:hint="default"/>
                <w:spacing w:val="-97"/>
                <w:sz w:val="21"/>
                <w:szCs w:val="21"/>
              </w:rPr>
              <w:t> </w:t>
            </w:r>
            <w:r>
              <w:rPr>
                <w:rFonts w:ascii="宋体" w:hAnsi="宋体" w:cs="宋体" w:eastAsia="宋体" w:hint="default"/>
                <w:spacing w:val="8"/>
                <w:sz w:val="21"/>
                <w:szCs w:val="21"/>
              </w:rPr>
              <w:t>与技术服</w:t>
            </w:r>
            <w:r>
              <w:rPr>
                <w:rFonts w:ascii="宋体" w:hAnsi="宋体" w:cs="宋体" w:eastAsia="宋体" w:hint="default"/>
                <w:spacing w:val="-97"/>
                <w:sz w:val="21"/>
                <w:szCs w:val="21"/>
              </w:rPr>
              <w:t> </w:t>
            </w:r>
            <w:r>
              <w:rPr>
                <w:rFonts w:ascii="宋体" w:hAnsi="宋体" w:cs="宋体" w:eastAsia="宋体" w:hint="default"/>
                <w:sz w:val="21"/>
                <w:szCs w:val="21"/>
              </w:rPr>
              <w:t>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10,321,970.</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9,061,892.7</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146,216.</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43</w:t>
            </w:r>
          </w:p>
        </w:tc>
      </w:tr>
      <w:tr>
        <w:trPr>
          <w:trHeight w:val="250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Calibri" w:hAnsi="Calibri" w:cs="Calibri" w:eastAsia="Calibri" w:hint="default"/>
                <w:sz w:val="21"/>
                <w:szCs w:val="21"/>
              </w:rPr>
            </w:pPr>
            <w:r>
              <w:rPr>
                <w:rFonts w:ascii="Calibri"/>
                <w:w w:val="100"/>
                <w:sz w:val="21"/>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pacing w:val="11"/>
                <w:sz w:val="21"/>
                <w:szCs w:val="21"/>
              </w:rPr>
              <w:t>京南</w:t>
            </w:r>
            <w:r>
              <w:rPr>
                <w:rFonts w:ascii="宋体" w:hAnsi="宋体" w:cs="宋体" w:eastAsia="宋体" w:hint="default"/>
                <w:spacing w:val="-77"/>
                <w:sz w:val="21"/>
                <w:szCs w:val="21"/>
              </w:rPr>
              <w:t> </w:t>
            </w:r>
            <w:r>
              <w:rPr>
                <w:rFonts w:ascii="宋体" w:hAnsi="宋体" w:cs="宋体" w:eastAsia="宋体" w:hint="default"/>
                <w:sz w:val="21"/>
                <w:szCs w:val="21"/>
              </w:rPr>
              <w:t>威</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pacing w:val="11"/>
                <w:sz w:val="21"/>
                <w:szCs w:val="21"/>
              </w:rPr>
              <w:t>技有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70"/>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173" w:right="0"/>
              <w:jc w:val="center"/>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94"/>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z w:val="21"/>
                <w:szCs w:val="21"/>
              </w:rPr>
              <w:t>技 术</w:t>
            </w:r>
            <w:r>
              <w:rPr>
                <w:rFonts w:ascii="宋体" w:hAnsi="宋体" w:cs="宋体" w:eastAsia="宋体" w:hint="default"/>
                <w:spacing w:val="33"/>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pacing w:val="8"/>
                <w:sz w:val="21"/>
                <w:szCs w:val="21"/>
              </w:rPr>
              <w:t>发，技术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咨询、技</w:t>
            </w:r>
            <w:r>
              <w:rPr>
                <w:rFonts w:ascii="宋体" w:hAnsi="宋体" w:cs="宋体" w:eastAsia="宋体" w:hint="default"/>
                <w:spacing w:val="-97"/>
                <w:sz w:val="21"/>
                <w:szCs w:val="21"/>
              </w:rPr>
              <w:t> </w:t>
            </w:r>
            <w:r>
              <w:rPr>
                <w:rFonts w:ascii="宋体" w:hAnsi="宋体" w:cs="宋体" w:eastAsia="宋体" w:hint="default"/>
                <w:spacing w:val="8"/>
                <w:sz w:val="21"/>
                <w:szCs w:val="21"/>
              </w:rPr>
              <w:t>术转让，</w:t>
            </w:r>
            <w:r>
              <w:rPr>
                <w:rFonts w:ascii="宋体" w:hAnsi="宋体" w:cs="宋体" w:eastAsia="宋体" w:hint="default"/>
                <w:spacing w:val="-97"/>
                <w:sz w:val="21"/>
                <w:szCs w:val="21"/>
              </w:rPr>
              <w:t> </w:t>
            </w:r>
            <w:r>
              <w:rPr>
                <w:rFonts w:ascii="宋体" w:hAnsi="宋体" w:cs="宋体" w:eastAsia="宋体" w:hint="default"/>
                <w:sz w:val="21"/>
                <w:szCs w:val="21"/>
              </w:rPr>
              <w:t>技 术</w:t>
            </w:r>
            <w:r>
              <w:rPr>
                <w:rFonts w:ascii="宋体" w:hAnsi="宋体" w:cs="宋体" w:eastAsia="宋体" w:hint="default"/>
                <w:spacing w:val="3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8"/>
                <w:sz w:val="21"/>
                <w:szCs w:val="21"/>
              </w:rPr>
              <w:t>务、软件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及辅助设</w:t>
            </w:r>
            <w:r>
              <w:rPr>
                <w:rFonts w:ascii="宋体" w:hAnsi="宋体" w:cs="宋体" w:eastAsia="宋体" w:hint="default"/>
                <w:spacing w:val="-97"/>
                <w:sz w:val="21"/>
                <w:szCs w:val="21"/>
              </w:rPr>
              <w:t> </w:t>
            </w:r>
            <w:r>
              <w:rPr>
                <w:rFonts w:ascii="宋体" w:hAnsi="宋体" w:cs="宋体" w:eastAsia="宋体" w:hint="default"/>
                <w:sz w:val="21"/>
                <w:szCs w:val="21"/>
              </w:rPr>
              <w:t>备等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7,688,313.3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5,961,058.6</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769,414.</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63</w:t>
            </w:r>
          </w:p>
        </w:tc>
      </w:tr>
      <w:tr>
        <w:trPr>
          <w:trHeight w:val="2509"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Calibri" w:hAnsi="Calibri" w:cs="Calibri" w:eastAsia="Calibri" w:hint="default"/>
                <w:sz w:val="21"/>
                <w:szCs w:val="21"/>
              </w:rPr>
            </w:pPr>
            <w:r>
              <w:rPr>
                <w:rFonts w:ascii="Calibri"/>
                <w:w w:val="100"/>
                <w:sz w:val="21"/>
              </w:rPr>
              <w:t>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7"/>
                <w:szCs w:val="27"/>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pacing w:val="11"/>
                <w:sz w:val="21"/>
                <w:szCs w:val="21"/>
              </w:rPr>
              <w:t>京南</w:t>
            </w:r>
            <w:r>
              <w:rPr>
                <w:rFonts w:ascii="宋体" w:hAnsi="宋体" w:cs="宋体" w:eastAsia="宋体" w:hint="default"/>
                <w:spacing w:val="-77"/>
                <w:sz w:val="21"/>
                <w:szCs w:val="21"/>
              </w:rPr>
              <w:t> </w:t>
            </w:r>
            <w:r>
              <w:rPr>
                <w:rFonts w:ascii="宋体" w:hAnsi="宋体" w:cs="宋体" w:eastAsia="宋体" w:hint="default"/>
                <w:sz w:val="21"/>
                <w:szCs w:val="21"/>
              </w:rPr>
              <w:t>威</w:t>
            </w:r>
            <w:r>
              <w:rPr>
                <w:rFonts w:ascii="宋体" w:hAnsi="宋体" w:cs="宋体" w:eastAsia="宋体" w:hint="default"/>
                <w:w w:val="100"/>
                <w:sz w:val="21"/>
                <w:szCs w:val="21"/>
              </w:rPr>
              <w:t> </w:t>
            </w:r>
            <w:r>
              <w:rPr>
                <w:rFonts w:ascii="宋体" w:hAnsi="宋体" w:cs="宋体" w:eastAsia="宋体" w:hint="default"/>
                <w:sz w:val="21"/>
                <w:szCs w:val="21"/>
              </w:rPr>
              <w:t>水</w:t>
            </w:r>
            <w:r>
              <w:rPr>
                <w:rFonts w:ascii="宋体" w:hAnsi="宋体" w:cs="宋体" w:eastAsia="宋体" w:hint="default"/>
                <w:spacing w:val="-77"/>
                <w:sz w:val="21"/>
                <w:szCs w:val="21"/>
              </w:rPr>
              <w:t> </w:t>
            </w:r>
            <w:r>
              <w:rPr>
                <w:rFonts w:ascii="宋体" w:hAnsi="宋体" w:cs="宋体" w:eastAsia="宋体" w:hint="default"/>
                <w:spacing w:val="11"/>
                <w:sz w:val="21"/>
                <w:szCs w:val="21"/>
              </w:rPr>
              <w:t>科技</w:t>
            </w:r>
            <w:r>
              <w:rPr>
                <w:rFonts w:ascii="宋体" w:hAnsi="宋体" w:cs="宋体" w:eastAsia="宋体" w:hint="default"/>
                <w:spacing w:val="-7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70"/>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51</w:t>
            </w:r>
          </w:p>
          <w:p>
            <w:pPr>
              <w:pStyle w:val="TableParagraph"/>
              <w:spacing w:line="240" w:lineRule="auto" w:before="70"/>
              <w:ind w:left="278" w:right="0"/>
              <w:jc w:val="left"/>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1"/>
              <w:ind w:left="3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68"/>
              <w:ind w:left="568" w:right="0"/>
              <w:jc w:val="left"/>
              <w:rPr>
                <w:rFonts w:ascii="Times New Roman" w:hAnsi="Times New Roman" w:cs="Times New Roman" w:eastAsia="Times New Roman" w:hint="default"/>
                <w:sz w:val="21"/>
                <w:szCs w:val="21"/>
              </w:rPr>
            </w:pPr>
            <w:r>
              <w:rPr>
                <w:rFonts w:ascii="Times New Roman"/>
                <w:sz w:val="21"/>
              </w:rPr>
              <w:t>31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z w:val="21"/>
                <w:szCs w:val="21"/>
              </w:rPr>
              <w:t>技 术</w:t>
            </w:r>
            <w:r>
              <w:rPr>
                <w:rFonts w:ascii="宋体" w:hAnsi="宋体" w:cs="宋体" w:eastAsia="宋体" w:hint="default"/>
                <w:spacing w:val="33"/>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pacing w:val="8"/>
                <w:sz w:val="21"/>
                <w:szCs w:val="21"/>
              </w:rPr>
              <w:t>发，技术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咨询、技</w:t>
            </w:r>
            <w:r>
              <w:rPr>
                <w:rFonts w:ascii="宋体" w:hAnsi="宋体" w:cs="宋体" w:eastAsia="宋体" w:hint="default"/>
                <w:spacing w:val="-97"/>
                <w:sz w:val="21"/>
                <w:szCs w:val="21"/>
              </w:rPr>
              <w:t> </w:t>
            </w:r>
            <w:r>
              <w:rPr>
                <w:rFonts w:ascii="宋体" w:hAnsi="宋体" w:cs="宋体" w:eastAsia="宋体" w:hint="default"/>
                <w:spacing w:val="8"/>
                <w:sz w:val="21"/>
                <w:szCs w:val="21"/>
              </w:rPr>
              <w:t>术转让，</w:t>
            </w:r>
            <w:r>
              <w:rPr>
                <w:rFonts w:ascii="宋体" w:hAnsi="宋体" w:cs="宋体" w:eastAsia="宋体" w:hint="default"/>
                <w:spacing w:val="-97"/>
                <w:sz w:val="21"/>
                <w:szCs w:val="21"/>
              </w:rPr>
              <w:t> </w:t>
            </w:r>
            <w:r>
              <w:rPr>
                <w:rFonts w:ascii="宋体" w:hAnsi="宋体" w:cs="宋体" w:eastAsia="宋体" w:hint="default"/>
                <w:sz w:val="21"/>
                <w:szCs w:val="21"/>
              </w:rPr>
              <w:t>技 术</w:t>
            </w:r>
            <w:r>
              <w:rPr>
                <w:rFonts w:ascii="宋体" w:hAnsi="宋体" w:cs="宋体" w:eastAsia="宋体" w:hint="default"/>
                <w:spacing w:val="33"/>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8"/>
                <w:sz w:val="21"/>
                <w:szCs w:val="21"/>
              </w:rPr>
              <w:t>务、软件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及辅助设</w:t>
            </w:r>
            <w:r>
              <w:rPr>
                <w:rFonts w:ascii="宋体" w:hAnsi="宋体" w:cs="宋体" w:eastAsia="宋体" w:hint="default"/>
                <w:spacing w:val="-97"/>
                <w:sz w:val="21"/>
                <w:szCs w:val="21"/>
              </w:rPr>
              <w:t> </w:t>
            </w:r>
            <w:r>
              <w:rPr>
                <w:rFonts w:ascii="宋体" w:hAnsi="宋体" w:cs="宋体" w:eastAsia="宋体" w:hint="default"/>
                <w:sz w:val="21"/>
                <w:szCs w:val="21"/>
              </w:rPr>
              <w:t>备等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7,503,937.9</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3,368,656.9</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-858,977.</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48</w:t>
            </w:r>
          </w:p>
        </w:tc>
      </w:tr>
      <w:tr>
        <w:trPr>
          <w:trHeight w:val="125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3" w:right="0"/>
              <w:jc w:val="left"/>
              <w:rPr>
                <w:rFonts w:ascii="Calibri" w:hAnsi="Calibri" w:cs="Calibri" w:eastAsia="Calibri" w:hint="default"/>
                <w:sz w:val="21"/>
                <w:szCs w:val="21"/>
              </w:rPr>
            </w:pPr>
            <w:r>
              <w:rPr>
                <w:rFonts w:ascii="Calibri"/>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7"/>
                <w:sz w:val="21"/>
                <w:szCs w:val="21"/>
              </w:rPr>
              <w:t> </w:t>
            </w:r>
            <w:r>
              <w:rPr>
                <w:rFonts w:ascii="宋体" w:hAnsi="宋体" w:cs="宋体" w:eastAsia="宋体" w:hint="default"/>
                <w:spacing w:val="11"/>
                <w:sz w:val="21"/>
                <w:szCs w:val="21"/>
              </w:rPr>
              <w:t>江易</w:t>
            </w:r>
            <w:r>
              <w:rPr>
                <w:rFonts w:ascii="宋体" w:hAnsi="宋体" w:cs="宋体" w:eastAsia="宋体" w:hint="default"/>
                <w:spacing w:val="-77"/>
                <w:sz w:val="21"/>
                <w:szCs w:val="21"/>
              </w:rPr>
              <w:t> </w:t>
            </w: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pacing w:val="11"/>
                <w:sz w:val="21"/>
                <w:szCs w:val="21"/>
              </w:rPr>
              <w:t>息技</w:t>
            </w:r>
            <w:r>
              <w:rPr>
                <w:rFonts w:ascii="宋体" w:hAnsi="宋体" w:cs="宋体" w:eastAsia="宋体" w:hint="default"/>
                <w:spacing w:val="-7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44"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70"/>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6"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173" w:right="0"/>
              <w:jc w:val="center"/>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94"/>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z w:val="21"/>
                <w:szCs w:val="21"/>
              </w:rPr>
              <w:t>技 术</w:t>
            </w:r>
            <w:r>
              <w:rPr>
                <w:rFonts w:ascii="宋体" w:hAnsi="宋体" w:cs="宋体" w:eastAsia="宋体" w:hint="default"/>
                <w:spacing w:val="33"/>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pacing w:val="8"/>
                <w:sz w:val="21"/>
                <w:szCs w:val="21"/>
              </w:rPr>
              <w:t>询、软件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开发与技</w:t>
            </w:r>
            <w:r>
              <w:rPr>
                <w:rFonts w:ascii="宋体" w:hAnsi="宋体" w:cs="宋体" w:eastAsia="宋体" w:hint="default"/>
                <w:spacing w:val="-97"/>
                <w:sz w:val="21"/>
                <w:szCs w:val="21"/>
              </w:rPr>
              <w:t> </w:t>
            </w:r>
            <w:r>
              <w:rPr>
                <w:rFonts w:ascii="宋体" w:hAnsi="宋体" w:cs="宋体" w:eastAsia="宋体" w:hint="default"/>
                <w:sz w:val="21"/>
                <w:szCs w:val="21"/>
              </w:rPr>
              <w:t>术服务等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2"/>
                <w:sz w:val="21"/>
              </w:rPr>
              <w:t>11,551,438.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10,073,194.</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82" w:right="0"/>
              <w:jc w:val="left"/>
              <w:rPr>
                <w:rFonts w:ascii="Times New Roman" w:hAnsi="Times New Roman" w:cs="Times New Roman" w:eastAsia="Times New Roman" w:hint="default"/>
                <w:sz w:val="21"/>
                <w:szCs w:val="21"/>
              </w:rPr>
            </w:pPr>
            <w:r>
              <w:rPr>
                <w:rFonts w:ascii="Times New Roman"/>
                <w:sz w:val="21"/>
              </w:rPr>
              <w:t>1,410,22</w:t>
            </w:r>
          </w:p>
          <w:p>
            <w:pPr>
              <w:pStyle w:val="TableParagraph"/>
              <w:spacing w:line="240" w:lineRule="auto" w:before="70"/>
              <w:ind w:left="549" w:right="0"/>
              <w:jc w:val="left"/>
              <w:rPr>
                <w:rFonts w:ascii="Times New Roman" w:hAnsi="Times New Roman" w:cs="Times New Roman" w:eastAsia="Times New Roman" w:hint="default"/>
                <w:sz w:val="21"/>
                <w:szCs w:val="21"/>
              </w:rPr>
            </w:pPr>
            <w:r>
              <w:rPr>
                <w:rFonts w:ascii="Times New Roman"/>
                <w:sz w:val="21"/>
              </w:rPr>
              <w:t>5.81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8" w:right="0"/>
              <w:jc w:val="left"/>
              <w:rPr>
                <w:rFonts w:ascii="Calibri" w:hAnsi="Calibri" w:cs="Calibri" w:eastAsia="Calibri" w:hint="default"/>
                <w:sz w:val="21"/>
                <w:szCs w:val="21"/>
              </w:rPr>
            </w:pPr>
            <w:r>
              <w:rPr>
                <w:rFonts w:ascii="Calibri"/>
                <w:sz w:val="21"/>
              </w:rPr>
              <w:t>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7"/>
                <w:sz w:val="21"/>
                <w:szCs w:val="21"/>
              </w:rPr>
              <w:t> </w:t>
            </w:r>
            <w:r>
              <w:rPr>
                <w:rFonts w:ascii="宋体" w:hAnsi="宋体" w:cs="宋体" w:eastAsia="宋体" w:hint="default"/>
                <w:spacing w:val="11"/>
                <w:sz w:val="21"/>
                <w:szCs w:val="21"/>
              </w:rPr>
              <w:t>慧城</w:t>
            </w:r>
            <w:r>
              <w:rPr>
                <w:rFonts w:ascii="宋体" w:hAnsi="宋体" w:cs="宋体" w:eastAsia="宋体" w:hint="default"/>
                <w:spacing w:val="-77"/>
                <w:sz w:val="21"/>
                <w:szCs w:val="21"/>
              </w:rPr>
              <w:t> </w:t>
            </w:r>
            <w:r>
              <w:rPr>
                <w:rFonts w:ascii="宋体" w:hAnsi="宋体" w:cs="宋体" w:eastAsia="宋体" w:hint="default"/>
                <w:sz w:val="21"/>
                <w:szCs w:val="21"/>
              </w:rPr>
              <w:t>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90,626,2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 w:right="0"/>
              <w:jc w:val="center"/>
              <w:rPr>
                <w:rFonts w:ascii="Times New Roman" w:hAnsi="Times New Roman" w:cs="Times New Roman" w:eastAsia="Times New Roman" w:hint="default"/>
                <w:sz w:val="21"/>
                <w:szCs w:val="21"/>
              </w:rPr>
            </w:pPr>
            <w:r>
              <w:rPr>
                <w:rFonts w:ascii="Times New Roman"/>
                <w:sz w:val="21"/>
              </w:rPr>
              <w:t>100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新型智慧</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90,293,795.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89,839,745.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-866,370.</w:t>
            </w:r>
          </w:p>
        </w:tc>
      </w:tr>
    </w:tbl>
    <w:p>
      <w:pPr>
        <w:spacing w:after="0" w:line="240" w:lineRule="auto"/>
        <w:jc w:val="right"/>
        <w:rPr>
          <w:rFonts w:ascii="Times New Roman" w:hAnsi="Times New Roman" w:cs="Times New Roman" w:eastAsia="Times New Roman" w:hint="default"/>
          <w:sz w:val="21"/>
          <w:szCs w:val="21"/>
        </w:rPr>
        <w:sectPr>
          <w:pgSz w:w="11910" w:h="16840"/>
          <w:pgMar w:header="855" w:footer="979" w:top="1140" w:bottom="116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62"/>
        <w:gridCol w:w="1135"/>
        <w:gridCol w:w="992"/>
        <w:gridCol w:w="569"/>
        <w:gridCol w:w="895"/>
        <w:gridCol w:w="1088"/>
        <w:gridCol w:w="1277"/>
        <w:gridCol w:w="1277"/>
        <w:gridCol w:w="1030"/>
      </w:tblGrid>
      <w:tr>
        <w:trPr>
          <w:trHeight w:val="1260" w:hRule="exact"/>
        </w:trPr>
        <w:tc>
          <w:tcPr>
            <w:tcW w:w="56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1"/>
                <w:sz w:val="21"/>
                <w:szCs w:val="21"/>
              </w:rPr>
              <w:t>泉州</w:t>
            </w:r>
            <w:r>
              <w:rPr>
                <w:rFonts w:ascii="宋体" w:hAnsi="宋体" w:cs="宋体" w:eastAsia="宋体" w:hint="default"/>
                <w:spacing w:val="-77"/>
                <w:sz w:val="21"/>
                <w:szCs w:val="21"/>
              </w:rPr>
              <w:t> </w:t>
            </w:r>
            <w:r>
              <w:rPr>
                <w:rFonts w:ascii="宋体" w:hAnsi="宋体" w:cs="宋体" w:eastAsia="宋体" w:hint="default"/>
                <w:sz w:val="21"/>
                <w:szCs w:val="21"/>
              </w:rPr>
              <w:t>丰</w:t>
            </w:r>
            <w:r>
              <w:rPr>
                <w:rFonts w:ascii="宋体" w:hAnsi="宋体" w:cs="宋体" w:eastAsia="宋体" w:hint="default"/>
                <w:w w:val="100"/>
                <w:sz w:val="21"/>
                <w:szCs w:val="21"/>
              </w:rPr>
              <w:t> </w:t>
            </w:r>
            <w:r>
              <w:rPr>
                <w:rFonts w:ascii="宋体" w:hAnsi="宋体" w:cs="宋体" w:eastAsia="宋体" w:hint="default"/>
                <w:sz w:val="21"/>
                <w:szCs w:val="21"/>
              </w:rPr>
              <w:t>泽</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运</w:t>
            </w:r>
            <w:r>
              <w:rPr>
                <w:rFonts w:ascii="宋体" w:hAnsi="宋体" w:cs="宋体" w:eastAsia="宋体" w:hint="default"/>
                <w:spacing w:val="-78"/>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77"/>
                <w:sz w:val="21"/>
                <w:szCs w:val="21"/>
              </w:rPr>
              <w:t> </w:t>
            </w:r>
            <w:r>
              <w:rPr>
                <w:rFonts w:ascii="宋体" w:hAnsi="宋体" w:cs="宋体" w:eastAsia="宋体" w:hint="default"/>
                <w:spacing w:val="11"/>
                <w:sz w:val="21"/>
                <w:szCs w:val="21"/>
              </w:rPr>
              <w:t>理有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78" w:right="0"/>
              <w:jc w:val="left"/>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5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sz w:val="21"/>
                <w:szCs w:val="21"/>
              </w:rPr>
              <w:t>城市项目</w:t>
            </w:r>
            <w:r>
              <w:rPr>
                <w:rFonts w:ascii="宋体" w:hAnsi="宋体" w:cs="宋体" w:eastAsia="宋体" w:hint="default"/>
                <w:spacing w:val="-97"/>
                <w:sz w:val="21"/>
                <w:szCs w:val="21"/>
              </w:rPr>
              <w:t> </w:t>
            </w:r>
            <w:r>
              <w:rPr>
                <w:rFonts w:ascii="宋体" w:hAnsi="宋体" w:cs="宋体" w:eastAsia="宋体" w:hint="default"/>
                <w:sz w:val="21"/>
                <w:szCs w:val="21"/>
              </w:rPr>
              <w:t>运 营</w:t>
            </w:r>
            <w:r>
              <w:rPr>
                <w:rFonts w:ascii="宋体" w:hAnsi="宋体" w:cs="宋体" w:eastAsia="宋体" w:hint="default"/>
                <w:spacing w:val="32"/>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pacing w:val="-16"/>
                <w:sz w:val="21"/>
                <w:szCs w:val="21"/>
              </w:rPr>
              <w:t>理、规划、</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设计等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86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37</w:t>
            </w:r>
          </w:p>
        </w:tc>
      </w:tr>
      <w:tr>
        <w:trPr>
          <w:trHeight w:val="94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68" w:right="0"/>
              <w:jc w:val="left"/>
              <w:rPr>
                <w:rFonts w:ascii="Calibri" w:hAnsi="Calibri" w:cs="Calibri" w:eastAsia="Calibri" w:hint="default"/>
                <w:sz w:val="21"/>
                <w:szCs w:val="21"/>
              </w:rPr>
            </w:pPr>
            <w:r>
              <w:rPr>
                <w:rFonts w:ascii="Calibri"/>
                <w:sz w:val="21"/>
              </w:rPr>
              <w:t>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pacing w:val="11"/>
                <w:sz w:val="21"/>
                <w:szCs w:val="21"/>
              </w:rPr>
              <w:t>建网</w:t>
            </w:r>
            <w:r>
              <w:rPr>
                <w:rFonts w:ascii="宋体" w:hAnsi="宋体" w:cs="宋体" w:eastAsia="宋体" w:hint="default"/>
                <w:spacing w:val="-77"/>
                <w:sz w:val="21"/>
                <w:szCs w:val="21"/>
              </w:rPr>
              <w:t> </w:t>
            </w:r>
            <w:r>
              <w:rPr>
                <w:rFonts w:ascii="宋体" w:hAnsi="宋体" w:cs="宋体" w:eastAsia="宋体" w:hint="default"/>
                <w:sz w:val="21"/>
                <w:szCs w:val="21"/>
              </w:rPr>
              <w:t>链</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77"/>
                <w:sz w:val="21"/>
                <w:szCs w:val="21"/>
              </w:rPr>
              <w:t> </w:t>
            </w:r>
            <w:r>
              <w:rPr>
                <w:rFonts w:ascii="宋体" w:hAnsi="宋体" w:cs="宋体" w:eastAsia="宋体" w:hint="default"/>
                <w:spacing w:val="11"/>
                <w:sz w:val="21"/>
                <w:szCs w:val="21"/>
              </w:rPr>
              <w:t>技有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70"/>
              <w:ind w:left="405" w:right="0"/>
              <w:jc w:val="left"/>
              <w:rPr>
                <w:rFonts w:ascii="Times New Roman" w:hAnsi="Times New Roman" w:cs="Times New Roman" w:eastAsia="Times New Roman" w:hint="default"/>
                <w:sz w:val="21"/>
                <w:szCs w:val="21"/>
              </w:rPr>
            </w:pPr>
            <w:r>
              <w:rPr>
                <w:rFonts w:ascii="Times New Roman"/>
                <w:sz w:val="21"/>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173" w:right="0"/>
              <w:jc w:val="center"/>
              <w:rPr>
                <w:rFonts w:ascii="Times New Roman" w:hAnsi="Times New Roman" w:cs="Times New Roman" w:eastAsia="Times New Roman" w:hint="default"/>
                <w:sz w:val="21"/>
                <w:szCs w:val="21"/>
              </w:rPr>
            </w:pPr>
            <w:r>
              <w:rPr>
                <w:rFonts w:ascii="Times New Roman"/>
                <w:w w:val="100"/>
                <w:sz w:val="21"/>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94"/>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软件开发</w:t>
            </w:r>
            <w:r>
              <w:rPr>
                <w:rFonts w:ascii="宋体" w:hAnsi="宋体" w:cs="宋体" w:eastAsia="宋体" w:hint="default"/>
                <w:spacing w:val="-97"/>
                <w:sz w:val="21"/>
                <w:szCs w:val="21"/>
              </w:rPr>
              <w:t> </w:t>
            </w:r>
            <w:r>
              <w:rPr>
                <w:rFonts w:ascii="宋体" w:hAnsi="宋体" w:cs="宋体" w:eastAsia="宋体" w:hint="default"/>
                <w:spacing w:val="8"/>
                <w:sz w:val="21"/>
                <w:szCs w:val="21"/>
              </w:rPr>
              <w:t>与技术服</w:t>
            </w:r>
            <w:r>
              <w:rPr>
                <w:rFonts w:ascii="宋体" w:hAnsi="宋体" w:cs="宋体" w:eastAsia="宋体" w:hint="default"/>
                <w:spacing w:val="-97"/>
                <w:sz w:val="21"/>
                <w:szCs w:val="21"/>
              </w:rPr>
              <w:t> </w:t>
            </w:r>
            <w:r>
              <w:rPr>
                <w:rFonts w:ascii="宋体" w:hAnsi="宋体" w:cs="宋体" w:eastAsia="宋体" w:hint="default"/>
                <w:sz w:val="21"/>
                <w:szCs w:val="21"/>
              </w:rPr>
              <w:t>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15,374,060.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9,421,099.3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-914,618.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40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3"/>
        <w:spacing w:line="240" w:lineRule="auto"/>
        <w:ind w:right="102"/>
        <w:jc w:val="left"/>
        <w:rPr>
          <w:b w:val="0"/>
          <w:bCs w:val="0"/>
        </w:rPr>
      </w:pPr>
      <w:r>
        <w:rPr>
          <w:rFonts w:ascii="宋体" w:hAnsi="宋体" w:cs="宋体" w:eastAsia="宋体" w:hint="default"/>
        </w:rPr>
        <w:t>(</w:t>
      </w:r>
      <w:r>
        <w:rPr/>
        <w:t>八</w:t>
      </w:r>
      <w:r>
        <w:rPr>
          <w:rFonts w:ascii="宋体" w:hAnsi="宋体" w:cs="宋体" w:eastAsia="宋体" w:hint="default"/>
        </w:rPr>
        <w:t>)</w:t>
      </w:r>
      <w:r>
        <w:rPr/>
        <w:t>公司控制的结构化主体情况</w:t>
      </w:r>
      <w:r>
        <w:rPr>
          <w:b w:val="0"/>
          <w:bCs w:val="0"/>
        </w:rPr>
      </w:r>
    </w:p>
    <w:p>
      <w:pPr>
        <w:pStyle w:val="BodyText"/>
        <w:tabs>
          <w:tab w:pos="1163" w:val="left" w:leader="none"/>
        </w:tabs>
        <w:spacing w:line="240" w:lineRule="auto" w:before="97"/>
        <w:ind w:right="102"/>
        <w:jc w:val="left"/>
      </w:pPr>
      <w:r>
        <w:rPr/>
        <w:t>□适用</w:t>
        <w:tab/>
        <w:t>√不适用</w:t>
      </w:r>
    </w:p>
    <w:p>
      <w:pPr>
        <w:spacing w:line="240" w:lineRule="auto" w:before="0"/>
        <w:rPr>
          <w:rFonts w:ascii="宋体" w:hAnsi="宋体" w:cs="宋体" w:eastAsia="宋体" w:hint="default"/>
          <w:sz w:val="20"/>
          <w:szCs w:val="20"/>
        </w:rPr>
      </w:pPr>
    </w:p>
    <w:p>
      <w:pPr>
        <w:pStyle w:val="Heading3"/>
        <w:spacing w:line="324" w:lineRule="auto" w:before="147"/>
        <w:ind w:right="378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t>行业格局和趋势</w:t>
      </w:r>
      <w:r>
        <w:rPr>
          <w:b w:val="0"/>
          <w:bCs w:val="0"/>
        </w:rPr>
      </w:r>
    </w:p>
    <w:p>
      <w:pPr>
        <w:pStyle w:val="BodyText"/>
        <w:tabs>
          <w:tab w:pos="1163" w:val="left" w:leader="none"/>
        </w:tabs>
        <w:spacing w:line="240" w:lineRule="auto" w:before="23"/>
        <w:ind w:right="102"/>
        <w:jc w:val="left"/>
      </w:pPr>
      <w:r>
        <w:rPr/>
        <w:t>√适用</w:t>
        <w:tab/>
        <w:t>□不适用</w:t>
      </w:r>
    </w:p>
    <w:p>
      <w:pPr>
        <w:pStyle w:val="Heading3"/>
        <w:spacing w:line="240" w:lineRule="auto" w:before="92"/>
        <w:ind w:left="638" w:right="102"/>
        <w:jc w:val="left"/>
        <w:rPr>
          <w:b w:val="0"/>
          <w:bCs w:val="0"/>
        </w:rPr>
      </w:pPr>
      <w:r>
        <w:rPr>
          <w:rFonts w:ascii="Times New Roman" w:hAnsi="Times New Roman" w:cs="Times New Roman" w:eastAsia="Times New Roman" w:hint="default"/>
        </w:rPr>
        <w:t>1</w:t>
      </w:r>
      <w:r>
        <w:rPr/>
        <w:t>、贯彻国家政策，抓住市场机遇，全面发展智慧城市</w:t>
      </w:r>
      <w:r>
        <w:rPr>
          <w:b w:val="0"/>
          <w:bCs w:val="0"/>
        </w:rPr>
      </w:r>
    </w:p>
    <w:p>
      <w:pPr>
        <w:pStyle w:val="BodyText"/>
        <w:spacing w:line="309" w:lineRule="auto" w:before="69"/>
        <w:ind w:right="128" w:firstLine="419"/>
        <w:jc w:val="both"/>
      </w:pPr>
      <w:r>
        <w:rPr>
          <w:spacing w:val="-14"/>
          <w:w w:val="100"/>
        </w:rPr>
        <w:t>《十九大报告》、《国家</w:t>
      </w:r>
      <w:r>
        <w:rPr>
          <w:rFonts w:ascii="Times New Roman" w:hAnsi="Times New Roman" w:cs="Times New Roman" w:eastAsia="Times New Roman" w:hint="default"/>
          <w:spacing w:val="-14"/>
          <w:w w:val="100"/>
        </w:rPr>
        <w:t>“</w:t>
      </w:r>
      <w:r>
        <w:rPr>
          <w:spacing w:val="-14"/>
          <w:w w:val="100"/>
        </w:rPr>
        <w:t>十三五</w:t>
      </w:r>
      <w:r>
        <w:rPr>
          <w:rFonts w:ascii="Times New Roman" w:hAnsi="Times New Roman" w:cs="Times New Roman" w:eastAsia="Times New Roman" w:hint="default"/>
          <w:spacing w:val="-14"/>
          <w:w w:val="100"/>
        </w:rPr>
        <w:t>”</w:t>
      </w:r>
      <w:r>
        <w:rPr>
          <w:spacing w:val="-14"/>
          <w:w w:val="100"/>
        </w:rPr>
        <w:t>规划》、《</w:t>
      </w:r>
      <w:r>
        <w:rPr>
          <w:rFonts w:ascii="Times New Roman" w:hAnsi="Times New Roman" w:cs="Times New Roman" w:eastAsia="Times New Roman" w:hint="default"/>
          <w:spacing w:val="-14"/>
          <w:w w:val="100"/>
        </w:rPr>
        <w:t>“</w:t>
      </w:r>
      <w:r>
        <w:rPr>
          <w:spacing w:val="-14"/>
          <w:w w:val="100"/>
        </w:rPr>
        <w:t>十三五</w:t>
      </w:r>
      <w:r>
        <w:rPr>
          <w:rFonts w:ascii="Times New Roman" w:hAnsi="Times New Roman" w:cs="Times New Roman" w:eastAsia="Times New Roman" w:hint="default"/>
          <w:spacing w:val="-14"/>
          <w:w w:val="100"/>
        </w:rPr>
        <w:t>”</w:t>
      </w:r>
      <w:r>
        <w:rPr>
          <w:spacing w:val="-14"/>
          <w:w w:val="100"/>
        </w:rPr>
        <w:t>国家信息化规划》、《关于促进智慧城市健</w:t>
      </w:r>
      <w:r>
        <w:rPr>
          <w:w w:val="100"/>
        </w:rPr>
        <w:t> </w:t>
      </w:r>
      <w:r>
        <w:rPr>
          <w:spacing w:val="-1"/>
        </w:rPr>
        <w:t>康发展的指导意见》等国家政策从理念到规划、从目标到落地均为新型智慧城市的发展指明了推</w:t>
      </w:r>
      <w:r>
        <w:rPr>
          <w:spacing w:val="-55"/>
        </w:rPr>
        <w:t> </w:t>
      </w:r>
      <w:r>
        <w:rPr>
          <w:spacing w:val="-55"/>
        </w:rPr>
      </w:r>
      <w:r>
        <w:rPr>
          <w:spacing w:val="-1"/>
        </w:rPr>
        <w:t>进路径和建设方法，大力推动新型智慧城市建设。基于大数据、云计算、互联网等信息技术的高</w:t>
      </w:r>
      <w:r>
        <w:rPr>
          <w:spacing w:val="-55"/>
        </w:rPr>
        <w:t> </w:t>
      </w:r>
      <w:r>
        <w:rPr>
          <w:spacing w:val="-55"/>
        </w:rPr>
      </w:r>
      <w:r>
        <w:rPr/>
        <w:t>速发展，到</w:t>
      </w:r>
      <w:r>
        <w:rPr>
          <w:spacing w:val="-53"/>
        </w:rPr>
        <w:t> </w:t>
      </w:r>
      <w:r>
        <w:rPr>
          <w:rFonts w:ascii="Times New Roman" w:hAnsi="Times New Roman" w:cs="Times New Roman" w:eastAsia="Times New Roman" w:hint="default"/>
        </w:rPr>
        <w:t>2018 </w:t>
      </w:r>
      <w:r>
        <w:rPr/>
        <w:t>年我国将分级分类建设</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年新型示范性智慧城市，到</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年形成透明高效的</w:t>
      </w:r>
      <w:r>
        <w:rPr>
          <w:w w:val="100"/>
        </w:rPr>
        <w:t> </w:t>
      </w:r>
      <w:r>
        <w:rPr>
          <w:spacing w:val="-1"/>
        </w:rPr>
        <w:t>在线政府、无处不在的惠民服务、融合创新的信息经济、精准精细的城市治理、安全可靠的运行</w:t>
      </w:r>
      <w:r>
        <w:rPr>
          <w:spacing w:val="-55"/>
        </w:rPr>
        <w:t> </w:t>
      </w:r>
      <w:r>
        <w:rPr>
          <w:spacing w:val="-55"/>
        </w:rPr>
      </w:r>
      <w:r>
        <w:rPr>
          <w:spacing w:val="-1"/>
        </w:rPr>
        <w:t>体系。智慧城市建设、信息基础设施建设、政务信息化、惠民工程建设、产业信息化等新的市场</w:t>
      </w:r>
      <w:r>
        <w:rPr>
          <w:spacing w:val="-54"/>
        </w:rPr>
        <w:t> </w:t>
      </w:r>
      <w:r>
        <w:rPr>
          <w:spacing w:val="-54"/>
        </w:rPr>
      </w:r>
      <w:r>
        <w:rPr>
          <w:spacing w:val="-1"/>
        </w:rPr>
        <w:t>需求不断被激发，智慧城市将成为公司巨大的收益方向。从市场竞争来看，平台呈现马太效应，</w:t>
      </w:r>
      <w:r>
        <w:rPr>
          <w:spacing w:val="-55"/>
        </w:rPr>
        <w:t> </w:t>
      </w:r>
      <w:r>
        <w:rPr>
          <w:spacing w:val="-55"/>
        </w:rPr>
      </w:r>
      <w:r>
        <w:rPr>
          <w:spacing w:val="-6"/>
          <w:w w:val="100"/>
        </w:rPr>
        <w:t>平台大者市场机遇更大，依托上市资本平台，公司在推动智慧城市建设方面拥有得天独厚的优势，</w:t>
      </w:r>
      <w:r>
        <w:rPr>
          <w:w w:val="100"/>
        </w:rPr>
        <w:t> </w:t>
      </w:r>
      <w:r>
        <w:rPr>
          <w:spacing w:val="-1"/>
        </w:rPr>
        <w:t>可从</w:t>
      </w:r>
      <w:r>
        <w:rPr>
          <w:rFonts w:ascii="Times New Roman" w:hAnsi="Times New Roman" w:cs="Times New Roman" w:eastAsia="Times New Roman" w:hint="default"/>
          <w:spacing w:val="-1"/>
        </w:rPr>
        <w:t>“</w:t>
      </w:r>
      <w:r>
        <w:rPr>
          <w:spacing w:val="-1"/>
        </w:rPr>
        <w:t>资金支持、技术支撑、行业经验</w:t>
      </w:r>
      <w:r>
        <w:rPr>
          <w:rFonts w:ascii="Times New Roman" w:hAnsi="Times New Roman" w:cs="Times New Roman" w:eastAsia="Times New Roman" w:hint="default"/>
          <w:spacing w:val="-1"/>
        </w:rPr>
        <w:t>”</w:t>
      </w:r>
      <w:r>
        <w:rPr>
          <w:spacing w:val="-1"/>
        </w:rPr>
        <w:t>方面全方位保障智慧城市落地、建设和运营，全面推动政</w:t>
      </w:r>
      <w:r>
        <w:rPr>
          <w:spacing w:val="-27"/>
        </w:rPr>
        <w:t> </w:t>
      </w:r>
      <w:r>
        <w:rPr>
          <w:spacing w:val="-27"/>
        </w:rPr>
      </w:r>
      <w:r>
        <w:rPr/>
        <w:t>府在</w:t>
      </w:r>
      <w:r>
        <w:rPr>
          <w:rFonts w:ascii="Times New Roman" w:hAnsi="Times New Roman" w:cs="Times New Roman" w:eastAsia="Times New Roman" w:hint="default"/>
        </w:rPr>
        <w:t>“</w:t>
      </w:r>
      <w:r>
        <w:rPr/>
        <w:t>城市管理、产业发展、民生服务</w:t>
      </w:r>
      <w:r>
        <w:rPr>
          <w:rFonts w:ascii="Times New Roman" w:hAnsi="Times New Roman" w:cs="Times New Roman" w:eastAsia="Times New Roman" w:hint="default"/>
        </w:rPr>
        <w:t>”</w:t>
      </w:r>
      <w:r>
        <w:rPr/>
        <w:t>的跨越式发展。</w:t>
      </w:r>
    </w:p>
    <w:p>
      <w:pPr>
        <w:pStyle w:val="Heading3"/>
        <w:spacing w:line="240" w:lineRule="auto" w:before="2"/>
        <w:ind w:left="640" w:right="102"/>
        <w:jc w:val="left"/>
        <w:rPr>
          <w:b w:val="0"/>
          <w:bCs w:val="0"/>
        </w:rPr>
      </w:pPr>
      <w:r>
        <w:rPr>
          <w:rFonts w:ascii="Times New Roman" w:hAnsi="Times New Roman" w:cs="Times New Roman" w:eastAsia="Times New Roman" w:hint="default"/>
        </w:rPr>
        <w:t>2</w:t>
      </w:r>
      <w:r>
        <w:rPr/>
        <w:t>、政务信息化创新发展，把握业务爆发增长机遇</w:t>
      </w:r>
      <w:r>
        <w:rPr>
          <w:b w:val="0"/>
          <w:bCs w:val="0"/>
        </w:rPr>
      </w:r>
    </w:p>
    <w:p>
      <w:pPr>
        <w:pStyle w:val="BodyText"/>
        <w:spacing w:line="304" w:lineRule="auto" w:before="69"/>
        <w:ind w:right="127" w:firstLine="419"/>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7"/>
        </w:rPr>
        <w:t> </w:t>
      </w:r>
      <w:r>
        <w:rPr/>
        <w:t>日，国家发展改革委印发了</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国家政务信息化工程建设规划的通知，</w:t>
      </w:r>
      <w:r>
        <w:rPr>
          <w:w w:val="100"/>
        </w:rPr>
        <w:t> </w:t>
      </w:r>
      <w:r>
        <w:rPr>
          <w:spacing w:val="-6"/>
          <w:w w:val="100"/>
        </w:rPr>
        <w:t>作为规范和指导我国政务信息化工程建设的纲领性文件。《规划》贯彻落实十八大以来党中央、国</w:t>
      </w:r>
      <w:r>
        <w:rPr>
          <w:w w:val="100"/>
        </w:rPr>
        <w:t> </w:t>
      </w:r>
      <w:r>
        <w:rPr>
          <w:spacing w:val="-6"/>
          <w:w w:val="100"/>
        </w:rPr>
        <w:t>务院关于政务信息化发展的新要求，紧密结合我国政务信息化工作面临的新形势，提出了</w:t>
      </w:r>
      <w:r>
        <w:rPr>
          <w:rFonts w:ascii="Times New Roman" w:hAnsi="Times New Roman" w:cs="Times New Roman" w:eastAsia="Times New Roman" w:hint="default"/>
          <w:spacing w:val="-6"/>
          <w:w w:val="100"/>
        </w:rPr>
        <w:t>“</w:t>
      </w:r>
      <w:r>
        <w:rPr>
          <w:spacing w:val="-6"/>
          <w:w w:val="100"/>
        </w:rPr>
        <w:t>十三五</w:t>
      </w:r>
      <w:r>
        <w:rPr>
          <w:rFonts w:ascii="Times New Roman" w:hAnsi="Times New Roman" w:cs="Times New Roman" w:eastAsia="Times New Roman" w:hint="default"/>
          <w:spacing w:val="-6"/>
          <w:w w:val="100"/>
        </w:rPr>
        <w:t>”</w:t>
      </w:r>
      <w:r>
        <w:rPr>
          <w:rFonts w:ascii="Times New Roman" w:hAnsi="Times New Roman" w:cs="Times New Roman" w:eastAsia="Times New Roman" w:hint="default"/>
          <w:spacing w:val="-23"/>
          <w:w w:val="100"/>
        </w:rPr>
        <w:t> </w:t>
      </w:r>
      <w:r>
        <w:rPr>
          <w:spacing w:val="-1"/>
        </w:rPr>
        <w:t>政务信息化发展的新要求，对国家重大政务信息化工程建设进行了系统性设计，标志着我国政务</w:t>
      </w:r>
      <w:r>
        <w:rPr>
          <w:spacing w:val="-55"/>
        </w:rPr>
        <w:t> </w:t>
      </w:r>
      <w:r>
        <w:rPr>
          <w:spacing w:val="-55"/>
        </w:rPr>
      </w:r>
      <w:r>
        <w:rPr/>
        <w:t>信息化迈入了创新发展的新阶段。</w:t>
      </w:r>
    </w:p>
    <w:p>
      <w:pPr>
        <w:pStyle w:val="BodyText"/>
        <w:spacing w:line="304" w:lineRule="auto" w:before="28"/>
        <w:ind w:right="1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spacing w:val="-3"/>
        </w:rPr>
        <w:t>年我国政务服务线上化速度明显加快，网民线上办事使用率显著提升，政务服务向智能</w:t>
      </w:r>
      <w:r>
        <w:rPr>
          <w:w w:val="100"/>
        </w:rPr>
        <w:t> </w:t>
      </w:r>
      <w:r>
        <w:rPr>
          <w:spacing w:val="-1"/>
        </w:rPr>
        <w:t>化、精细化发展并向县域下沉。首先，大数据、人工智能技术与政务服务不断整合，服务不断走</w:t>
      </w:r>
      <w:r>
        <w:rPr>
          <w:spacing w:val="-55"/>
        </w:rPr>
        <w:t> </w:t>
      </w:r>
      <w:r>
        <w:rPr>
          <w:spacing w:val="-55"/>
        </w:rPr>
      </w:r>
      <w:r>
        <w:rPr>
          <w:spacing w:val="-1"/>
        </w:rPr>
        <w:t>向智能化、精准化和科学化，重构政务服务体验；其次，服务内容不断细化，支付宝、微信开通</w:t>
      </w:r>
      <w:r>
        <w:rPr>
          <w:spacing w:val="-55"/>
        </w:rPr>
        <w:t> </w:t>
      </w:r>
      <w:r>
        <w:rPr>
          <w:spacing w:val="-55"/>
        </w:rPr>
      </w:r>
      <w:r>
        <w:rPr>
          <w:spacing w:val="-3"/>
        </w:rPr>
        <w:t>政务服务入口并逐步完善服务内容。在国家的大力支持和推动下，</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4"/>
        </w:rPr>
        <w:t> </w:t>
      </w:r>
      <w:r>
        <w:rPr/>
        <w:t>年电子政务取得了较大进</w:t>
      </w:r>
      <w:r>
        <w:rPr>
          <w:spacing w:val="-91"/>
        </w:rPr>
        <w:t> </w:t>
      </w:r>
      <w:r>
        <w:rPr>
          <w:spacing w:val="-91"/>
        </w:rPr>
      </w:r>
      <w:r>
        <w:rPr/>
        <w:t>展，增速再创新高，</w:t>
      </w:r>
      <w:r>
        <w:rPr>
          <w:rFonts w:ascii="Times New Roman" w:hAnsi="Times New Roman" w:cs="Times New Roman" w:eastAsia="Times New Roman" w:hint="default"/>
        </w:rPr>
        <w:t>2017 </w:t>
      </w:r>
      <w:r>
        <w:rPr/>
        <w:t>年我国电子政务市场规模达到 </w:t>
      </w:r>
      <w:r>
        <w:rPr>
          <w:rFonts w:ascii="Times New Roman" w:hAnsi="Times New Roman" w:cs="Times New Roman" w:eastAsia="Times New Roman" w:hint="default"/>
        </w:rPr>
        <w:t>2722 </w:t>
      </w:r>
      <w:r>
        <w:rPr/>
        <w:t>亿元，同比增长 </w:t>
      </w:r>
      <w:r>
        <w:rPr>
          <w:rFonts w:ascii="Times New Roman" w:hAnsi="Times New Roman" w:cs="Times New Roman" w:eastAsia="Times New Roman" w:hint="default"/>
        </w:rPr>
        <w:t>16%</w:t>
      </w:r>
      <w:r>
        <w:rPr/>
        <w:t>，预计未来</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w w:val="100"/>
        </w:rPr>
        <w:t> </w:t>
      </w:r>
      <w:r>
        <w:rPr/>
        <w:t>年内，电子政务仍将保持</w:t>
      </w:r>
      <w:r>
        <w:rPr>
          <w:spacing w:val="-56"/>
        </w:rPr>
        <w:t> </w:t>
      </w:r>
      <w:r>
        <w:rPr>
          <w:rFonts w:ascii="Times New Roman" w:hAnsi="Times New Roman" w:cs="Times New Roman" w:eastAsia="Times New Roman" w:hint="default"/>
        </w:rPr>
        <w:t>13%</w:t>
      </w:r>
      <w:r>
        <w:rPr/>
        <w:t>左右的稳定增长，</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年将突破</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亿元。</w:t>
      </w:r>
    </w:p>
    <w:p>
      <w:pPr>
        <w:pStyle w:val="BodyText"/>
        <w:spacing w:line="240" w:lineRule="auto" w:before="6"/>
        <w:ind w:left="638" w:right="102"/>
        <w:jc w:val="left"/>
      </w:pPr>
      <w:r>
        <w:rPr/>
        <w:t>在政法信息化方面，最高人民法院发布的《人民法院信息化建设五年发展规划》中确定了顶</w:t>
      </w:r>
    </w:p>
    <w:p>
      <w:pPr>
        <w:spacing w:after="0" w:line="240" w:lineRule="auto"/>
        <w:jc w:val="left"/>
        <w:sectPr>
          <w:pgSz w:w="11910" w:h="16840"/>
          <w:pgMar w:header="855" w:footer="979" w:top="1140" w:bottom="1160" w:left="1580" w:right="1140"/>
        </w:sectPr>
      </w:pPr>
    </w:p>
    <w:p>
      <w:pPr>
        <w:spacing w:line="240" w:lineRule="auto" w:before="4"/>
        <w:rPr>
          <w:rFonts w:ascii="宋体" w:hAnsi="宋体" w:cs="宋体" w:eastAsia="宋体" w:hint="default"/>
          <w:sz w:val="29"/>
          <w:szCs w:val="29"/>
        </w:rPr>
      </w:pPr>
    </w:p>
    <w:p>
      <w:pPr>
        <w:pStyle w:val="BodyText"/>
        <w:spacing w:line="304" w:lineRule="auto" w:before="36"/>
        <w:ind w:left="138" w:right="208"/>
        <w:jc w:val="both"/>
      </w:pPr>
      <w:r>
        <w:rPr>
          <w:spacing w:val="-6"/>
        </w:rPr>
        <w:t>层设计、系统建设、保障体系、应用成效等四方面的建设任务，</w:t>
      </w:r>
      <w:r>
        <w:rPr>
          <w:rFonts w:ascii="Times New Roman" w:hAnsi="Times New Roman" w:cs="Times New Roman" w:eastAsia="Times New Roman" w:hint="default"/>
          <w:spacing w:val="-6"/>
        </w:rPr>
        <w:t>2020</w:t>
      </w:r>
      <w:r>
        <w:rPr>
          <w:rFonts w:ascii="Times New Roman" w:hAnsi="Times New Roman" w:cs="Times New Roman" w:eastAsia="Times New Roman" w:hint="default"/>
          <w:spacing w:val="16"/>
        </w:rPr>
        <w:t> </w:t>
      </w:r>
      <w:r>
        <w:rPr/>
        <w:t>年底实现人民法院信息化</w:t>
      </w:r>
      <w:r>
        <w:rPr>
          <w:spacing w:val="-37"/>
        </w:rPr>
        <w:t> </w:t>
      </w:r>
      <w:r>
        <w:rPr>
          <w:rFonts w:ascii="Times New Roman" w:hAnsi="Times New Roman" w:cs="Times New Roman" w:eastAsia="Times New Roman" w:hint="default"/>
        </w:rPr>
        <w:t>3.0</w:t>
      </w:r>
      <w:r>
        <w:rPr>
          <w:rFonts w:ascii="Times New Roman" w:hAnsi="Times New Roman" w:cs="Times New Roman" w:eastAsia="Times New Roman" w:hint="default"/>
          <w:spacing w:val="-47"/>
        </w:rPr>
        <w:t> </w:t>
      </w:r>
      <w:r>
        <w:rPr>
          <w:spacing w:val="-1"/>
        </w:rPr>
        <w:t>版在全国的深化完善，公司凭借在大数据、移动互联的技术基础，继续给法院行业提供差异化的</w:t>
      </w:r>
      <w:r>
        <w:rPr>
          <w:spacing w:val="-55"/>
        </w:rPr>
        <w:t> </w:t>
      </w:r>
      <w:r>
        <w:rPr>
          <w:spacing w:val="-55"/>
        </w:rPr>
      </w:r>
      <w:r>
        <w:rPr>
          <w:spacing w:val="19"/>
          <w:w w:val="100"/>
        </w:rPr>
        <w:t>产品。最高人民检察院发布《</w:t>
      </w:r>
      <w:r>
        <w:rPr>
          <w:rFonts w:ascii="Times New Roman" w:hAnsi="Times New Roman" w:cs="Times New Roman" w:eastAsia="Times New Roman" w:hint="default"/>
          <w:spacing w:val="19"/>
          <w:w w:val="100"/>
        </w:rPr>
        <w:t>“</w:t>
      </w:r>
      <w:r>
        <w:rPr>
          <w:rFonts w:ascii="Times New Roman" w:hAnsi="Times New Roman" w:cs="Times New Roman" w:eastAsia="Times New Roman" w:hint="default"/>
          <w:spacing w:val="-28"/>
          <w:w w:val="100"/>
        </w:rPr>
        <w:t> </w:t>
      </w:r>
      <w:r>
        <w:rPr>
          <w:spacing w:val="15"/>
          <w:w w:val="100"/>
        </w:rPr>
        <w:t>十三五</w:t>
      </w:r>
      <w:r>
        <w:rPr>
          <w:rFonts w:ascii="Times New Roman" w:hAnsi="Times New Roman" w:cs="Times New Roman" w:eastAsia="Times New Roman" w:hint="default"/>
          <w:spacing w:val="15"/>
          <w:w w:val="100"/>
        </w:rPr>
        <w:t>”</w:t>
      </w:r>
      <w:r>
        <w:rPr>
          <w:rFonts w:ascii="Times New Roman" w:hAnsi="Times New Roman" w:cs="Times New Roman" w:eastAsia="Times New Roman" w:hint="default"/>
          <w:spacing w:val="-28"/>
          <w:w w:val="100"/>
        </w:rPr>
        <w:t> </w:t>
      </w:r>
      <w:r>
        <w:rPr>
          <w:spacing w:val="18"/>
          <w:w w:val="100"/>
        </w:rPr>
        <w:t>时期科技强检规划纲要</w:t>
      </w:r>
      <w:r>
        <w:rPr>
          <w:spacing w:val="-82"/>
          <w:w w:val="100"/>
        </w:rPr>
        <w:t> </w:t>
      </w:r>
      <w:r>
        <w:rPr>
          <w:spacing w:val="-56"/>
          <w:w w:val="100"/>
        </w:rPr>
        <w:t>》、《</w:t>
      </w:r>
      <w:r>
        <w:rPr>
          <w:spacing w:val="-80"/>
          <w:w w:val="100"/>
        </w:rPr>
        <w:t> </w:t>
      </w:r>
      <w:r>
        <w:rPr>
          <w:spacing w:val="18"/>
          <w:w w:val="100"/>
        </w:rPr>
        <w:t>检察大数据行动指南</w:t>
      </w:r>
    </w:p>
    <w:p>
      <w:pPr>
        <w:pStyle w:val="BodyText"/>
        <w:spacing w:line="302" w:lineRule="auto" w:before="6"/>
        <w:ind w:left="138" w:right="208"/>
        <w:jc w:val="both"/>
      </w:pPr>
      <w:r>
        <w:rPr>
          <w:spacing w:val="-7"/>
          <w:w w:val="100"/>
        </w:rPr>
        <w:t>（</w:t>
      </w:r>
      <w:r>
        <w:rPr>
          <w:rFonts w:ascii="Times New Roman" w:hAnsi="Times New Roman" w:cs="Times New Roman" w:eastAsia="Times New Roman" w:hint="default"/>
          <w:spacing w:val="-7"/>
          <w:w w:val="100"/>
        </w:rPr>
        <w:t>2017-2020</w:t>
      </w:r>
      <w:r>
        <w:rPr>
          <w:spacing w:val="-7"/>
          <w:w w:val="100"/>
        </w:rPr>
        <w:t>）》、《最高人民检察院关于深化智慧检务建设的意见》等指导性文件指出，人民检察</w:t>
      </w:r>
      <w:r>
        <w:rPr>
          <w:spacing w:val="-90"/>
          <w:w w:val="100"/>
        </w:rPr>
        <w:t> </w:t>
      </w:r>
      <w:r>
        <w:rPr>
          <w:spacing w:val="-90"/>
          <w:w w:val="100"/>
        </w:rPr>
      </w:r>
      <w:r>
        <w:rPr>
          <w:spacing w:val="-1"/>
        </w:rPr>
        <w:t>院需建设全业务智慧办案、全要素智慧管理、全方位智慧服务、全领域智慧支撑及司法办案、检</w:t>
      </w:r>
      <w:r>
        <w:rPr>
          <w:spacing w:val="-55"/>
        </w:rPr>
        <w:t> </w:t>
      </w:r>
      <w:r>
        <w:rPr>
          <w:spacing w:val="-55"/>
        </w:rPr>
      </w:r>
      <w:r>
        <w:rPr>
          <w:spacing w:val="-1"/>
        </w:rPr>
        <w:t>察队伍、检察办公、检务保障、检察决策、检务公开与服务、信息运维、科技创新</w:t>
      </w:r>
      <w:r>
        <w:rPr>
          <w:rFonts w:ascii="Times New Roman" w:hAnsi="Times New Roman" w:cs="Times New Roman" w:eastAsia="Times New Roman" w:hint="default"/>
          <w:spacing w:val="-1"/>
        </w:rPr>
        <w:t>“</w:t>
      </w:r>
      <w:r>
        <w:rPr>
          <w:spacing w:val="-1"/>
        </w:rPr>
        <w:t>四两八柱</w:t>
      </w:r>
      <w:r>
        <w:rPr>
          <w:rFonts w:ascii="Times New Roman" w:hAnsi="Times New Roman" w:cs="Times New Roman" w:eastAsia="Times New Roman" w:hint="default"/>
          <w:spacing w:val="-1"/>
        </w:rPr>
        <w:t>”</w:t>
      </w:r>
      <w:r>
        <w:rPr>
          <w:spacing w:val="-1"/>
        </w:rPr>
        <w:t>，</w:t>
      </w:r>
      <w:r>
        <w:rPr>
          <w:spacing w:val="-24"/>
        </w:rPr>
        <w:t> </w:t>
      </w:r>
      <w:r>
        <w:rPr>
          <w:spacing w:val="-1"/>
        </w:rPr>
        <w:t>全面实现检察工作数字化、网络化、智能化；司法局《</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全国司法行政信息化发展规划》</w:t>
      </w:r>
      <w:r>
        <w:rPr>
          <w:spacing w:val="-26"/>
        </w:rPr>
        <w:t> </w:t>
      </w:r>
      <w:r>
        <w:rPr>
          <w:spacing w:val="-26"/>
        </w:rPr>
      </w:r>
      <w:r>
        <w:rPr>
          <w:spacing w:val="-5"/>
        </w:rPr>
        <w:t>中明确，到 </w:t>
      </w:r>
      <w:r>
        <w:rPr>
          <w:rFonts w:ascii="Times New Roman" w:hAnsi="Times New Roman" w:cs="Times New Roman" w:eastAsia="Times New Roman" w:hint="default"/>
        </w:rPr>
        <w:t>2020</w:t>
      </w:r>
      <w:r>
        <w:rPr>
          <w:rFonts w:ascii="Times New Roman" w:hAnsi="Times New Roman" w:cs="Times New Roman" w:eastAsia="Times New Roman" w:hint="default"/>
          <w:spacing w:val="17"/>
        </w:rPr>
        <w:t> </w:t>
      </w:r>
      <w:r>
        <w:rPr>
          <w:spacing w:val="-4"/>
        </w:rPr>
        <w:t>年全面建成纵横贯通、全面覆盖、融合共享、智能高效、安全可控的司法行政信</w:t>
      </w:r>
    </w:p>
    <w:p>
      <w:pPr>
        <w:pStyle w:val="BodyText"/>
        <w:spacing w:line="307" w:lineRule="auto" w:before="9"/>
        <w:ind w:left="138" w:right="207"/>
        <w:jc w:val="both"/>
      </w:pPr>
      <w:r>
        <w:rPr/>
        <w:t>息化体系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版，将云计算、物联网、大数据、人工智能等技术与司法行政工作高度融合，信息</w:t>
      </w:r>
      <w:r>
        <w:rPr>
          <w:w w:val="100"/>
        </w:rPr>
        <w:t> </w:t>
      </w:r>
      <w:r>
        <w:rPr>
          <w:spacing w:val="-1"/>
        </w:rPr>
        <w:t>化在司法保障和法律服务的应用水平大幅度提升，有力促进司法行政管理服务现代化，开创司法</w:t>
      </w:r>
      <w:r>
        <w:rPr>
          <w:spacing w:val="-55"/>
        </w:rPr>
        <w:t> </w:t>
      </w:r>
      <w:r>
        <w:rPr>
          <w:spacing w:val="-55"/>
        </w:rPr>
      </w:r>
      <w:r>
        <w:rPr/>
        <w:t>行政工作的新局面。政法部门未来新的市场需求不断被激发，将成为公司业务的新增长点。</w:t>
      </w:r>
    </w:p>
    <w:p>
      <w:pPr>
        <w:pStyle w:val="BodyText"/>
        <w:spacing w:line="312" w:lineRule="auto" w:before="26"/>
        <w:ind w:left="138" w:right="208" w:firstLine="419"/>
        <w:jc w:val="both"/>
      </w:pPr>
      <w:r>
        <w:rPr>
          <w:spacing w:val="-2"/>
        </w:rPr>
        <w:t>行业大数据产品应用方面，中共中央政治局实施国家大数据战略第二次集体学习会，明确要</w:t>
      </w:r>
      <w:r>
        <w:rPr>
          <w:w w:val="100"/>
        </w:rPr>
        <w:t> </w:t>
      </w:r>
      <w:r>
        <w:rPr>
          <w:spacing w:val="-6"/>
          <w:w w:val="100"/>
        </w:rPr>
        <w:t>求</w:t>
      </w:r>
      <w:r>
        <w:rPr>
          <w:rFonts w:ascii="Times New Roman" w:hAnsi="Times New Roman" w:cs="Times New Roman" w:eastAsia="Times New Roman" w:hint="default"/>
          <w:spacing w:val="-6"/>
          <w:w w:val="100"/>
        </w:rPr>
        <w:t>“</w:t>
      </w:r>
      <w:r>
        <w:rPr>
          <w:spacing w:val="-6"/>
          <w:w w:val="100"/>
        </w:rPr>
        <w:t>实施国家大数据战略加快建设数字中国</w:t>
      </w:r>
      <w:r>
        <w:rPr>
          <w:rFonts w:ascii="Times New Roman" w:hAnsi="Times New Roman" w:cs="Times New Roman" w:eastAsia="Times New Roman" w:hint="default"/>
          <w:spacing w:val="-6"/>
          <w:w w:val="100"/>
        </w:rPr>
        <w:t>”</w:t>
      </w:r>
      <w:r>
        <w:rPr>
          <w:spacing w:val="-6"/>
          <w:w w:val="100"/>
        </w:rPr>
        <w:t>，在大数据环境下，各行业大数据都具有数据量巨大、</w:t>
      </w:r>
      <w:r>
        <w:rPr>
          <w:spacing w:val="-81"/>
          <w:w w:val="100"/>
        </w:rPr>
        <w:t> </w:t>
      </w:r>
      <w:r>
        <w:rPr>
          <w:spacing w:val="-81"/>
          <w:w w:val="100"/>
        </w:rPr>
      </w:r>
      <w:r>
        <w:rPr>
          <w:spacing w:val="-1"/>
        </w:rPr>
        <w:t>数据类型复杂，数据价值密度低等特点，因此基于海量、结构化、非结构数据的综合处理、分析</w:t>
      </w:r>
      <w:r>
        <w:rPr>
          <w:spacing w:val="-55"/>
        </w:rPr>
        <w:t> </w:t>
      </w:r>
      <w:r>
        <w:rPr>
          <w:spacing w:val="-55"/>
        </w:rPr>
      </w:r>
      <w:r>
        <w:rPr>
          <w:spacing w:val="-1"/>
        </w:rPr>
        <w:t>能力将成为大数据领域的核心竞争力。未来公司将集中优势资源突破大数据核心技术，并通过不</w:t>
      </w:r>
      <w:r>
        <w:rPr>
          <w:spacing w:val="-55"/>
        </w:rPr>
        <w:t> </w:t>
      </w:r>
      <w:r>
        <w:rPr>
          <w:spacing w:val="-55"/>
        </w:rPr>
      </w:r>
      <w:r>
        <w:rPr>
          <w:spacing w:val="-1"/>
        </w:rPr>
        <w:t>断积累的行业业务经验，持续深化大数据核心技术与电子政务、政法、交通等领域的融合，实现</w:t>
      </w:r>
      <w:r>
        <w:rPr>
          <w:spacing w:val="-55"/>
        </w:rPr>
        <w:t> </w:t>
      </w:r>
      <w:r>
        <w:rPr>
          <w:spacing w:val="-55"/>
        </w:rPr>
      </w:r>
      <w:r>
        <w:rPr>
          <w:spacing w:val="-1"/>
        </w:rPr>
        <w:t>业务与信息化的融合，形成业务与信息化互相促进的格局。加快构建自主可控的大数据产业链、</w:t>
      </w:r>
      <w:r>
        <w:rPr>
          <w:spacing w:val="-55"/>
        </w:rPr>
        <w:t> </w:t>
      </w:r>
      <w:r>
        <w:rPr>
          <w:spacing w:val="-55"/>
        </w:rPr>
      </w:r>
      <w:r>
        <w:rPr/>
        <w:t>价值链和生态系统，助力公司研发差异化产品，在大数据时代激烈的竞争浪潮中脱颖而出。</w:t>
      </w:r>
    </w:p>
    <w:p>
      <w:pPr>
        <w:spacing w:line="297" w:lineRule="auto" w:before="22"/>
        <w:ind w:left="558"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、顺应公安大数据发展战略，全力打造四大警务</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智慧公安方面，公安十三五规划中将大数据、云计算等新技术应用作为优化基础性技术设施、</w:t>
      </w:r>
    </w:p>
    <w:p>
      <w:pPr>
        <w:pStyle w:val="BodyText"/>
        <w:spacing w:line="240" w:lineRule="auto" w:before="34"/>
        <w:ind w:left="138" w:right="0"/>
        <w:jc w:val="both"/>
      </w:pPr>
      <w:r>
        <w:rPr>
          <w:w w:val="100"/>
        </w:rPr>
        <w:t>提升信</w:t>
      </w:r>
      <w:r>
        <w:rPr>
          <w:spacing w:val="-3"/>
          <w:w w:val="100"/>
        </w:rPr>
        <w:t>息</w:t>
      </w:r>
      <w:r>
        <w:rPr>
          <w:w w:val="100"/>
        </w:rPr>
        <w:t>化</w:t>
      </w:r>
      <w:r>
        <w:rPr>
          <w:spacing w:val="-3"/>
          <w:w w:val="100"/>
        </w:rPr>
        <w:t>支</w:t>
      </w:r>
      <w:r>
        <w:rPr>
          <w:w w:val="100"/>
        </w:rPr>
        <w:t>撑能</w:t>
      </w:r>
      <w:r>
        <w:rPr>
          <w:spacing w:val="-3"/>
          <w:w w:val="100"/>
        </w:rPr>
        <w:t>力</w:t>
      </w:r>
      <w:r>
        <w:rPr>
          <w:w w:val="100"/>
        </w:rPr>
        <w:t>的</w:t>
      </w:r>
      <w:r>
        <w:rPr>
          <w:spacing w:val="-3"/>
          <w:w w:val="100"/>
        </w:rPr>
        <w:t>重</w:t>
      </w:r>
      <w:r>
        <w:rPr>
          <w:w w:val="100"/>
        </w:rPr>
        <w:t>要建设</w:t>
      </w:r>
      <w:r>
        <w:rPr>
          <w:spacing w:val="-3"/>
          <w:w w:val="100"/>
        </w:rPr>
        <w:t>内</w:t>
      </w:r>
      <w:r>
        <w:rPr>
          <w:w w:val="100"/>
        </w:rPr>
        <w:t>容</w:t>
      </w:r>
      <w:r>
        <w:rPr>
          <w:spacing w:val="-3"/>
          <w:w w:val="100"/>
        </w:rPr>
        <w:t>。</w:t>
      </w:r>
      <w:r>
        <w:rPr>
          <w:w w:val="100"/>
        </w:rPr>
        <w:t>根据</w:t>
      </w:r>
      <w:r>
        <w:rPr>
          <w:spacing w:val="-3"/>
          <w:w w:val="100"/>
        </w:rPr>
        <w:t>公</w:t>
      </w:r>
      <w:r>
        <w:rPr>
          <w:w w:val="100"/>
        </w:rPr>
        <w:t>安</w:t>
      </w:r>
      <w:r>
        <w:rPr>
          <w:spacing w:val="-3"/>
          <w:w w:val="100"/>
        </w:rPr>
        <w:t>部</w:t>
      </w:r>
      <w:r>
        <w:rPr>
          <w:w w:val="100"/>
        </w:rPr>
        <w:t>《关于</w:t>
      </w:r>
      <w:r>
        <w:rPr>
          <w:spacing w:val="-3"/>
          <w:w w:val="100"/>
        </w:rPr>
        <w:t>推</w:t>
      </w:r>
      <w:r>
        <w:rPr>
          <w:w w:val="100"/>
        </w:rPr>
        <w:t>进</w:t>
      </w:r>
      <w:r>
        <w:rPr>
          <w:spacing w:val="-3"/>
          <w:w w:val="100"/>
        </w:rPr>
        <w:t>公</w:t>
      </w:r>
      <w:r>
        <w:rPr>
          <w:w w:val="100"/>
        </w:rPr>
        <w:t>安信</w:t>
      </w:r>
      <w:r>
        <w:rPr>
          <w:spacing w:val="-3"/>
          <w:w w:val="100"/>
        </w:rPr>
        <w:t>息</w:t>
      </w:r>
      <w:r>
        <w:rPr>
          <w:w w:val="100"/>
        </w:rPr>
        <w:t>化</w:t>
      </w:r>
      <w:r>
        <w:rPr>
          <w:spacing w:val="-3"/>
          <w:w w:val="100"/>
        </w:rPr>
        <w:t>发</w:t>
      </w:r>
      <w:r>
        <w:rPr>
          <w:w w:val="100"/>
        </w:rPr>
        <w:t>展若干</w:t>
      </w:r>
      <w:r>
        <w:rPr>
          <w:spacing w:val="-3"/>
          <w:w w:val="100"/>
        </w:rPr>
        <w:t>问</w:t>
      </w:r>
      <w:r>
        <w:rPr>
          <w:w w:val="100"/>
        </w:rPr>
        <w:t>题</w:t>
      </w:r>
      <w:r>
        <w:rPr>
          <w:spacing w:val="-3"/>
          <w:w w:val="100"/>
        </w:rPr>
        <w:t>的</w:t>
      </w:r>
      <w:r>
        <w:rPr>
          <w:w w:val="100"/>
        </w:rPr>
        <w:t>意见</w:t>
      </w:r>
      <w:r>
        <w:rPr>
          <w:spacing w:val="-106"/>
          <w:w w:val="100"/>
        </w:rPr>
        <w:t>》</w:t>
      </w:r>
      <w:r>
        <w:rPr>
          <w:w w:val="100"/>
        </w:rPr>
        <w:t>、</w:t>
      </w:r>
    </w:p>
    <w:p>
      <w:pPr>
        <w:pStyle w:val="BodyText"/>
        <w:spacing w:line="297" w:lineRule="auto" w:before="85"/>
        <w:ind w:left="138" w:right="102"/>
        <w:jc w:val="left"/>
      </w:pPr>
      <w:r>
        <w:rPr/>
        <w:t>《公安科技创新</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专项规划》等文件要求，以及部局领导的讲话精神，科技信息化在公安</w:t>
      </w:r>
      <w:r>
        <w:rPr>
          <w:spacing w:val="-69"/>
        </w:rPr>
        <w:t> </w:t>
      </w:r>
      <w:r>
        <w:rPr>
          <w:spacing w:val="-69"/>
        </w:rPr>
      </w:r>
      <w:r>
        <w:rPr/>
        <w:t>工作中具有战略性、基础性、全局性地位。根据赛迪顾问预测，</w:t>
      </w:r>
      <w:r>
        <w:rPr>
          <w:rFonts w:ascii="Times New Roman" w:hAnsi="Times New Roman" w:cs="Times New Roman" w:eastAsia="Times New Roman" w:hint="default"/>
        </w:rPr>
        <w:t>2014-2018 </w:t>
      </w:r>
      <w:r>
        <w:rPr/>
        <w:t>年，公安信息化系统</w:t>
      </w:r>
      <w:r>
        <w:rPr>
          <w:spacing w:val="-57"/>
        </w:rPr>
        <w:t> </w:t>
      </w:r>
      <w:r>
        <w:rPr/>
        <w:t>市场每年复合增长率约为</w:t>
      </w:r>
      <w:r>
        <w:rPr>
          <w:spacing w:val="-43"/>
        </w:rPr>
        <w:t> </w:t>
      </w:r>
      <w:r>
        <w:rPr>
          <w:rFonts w:ascii="Times New Roman" w:hAnsi="Times New Roman" w:cs="Times New Roman" w:eastAsia="Times New Roman" w:hint="default"/>
        </w:rPr>
        <w:t>24%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年市场规模将达</w:t>
      </w:r>
      <w:r>
        <w:rPr>
          <w:spacing w:val="-41"/>
        </w:rPr>
        <w:t> </w:t>
      </w:r>
      <w:r>
        <w:rPr>
          <w:rFonts w:ascii="Times New Roman" w:hAnsi="Times New Roman" w:cs="Times New Roman" w:eastAsia="Times New Roman" w:hint="default"/>
        </w:rPr>
        <w:t>944</w:t>
      </w:r>
      <w:r>
        <w:rPr>
          <w:rFonts w:ascii="Times New Roman" w:hAnsi="Times New Roman" w:cs="Times New Roman" w:eastAsia="Times New Roman" w:hint="default"/>
          <w:spacing w:val="9"/>
        </w:rPr>
        <w:t> </w:t>
      </w:r>
      <w:r>
        <w:rPr/>
        <w:t>亿元。当前，公安科技正在快速发展，</w:t>
      </w:r>
      <w:r>
        <w:rPr>
          <w:w w:val="100"/>
        </w:rPr>
        <w:t> </w:t>
      </w:r>
      <w:r>
        <w:rPr/>
        <w:t>实现万物互联互通的数字化</w:t>
      </w:r>
      <w:r>
        <w:rPr>
          <w:rFonts w:ascii="Times New Roman" w:hAnsi="Times New Roman" w:cs="Times New Roman" w:eastAsia="Times New Roman" w:hint="default"/>
        </w:rPr>
        <w:t>“</w:t>
      </w:r>
      <w:r>
        <w:rPr/>
        <w:t>天网</w:t>
      </w:r>
      <w:r>
        <w:rPr>
          <w:rFonts w:ascii="Times New Roman" w:hAnsi="Times New Roman" w:cs="Times New Roman" w:eastAsia="Times New Roman" w:hint="default"/>
        </w:rPr>
        <w:t>”</w:t>
      </w:r>
      <w:r>
        <w:rPr/>
        <w:t>，对海量数据拥有超级运算能力的</w:t>
      </w:r>
      <w:r>
        <w:rPr>
          <w:rFonts w:ascii="Times New Roman" w:hAnsi="Times New Roman" w:cs="Times New Roman" w:eastAsia="Times New Roman" w:hint="default"/>
        </w:rPr>
        <w:t>“</w:t>
      </w:r>
      <w:r>
        <w:rPr/>
        <w:t>天算</w:t>
      </w:r>
      <w:r>
        <w:rPr>
          <w:rFonts w:ascii="Times New Roman" w:hAnsi="Times New Roman" w:cs="Times New Roman" w:eastAsia="Times New Roman" w:hint="default"/>
        </w:rPr>
        <w:t>”</w:t>
      </w:r>
      <w:r>
        <w:rPr/>
        <w:t>，具有超级智能控制</w:t>
      </w:r>
      <w:r>
        <w:rPr>
          <w:spacing w:val="-46"/>
        </w:rPr>
        <w:t> </w:t>
      </w:r>
      <w:r>
        <w:rPr>
          <w:spacing w:val="-46"/>
        </w:rPr>
      </w:r>
      <w:r>
        <w:rPr/>
        <w:t>能力的</w:t>
      </w:r>
      <w:r>
        <w:rPr>
          <w:rFonts w:ascii="Times New Roman" w:hAnsi="Times New Roman" w:cs="Times New Roman" w:eastAsia="Times New Roman" w:hint="default"/>
        </w:rPr>
        <w:t>“</w:t>
      </w:r>
      <w:r>
        <w:rPr/>
        <w:t>天智</w:t>
      </w:r>
      <w:r>
        <w:rPr>
          <w:rFonts w:ascii="Times New Roman" w:hAnsi="Times New Roman" w:cs="Times New Roman" w:eastAsia="Times New Roman" w:hint="default"/>
        </w:rPr>
        <w:t>”</w:t>
      </w:r>
      <w:r>
        <w:rPr/>
        <w:t>，将使未来世界更可知、更可测、更可控，为科技信息化建设提供了无限的可能。</w:t>
      </w:r>
      <w:r>
        <w:rPr>
          <w:spacing w:val="-70"/>
        </w:rPr>
        <w:t> </w:t>
      </w:r>
      <w:r>
        <w:rPr>
          <w:spacing w:val="-70"/>
        </w:rPr>
      </w:r>
      <w:r>
        <w:rPr>
          <w:rFonts w:ascii="Times New Roman" w:hAnsi="Times New Roman" w:cs="Times New Roman" w:eastAsia="Times New Roman" w:hint="default"/>
        </w:rPr>
        <w:t>2017 </w:t>
      </w:r>
      <w:r>
        <w:rPr>
          <w:spacing w:val="-3"/>
        </w:rPr>
        <w:t>年全国及多地的公安科技信息化工作会议多次提及</w:t>
      </w:r>
      <w:r>
        <w:rPr>
          <w:rFonts w:ascii="Times New Roman" w:hAnsi="Times New Roman" w:cs="Times New Roman" w:eastAsia="Times New Roman" w:hint="default"/>
          <w:spacing w:val="-3"/>
        </w:rPr>
        <w:t>“</w:t>
      </w:r>
      <w:r>
        <w:rPr>
          <w:spacing w:val="-3"/>
        </w:rPr>
        <w:t>天网</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天算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天智</w:t>
      </w:r>
      <w:r>
        <w:rPr>
          <w:rFonts w:ascii="Times New Roman" w:hAnsi="Times New Roman" w:cs="Times New Roman" w:eastAsia="Times New Roman" w:hint="default"/>
          <w:spacing w:val="-3"/>
        </w:rPr>
        <w:t>”</w:t>
      </w:r>
      <w:r>
        <w:rPr>
          <w:spacing w:val="-3"/>
        </w:rPr>
        <w:t>，基于</w:t>
      </w:r>
      <w:r>
        <w:rPr>
          <w:rFonts w:ascii="Times New Roman" w:hAnsi="Times New Roman" w:cs="Times New Roman" w:eastAsia="Times New Roman" w:hint="default"/>
          <w:spacing w:val="-3"/>
        </w:rPr>
        <w:t>“</w:t>
      </w:r>
      <w:r>
        <w:rPr>
          <w:spacing w:val="-3"/>
        </w:rPr>
        <w:t>天网、天</w:t>
      </w:r>
      <w:r>
        <w:rPr>
          <w:spacing w:val="-48"/>
        </w:rPr>
        <w:t> </w:t>
      </w:r>
      <w:r>
        <w:rPr>
          <w:spacing w:val="-48"/>
        </w:rPr>
      </w:r>
      <w:r>
        <w:rPr/>
        <w:t>算、天智</w:t>
      </w:r>
      <w:r>
        <w:rPr>
          <w:rFonts w:ascii="Times New Roman" w:hAnsi="Times New Roman" w:cs="Times New Roman" w:eastAsia="Times New Roman" w:hint="default"/>
        </w:rPr>
        <w:t>”</w:t>
      </w:r>
      <w:r>
        <w:rPr/>
        <w:t>要求进行建设的智慧公安产品未来空间将十分广阔。</w:t>
      </w:r>
    </w:p>
    <w:p>
      <w:pPr>
        <w:pStyle w:val="BodyText"/>
        <w:spacing w:line="314" w:lineRule="auto" w:before="13"/>
        <w:ind w:left="138" w:right="208" w:firstLine="419"/>
        <w:jc w:val="both"/>
      </w:pPr>
      <w:r>
        <w:rPr>
          <w:spacing w:val="-2"/>
        </w:rPr>
        <w:t>各级公安机关正主动拥抱现代科技，将工作重心从以往的事后侦查破案、被动处置，向事前</w:t>
      </w:r>
      <w:r>
        <w:rPr>
          <w:w w:val="100"/>
        </w:rPr>
        <w:t> </w:t>
      </w:r>
      <w:r>
        <w:rPr>
          <w:spacing w:val="-1"/>
        </w:rPr>
        <w:t>管控各类治安要素、预警防范各种风险以及事中的主动应对处置转移。公司将主动顺应公安大数</w:t>
      </w:r>
      <w:r>
        <w:rPr>
          <w:spacing w:val="-55"/>
        </w:rPr>
        <w:t> </w:t>
      </w:r>
      <w:r>
        <w:rPr>
          <w:spacing w:val="-55"/>
        </w:rPr>
      </w:r>
      <w:r>
        <w:rPr>
          <w:spacing w:val="-1"/>
        </w:rPr>
        <w:t>据战略，紧扣智慧公安、数据警务的实战和管理服务的需求，通过整合产业链上下游资源，全力</w:t>
      </w:r>
      <w:r>
        <w:rPr>
          <w:spacing w:val="-55"/>
        </w:rPr>
        <w:t> </w:t>
      </w:r>
      <w:r>
        <w:rPr>
          <w:spacing w:val="-55"/>
        </w:rPr>
      </w:r>
      <w:r>
        <w:rPr/>
        <w:t>打造面向实战、面向服务、面向管理的实战、民生、规范、人文型智慧公安综合解决方案。</w:t>
      </w:r>
    </w:p>
    <w:p>
      <w:pPr>
        <w:spacing w:line="297" w:lineRule="auto" w:before="20"/>
        <w:ind w:left="558"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、瞄准增长机遇，紧抓用户入口，打造智慧民生</w:t>
      </w:r>
      <w:r>
        <w:rPr>
          <w:rFonts w:ascii="宋体" w:hAnsi="宋体" w:cs="宋体" w:eastAsia="宋体" w:hint="default"/>
          <w:b/>
          <w:bCs/>
          <w:w w:val="100"/>
          <w:sz w:val="21"/>
          <w:szCs w:val="21"/>
        </w:rPr>
        <w:t> </w:t>
      </w:r>
      <w:r>
        <w:rPr>
          <w:rFonts w:ascii="宋体" w:hAnsi="宋体" w:cs="宋体" w:eastAsia="宋体" w:hint="default"/>
          <w:spacing w:val="-2"/>
          <w:sz w:val="21"/>
          <w:szCs w:val="21"/>
        </w:rPr>
        <w:t>目前，我国物联网已初步形成完整的产业体系，具备一定技术、产业和应用基础。根据工信</w:t>
      </w:r>
    </w:p>
    <w:p>
      <w:pPr>
        <w:pStyle w:val="BodyText"/>
        <w:spacing w:line="302" w:lineRule="auto" w:before="34"/>
        <w:ind w:left="138" w:right="207"/>
        <w:jc w:val="both"/>
      </w:pPr>
      <w:r>
        <w:rPr/>
        <w:t>部发布的数据，我国物联网产业规模从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年的</w:t>
      </w:r>
      <w:r>
        <w:rPr>
          <w:spacing w:val="-52"/>
        </w:rPr>
        <w:t> </w:t>
      </w:r>
      <w:r>
        <w:rPr>
          <w:rFonts w:ascii="Times New Roman" w:hAnsi="Times New Roman" w:cs="Times New Roman" w:eastAsia="Times New Roman" w:hint="default"/>
        </w:rPr>
        <w:t>1700 </w:t>
      </w:r>
      <w:r>
        <w:rPr/>
        <w:t>亿跃升至</w:t>
      </w:r>
      <w:r>
        <w:rPr>
          <w:spacing w:val="-50"/>
        </w:rPr>
        <w:t> </w:t>
      </w:r>
      <w:r>
        <w:rPr>
          <w:rFonts w:ascii="Times New Roman" w:hAnsi="Times New Roman" w:cs="Times New Roman" w:eastAsia="Times New Roman" w:hint="default"/>
        </w:rPr>
        <w:t>2015 </w:t>
      </w:r>
      <w:r>
        <w:rPr/>
        <w:t>年超过</w:t>
      </w:r>
      <w:r>
        <w:rPr>
          <w:spacing w:val="-52"/>
        </w:rPr>
        <w:t> </w:t>
      </w:r>
      <w:r>
        <w:rPr>
          <w:rFonts w:ascii="Times New Roman" w:hAnsi="Times New Roman" w:cs="Times New Roman" w:eastAsia="Times New Roman" w:hint="default"/>
        </w:rPr>
        <w:t>7500 </w:t>
      </w:r>
      <w:r>
        <w:rPr/>
        <w:t>亿元，年复合</w:t>
      </w:r>
      <w:r>
        <w:rPr>
          <w:w w:val="100"/>
        </w:rPr>
        <w:t> </w:t>
      </w:r>
      <w:r>
        <w:rPr/>
        <w:t>增长率超过</w:t>
      </w:r>
      <w:r>
        <w:rPr>
          <w:spacing w:val="-40"/>
        </w:rPr>
        <w:t> </w:t>
      </w:r>
      <w:r>
        <w:rPr>
          <w:rFonts w:ascii="Times New Roman" w:hAnsi="Times New Roman" w:cs="Times New Roman" w:eastAsia="Times New Roman" w:hint="default"/>
          <w:spacing w:val="-4"/>
        </w:rPr>
        <w:t>25%</w:t>
      </w:r>
      <w:r>
        <w:rPr>
          <w:spacing w:val="-4"/>
        </w:rPr>
        <w:t>。公众网络机器到机器（</w:t>
      </w:r>
      <w:r>
        <w:rPr>
          <w:rFonts w:ascii="Times New Roman" w:hAnsi="Times New Roman" w:cs="Times New Roman" w:eastAsia="Times New Roman" w:hint="default"/>
          <w:spacing w:val="-4"/>
        </w:rPr>
        <w:t>M2M</w:t>
      </w:r>
      <w:r>
        <w:rPr>
          <w:spacing w:val="-4"/>
        </w:rPr>
        <w:t>）连接数突破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4"/>
        </w:rPr>
        <w:t>亿，占全球总量</w:t>
      </w:r>
      <w:r>
        <w:rPr>
          <w:spacing w:val="-38"/>
        </w:rPr>
        <w:t> </w:t>
      </w:r>
      <w:r>
        <w:rPr>
          <w:rFonts w:ascii="Times New Roman" w:hAnsi="Times New Roman" w:cs="Times New Roman" w:eastAsia="Times New Roman" w:hint="default"/>
          <w:spacing w:val="-3"/>
        </w:rPr>
        <w:t>31%</w:t>
      </w:r>
      <w:r>
        <w:rPr>
          <w:spacing w:val="-3"/>
        </w:rPr>
        <w:t>，成为全球最</w:t>
      </w:r>
      <w:r>
        <w:rPr>
          <w:spacing w:val="-100"/>
        </w:rPr>
        <w:t> </w:t>
      </w:r>
      <w:r>
        <w:rPr>
          <w:spacing w:val="-100"/>
        </w:rPr>
      </w:r>
      <w:r>
        <w:rPr>
          <w:spacing w:val="-6"/>
        </w:rPr>
        <w:t>大市场。物联网产业已形成环渤海、长三角、泛珠三角以及中西部地区四大区域聚集发展的格局，</w:t>
      </w:r>
      <w:r>
        <w:rPr>
          <w:spacing w:val="-54"/>
        </w:rPr>
        <w:t> </w:t>
      </w:r>
      <w:r>
        <w:rPr>
          <w:spacing w:val="-54"/>
        </w:rPr>
      </w:r>
      <w:r>
        <w:rPr>
          <w:spacing w:val="-1"/>
        </w:rPr>
        <w:t>无锡、重庆、郑州、福州等新型工业化产业示范基地建设初见成效。涌现出一大批具备较强实力</w:t>
      </w:r>
    </w:p>
    <w:p>
      <w:pPr>
        <w:spacing w:after="0" w:line="302" w:lineRule="auto"/>
        <w:jc w:val="both"/>
        <w:sectPr>
          <w:pgSz w:w="11910" w:h="16840"/>
          <w:pgMar w:header="855" w:footer="979" w:top="1140" w:bottom="1160" w:left="1660" w:right="1060"/>
        </w:sectPr>
      </w:pPr>
    </w:p>
    <w:p>
      <w:pPr>
        <w:spacing w:line="240" w:lineRule="auto" w:before="4"/>
        <w:rPr>
          <w:rFonts w:ascii="宋体" w:hAnsi="宋体" w:cs="宋体" w:eastAsia="宋体" w:hint="default"/>
          <w:sz w:val="29"/>
          <w:szCs w:val="29"/>
        </w:rPr>
      </w:pPr>
    </w:p>
    <w:p>
      <w:pPr>
        <w:pStyle w:val="BodyText"/>
        <w:spacing w:line="240" w:lineRule="auto" w:before="36"/>
        <w:ind w:left="138" w:right="0"/>
        <w:jc w:val="both"/>
      </w:pPr>
      <w:r>
        <w:rPr/>
        <w:t>的物联网领军企业，互联网龙头企业成为物联网发展的重要新兴力量。</w:t>
      </w:r>
    </w:p>
    <w:p>
      <w:pPr>
        <w:pStyle w:val="BodyText"/>
        <w:spacing w:line="302" w:lineRule="auto" w:before="85"/>
        <w:ind w:left="138" w:right="128" w:firstLine="419"/>
        <w:jc w:val="both"/>
      </w:pPr>
      <w:r>
        <w:rPr>
          <w:rFonts w:ascii="Times New Roman" w:hAnsi="Times New Roman" w:cs="Times New Roman" w:eastAsia="Times New Roman" w:hint="default"/>
        </w:rPr>
        <w:t>2017 </w:t>
      </w:r>
      <w:r>
        <w:rPr>
          <w:spacing w:val="-16"/>
        </w:rPr>
        <w:t>年《互联网趋势》报告指出，</w:t>
      </w:r>
      <w:r>
        <w:rPr>
          <w:rFonts w:ascii="Times New Roman" w:hAnsi="Times New Roman" w:cs="Times New Roman" w:eastAsia="Times New Roman" w:hint="default"/>
          <w:spacing w:val="-16"/>
        </w:rPr>
        <w:t>2016 </w:t>
      </w:r>
      <w:r>
        <w:rPr/>
        <w:t>年中国移动互联网用户数量突破 </w:t>
      </w:r>
      <w:r>
        <w:rPr>
          <w:rFonts w:ascii="Times New Roman" w:hAnsi="Times New Roman" w:cs="Times New Roman" w:eastAsia="Times New Roman" w:hint="default"/>
        </w:rPr>
        <w:t>7 </w:t>
      </w:r>
      <w:r>
        <w:rPr>
          <w:spacing w:val="-15"/>
        </w:rPr>
        <w:t>亿，同比增长</w:t>
      </w:r>
      <w:r>
        <w:rPr>
          <w:spacing w:val="-66"/>
        </w:rPr>
        <w:t> </w:t>
      </w:r>
      <w:r>
        <w:rPr>
          <w:rFonts w:ascii="Times New Roman" w:hAnsi="Times New Roman" w:cs="Times New Roman" w:eastAsia="Times New Roman" w:hint="default"/>
        </w:rPr>
        <w:t>12%</w:t>
      </w:r>
      <w:r>
        <w:rPr/>
        <w:t>；</w:t>
      </w:r>
      <w:r>
        <w:rPr>
          <w:w w:val="100"/>
        </w:rPr>
        <w:t> </w:t>
      </w:r>
      <w:r>
        <w:rPr/>
        <w:t>互联网信息服务市场总收入达到</w:t>
      </w:r>
      <w:r>
        <w:rPr>
          <w:spacing w:val="-43"/>
        </w:rPr>
        <w:t> </w:t>
      </w:r>
      <w:r>
        <w:rPr>
          <w:rFonts w:ascii="Times New Roman" w:hAnsi="Times New Roman" w:cs="Times New Roman" w:eastAsia="Times New Roman" w:hint="default"/>
        </w:rPr>
        <w:t>13,786</w:t>
      </w:r>
      <w:r>
        <w:rPr>
          <w:rFonts w:ascii="Times New Roman" w:hAnsi="Times New Roman" w:cs="Times New Roman" w:eastAsia="Times New Roman" w:hint="default"/>
          <w:spacing w:val="7"/>
        </w:rPr>
        <w:t> </w:t>
      </w:r>
      <w:r>
        <w:rPr>
          <w:spacing w:val="-3"/>
        </w:rPr>
        <w:t>亿元，同比增长</w:t>
      </w:r>
      <w:r>
        <w:rPr>
          <w:spacing w:val="-41"/>
        </w:rPr>
        <w:t> </w:t>
      </w:r>
      <w:r>
        <w:rPr>
          <w:rFonts w:ascii="Times New Roman" w:hAnsi="Times New Roman" w:cs="Times New Roman" w:eastAsia="Times New Roman" w:hint="default"/>
          <w:spacing w:val="-4"/>
        </w:rPr>
        <w:t>12%</w:t>
      </w:r>
      <w:r>
        <w:rPr>
          <w:spacing w:val="-4"/>
        </w:rPr>
        <w:t>。移动互联网新技术、新模式、新应</w:t>
      </w:r>
      <w:r>
        <w:rPr>
          <w:spacing w:val="-102"/>
        </w:rPr>
        <w:t> </w:t>
      </w:r>
      <w:r>
        <w:rPr>
          <w:spacing w:val="-102"/>
        </w:rPr>
      </w:r>
      <w:r>
        <w:rPr>
          <w:spacing w:val="-1"/>
        </w:rPr>
        <w:t>用不断涌现，引领新型经济模式，催生信息消费新业态，移动应用平台深挖数据价值，加快了大</w:t>
      </w:r>
      <w:r>
        <w:rPr>
          <w:spacing w:val="-55"/>
        </w:rPr>
        <w:t> </w:t>
      </w:r>
      <w:r>
        <w:rPr>
          <w:spacing w:val="-55"/>
        </w:rPr>
      </w:r>
      <w:r>
        <w:rPr/>
        <w:t>数据经济的发展。</w:t>
      </w:r>
    </w:p>
    <w:p>
      <w:pPr>
        <w:pStyle w:val="BodyText"/>
        <w:spacing w:line="304" w:lineRule="auto" w:before="30"/>
        <w:ind w:left="138" w:right="129" w:firstLine="419"/>
        <w:jc w:val="both"/>
      </w:pPr>
      <w:r>
        <w:rPr>
          <w:spacing w:val="-2"/>
        </w:rPr>
        <w:t>未来，物联网与移动互联相融合将成为应用产品趋势，而物联网和移动互联融合应用市场将</w:t>
      </w:r>
      <w:r>
        <w:rPr>
          <w:w w:val="100"/>
        </w:rPr>
        <w:t> </w:t>
      </w:r>
      <w:r>
        <w:rPr>
          <w:spacing w:val="-1"/>
        </w:rPr>
        <w:t>是</w:t>
      </w:r>
      <w:r>
        <w:rPr>
          <w:rFonts w:ascii="Times New Roman" w:hAnsi="Times New Roman" w:cs="Times New Roman" w:eastAsia="Times New Roman" w:hint="default"/>
          <w:spacing w:val="-1"/>
        </w:rPr>
        <w:t>“</w:t>
      </w:r>
      <w:r>
        <w:rPr>
          <w:spacing w:val="-1"/>
        </w:rPr>
        <w:t>入口</w:t>
      </w:r>
      <w:r>
        <w:rPr>
          <w:rFonts w:ascii="Times New Roman" w:hAnsi="Times New Roman" w:cs="Times New Roman" w:eastAsia="Times New Roman" w:hint="default"/>
          <w:spacing w:val="-1"/>
        </w:rPr>
        <w:t>”</w:t>
      </w:r>
      <w:r>
        <w:rPr>
          <w:spacing w:val="-1"/>
        </w:rPr>
        <w:t>争夺之战，为城市建立应用库，制定互联标准，汇聚民生各行业统一入口，提供畅享全</w:t>
      </w:r>
      <w:r>
        <w:rPr>
          <w:spacing w:val="-27"/>
        </w:rPr>
        <w:t> </w:t>
      </w:r>
      <w:r>
        <w:rPr>
          <w:spacing w:val="-27"/>
        </w:rPr>
      </w:r>
      <w:r>
        <w:rPr/>
        <w:t>城信息服务，将是物联网与移动互联融合新常态下真正惠及民生的新方向和新举措。</w:t>
      </w:r>
    </w:p>
    <w:p>
      <w:pPr>
        <w:spacing w:line="240" w:lineRule="auto" w:before="6"/>
        <w:rPr>
          <w:rFonts w:ascii="宋体" w:hAnsi="宋体" w:cs="宋体" w:eastAsia="宋体" w:hint="default"/>
          <w:sz w:val="26"/>
          <w:szCs w:val="26"/>
        </w:rPr>
      </w:pPr>
    </w:p>
    <w:p>
      <w:pPr>
        <w:pStyle w:val="Heading3"/>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t>公司发展战略</w:t>
      </w:r>
      <w:r>
        <w:rPr>
          <w:b w:val="0"/>
          <w:bCs w:val="0"/>
        </w:rPr>
      </w:r>
    </w:p>
    <w:p>
      <w:pPr>
        <w:pStyle w:val="BodyText"/>
        <w:tabs>
          <w:tab w:pos="1083" w:val="left" w:leader="none"/>
        </w:tabs>
        <w:spacing w:line="321" w:lineRule="auto" w:before="97"/>
        <w:ind w:left="558" w:right="130" w:hanging="420"/>
        <w:jc w:val="left"/>
      </w:pPr>
      <w:r>
        <w:rPr/>
        <w:t>√适用</w:t>
        <w:tab/>
        <w:t>□不适用</w:t>
      </w:r>
      <w:r>
        <w:rPr>
          <w:w w:val="100"/>
        </w:rPr>
        <w:t> </w:t>
      </w:r>
      <w:r>
        <w:rPr>
          <w:spacing w:val="-2"/>
        </w:rPr>
        <w:t>公司致力于打造智慧社会信息入口，坚持以政务、公安信息化及物联网应用发展为主营业务</w:t>
      </w:r>
    </w:p>
    <w:p>
      <w:pPr>
        <w:pStyle w:val="BodyText"/>
        <w:spacing w:line="314" w:lineRule="auto" w:before="13"/>
        <w:ind w:left="138" w:right="128"/>
        <w:jc w:val="both"/>
      </w:pPr>
      <w:r>
        <w:rPr>
          <w:spacing w:val="-1"/>
        </w:rPr>
        <w:t>的导向，并积极尝试智慧水利、智慧教育、智慧医疗、智慧文旅等新兴领域的探索，打造开放、</w:t>
      </w:r>
      <w:r>
        <w:rPr>
          <w:spacing w:val="-55"/>
        </w:rPr>
        <w:t> </w:t>
      </w:r>
      <w:r>
        <w:rPr>
          <w:spacing w:val="-55"/>
        </w:rPr>
      </w:r>
      <w:r>
        <w:rPr>
          <w:spacing w:val="-1"/>
        </w:rPr>
        <w:t>合作、共享的智慧城市协作体系。以云计算、大数据等核心技术助力公司全产业链整合升级，为</w:t>
      </w:r>
      <w:r>
        <w:rPr>
          <w:spacing w:val="-55"/>
        </w:rPr>
        <w:t> </w:t>
      </w:r>
      <w:r>
        <w:rPr>
          <w:spacing w:val="-55"/>
        </w:rPr>
      </w:r>
      <w:r>
        <w:rPr>
          <w:spacing w:val="-1"/>
        </w:rPr>
        <w:t>企业、政府、个人提供统一的服务入口，满足其工作、社交、服务、娱乐等多方位需求，真正实</w:t>
      </w:r>
      <w:r>
        <w:rPr>
          <w:spacing w:val="-55"/>
        </w:rPr>
        <w:t> </w:t>
      </w:r>
      <w:r>
        <w:rPr>
          <w:spacing w:val="-55"/>
        </w:rPr>
      </w:r>
      <w:r>
        <w:rPr>
          <w:spacing w:val="-1"/>
        </w:rPr>
        <w:t>现信息资源的互联互通和共享。公司坚持突出创新驱动，强化技术引领，提升企业核心竞争力；</w:t>
      </w:r>
      <w:r>
        <w:rPr>
          <w:spacing w:val="-55"/>
        </w:rPr>
        <w:t> </w:t>
      </w:r>
      <w:r>
        <w:rPr>
          <w:spacing w:val="-55"/>
        </w:rPr>
      </w:r>
      <w:r>
        <w:rPr>
          <w:spacing w:val="-1"/>
        </w:rPr>
        <w:t>针对企业内部管理，坚持机制体制改革创新，促使决策机制前移，以矩阵式管理模式，增强企业</w:t>
      </w:r>
      <w:r>
        <w:rPr>
          <w:spacing w:val="-55"/>
        </w:rPr>
        <w:t> </w:t>
      </w:r>
      <w:r>
        <w:rPr>
          <w:spacing w:val="-55"/>
        </w:rPr>
      </w:r>
      <w:r>
        <w:rPr/>
        <w:t>内增动力，保障公司可持续发展。</w:t>
      </w:r>
    </w:p>
    <w:p>
      <w:pPr>
        <w:spacing w:line="240" w:lineRule="auto" w:before="10"/>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t>经营计划</w:t>
      </w:r>
      <w:r>
        <w:rPr>
          <w:b w:val="0"/>
          <w:bCs w:val="0"/>
        </w:rPr>
      </w:r>
    </w:p>
    <w:p>
      <w:pPr>
        <w:pStyle w:val="BodyText"/>
        <w:spacing w:line="240" w:lineRule="auto" w:before="97"/>
        <w:ind w:left="138" w:right="0"/>
        <w:jc w:val="both"/>
      </w:pPr>
      <w:r>
        <w:rPr/>
        <w:t>√适用  </w:t>
      </w:r>
      <w:r>
        <w:rPr>
          <w:spacing w:val="1"/>
        </w:rPr>
        <w:t> </w:t>
      </w:r>
      <w:r>
        <w:rPr/>
        <w:t>□不适用</w:t>
      </w:r>
    </w:p>
    <w:p>
      <w:pPr>
        <w:spacing w:line="297" w:lineRule="auto" w:before="92"/>
        <w:ind w:left="558" w:right="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、坚持以主营业务为发展主线，在新兴领域加强探索</w:t>
      </w:r>
      <w:r>
        <w:rPr>
          <w:rFonts w:ascii="宋体" w:hAnsi="宋体" w:cs="宋体" w:eastAsia="宋体" w:hint="default"/>
          <w:b/>
          <w:bCs/>
          <w:w w:val="100"/>
          <w:sz w:val="21"/>
          <w:szCs w:val="21"/>
        </w:rPr>
        <w:t> </w:t>
      </w:r>
      <w:r>
        <w:rPr>
          <w:rFonts w:ascii="宋体" w:hAnsi="宋体" w:cs="宋体" w:eastAsia="宋体" w:hint="default"/>
          <w:color w:val="0D0D0D"/>
          <w:spacing w:val="-1"/>
          <w:sz w:val="21"/>
          <w:szCs w:val="21"/>
        </w:rPr>
        <w:t>公司坚持以主营业务发展为主线，加强智慧城市顶层设计研究，建设智慧城市生态体系，</w:t>
      </w:r>
      <w:r>
        <w:rPr>
          <w:rFonts w:ascii="宋体" w:hAnsi="宋体" w:cs="宋体" w:eastAsia="宋体" w:hint="default"/>
          <w:spacing w:val="-1"/>
          <w:sz w:val="21"/>
          <w:szCs w:val="21"/>
        </w:rPr>
        <w:t>通</w:t>
      </w:r>
    </w:p>
    <w:p>
      <w:pPr>
        <w:pStyle w:val="BodyText"/>
        <w:spacing w:line="314" w:lineRule="auto" w:before="34"/>
        <w:ind w:left="138" w:right="128"/>
        <w:jc w:val="both"/>
      </w:pPr>
      <w:r>
        <w:rPr>
          <w:spacing w:val="-7"/>
        </w:rPr>
        <w:t>过云计算、大数据等核心技术，夯实政务、公安、民生等业务基础，提供优秀的信息化解决方案</w:t>
      </w:r>
      <w:r>
        <w:rPr>
          <w:color w:val="0D0D0D"/>
          <w:spacing w:val="-7"/>
        </w:rPr>
        <w:t>。</w:t>
      </w:r>
      <w:r>
        <w:rPr>
          <w:color w:val="0D0D0D"/>
          <w:spacing w:val="-14"/>
        </w:rPr>
        <w:t> </w:t>
      </w:r>
      <w:r>
        <w:rPr>
          <w:color w:val="0D0D0D"/>
          <w:spacing w:val="-14"/>
        </w:rPr>
      </w:r>
      <w:r>
        <w:rPr>
          <w:color w:val="0D0D0D"/>
          <w:spacing w:val="-1"/>
        </w:rPr>
        <w:t>同时，持续增加对智慧水利、智慧交通、华夏匠人等物联网及移动互联融合产业的投资和运营，</w:t>
      </w:r>
      <w:r>
        <w:rPr>
          <w:color w:val="0D0D0D"/>
          <w:spacing w:val="-55"/>
        </w:rPr>
        <w:t> </w:t>
      </w:r>
      <w:r>
        <w:rPr>
          <w:color w:val="0D0D0D"/>
          <w:spacing w:val="-55"/>
        </w:rPr>
      </w:r>
      <w:r>
        <w:rPr>
          <w:color w:val="0D0D0D"/>
          <w:spacing w:val="-1"/>
        </w:rPr>
        <w:t>建成行业标杆项目。增设智慧文旅行业机构、军民融合发展部、国际发展部等部门，探索及拓展</w:t>
      </w:r>
      <w:r>
        <w:rPr>
          <w:color w:val="0D0D0D"/>
          <w:spacing w:val="-55"/>
        </w:rPr>
        <w:t> </w:t>
      </w:r>
      <w:r>
        <w:rPr>
          <w:color w:val="0D0D0D"/>
          <w:spacing w:val="-55"/>
        </w:rPr>
      </w:r>
      <w:r>
        <w:rPr>
          <w:color w:val="0D0D0D"/>
        </w:rPr>
        <w:t>相关领域业务。</w:t>
      </w:r>
      <w:r>
        <w:rPr/>
      </w:r>
    </w:p>
    <w:p>
      <w:pPr>
        <w:spacing w:line="297" w:lineRule="auto" w:before="20"/>
        <w:ind w:left="558" w:right="1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、把握移动互联网入口，构造行业平台优势</w:t>
      </w:r>
      <w:r>
        <w:rPr>
          <w:rFonts w:ascii="宋体" w:hAnsi="宋体" w:cs="宋体" w:eastAsia="宋体" w:hint="default"/>
          <w:b/>
          <w:bCs/>
          <w:w w:val="100"/>
          <w:sz w:val="21"/>
          <w:szCs w:val="21"/>
        </w:rPr>
        <w:t> </w:t>
      </w:r>
      <w:r>
        <w:rPr>
          <w:rFonts w:ascii="宋体" w:hAnsi="宋体" w:cs="宋体" w:eastAsia="宋体" w:hint="default"/>
          <w:spacing w:val="-2"/>
          <w:sz w:val="21"/>
          <w:szCs w:val="21"/>
        </w:rPr>
        <w:t>物联网与移动互联相融合是未来应用产品的趋势，把握应用产品的入口，</w:t>
      </w:r>
      <w:r>
        <w:rPr>
          <w:rFonts w:ascii="宋体" w:hAnsi="宋体" w:cs="宋体" w:eastAsia="宋体" w:hint="default"/>
          <w:color w:val="0D0D0D"/>
          <w:spacing w:val="-2"/>
          <w:sz w:val="21"/>
          <w:szCs w:val="21"/>
        </w:rPr>
        <w:t>是企业获得长足发</w:t>
      </w:r>
      <w:r>
        <w:rPr>
          <w:rFonts w:ascii="宋体" w:hAnsi="宋体" w:cs="宋体" w:eastAsia="宋体" w:hint="default"/>
          <w:spacing w:val="-2"/>
          <w:sz w:val="21"/>
          <w:szCs w:val="21"/>
        </w:rPr>
      </w:r>
    </w:p>
    <w:p>
      <w:pPr>
        <w:pStyle w:val="BodyText"/>
        <w:spacing w:line="314" w:lineRule="auto" w:before="34"/>
        <w:ind w:left="138" w:right="128"/>
        <w:jc w:val="both"/>
      </w:pPr>
      <w:r>
        <w:rPr>
          <w:color w:val="0D0D0D"/>
          <w:spacing w:val="-1"/>
        </w:rPr>
        <w:t>展的关键。公司将专注于构建行业平台优势，打造以城市通、政务通为基础，面向个人、企业、</w:t>
      </w:r>
      <w:r>
        <w:rPr>
          <w:color w:val="0D0D0D"/>
          <w:spacing w:val="-55"/>
        </w:rPr>
        <w:t> </w:t>
      </w:r>
      <w:r>
        <w:rPr>
          <w:color w:val="0D0D0D"/>
          <w:spacing w:val="-55"/>
        </w:rPr>
      </w:r>
      <w:r>
        <w:rPr>
          <w:color w:val="0D0D0D"/>
          <w:spacing w:val="-6"/>
          <w:w w:val="100"/>
        </w:rPr>
        <w:t>政府用户的开放的、互联互通的平台化产品，构造基于</w:t>
      </w:r>
      <w:r>
        <w:rPr>
          <w:spacing w:val="-6"/>
          <w:w w:val="100"/>
        </w:rPr>
        <w:t>物联网与移动互联相融合</w:t>
      </w:r>
      <w:r>
        <w:rPr>
          <w:color w:val="0D0D0D"/>
          <w:spacing w:val="-6"/>
          <w:w w:val="100"/>
        </w:rPr>
        <w:t>的智慧社会生态。</w:t>
      </w:r>
      <w:r>
        <w:rPr>
          <w:spacing w:val="-6"/>
          <w:w w:val="100"/>
        </w:rPr>
      </w:r>
    </w:p>
    <w:p>
      <w:pPr>
        <w:spacing w:line="297" w:lineRule="auto" w:before="20"/>
        <w:ind w:left="558" w:right="1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、优化市场布局，强调开放合作共赢，建设合作体系</w:t>
      </w:r>
      <w:r>
        <w:rPr>
          <w:rFonts w:ascii="宋体" w:hAnsi="宋体" w:cs="宋体" w:eastAsia="宋体" w:hint="default"/>
          <w:b/>
          <w:bCs/>
          <w:w w:val="100"/>
          <w:sz w:val="21"/>
          <w:szCs w:val="21"/>
        </w:rPr>
        <w:t> </w:t>
      </w:r>
      <w:r>
        <w:rPr>
          <w:rFonts w:ascii="宋体" w:hAnsi="宋体" w:cs="宋体" w:eastAsia="宋体" w:hint="default"/>
          <w:color w:val="0D0D0D"/>
          <w:spacing w:val="-2"/>
          <w:sz w:val="21"/>
          <w:szCs w:val="21"/>
        </w:rPr>
        <w:t>公司立足泉州，深耕福建，布局全国，持续执行平台区域化发展战略，联合拥有</w:t>
      </w:r>
      <w:r>
        <w:rPr>
          <w:rFonts w:ascii="宋体" w:hAnsi="宋体" w:cs="宋体" w:eastAsia="宋体" w:hint="default"/>
          <w:spacing w:val="-2"/>
          <w:sz w:val="21"/>
          <w:szCs w:val="21"/>
        </w:rPr>
        <w:t>产业优质资</w:t>
      </w:r>
    </w:p>
    <w:p>
      <w:pPr>
        <w:pStyle w:val="BodyText"/>
        <w:spacing w:line="314" w:lineRule="auto" w:before="34"/>
        <w:ind w:left="138" w:right="128"/>
        <w:jc w:val="both"/>
      </w:pPr>
      <w:r>
        <w:rPr>
          <w:spacing w:val="-1"/>
        </w:rPr>
        <w:t>源的客户、合作伙伴</w:t>
      </w:r>
      <w:r>
        <w:rPr>
          <w:color w:val="0D0D0D"/>
          <w:spacing w:val="-1"/>
        </w:rPr>
        <w:t>，共同打造智慧城市协作体系，通过技术、资金、人才等资源共享，建立区</w:t>
      </w:r>
      <w:r>
        <w:rPr>
          <w:color w:val="0D0D0D"/>
          <w:spacing w:val="-55"/>
        </w:rPr>
        <w:t> </w:t>
      </w:r>
      <w:r>
        <w:rPr>
          <w:color w:val="0D0D0D"/>
          <w:spacing w:val="-55"/>
        </w:rPr>
      </w:r>
      <w:r>
        <w:rPr>
          <w:color w:val="0D0D0D"/>
        </w:rPr>
        <w:t>域、项目的深度合作，优势互补，合作共赢。</w:t>
      </w:r>
      <w:r>
        <w:rPr/>
      </w:r>
    </w:p>
    <w:p>
      <w:pPr>
        <w:spacing w:line="297" w:lineRule="auto" w:before="20"/>
        <w:ind w:left="558" w:right="1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、强化技术引领业务，打造企业核心竞争力</w:t>
      </w:r>
      <w:r>
        <w:rPr>
          <w:rFonts w:ascii="宋体" w:hAnsi="宋体" w:cs="宋体" w:eastAsia="宋体" w:hint="default"/>
          <w:b/>
          <w:bCs/>
          <w:w w:val="100"/>
          <w:sz w:val="21"/>
          <w:szCs w:val="21"/>
        </w:rPr>
        <w:t> </w:t>
      </w:r>
      <w:r>
        <w:rPr>
          <w:rFonts w:ascii="宋体" w:hAnsi="宋体" w:cs="宋体" w:eastAsia="宋体" w:hint="default"/>
          <w:spacing w:val="-2"/>
          <w:sz w:val="21"/>
          <w:szCs w:val="21"/>
        </w:rPr>
        <w:t>成立大数据研发中心、互联网研发中心、通研部，增加研发投入，</w:t>
      </w:r>
      <w:r>
        <w:rPr>
          <w:rFonts w:ascii="宋体" w:hAnsi="宋体" w:cs="宋体" w:eastAsia="宋体" w:hint="default"/>
          <w:color w:val="0D0D0D"/>
          <w:spacing w:val="-2"/>
          <w:sz w:val="21"/>
          <w:szCs w:val="21"/>
        </w:rPr>
        <w:t>聚焦核心技术，加强对云</w:t>
      </w:r>
      <w:r>
        <w:rPr>
          <w:rFonts w:ascii="宋体" w:hAnsi="宋体" w:cs="宋体" w:eastAsia="宋体" w:hint="default"/>
          <w:spacing w:val="-2"/>
          <w:sz w:val="21"/>
          <w:szCs w:val="21"/>
        </w:rPr>
      </w:r>
    </w:p>
    <w:p>
      <w:pPr>
        <w:pStyle w:val="BodyText"/>
        <w:spacing w:line="240" w:lineRule="auto" w:before="34"/>
        <w:ind w:left="138" w:right="0"/>
        <w:jc w:val="both"/>
      </w:pPr>
      <w:r>
        <w:rPr>
          <w:color w:val="0D0D0D"/>
        </w:rPr>
        <w:t>计算、大数据等技术的研究，充分利用技术优势，实现新技术与公司业务的深度融合，持续完善</w:t>
      </w:r>
      <w:r>
        <w:rPr/>
      </w:r>
    </w:p>
    <w:p>
      <w:pPr>
        <w:spacing w:after="0" w:line="240" w:lineRule="auto"/>
        <w:jc w:val="both"/>
        <w:sectPr>
          <w:pgSz w:w="11910" w:h="16840"/>
          <w:pgMar w:header="855" w:footer="979" w:top="1140" w:bottom="1160" w:left="1660" w:right="1140"/>
        </w:sectPr>
      </w:pPr>
    </w:p>
    <w:p>
      <w:pPr>
        <w:spacing w:line="240" w:lineRule="auto" w:before="4"/>
        <w:rPr>
          <w:rFonts w:ascii="宋体" w:hAnsi="宋体" w:cs="宋体" w:eastAsia="宋体" w:hint="default"/>
          <w:sz w:val="29"/>
          <w:szCs w:val="29"/>
        </w:rPr>
      </w:pPr>
    </w:p>
    <w:p>
      <w:pPr>
        <w:pStyle w:val="BodyText"/>
        <w:spacing w:line="314" w:lineRule="auto" w:before="36"/>
        <w:ind w:left="138" w:right="208"/>
        <w:jc w:val="both"/>
      </w:pPr>
      <w:r>
        <w:rPr>
          <w:color w:val="0D0D0D"/>
          <w:spacing w:val="-1"/>
        </w:rPr>
        <w:t>公司业务产品，支撑公司面向个人、企业、政府用户提供定制化、全方位化的功能及服务；以技</w:t>
      </w:r>
      <w:r>
        <w:rPr>
          <w:color w:val="0D0D0D"/>
          <w:spacing w:val="-55"/>
        </w:rPr>
        <w:t> </w:t>
      </w:r>
      <w:r>
        <w:rPr>
          <w:color w:val="0D0D0D"/>
          <w:spacing w:val="-55"/>
        </w:rPr>
      </w:r>
      <w:r>
        <w:rPr>
          <w:color w:val="0D0D0D"/>
          <w:spacing w:val="-2"/>
        </w:rPr>
        <w:t>术的不断升级引领公司业务持续创新，打造差异化产品，提升公司核心竞争力，抢占市场先机。</w:t>
      </w:r>
      <w:r>
        <w:rPr>
          <w:spacing w:val="-2"/>
        </w:rPr>
      </w:r>
    </w:p>
    <w:p>
      <w:pPr>
        <w:spacing w:line="297" w:lineRule="auto" w:before="20"/>
        <w:ind w:left="558"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、坚持机制体制改革创新，增强企业内增动力</w:t>
      </w:r>
      <w:r>
        <w:rPr>
          <w:rFonts w:ascii="宋体" w:hAnsi="宋体" w:cs="宋体" w:eastAsia="宋体" w:hint="default"/>
          <w:b/>
          <w:bCs/>
          <w:w w:val="100"/>
          <w:sz w:val="21"/>
          <w:szCs w:val="21"/>
        </w:rPr>
        <w:t> </w:t>
      </w:r>
      <w:r>
        <w:rPr>
          <w:rFonts w:ascii="宋体" w:hAnsi="宋体" w:cs="宋体" w:eastAsia="宋体" w:hint="default"/>
          <w:color w:val="0D0D0D"/>
          <w:spacing w:val="-1"/>
          <w:sz w:val="21"/>
          <w:szCs w:val="21"/>
        </w:rPr>
        <w:t>公司坚持</w:t>
      </w:r>
      <w:r>
        <w:rPr>
          <w:rFonts w:ascii="Times New Roman" w:hAnsi="Times New Roman" w:cs="Times New Roman" w:eastAsia="Times New Roman" w:hint="default"/>
          <w:color w:val="0D0D0D"/>
          <w:spacing w:val="-1"/>
          <w:sz w:val="21"/>
          <w:szCs w:val="21"/>
        </w:rPr>
        <w:t>“</w:t>
      </w:r>
      <w:r>
        <w:rPr>
          <w:rFonts w:ascii="宋体" w:hAnsi="宋体" w:cs="宋体" w:eastAsia="宋体" w:hint="default"/>
          <w:color w:val="0D0D0D"/>
          <w:spacing w:val="-1"/>
          <w:sz w:val="21"/>
          <w:szCs w:val="21"/>
        </w:rPr>
        <w:t>以客户为中心</w:t>
      </w:r>
      <w:r>
        <w:rPr>
          <w:rFonts w:ascii="Times New Roman" w:hAnsi="Times New Roman" w:cs="Times New Roman" w:eastAsia="Times New Roman" w:hint="default"/>
          <w:color w:val="0D0D0D"/>
          <w:spacing w:val="-1"/>
          <w:sz w:val="21"/>
          <w:szCs w:val="21"/>
        </w:rPr>
        <w:t>”</w:t>
      </w:r>
      <w:r>
        <w:rPr>
          <w:rFonts w:ascii="宋体" w:hAnsi="宋体" w:cs="宋体" w:eastAsia="宋体" w:hint="default"/>
          <w:color w:val="0D0D0D"/>
          <w:spacing w:val="-1"/>
          <w:sz w:val="21"/>
          <w:szCs w:val="21"/>
        </w:rPr>
        <w:t>的核心价值观，为客户提供优质产品及服务。加强内部管理，组建</w:t>
      </w:r>
      <w:r>
        <w:rPr>
          <w:rFonts w:ascii="宋体" w:hAnsi="宋体" w:cs="宋体" w:eastAsia="宋体" w:hint="default"/>
          <w:spacing w:val="-1"/>
          <w:sz w:val="21"/>
          <w:szCs w:val="21"/>
        </w:rPr>
      </w:r>
    </w:p>
    <w:p>
      <w:pPr>
        <w:pStyle w:val="BodyText"/>
        <w:spacing w:line="309" w:lineRule="auto" w:before="13"/>
        <w:ind w:left="138" w:right="102"/>
        <w:jc w:val="left"/>
      </w:pPr>
      <w:r>
        <w:rPr>
          <w:color w:val="0D0D0D"/>
        </w:rPr>
        <w:t>管理改革和流程再造领导小组，进行制度建设、流程重造和信息化建设，简化内部流程，提高工</w:t>
      </w:r>
      <w:r>
        <w:rPr>
          <w:color w:val="0D0D0D"/>
          <w:spacing w:val="-97"/>
        </w:rPr>
        <w:t> </w:t>
      </w:r>
      <w:r>
        <w:rPr>
          <w:color w:val="0D0D0D"/>
          <w:spacing w:val="-97"/>
        </w:rPr>
      </w:r>
      <w:r>
        <w:rPr>
          <w:color w:val="0D0D0D"/>
        </w:rPr>
        <w:t>作效率；促使决策前移，总部从管控中心向支持、服务、监控中心转变</w:t>
      </w:r>
      <w:r>
        <w:rPr>
          <w:rFonts w:ascii="Times New Roman" w:hAnsi="Times New Roman" w:cs="Times New Roman" w:eastAsia="Times New Roman" w:hint="default"/>
          <w:color w:val="0D0D0D"/>
        </w:rPr>
        <w:t>,</w:t>
      </w:r>
      <w:r>
        <w:rPr>
          <w:color w:val="0D0D0D"/>
        </w:rPr>
        <w:t>后方的服务实现联勤化、</w:t>
      </w:r>
      <w:r>
        <w:rPr>
          <w:color w:val="0D0D0D"/>
          <w:spacing w:val="-37"/>
        </w:rPr>
        <w:t> </w:t>
      </w:r>
      <w:r>
        <w:rPr>
          <w:color w:val="0D0D0D"/>
          <w:spacing w:val="-37"/>
        </w:rPr>
      </w:r>
      <w:r>
        <w:rPr>
          <w:color w:val="0D0D0D"/>
        </w:rPr>
        <w:t>共享化，提高内部运营效率，更好地服务客户；区域分支机构与行业分支机构实行矩阵式管理，</w:t>
      </w:r>
      <w:r>
        <w:rPr>
          <w:color w:val="0D0D0D"/>
          <w:spacing w:val="-97"/>
        </w:rPr>
        <w:t> </w:t>
      </w:r>
      <w:r>
        <w:rPr>
          <w:color w:val="0D0D0D"/>
          <w:spacing w:val="-97"/>
        </w:rPr>
      </w:r>
      <w:r>
        <w:rPr>
          <w:color w:val="0D0D0D"/>
        </w:rPr>
        <w:t>压缩组织平面，提高业务联拓效率。</w:t>
      </w:r>
      <w:r>
        <w:rPr/>
      </w:r>
    </w:p>
    <w:p>
      <w:pPr>
        <w:spacing w:line="240" w:lineRule="auto" w:before="1"/>
        <w:rPr>
          <w:rFonts w:ascii="宋体" w:hAnsi="宋体" w:cs="宋体" w:eastAsia="宋体" w:hint="default"/>
          <w:sz w:val="26"/>
          <w:szCs w:val="26"/>
        </w:rPr>
      </w:pPr>
    </w:p>
    <w:p>
      <w:pPr>
        <w:pStyle w:val="Heading3"/>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t>可能面对的风险</w:t>
      </w:r>
      <w:r>
        <w:rPr>
          <w:b w:val="0"/>
          <w:bCs w:val="0"/>
        </w:rPr>
      </w:r>
    </w:p>
    <w:p>
      <w:pPr>
        <w:pStyle w:val="BodyText"/>
        <w:spacing w:line="240" w:lineRule="auto" w:before="97"/>
        <w:ind w:left="138" w:right="0"/>
        <w:jc w:val="both"/>
      </w:pPr>
      <w:r>
        <w:rPr/>
        <w:t>√适用  </w:t>
      </w:r>
      <w:r>
        <w:rPr>
          <w:spacing w:val="1"/>
        </w:rPr>
        <w:t> </w:t>
      </w:r>
      <w:r>
        <w:rPr/>
        <w:t>□不适用</w:t>
      </w:r>
    </w:p>
    <w:p>
      <w:pPr>
        <w:spacing w:line="297" w:lineRule="auto" w:before="92"/>
        <w:ind w:left="55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、技术快速更新的风险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随着新一代信息技术和网络应用的飞速发展，尤其是云计算、人工智能、大数据、物联网、</w:t>
      </w:r>
    </w:p>
    <w:p>
      <w:pPr>
        <w:pStyle w:val="BodyText"/>
        <w:spacing w:line="314" w:lineRule="auto" w:before="34"/>
        <w:ind w:left="138" w:right="208"/>
        <w:jc w:val="both"/>
      </w:pPr>
      <w:r>
        <w:rPr>
          <w:spacing w:val="-1"/>
        </w:rPr>
        <w:t>移动互联网等在全球范围的兴起，同时形成了复杂多变的行业环境。在此背景下，公司存在技术</w:t>
      </w:r>
      <w:r>
        <w:rPr>
          <w:spacing w:val="-55"/>
        </w:rPr>
        <w:t> </w:t>
      </w:r>
      <w:r>
        <w:rPr>
          <w:spacing w:val="-55"/>
        </w:rPr>
      </w:r>
      <w:r>
        <w:rPr/>
        <w:t>产品及市场趋势把握不当导致丧失竞争优势的风险、现有核心技术被竞争对手模仿等风险。</w:t>
      </w:r>
    </w:p>
    <w:p>
      <w:pPr>
        <w:pStyle w:val="BodyText"/>
        <w:spacing w:line="314" w:lineRule="auto" w:before="20"/>
        <w:ind w:left="138" w:right="208" w:firstLine="419"/>
        <w:jc w:val="both"/>
      </w:pPr>
      <w:r>
        <w:rPr>
          <w:spacing w:val="-2"/>
        </w:rPr>
        <w:t>为此，公司将密切注意新技术新市场的发展趋势，加大新技术的研发投入，优化研发规划，</w:t>
      </w:r>
      <w:r>
        <w:rPr>
          <w:w w:val="100"/>
        </w:rPr>
        <w:t> </w:t>
      </w:r>
      <w:r>
        <w:rPr>
          <w:spacing w:val="-1"/>
        </w:rPr>
        <w:t>聚焦主要产品，研发坚持压强原则，加强向核心产品的投入，积极抢占无人区，集中精力调集优</w:t>
      </w:r>
      <w:r>
        <w:rPr>
          <w:spacing w:val="-55"/>
        </w:rPr>
        <w:t> </w:t>
      </w:r>
      <w:r>
        <w:rPr>
          <w:spacing w:val="-55"/>
        </w:rPr>
      </w:r>
      <w:r>
        <w:rPr>
          <w:spacing w:val="-1"/>
        </w:rPr>
        <w:t>势资源，不断向核心竞争力收缩，逐步建立自身的核心技术体系，快速成熟核心技术，进入高端</w:t>
      </w:r>
      <w:r>
        <w:rPr>
          <w:spacing w:val="-55"/>
        </w:rPr>
        <w:t> </w:t>
      </w:r>
      <w:r>
        <w:rPr>
          <w:spacing w:val="-55"/>
        </w:rPr>
      </w:r>
      <w:r>
        <w:rPr>
          <w:spacing w:val="-1"/>
        </w:rPr>
        <w:t>竞争。同时，公司将积极研发行业解决方案和服务，为员工的创新创业项目提供资源保障，使研</w:t>
      </w:r>
      <w:r>
        <w:rPr>
          <w:spacing w:val="-55"/>
        </w:rPr>
        <w:t> </w:t>
      </w:r>
      <w:r>
        <w:rPr>
          <w:spacing w:val="-55"/>
        </w:rPr>
      </w:r>
      <w:r>
        <w:rPr/>
        <w:t>发资源配置符合未来技术和市场发展方向。</w:t>
      </w:r>
    </w:p>
    <w:p>
      <w:pPr>
        <w:pStyle w:val="BodyText"/>
        <w:spacing w:line="297" w:lineRule="auto" w:before="20"/>
        <w:ind w:left="558" w:right="102" w:firstLine="2"/>
        <w:jc w:val="left"/>
      </w:pPr>
      <w:r>
        <w:rPr>
          <w:rFonts w:ascii="Times New Roman" w:hAnsi="Times New Roman" w:cs="Times New Roman" w:eastAsia="Times New Roman" w:hint="default"/>
          <w:b/>
          <w:bCs/>
        </w:rPr>
        <w:t>2</w:t>
      </w:r>
      <w:r>
        <w:rPr>
          <w:rFonts w:ascii="宋体" w:hAnsi="宋体" w:cs="宋体" w:eastAsia="宋体" w:hint="default"/>
          <w:b/>
          <w:bCs/>
        </w:rPr>
        <w:t>、市场竞争的风险</w:t>
      </w:r>
      <w:r>
        <w:rPr>
          <w:rFonts w:ascii="宋体" w:hAnsi="宋体" w:cs="宋体" w:eastAsia="宋体" w:hint="default"/>
          <w:b/>
          <w:bCs/>
          <w:w w:val="100"/>
        </w:rPr>
        <w:t> </w:t>
      </w:r>
      <w:r>
        <w:rPr>
          <w:spacing w:val="-2"/>
        </w:rPr>
        <w:t>公司所属软件和信息技术服务业是一个高度开放、发展迅速的市场，竞争较为激烈。中央成</w:t>
      </w:r>
    </w:p>
    <w:p>
      <w:pPr>
        <w:pStyle w:val="BodyText"/>
        <w:spacing w:line="314" w:lineRule="auto" w:before="34"/>
        <w:ind w:left="138" w:right="208"/>
        <w:jc w:val="both"/>
      </w:pPr>
      <w:r>
        <w:rPr>
          <w:spacing w:val="-1"/>
        </w:rPr>
        <w:t>立网络安全和信息化领导小组以来，国家相关产业政策持续推出，各行业各领域信息化服务市场</w:t>
      </w:r>
      <w:r>
        <w:rPr>
          <w:spacing w:val="-55"/>
        </w:rPr>
        <w:t> </w:t>
      </w:r>
      <w:r>
        <w:rPr>
          <w:spacing w:val="-55"/>
        </w:rPr>
      </w:r>
      <w:r>
        <w:rPr>
          <w:spacing w:val="-1"/>
        </w:rPr>
        <w:t>前景日益广阔，随着客户需求的不断丰富和提高，国内外众多公司纷纷加入提供信息化服务业务</w:t>
      </w:r>
      <w:r>
        <w:rPr>
          <w:spacing w:val="-55"/>
        </w:rPr>
        <w:t> </w:t>
      </w:r>
      <w:r>
        <w:rPr>
          <w:spacing w:val="-55"/>
        </w:rPr>
      </w:r>
      <w:r>
        <w:rPr>
          <w:spacing w:val="-1"/>
        </w:rPr>
        <w:t>的行列，公司面临行业竞争日趋加剧的风险。此外，随着新一代信息技术、云计算、物联网技术</w:t>
      </w:r>
      <w:r>
        <w:rPr>
          <w:spacing w:val="-55"/>
        </w:rPr>
        <w:t> </w:t>
      </w:r>
      <w:r>
        <w:rPr>
          <w:spacing w:val="-55"/>
        </w:rPr>
      </w:r>
      <w:r>
        <w:rPr>
          <w:spacing w:val="-1"/>
        </w:rPr>
        <w:t>的快速发展，全国智慧城市建设快速推进，一大批企业进入智慧城市领域，将给公司带来技术、</w:t>
      </w:r>
      <w:r>
        <w:rPr>
          <w:spacing w:val="-55"/>
        </w:rPr>
        <w:t> </w:t>
      </w:r>
      <w:r>
        <w:rPr>
          <w:spacing w:val="-55"/>
        </w:rPr>
      </w:r>
      <w:r>
        <w:rPr>
          <w:spacing w:val="-1"/>
        </w:rPr>
        <w:t>资金、营运维护等几个层面的竞争压力。如果未来公司在技术、资金、营运维护等方面不能适应</w:t>
      </w:r>
      <w:r>
        <w:rPr>
          <w:spacing w:val="-55"/>
        </w:rPr>
        <w:t> </w:t>
      </w:r>
      <w:r>
        <w:rPr>
          <w:spacing w:val="-55"/>
        </w:rPr>
      </w:r>
      <w:r>
        <w:rPr/>
        <w:t>市场竞争的要求，将面临市场竞争力下降的风险。</w:t>
      </w:r>
    </w:p>
    <w:p>
      <w:pPr>
        <w:pStyle w:val="BodyText"/>
        <w:spacing w:line="314" w:lineRule="auto" w:before="20"/>
        <w:ind w:left="138" w:right="208" w:firstLine="419"/>
        <w:jc w:val="both"/>
      </w:pPr>
      <w:r>
        <w:rPr>
          <w:spacing w:val="-2"/>
        </w:rPr>
        <w:t>公司将在立足现有客户的基础上，加大对其他潜在客户的开发拓展。同时，公司将注重于了</w:t>
      </w:r>
      <w:r>
        <w:rPr>
          <w:w w:val="100"/>
        </w:rPr>
        <w:t> </w:t>
      </w:r>
      <w:r>
        <w:rPr>
          <w:spacing w:val="-1"/>
        </w:rPr>
        <w:t>解客户快速变化的需求，加强对所在行业指导政策、发展方向及产业发展规律的研究，注意运用</w:t>
      </w:r>
      <w:r>
        <w:rPr>
          <w:spacing w:val="-55"/>
        </w:rPr>
        <w:t> </w:t>
      </w:r>
      <w:r>
        <w:rPr>
          <w:spacing w:val="-55"/>
        </w:rPr>
      </w:r>
      <w:r>
        <w:rPr>
          <w:spacing w:val="-1"/>
        </w:rPr>
        <w:t>新一代信息技术升级自身的产品和解决方案，不断开发新产品、拓展新市场，确保公司能继续保</w:t>
      </w:r>
      <w:r>
        <w:rPr>
          <w:spacing w:val="-55"/>
        </w:rPr>
        <w:t> </w:t>
      </w:r>
      <w:r>
        <w:rPr>
          <w:spacing w:val="-55"/>
        </w:rPr>
      </w:r>
      <w:r>
        <w:rPr/>
        <w:t>持行业的竞争优势和领先地位。</w:t>
      </w:r>
    </w:p>
    <w:p>
      <w:pPr>
        <w:spacing w:line="297" w:lineRule="auto" w:before="20"/>
        <w:ind w:left="558"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、收入时间季节性波动的风险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公司客户主要为各地政府部门，项目大多采取政府采购的形式进行。受客户制订计划和政府</w:t>
      </w:r>
    </w:p>
    <w:p>
      <w:pPr>
        <w:pStyle w:val="BodyText"/>
        <w:spacing w:line="314" w:lineRule="auto" w:before="34"/>
        <w:ind w:left="138" w:right="208"/>
        <w:jc w:val="both"/>
      </w:pPr>
      <w:r>
        <w:rPr>
          <w:spacing w:val="-1"/>
        </w:rPr>
        <w:t>采购进度安排的影响，每个项目签订时间、实施内容和项目进度的不同会导致收入、利润在年内</w:t>
      </w:r>
      <w:r>
        <w:rPr>
          <w:spacing w:val="-55"/>
        </w:rPr>
        <w:t> </w:t>
      </w:r>
      <w:r>
        <w:rPr>
          <w:spacing w:val="-55"/>
        </w:rPr>
      </w:r>
      <w:r>
        <w:rPr>
          <w:spacing w:val="-6"/>
        </w:rPr>
        <w:t>分布不均衡。政府采购部门一般在上半年制定采购计划，主要在下半年安排实施，因此导致收入、</w:t>
      </w:r>
      <w:r>
        <w:rPr>
          <w:spacing w:val="-54"/>
        </w:rPr>
        <w:t> </w:t>
      </w:r>
      <w:r>
        <w:rPr>
          <w:spacing w:val="-54"/>
        </w:rPr>
      </w:r>
      <w:r>
        <w:rPr/>
        <w:t>利润较为集中于下半年，营业收入呈现出明显的季节性。</w:t>
      </w:r>
    </w:p>
    <w:p>
      <w:pPr>
        <w:pStyle w:val="BodyText"/>
        <w:spacing w:line="240" w:lineRule="auto" w:before="20"/>
        <w:ind w:left="558" w:right="102"/>
        <w:jc w:val="left"/>
      </w:pPr>
      <w:r>
        <w:rPr>
          <w:w w:val="100"/>
        </w:rPr>
        <w:t>在收</w:t>
      </w:r>
      <w:r>
        <w:rPr>
          <w:spacing w:val="-3"/>
          <w:w w:val="100"/>
        </w:rPr>
        <w:t>入</w:t>
      </w:r>
      <w:r>
        <w:rPr>
          <w:w w:val="100"/>
        </w:rPr>
        <w:t>呈</w:t>
      </w:r>
      <w:r>
        <w:rPr>
          <w:spacing w:val="-3"/>
          <w:w w:val="100"/>
        </w:rPr>
        <w:t>现</w:t>
      </w:r>
      <w:r>
        <w:rPr>
          <w:w w:val="100"/>
        </w:rPr>
        <w:t>季</w:t>
      </w:r>
      <w:r>
        <w:rPr>
          <w:spacing w:val="-3"/>
          <w:w w:val="100"/>
        </w:rPr>
        <w:t>节</w:t>
      </w:r>
      <w:r>
        <w:rPr>
          <w:w w:val="100"/>
        </w:rPr>
        <w:t>性</w:t>
      </w:r>
      <w:r>
        <w:rPr>
          <w:spacing w:val="-3"/>
          <w:w w:val="100"/>
        </w:rPr>
        <w:t>波</w:t>
      </w:r>
      <w:r>
        <w:rPr>
          <w:w w:val="100"/>
        </w:rPr>
        <w:t>动</w:t>
      </w:r>
      <w:r>
        <w:rPr>
          <w:spacing w:val="-101"/>
          <w:w w:val="100"/>
        </w:rPr>
        <w:t>、</w:t>
      </w:r>
      <w:r>
        <w:rPr>
          <w:spacing w:val="-3"/>
          <w:w w:val="100"/>
        </w:rPr>
        <w:t>而</w:t>
      </w:r>
      <w:r>
        <w:rPr>
          <w:w w:val="100"/>
        </w:rPr>
        <w:t>费用</w:t>
      </w:r>
      <w:r>
        <w:rPr>
          <w:spacing w:val="-3"/>
          <w:w w:val="100"/>
        </w:rPr>
        <w:t>在</w:t>
      </w:r>
      <w:r>
        <w:rPr>
          <w:w w:val="100"/>
        </w:rPr>
        <w:t>各</w:t>
      </w:r>
      <w:r>
        <w:rPr>
          <w:spacing w:val="-3"/>
          <w:w w:val="100"/>
        </w:rPr>
        <w:t>季</w:t>
      </w:r>
      <w:r>
        <w:rPr>
          <w:w w:val="100"/>
        </w:rPr>
        <w:t>度</w:t>
      </w:r>
      <w:r>
        <w:rPr>
          <w:spacing w:val="-3"/>
          <w:w w:val="100"/>
        </w:rPr>
        <w:t>内</w:t>
      </w:r>
      <w:r>
        <w:rPr>
          <w:w w:val="100"/>
        </w:rPr>
        <w:t>较</w:t>
      </w:r>
      <w:r>
        <w:rPr>
          <w:spacing w:val="-3"/>
          <w:w w:val="100"/>
        </w:rPr>
        <w:t>为</w:t>
      </w:r>
      <w:r>
        <w:rPr>
          <w:w w:val="100"/>
        </w:rPr>
        <w:t>均</w:t>
      </w:r>
      <w:r>
        <w:rPr>
          <w:spacing w:val="-3"/>
          <w:w w:val="100"/>
        </w:rPr>
        <w:t>衡</w:t>
      </w:r>
      <w:r>
        <w:rPr>
          <w:w w:val="100"/>
        </w:rPr>
        <w:t>发生</w:t>
      </w:r>
      <w:r>
        <w:rPr>
          <w:spacing w:val="-3"/>
          <w:w w:val="100"/>
        </w:rPr>
        <w:t>的</w:t>
      </w:r>
      <w:r>
        <w:rPr>
          <w:w w:val="100"/>
        </w:rPr>
        <w:t>情</w:t>
      </w:r>
      <w:r>
        <w:rPr>
          <w:spacing w:val="-3"/>
          <w:w w:val="100"/>
        </w:rPr>
        <w:t>况</w:t>
      </w:r>
      <w:r>
        <w:rPr>
          <w:w w:val="100"/>
        </w:rPr>
        <w:t>下</w:t>
      </w:r>
      <w:r>
        <w:rPr>
          <w:spacing w:val="-101"/>
          <w:w w:val="100"/>
        </w:rPr>
        <w:t>，</w:t>
      </w:r>
      <w:r>
        <w:rPr>
          <w:w w:val="100"/>
        </w:rPr>
        <w:t>可</w:t>
      </w:r>
      <w:r>
        <w:rPr>
          <w:spacing w:val="-3"/>
          <w:w w:val="100"/>
        </w:rPr>
        <w:t>能</w:t>
      </w:r>
      <w:r>
        <w:rPr>
          <w:w w:val="100"/>
        </w:rPr>
        <w:t>会</w:t>
      </w:r>
      <w:r>
        <w:rPr>
          <w:spacing w:val="-3"/>
          <w:w w:val="100"/>
        </w:rPr>
        <w:t>造成</w:t>
      </w:r>
      <w:r>
        <w:rPr>
          <w:w w:val="100"/>
        </w:rPr>
        <w:t>公司</w:t>
      </w:r>
      <w:r>
        <w:rPr>
          <w:spacing w:val="-3"/>
          <w:w w:val="100"/>
        </w:rPr>
        <w:t>一</w:t>
      </w:r>
      <w:r>
        <w:rPr>
          <w:w w:val="100"/>
        </w:rPr>
        <w:t>季</w:t>
      </w:r>
      <w:r>
        <w:rPr>
          <w:spacing w:val="-3"/>
          <w:w w:val="100"/>
        </w:rPr>
        <w:t>度</w:t>
      </w:r>
      <w:r>
        <w:rPr>
          <w:w w:val="100"/>
        </w:rPr>
        <w:t>、</w:t>
      </w:r>
    </w:p>
    <w:p>
      <w:pPr>
        <w:spacing w:after="0" w:line="240" w:lineRule="auto"/>
        <w:jc w:val="left"/>
        <w:sectPr>
          <w:pgSz w:w="11910" w:h="16840"/>
          <w:pgMar w:header="855" w:footer="979" w:top="1140" w:bottom="1160" w:left="1660" w:right="1060"/>
        </w:sectPr>
      </w:pPr>
    </w:p>
    <w:p>
      <w:pPr>
        <w:spacing w:line="240" w:lineRule="auto" w:before="4"/>
        <w:rPr>
          <w:rFonts w:ascii="宋体" w:hAnsi="宋体" w:cs="宋体" w:eastAsia="宋体" w:hint="default"/>
          <w:sz w:val="29"/>
          <w:szCs w:val="29"/>
        </w:rPr>
      </w:pPr>
    </w:p>
    <w:p>
      <w:pPr>
        <w:pStyle w:val="BodyText"/>
        <w:spacing w:line="304" w:lineRule="auto" w:before="36"/>
        <w:ind w:left="558" w:right="130" w:hanging="420"/>
        <w:jc w:val="left"/>
      </w:pPr>
      <w:r>
        <w:rPr/>
        <w:t>半年度和前三季度出现季节性亏损或盈利较低的情形，公司经营业绩存在季节性波动风险。</w:t>
      </w:r>
      <w:r>
        <w:rPr>
          <w:w w:val="100"/>
        </w:rPr>
        <w:t> </w:t>
      </w:r>
      <w:r>
        <w:rPr>
          <w:rFonts w:ascii="Times New Roman" w:hAnsi="Times New Roman" w:cs="Times New Roman" w:eastAsia="Times New Roman" w:hint="default"/>
          <w:b/>
          <w:bCs/>
        </w:rPr>
        <w:t>4</w:t>
      </w:r>
      <w:r>
        <w:rPr>
          <w:rFonts w:ascii="宋体" w:hAnsi="宋体" w:cs="宋体" w:eastAsia="宋体" w:hint="default"/>
          <w:b/>
          <w:bCs/>
        </w:rPr>
        <w:t>、业务规模迅速扩大导致的管理风险</w:t>
      </w:r>
      <w:r>
        <w:rPr>
          <w:rFonts w:ascii="宋体" w:hAnsi="宋体" w:cs="宋体" w:eastAsia="宋体" w:hint="default"/>
          <w:b/>
          <w:bCs/>
          <w:w w:val="100"/>
        </w:rPr>
        <w:t> </w:t>
      </w:r>
      <w:r>
        <w:rPr>
          <w:spacing w:val="-2"/>
        </w:rPr>
        <w:t>公司自成立以来一直以较快的速度发展，经营规模和业务范围不断扩大，公司的组织结构和</w:t>
      </w:r>
    </w:p>
    <w:p>
      <w:pPr>
        <w:pStyle w:val="BodyText"/>
        <w:spacing w:line="314" w:lineRule="auto" w:before="28"/>
        <w:ind w:left="138" w:right="128"/>
        <w:jc w:val="both"/>
      </w:pPr>
      <w:r>
        <w:rPr>
          <w:spacing w:val="-1"/>
        </w:rPr>
        <w:t>管理体系相应调整以适应经营管理和发展需求。本次配股完成后，随着募集资金的到位和投资项</w:t>
      </w:r>
      <w:r>
        <w:rPr>
          <w:spacing w:val="-55"/>
        </w:rPr>
        <w:t> </w:t>
      </w:r>
      <w:r>
        <w:rPr>
          <w:spacing w:val="-55"/>
        </w:rPr>
      </w:r>
      <w:r>
        <w:rPr>
          <w:spacing w:val="-1"/>
        </w:rPr>
        <w:t>目的实施，公司总体经营规模将进一步扩大，这对公司已有的战略规划、制度建设、组织设置、</w:t>
      </w:r>
      <w:r>
        <w:rPr>
          <w:spacing w:val="-56"/>
        </w:rPr>
        <w:t> </w:t>
      </w:r>
      <w:r>
        <w:rPr>
          <w:spacing w:val="-56"/>
        </w:rPr>
      </w:r>
      <w:r>
        <w:rPr>
          <w:spacing w:val="-6"/>
        </w:rPr>
        <w:t>营运管理、财务管理、内部控制等方面带来较大的挑战。因此，公司需要及时完善现有管理体系、</w:t>
      </w:r>
      <w:r>
        <w:rPr>
          <w:spacing w:val="-54"/>
        </w:rPr>
        <w:t> </w:t>
      </w:r>
      <w:r>
        <w:rPr>
          <w:spacing w:val="-54"/>
        </w:rPr>
      </w:r>
      <w:r>
        <w:rPr>
          <w:spacing w:val="-1"/>
        </w:rPr>
        <w:t>建立更加规范的内控制度、提高管理能力以适应公司规模发展的需求。如果公司管理层不能适时</w:t>
      </w:r>
      <w:r>
        <w:rPr>
          <w:spacing w:val="-55"/>
        </w:rPr>
        <w:t> </w:t>
      </w:r>
      <w:r>
        <w:rPr>
          <w:spacing w:val="-55"/>
        </w:rPr>
      </w:r>
      <w:r>
        <w:rPr>
          <w:spacing w:val="-1"/>
        </w:rPr>
        <w:t>调整公司管理体制、或未能更好把握调整时机、或发生相应职位管理人员的选任失误，都将可能</w:t>
      </w:r>
      <w:r>
        <w:rPr>
          <w:spacing w:val="-55"/>
        </w:rPr>
        <w:t> </w:t>
      </w:r>
      <w:r>
        <w:rPr>
          <w:spacing w:val="-55"/>
        </w:rPr>
      </w:r>
      <w:r>
        <w:rPr>
          <w:spacing w:val="-1"/>
        </w:rPr>
        <w:t>阻碍公司业务的正常推进或错失发展机遇。未来公司可能存在组织模式和管理制度不完善等引致</w:t>
      </w:r>
      <w:r>
        <w:rPr>
          <w:spacing w:val="-55"/>
        </w:rPr>
        <w:t> </w:t>
      </w:r>
      <w:r>
        <w:rPr>
          <w:spacing w:val="-55"/>
        </w:rPr>
      </w:r>
      <w:r>
        <w:rPr/>
        <w:t>的风险。</w:t>
      </w:r>
    </w:p>
    <w:p>
      <w:pPr>
        <w:spacing w:line="297" w:lineRule="auto" w:before="20"/>
        <w:ind w:left="558" w:right="1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、高端核心人员储备不足的风险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公司的发展前景和人才的施展空间吸引了大量的人才加盟，但随着公司业务规模的迅速扩大</w:t>
      </w:r>
    </w:p>
    <w:p>
      <w:pPr>
        <w:pStyle w:val="BodyText"/>
        <w:spacing w:line="314" w:lineRule="auto" w:before="34"/>
        <w:ind w:left="138" w:right="128"/>
        <w:jc w:val="both"/>
      </w:pPr>
      <w:r>
        <w:rPr>
          <w:spacing w:val="-1"/>
        </w:rPr>
        <w:t>和募集资金投资项目的建设，公司对高端核心人才的需求将进一步增大，如果公司未来不能有效</w:t>
      </w:r>
      <w:r>
        <w:rPr>
          <w:spacing w:val="-55"/>
        </w:rPr>
        <w:t> </w:t>
      </w:r>
      <w:r>
        <w:rPr>
          <w:spacing w:val="-55"/>
        </w:rPr>
      </w:r>
      <w:r>
        <w:rPr>
          <w:spacing w:val="-2"/>
        </w:rPr>
        <w:t>地配置人力资源，培养和引进高端核心人才，则可能对公司业务经营与未来发展产生不利影响。</w:t>
      </w:r>
    </w:p>
    <w:p>
      <w:pPr>
        <w:spacing w:line="240" w:lineRule="auto" w:before="10"/>
        <w:rPr>
          <w:rFonts w:ascii="宋体" w:hAnsi="宋体" w:cs="宋体" w:eastAsia="宋体" w:hint="default"/>
          <w:sz w:val="25"/>
          <w:szCs w:val="25"/>
        </w:rPr>
      </w:pPr>
    </w:p>
    <w:p>
      <w:pPr>
        <w:pStyle w:val="Heading3"/>
        <w:spacing w:line="240" w:lineRule="auto"/>
        <w:ind w:left="138" w:right="130"/>
        <w:jc w:val="left"/>
        <w:rPr>
          <w:b w:val="0"/>
          <w:bCs w:val="0"/>
        </w:rPr>
      </w:pPr>
      <w:r>
        <w:rPr>
          <w:rFonts w:ascii="宋体" w:hAnsi="宋体" w:cs="宋体" w:eastAsia="宋体" w:hint="default"/>
        </w:rPr>
        <w:t>(</w:t>
      </w:r>
      <w:r>
        <w:rPr/>
        <w:t>五</w:t>
      </w:r>
      <w:r>
        <w:rPr>
          <w:rFonts w:ascii="宋体" w:hAnsi="宋体" w:cs="宋体" w:eastAsia="宋体" w:hint="default"/>
        </w:rPr>
        <w:t>)</w:t>
      </w:r>
      <w:r>
        <w:rPr/>
        <w:t>其他</w:t>
      </w:r>
      <w:r>
        <w:rPr>
          <w:b w:val="0"/>
          <w:bCs w:val="0"/>
        </w:rPr>
      </w:r>
    </w:p>
    <w:p>
      <w:pPr>
        <w:pStyle w:val="BodyText"/>
        <w:tabs>
          <w:tab w:pos="1083" w:val="left" w:leader="none"/>
        </w:tabs>
        <w:spacing w:line="240" w:lineRule="auto" w:before="97"/>
        <w:ind w:left="138" w:right="130"/>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8"/>
        <w:ind w:left="138" w:right="0"/>
        <w:jc w:val="left"/>
        <w:rPr>
          <w:b w:val="0"/>
          <w:bCs w:val="0"/>
        </w:rPr>
      </w:pPr>
      <w:r>
        <w:rPr/>
        <w:t>四、公司因不适用准则规定或国家秘密、商业秘密等特殊原因，未按准则披露的情况和原因说明</w:t>
      </w:r>
      <w:r>
        <w:rPr>
          <w:b w:val="0"/>
          <w:bCs w:val="0"/>
        </w:rPr>
      </w:r>
    </w:p>
    <w:p>
      <w:pPr>
        <w:pStyle w:val="BodyText"/>
        <w:tabs>
          <w:tab w:pos="1083" w:val="left" w:leader="none"/>
        </w:tabs>
        <w:spacing w:line="240" w:lineRule="auto" w:before="97"/>
        <w:ind w:left="138" w:right="130"/>
        <w:jc w:val="left"/>
      </w:pPr>
      <w:r>
        <w:rPr/>
        <w:t>□适用</w:t>
        <w:tab/>
      </w:r>
      <w:r>
        <w:rPr>
          <w:rFonts w:ascii="Calibri" w:hAnsi="Calibri" w:cs="Calibri" w:eastAsia="Calibri" w:hint="default"/>
        </w:rPr>
        <w:t>√</w:t>
      </w:r>
      <w:r>
        <w:rPr/>
        <w:t>不适用</w:t>
      </w:r>
    </w:p>
    <w:p>
      <w:pPr>
        <w:spacing w:after="0" w:line="240" w:lineRule="auto"/>
        <w:jc w:val="left"/>
        <w:sectPr>
          <w:pgSz w:w="11910" w:h="16840"/>
          <w:pgMar w:header="855" w:footer="979" w:top="1140" w:bottom="116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204" w:right="122"/>
        <w:jc w:val="center"/>
        <w:rPr>
          <w:b w:val="0"/>
          <w:bCs w:val="0"/>
        </w:rPr>
      </w:pPr>
      <w:bookmarkStart w:name="_TOC_250007" w:id="5"/>
      <w:r>
        <w:rPr/>
        <w:t>第五节重要事项</w:t>
      </w:r>
      <w:bookmarkEnd w:id="5"/>
      <w:r>
        <w:rPr>
          <w:b w:val="0"/>
          <w:bCs w:val="0"/>
        </w:rPr>
      </w:r>
    </w:p>
    <w:p>
      <w:pPr>
        <w:pStyle w:val="Heading3"/>
        <w:spacing w:line="240" w:lineRule="auto" w:before="219"/>
        <w:ind w:right="102"/>
        <w:jc w:val="left"/>
        <w:rPr>
          <w:b w:val="0"/>
          <w:bCs w:val="0"/>
        </w:rPr>
      </w:pPr>
      <w:r>
        <w:rPr/>
        <w:t>一、普通股利润分配或资本公积金转增预案</w:t>
      </w:r>
      <w:r>
        <w:rPr>
          <w:b w:val="0"/>
          <w:bCs w:val="0"/>
        </w:rPr>
      </w:r>
    </w:p>
    <w:p>
      <w:pPr>
        <w:pStyle w:val="Heading3"/>
        <w:spacing w:line="240" w:lineRule="auto" w:before="97"/>
        <w:ind w:right="10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163" w:val="left" w:leader="none"/>
        </w:tabs>
        <w:spacing w:line="304" w:lineRule="auto" w:before="70"/>
        <w:ind w:left="638" w:right="130" w:hanging="420"/>
        <w:jc w:val="left"/>
      </w:pPr>
      <w:r>
        <w:rPr/>
        <w:t>√适用</w:t>
        <w:tab/>
      </w:r>
      <w:r>
        <w:rPr>
          <w:rFonts w:ascii="Arial" w:hAnsi="Arial" w:cs="Arial" w:eastAsia="Arial" w:hint="default"/>
        </w:rPr>
        <w:t>□</w:t>
      </w:r>
      <w:r>
        <w:rPr>
          <w:rFonts w:ascii="Arial" w:hAnsi="Arial" w:cs="Arial" w:eastAsia="Arial" w:hint="default"/>
          <w:spacing w:val="26"/>
        </w:rPr>
        <w:t> </w:t>
      </w:r>
      <w:r>
        <w:rPr/>
        <w:t>不适用</w:t>
      </w:r>
      <w:r>
        <w:rPr>
          <w:w w:val="100"/>
        </w:rPr>
        <w:t> </w:t>
      </w:r>
      <w:r>
        <w:rPr>
          <w:spacing w:val="-2"/>
        </w:rPr>
        <w:t>报告期内，公司严格按照中国证券监督管理委员会《关于进一步落实上市公司现金分红有关</w:t>
      </w:r>
    </w:p>
    <w:p>
      <w:pPr>
        <w:pStyle w:val="BodyText"/>
        <w:spacing w:line="304" w:lineRule="auto" w:before="28"/>
        <w:ind w:left="0" w:right="128"/>
        <w:jc w:val="right"/>
      </w:pPr>
      <w:r>
        <w:rPr>
          <w:spacing w:val="-14"/>
          <w:w w:val="100"/>
        </w:rPr>
        <w:t>事项的通知》、《上市公司监管指引第</w:t>
      </w:r>
      <w:r>
        <w:rPr>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5"/>
          <w:w w:val="100"/>
        </w:rPr>
        <w:t> </w:t>
      </w:r>
      <w:r>
        <w:rPr>
          <w:spacing w:val="-10"/>
          <w:w w:val="100"/>
        </w:rPr>
        <w:t>号</w:t>
      </w:r>
      <w:r>
        <w:rPr>
          <w:rFonts w:ascii="Times New Roman" w:hAnsi="Times New Roman" w:cs="Times New Roman" w:eastAsia="Times New Roman" w:hint="default"/>
          <w:spacing w:val="-10"/>
          <w:w w:val="100"/>
        </w:rPr>
        <w:t>—</w:t>
      </w:r>
      <w:r>
        <w:rPr>
          <w:spacing w:val="-10"/>
          <w:w w:val="100"/>
        </w:rPr>
        <w:t>上市公司现金分红》、《上海证券交易所上市公司现金</w:t>
      </w:r>
      <w:r>
        <w:rPr>
          <w:w w:val="100"/>
        </w:rPr>
        <w:t> </w:t>
      </w:r>
      <w:r>
        <w:rPr>
          <w:spacing w:val="-11"/>
          <w:w w:val="100"/>
        </w:rPr>
        <w:t>分红指引》及《公司章程》的规定和《未来三年分红回报规划》，制定、实施现金分红及利润分配。</w:t>
      </w:r>
      <w:r>
        <w:rPr>
          <w:w w:val="100"/>
        </w:rPr>
        <w:t> </w:t>
      </w:r>
      <w:r>
        <w:rPr/>
        <w:t>公司于</w:t>
      </w:r>
      <w:r>
        <w:rPr>
          <w:spacing w:val="-53"/>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3 </w:t>
      </w:r>
      <w:r>
        <w:rPr/>
        <w:t>月</w:t>
      </w:r>
      <w:r>
        <w:rPr>
          <w:spacing w:val="-52"/>
        </w:rPr>
        <w:t> </w:t>
      </w:r>
      <w:r>
        <w:rPr>
          <w:rFonts w:ascii="Times New Roman" w:hAnsi="Times New Roman" w:cs="Times New Roman" w:eastAsia="Times New Roman" w:hint="default"/>
        </w:rPr>
        <w:t>22 </w:t>
      </w:r>
      <w:r>
        <w:rPr/>
        <w:t>日召开</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年年度股东大会，审议通过《关于公司</w:t>
      </w:r>
      <w:r>
        <w:rPr>
          <w:spacing w:val="-52"/>
        </w:rPr>
        <w:t> </w:t>
      </w:r>
      <w:r>
        <w:rPr>
          <w:rFonts w:ascii="Times New Roman" w:hAnsi="Times New Roman" w:cs="Times New Roman" w:eastAsia="Times New Roman" w:hint="default"/>
        </w:rPr>
        <w:t>2016 </w:t>
      </w:r>
      <w:r>
        <w:rPr/>
        <w:t>年度利润分</w:t>
      </w:r>
    </w:p>
    <w:p>
      <w:pPr>
        <w:pStyle w:val="BodyText"/>
        <w:spacing w:line="240" w:lineRule="auto" w:before="7"/>
        <w:ind w:right="102"/>
        <w:jc w:val="left"/>
      </w:pPr>
      <w:r>
        <w:rPr>
          <w:w w:val="100"/>
        </w:rPr>
        <w:t>配及</w:t>
      </w:r>
      <w:r>
        <w:rPr>
          <w:spacing w:val="-3"/>
          <w:w w:val="100"/>
        </w:rPr>
        <w:t>资</w:t>
      </w:r>
      <w:r>
        <w:rPr>
          <w:w w:val="100"/>
        </w:rPr>
        <w:t>本</w:t>
      </w:r>
      <w:r>
        <w:rPr>
          <w:spacing w:val="-3"/>
          <w:w w:val="100"/>
        </w:rPr>
        <w:t>公</w:t>
      </w:r>
      <w:r>
        <w:rPr>
          <w:w w:val="100"/>
        </w:rPr>
        <w:t>积</w:t>
      </w:r>
      <w:r>
        <w:rPr>
          <w:spacing w:val="-3"/>
          <w:w w:val="100"/>
        </w:rPr>
        <w:t>转</w:t>
      </w:r>
      <w:r>
        <w:rPr>
          <w:w w:val="100"/>
        </w:rPr>
        <w:t>增</w:t>
      </w:r>
      <w:r>
        <w:rPr>
          <w:spacing w:val="-3"/>
          <w:w w:val="100"/>
        </w:rPr>
        <w:t>股</w:t>
      </w:r>
      <w:r>
        <w:rPr>
          <w:w w:val="100"/>
        </w:rPr>
        <w:t>本</w:t>
      </w:r>
      <w:r>
        <w:rPr>
          <w:spacing w:val="-3"/>
          <w:w w:val="100"/>
        </w:rPr>
        <w:t>预</w:t>
      </w:r>
      <w:r>
        <w:rPr>
          <w:w w:val="100"/>
        </w:rPr>
        <w:t>案</w:t>
      </w:r>
      <w:r>
        <w:rPr>
          <w:spacing w:val="-106"/>
          <w:w w:val="100"/>
        </w:rPr>
        <w:t>》</w:t>
      </w:r>
      <w:r>
        <w:rPr>
          <w:spacing w:val="-48"/>
          <w:w w:val="100"/>
        </w:rPr>
        <w:t>，</w:t>
      </w:r>
      <w:r>
        <w:rPr>
          <w:w w:val="100"/>
        </w:rPr>
        <w:t>以</w:t>
      </w:r>
      <w:r>
        <w:rPr>
          <w:spacing w:val="-3"/>
          <w:w w:val="100"/>
        </w:rPr>
        <w:t>公</w:t>
      </w:r>
      <w:r>
        <w:rPr>
          <w:w w:val="100"/>
        </w:rPr>
        <w:t>司</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年</w:t>
      </w:r>
      <w:r>
        <w:rPr>
          <w:spacing w:val="-3"/>
          <w:w w:val="100"/>
        </w:rPr>
        <w:t>度经</w:t>
      </w:r>
      <w:r>
        <w:rPr>
          <w:w w:val="100"/>
        </w:rPr>
        <w:t>审计</w:t>
      </w:r>
      <w:r>
        <w:rPr>
          <w:spacing w:val="-3"/>
          <w:w w:val="100"/>
        </w:rPr>
        <w:t>的</w:t>
      </w:r>
      <w:r>
        <w:rPr>
          <w:w w:val="100"/>
        </w:rPr>
        <w:t>总</w:t>
      </w:r>
      <w:r>
        <w:rPr>
          <w:spacing w:val="-3"/>
          <w:w w:val="100"/>
        </w:rPr>
        <w:t>股</w:t>
      </w:r>
      <w:r>
        <w:rPr>
          <w:w w:val="100"/>
        </w:rPr>
        <w:t>本</w:t>
      </w:r>
      <w:r>
        <w:rPr>
          <w:spacing w:val="-3"/>
          <w:w w:val="100"/>
        </w:rPr>
        <w:t>为</w:t>
      </w:r>
      <w:r>
        <w:rPr>
          <w:w w:val="100"/>
        </w:rPr>
        <w:t>基</w:t>
      </w:r>
      <w:r>
        <w:rPr>
          <w:spacing w:val="-3"/>
          <w:w w:val="100"/>
        </w:rPr>
        <w:t>数</w:t>
      </w:r>
      <w:r>
        <w:rPr>
          <w:spacing w:val="-48"/>
          <w:w w:val="100"/>
        </w:rPr>
        <w:t>，</w:t>
      </w:r>
      <w:r>
        <w:rPr>
          <w:spacing w:val="-3"/>
          <w:w w:val="100"/>
        </w:rPr>
        <w:t>向</w:t>
      </w:r>
      <w:r>
        <w:rPr>
          <w:w w:val="100"/>
        </w:rPr>
        <w:t>全体</w:t>
      </w:r>
      <w:r>
        <w:rPr>
          <w:spacing w:val="-3"/>
          <w:w w:val="100"/>
        </w:rPr>
        <w:t>股东</w:t>
      </w:r>
      <w:r>
        <w:rPr>
          <w:w w:val="100"/>
        </w:rPr>
        <w:t>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派</w:t>
      </w:r>
      <w:r>
        <w:rPr>
          <w:w w:val="100"/>
        </w:rPr>
        <w:t>送</w:t>
      </w:r>
    </w:p>
    <w:p>
      <w:pPr>
        <w:pStyle w:val="BodyText"/>
        <w:spacing w:line="240" w:lineRule="auto" w:before="69"/>
        <w:ind w:right="102"/>
        <w:jc w:val="left"/>
      </w:pPr>
      <w:r>
        <w:rPr>
          <w:w w:val="100"/>
        </w:rPr>
        <w:t>现金</w:t>
      </w:r>
      <w:r>
        <w:rPr>
          <w:spacing w:val="-3"/>
          <w:w w:val="100"/>
        </w:rPr>
        <w:t>股</w:t>
      </w:r>
      <w:r>
        <w:rPr>
          <w:w w:val="100"/>
        </w:rPr>
        <w:t>利</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4"/>
          <w:w w:val="100"/>
        </w:rPr>
        <w:t>元</w:t>
      </w:r>
      <w:r>
        <w:rPr>
          <w:w w:val="100"/>
        </w:rPr>
        <w:t>（</w:t>
      </w:r>
      <w:r>
        <w:rPr>
          <w:spacing w:val="-3"/>
          <w:w w:val="100"/>
        </w:rPr>
        <w:t>含</w:t>
      </w:r>
      <w:r>
        <w:rPr>
          <w:w w:val="100"/>
        </w:rPr>
        <w:t>税</w:t>
      </w:r>
      <w:r>
        <w:rPr>
          <w:spacing w:val="-106"/>
          <w:w w:val="100"/>
        </w:rPr>
        <w:t>）</w:t>
      </w:r>
      <w:r>
        <w:rPr>
          <w:spacing w:val="-34"/>
          <w:w w:val="100"/>
        </w:rPr>
        <w:t>，</w:t>
      </w:r>
      <w:r>
        <w:rPr>
          <w:w w:val="100"/>
        </w:rPr>
        <w:t>同</w:t>
      </w:r>
      <w:r>
        <w:rPr>
          <w:spacing w:val="-3"/>
          <w:w w:val="100"/>
        </w:rPr>
        <w:t>时</w:t>
      </w:r>
      <w:r>
        <w:rPr>
          <w:w w:val="100"/>
        </w:rPr>
        <w:t>以</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spacing w:val="-3"/>
          <w:w w:val="100"/>
        </w:rPr>
        <w:t>日</w:t>
      </w:r>
      <w:r>
        <w:rPr>
          <w:w w:val="100"/>
        </w:rPr>
        <w:t>总</w:t>
      </w:r>
      <w:r>
        <w:rPr>
          <w:spacing w:val="-3"/>
          <w:w w:val="100"/>
        </w:rPr>
        <w:t>股</w:t>
      </w:r>
      <w:r>
        <w:rPr>
          <w:w w:val="100"/>
        </w:rPr>
        <w:t>本</w:t>
      </w:r>
      <w:r>
        <w:rPr>
          <w:spacing w:val="-52"/>
        </w:rPr>
        <w:t> </w:t>
      </w:r>
      <w:r>
        <w:rPr>
          <w:rFonts w:ascii="Times New Roman" w:hAnsi="Times New Roman" w:cs="Times New Roman" w:eastAsia="Times New Roman" w:hint="default"/>
          <w:w w:val="100"/>
        </w:rPr>
        <w:t>101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70</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880.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为</w:t>
      </w:r>
      <w:r>
        <w:rPr>
          <w:w w:val="100"/>
        </w:rPr>
        <w:t>基数</w:t>
      </w:r>
      <w:r>
        <w:rPr>
          <w:spacing w:val="-34"/>
          <w:w w:val="100"/>
        </w:rPr>
        <w:t>，</w:t>
      </w:r>
      <w:r>
        <w:rPr>
          <w:w w:val="100"/>
        </w:rPr>
        <w:t>向</w:t>
      </w:r>
      <w:r>
        <w:rPr>
          <w:spacing w:val="-3"/>
          <w:w w:val="100"/>
        </w:rPr>
        <w:t>全</w:t>
      </w:r>
      <w:r>
        <w:rPr>
          <w:w w:val="100"/>
        </w:rPr>
        <w:t>体</w:t>
      </w:r>
      <w:r>
        <w:rPr>
          <w:spacing w:val="-3"/>
          <w:w w:val="100"/>
        </w:rPr>
        <w:t>股</w:t>
      </w:r>
      <w:r>
        <w:rPr>
          <w:w w:val="100"/>
        </w:rPr>
        <w:t>东以</w:t>
      </w:r>
    </w:p>
    <w:p>
      <w:pPr>
        <w:pStyle w:val="BodyText"/>
        <w:spacing w:line="240" w:lineRule="auto" w:before="69"/>
        <w:ind w:right="102"/>
        <w:jc w:val="left"/>
      </w:pPr>
      <w:r>
        <w:rPr/>
        <w:t>资本公积金每</w:t>
      </w:r>
      <w:r>
        <w:rPr>
          <w:spacing w:val="-53"/>
        </w:rPr>
        <w:t> </w:t>
      </w:r>
      <w:r>
        <w:rPr>
          <w:rFonts w:ascii="Times New Roman" w:hAnsi="Times New Roman" w:cs="Times New Roman" w:eastAsia="Times New Roman" w:hint="default"/>
        </w:rPr>
        <w:t>10 </w:t>
      </w:r>
      <w:r>
        <w:rPr/>
        <w:t>股转增</w:t>
      </w:r>
      <w:r>
        <w:rPr>
          <w:spacing w:val="-55"/>
        </w:rPr>
        <w:t> </w:t>
      </w:r>
      <w:r>
        <w:rPr>
          <w:rFonts w:ascii="Times New Roman" w:hAnsi="Times New Roman" w:cs="Times New Roman" w:eastAsia="Times New Roman" w:hint="default"/>
        </w:rPr>
        <w:t>30 </w:t>
      </w:r>
      <w:r>
        <w:rPr/>
        <w:t>股。</w:t>
      </w:r>
    </w:p>
    <w:p>
      <w:pPr>
        <w:pStyle w:val="BodyText"/>
        <w:spacing w:line="297" w:lineRule="auto" w:before="69"/>
        <w:ind w:right="125" w:firstLine="419"/>
        <w:jc w:val="left"/>
      </w:pPr>
      <w:r>
        <w:rPr/>
        <w:t>公司</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年度利润分配方案于</w:t>
      </w:r>
      <w:r>
        <w:rPr>
          <w:spacing w:val="-52"/>
        </w:rPr>
        <w:t> </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7 </w:t>
      </w:r>
      <w:r>
        <w:rPr/>
        <w:t>日实施完毕。公司严格执行了《公司章程》制</w:t>
      </w:r>
      <w:r>
        <w:rPr>
          <w:w w:val="100"/>
        </w:rPr>
        <w:t> </w:t>
      </w:r>
      <w:r>
        <w:rPr/>
        <w:t>定的利润分配政策。</w:t>
      </w:r>
    </w:p>
    <w:p>
      <w:pPr>
        <w:spacing w:line="240" w:lineRule="auto" w:before="11"/>
        <w:rPr>
          <w:rFonts w:ascii="宋体" w:hAnsi="宋体" w:cs="宋体" w:eastAsia="宋体" w:hint="default"/>
          <w:sz w:val="26"/>
          <w:szCs w:val="26"/>
        </w:rPr>
      </w:pPr>
    </w:p>
    <w:p>
      <w:pPr>
        <w:pStyle w:val="Heading3"/>
        <w:spacing w:line="240" w:lineRule="auto"/>
        <w:ind w:right="10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70"/>
        <w:ind w:left="0" w:right="130"/>
        <w:jc w:val="right"/>
      </w:pPr>
      <w:r>
        <w:rPr>
          <w:spacing w:val="-2"/>
        </w:rPr>
        <w:t>单位：元币种：人民币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89"/>
        <w:gridCol w:w="1099"/>
        <w:gridCol w:w="1040"/>
        <w:gridCol w:w="1102"/>
        <w:gridCol w:w="1671"/>
        <w:gridCol w:w="1671"/>
        <w:gridCol w:w="1342"/>
      </w:tblGrid>
      <w:tr>
        <w:trPr>
          <w:trHeight w:val="188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78" w:right="276"/>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7" w:lineRule="auto"/>
              <w:ind w:left="122" w:right="12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0" w:lineRule="auto" w:before="31"/>
              <w:ind w:left="2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56" w:lineRule="auto"/>
              <w:ind w:left="135" w:right="132" w:hanging="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7" w:lineRule="auto"/>
              <w:ind w:left="227" w:right="175"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0" w:lineRule="auto" w:before="31"/>
              <w:ind w:left="2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73" w:lineRule="auto"/>
              <w:ind w:left="196" w:right="199"/>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99" w:right="197"/>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p>
          <w:p>
            <w:pPr>
              <w:pStyle w:val="TableParagraph"/>
              <w:spacing w:line="240" w:lineRule="auto" w:before="48"/>
              <w:ind w:right="1"/>
              <w:jc w:val="center"/>
              <w:rPr>
                <w:rFonts w:ascii="Calibri" w:hAnsi="Calibri" w:cs="Calibri" w:eastAsia="Calibri" w:hint="default"/>
                <w:sz w:val="21"/>
                <w:szCs w:val="21"/>
              </w:rPr>
            </w:pPr>
            <w:r>
              <w:rPr>
                <w:rFonts w:ascii="Calibri"/>
                <w:sz w:val="21"/>
              </w:rPr>
              <w:t>(%)</w:t>
            </w:r>
          </w:p>
        </w:tc>
      </w:tr>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2.0</w:t>
            </w:r>
            <w:r>
              <w:rPr>
                <w:rFonts w:ascii="Calibri"/>
                <w:sz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w w:val="100"/>
                <w:sz w:val="21"/>
              </w:rPr>
              <w:t>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2"/>
                <w:sz w:val="21"/>
              </w:rPr>
              <w:t>105,451,390.40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103,025,506.96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102.35</w:t>
            </w:r>
          </w:p>
        </w:tc>
      </w:tr>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1.6</w:t>
            </w:r>
            <w:r>
              <w:rPr>
                <w:rFonts w:ascii="Calibri"/>
                <w:sz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z w:val="21"/>
              </w:rPr>
              <w:t>30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16,273,260.80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51,474,724.91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31.61</w:t>
            </w:r>
          </w:p>
        </w:tc>
      </w:tr>
      <w:tr>
        <w:trPr>
          <w:trHeight w:val="32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1.9</w:t>
            </w:r>
            <w:r>
              <w:rPr>
                <w:rFonts w:ascii="Calibri"/>
                <w:sz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w w:val="100"/>
                <w:sz w:val="21"/>
              </w:rPr>
              <w:t>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19,000,000.00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63,140,346.92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30.09</w:t>
            </w:r>
          </w:p>
        </w:tc>
      </w:tr>
    </w:tbl>
    <w:p>
      <w:pPr>
        <w:spacing w:line="240" w:lineRule="auto" w:before="9"/>
        <w:rPr>
          <w:rFonts w:ascii="宋体" w:hAnsi="宋体" w:cs="宋体" w:eastAsia="宋体" w:hint="default"/>
          <w:sz w:val="24"/>
          <w:szCs w:val="24"/>
        </w:rPr>
      </w:pPr>
    </w:p>
    <w:p>
      <w:pPr>
        <w:pStyle w:val="Heading3"/>
        <w:spacing w:line="240" w:lineRule="auto" w:before="36"/>
        <w:ind w:right="10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tabs>
          <w:tab w:pos="1060" w:val="left" w:leader="none"/>
        </w:tabs>
        <w:spacing w:line="240" w:lineRule="auto" w:before="71"/>
        <w:ind w:right="102"/>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7" w:lineRule="auto"/>
        <w:ind w:left="63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tabs>
          <w:tab w:pos="1060" w:val="left" w:leader="none"/>
        </w:tabs>
        <w:spacing w:line="240" w:lineRule="auto" w:before="91"/>
        <w:ind w:right="102"/>
        <w:jc w:val="left"/>
      </w:pPr>
      <w:r>
        <w:rPr/>
        <w:t>□适用</w:t>
        <w:tab/>
      </w:r>
      <w:r>
        <w:rPr>
          <w:rFonts w:ascii="Calibri" w:hAnsi="Calibri" w:cs="Calibri" w:eastAsia="Calibri" w:hint="default"/>
        </w:rPr>
        <w:t>√</w:t>
      </w:r>
      <w:r>
        <w:rPr/>
        <w:t>不适用</w:t>
      </w:r>
    </w:p>
    <w:p>
      <w:pPr>
        <w:spacing w:after="0" w:line="240" w:lineRule="auto"/>
        <w:jc w:val="left"/>
        <w:sectPr>
          <w:pgSz w:w="11910" w:h="16840"/>
          <w:pgMar w:header="855" w:footer="979" w:top="1140" w:bottom="116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left="240" w:right="0"/>
        <w:jc w:val="left"/>
        <w:rPr>
          <w:b w:val="0"/>
          <w:bCs w:val="0"/>
        </w:rPr>
      </w:pPr>
      <w:r>
        <w:rPr/>
        <w:t>二、承诺事项履行情况</w:t>
      </w:r>
      <w:r>
        <w:rPr>
          <w:b w:val="0"/>
          <w:bCs w:val="0"/>
        </w:rPr>
      </w:r>
    </w:p>
    <w:p>
      <w:pPr>
        <w:pStyle w:val="Heading3"/>
        <w:tabs>
          <w:tab w:pos="806" w:val="left" w:leader="none"/>
        </w:tabs>
        <w:spacing w:line="240" w:lineRule="auto" w:before="97"/>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tabs>
          <w:tab w:pos="1082" w:val="left" w:leader="none"/>
        </w:tabs>
        <w:spacing w:line="240" w:lineRule="auto" w:before="70"/>
        <w:ind w:left="240" w:right="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9"/>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83"/>
        <w:gridCol w:w="689"/>
        <w:gridCol w:w="1003"/>
        <w:gridCol w:w="6798"/>
        <w:gridCol w:w="1119"/>
        <w:gridCol w:w="425"/>
        <w:gridCol w:w="682"/>
        <w:gridCol w:w="1104"/>
        <w:gridCol w:w="905"/>
      </w:tblGrid>
      <w:tr>
        <w:trPr>
          <w:trHeight w:val="219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263"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27" w:right="12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80"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2"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38" w:right="132" w:hanging="107"/>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24" w:right="12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2" w:right="129"/>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570" w:hRule="exact"/>
        </w:trPr>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73" w:lineRule="auto"/>
              <w:ind w:left="103" w:right="102"/>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76"/>
                <w:sz w:val="21"/>
                <w:szCs w:val="21"/>
              </w:rPr>
              <w:t> </w:t>
            </w:r>
            <w:r>
              <w:rPr>
                <w:rFonts w:ascii="宋体" w:hAnsi="宋体" w:cs="宋体" w:eastAsia="宋体" w:hint="default"/>
                <w:sz w:val="21"/>
                <w:szCs w:val="21"/>
              </w:rPr>
              <w:t>首</w:t>
            </w:r>
            <w:r>
              <w:rPr>
                <w:rFonts w:ascii="宋体" w:hAnsi="宋体" w:cs="宋体" w:eastAsia="宋体" w:hint="default"/>
                <w:spacing w:val="-78"/>
                <w:sz w:val="21"/>
                <w:szCs w:val="21"/>
              </w:rPr>
              <w:t> </w:t>
            </w:r>
            <w:r>
              <w:rPr>
                <w:rFonts w:ascii="宋体" w:hAnsi="宋体" w:cs="宋体" w:eastAsia="宋体" w:hint="default"/>
                <w:sz w:val="21"/>
                <w:szCs w:val="21"/>
              </w:rPr>
              <w:t>次</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相</w:t>
            </w:r>
            <w:r>
              <w:rPr>
                <w:rFonts w:ascii="宋体" w:hAnsi="宋体" w:cs="宋体" w:eastAsia="宋体" w:hint="default"/>
                <w:spacing w:val="-76"/>
                <w:sz w:val="21"/>
                <w:szCs w:val="21"/>
              </w:rPr>
              <w:t> </w:t>
            </w:r>
            <w:r>
              <w:rPr>
                <w:rFonts w:ascii="宋体" w:hAnsi="宋体" w:cs="宋体" w:eastAsia="宋体" w:hint="default"/>
                <w:sz w:val="21"/>
                <w:szCs w:val="21"/>
              </w:rPr>
              <w:t>关</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43"/>
              <w:jc w:val="left"/>
              <w:rPr>
                <w:rFonts w:ascii="宋体" w:hAnsi="宋体" w:cs="宋体" w:eastAsia="宋体" w:hint="default"/>
                <w:sz w:val="21"/>
                <w:szCs w:val="21"/>
              </w:rPr>
            </w:pPr>
            <w:r>
              <w:rPr>
                <w:rFonts w:ascii="宋体" w:hAnsi="宋体" w:cs="宋体" w:eastAsia="宋体" w:hint="default"/>
                <w:spacing w:val="27"/>
                <w:sz w:val="21"/>
                <w:szCs w:val="21"/>
              </w:rPr>
              <w:t>股份</w:t>
            </w:r>
            <w:r>
              <w:rPr>
                <w:rFonts w:ascii="宋体" w:hAnsi="宋体" w:cs="宋体" w:eastAsia="宋体" w:hint="default"/>
                <w:spacing w:val="-102"/>
                <w:sz w:val="21"/>
                <w:szCs w:val="21"/>
              </w:rPr>
              <w:t> </w:t>
            </w:r>
            <w:r>
              <w:rPr>
                <w:rFonts w:ascii="宋体" w:hAnsi="宋体" w:cs="宋体" w:eastAsia="宋体" w:hint="default"/>
                <w:sz w:val="21"/>
                <w:szCs w:val="21"/>
              </w:rPr>
              <w:t>限售</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8"/>
              <w:jc w:val="both"/>
              <w:rPr>
                <w:rFonts w:ascii="宋体" w:hAnsi="宋体" w:cs="宋体" w:eastAsia="宋体" w:hint="default"/>
                <w:sz w:val="21"/>
                <w:szCs w:val="21"/>
              </w:rPr>
            </w:pPr>
            <w:r>
              <w:rPr>
                <w:rFonts w:ascii="宋体" w:hAnsi="宋体" w:cs="宋体" w:eastAsia="宋体" w:hint="default"/>
                <w:sz w:val="21"/>
                <w:szCs w:val="21"/>
              </w:rPr>
              <w:t>在锁定期满后的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个月内，在不影响控股地位的前提下，本人减持股份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数量不超过本人持有公司股份总数的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；在锁定期满后的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本人减持股份数量累计不超过本人持有公司股份总数</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。本人在减持</w:t>
            </w:r>
            <w:r>
              <w:rPr>
                <w:rFonts w:ascii="宋体" w:hAnsi="宋体" w:cs="宋体" w:eastAsia="宋体" w:hint="default"/>
                <w:w w:val="100"/>
                <w:sz w:val="21"/>
                <w:szCs w:val="21"/>
              </w:rPr>
              <w:t> </w:t>
            </w:r>
            <w:r>
              <w:rPr>
                <w:rFonts w:ascii="宋体" w:hAnsi="宋体" w:cs="宋体" w:eastAsia="宋体" w:hint="default"/>
                <w:spacing w:val="-3"/>
                <w:sz w:val="21"/>
                <w:szCs w:val="21"/>
              </w:rPr>
              <w:t>所持有的公司股份前，应提前三个交易日予以公告，并于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个月内完成，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并按照上海证券交易所的规则及时、准确、完整地履行信息披露义务。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64" w:lineRule="auto"/>
              <w:ind w:left="103" w:right="82"/>
              <w:jc w:val="both"/>
              <w:rPr>
                <w:rFonts w:ascii="宋体" w:hAnsi="宋体" w:cs="宋体" w:eastAsia="宋体" w:hint="default"/>
                <w:sz w:val="21"/>
                <w:szCs w:val="21"/>
              </w:rPr>
            </w:pPr>
            <w:r>
              <w:rPr>
                <w:rFonts w:ascii="宋体" w:hAnsi="宋体" w:cs="宋体" w:eastAsia="宋体" w:hint="default"/>
                <w:spacing w:val="13"/>
                <w:sz w:val="21"/>
                <w:szCs w:val="21"/>
              </w:rPr>
              <w:t>锁定期满</w:t>
            </w:r>
            <w:r>
              <w:rPr>
                <w:rFonts w:ascii="宋体" w:hAnsi="宋体" w:cs="宋体" w:eastAsia="宋体" w:hint="default"/>
                <w:spacing w:val="-96"/>
                <w:sz w:val="21"/>
                <w:szCs w:val="21"/>
              </w:rPr>
              <w:t> </w:t>
            </w:r>
            <w:r>
              <w:rPr>
                <w:rFonts w:ascii="宋体" w:hAnsi="宋体" w:cs="宋体" w:eastAsia="宋体" w:hint="default"/>
                <w:sz w:val="21"/>
                <w:szCs w:val="21"/>
              </w:rPr>
              <w:t>后</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383" w:type="dxa"/>
            <w:vMerge/>
            <w:tcBorders>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43"/>
              <w:jc w:val="both"/>
              <w:rPr>
                <w:rFonts w:ascii="宋体" w:hAnsi="宋体" w:cs="宋体" w:eastAsia="宋体" w:hint="default"/>
                <w:sz w:val="21"/>
                <w:szCs w:val="21"/>
              </w:rPr>
            </w:pPr>
            <w:r>
              <w:rPr>
                <w:rFonts w:ascii="宋体" w:hAnsi="宋体" w:cs="宋体" w:eastAsia="宋体" w:hint="default"/>
                <w:spacing w:val="27"/>
                <w:sz w:val="21"/>
                <w:szCs w:val="21"/>
              </w:rPr>
              <w:t>解决</w:t>
            </w:r>
            <w:r>
              <w:rPr>
                <w:rFonts w:ascii="宋体" w:hAnsi="宋体" w:cs="宋体" w:eastAsia="宋体" w:hint="default"/>
                <w:spacing w:val="-102"/>
                <w:sz w:val="21"/>
                <w:szCs w:val="21"/>
              </w:rPr>
              <w:t> </w:t>
            </w:r>
            <w:r>
              <w:rPr>
                <w:rFonts w:ascii="宋体" w:hAnsi="宋体" w:cs="宋体" w:eastAsia="宋体" w:hint="default"/>
                <w:spacing w:val="27"/>
                <w:sz w:val="21"/>
                <w:szCs w:val="21"/>
              </w:rPr>
              <w:t>同业</w:t>
            </w:r>
            <w:r>
              <w:rPr>
                <w:rFonts w:ascii="宋体" w:hAnsi="宋体" w:cs="宋体" w:eastAsia="宋体" w:hint="default"/>
                <w:spacing w:val="-102"/>
                <w:sz w:val="21"/>
                <w:szCs w:val="21"/>
              </w:rPr>
              <w:t> </w:t>
            </w:r>
            <w:r>
              <w:rPr>
                <w:rFonts w:ascii="宋体" w:hAnsi="宋体" w:cs="宋体" w:eastAsia="宋体" w:hint="default"/>
                <w:sz w:val="21"/>
                <w:szCs w:val="21"/>
              </w:rPr>
              <w:t>竞争</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在直接或间接控制南威软件期间，本人或本人控制的其他企业将不从事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与南威软件构成竞争或可能构成竞争的业务；如南威软件将来拓展的业</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务范围与本人或本人控制的其他企业构成竞争或可能构成竞争，则本人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或本人控制的其他企业将停止从事该等业务，或将该等业务纳入南威软</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件，或将该等业务转让给无关联的第三方；如本人或本人控制的其他企</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业获得与南威软件构成竞争或可能构成竞争的商业机会，则将该商业机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会让予南威软件。</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82"/>
              <w:jc w:val="both"/>
              <w:rPr>
                <w:rFonts w:ascii="宋体" w:hAnsi="宋体" w:cs="宋体" w:eastAsia="宋体" w:hint="default"/>
                <w:sz w:val="21"/>
                <w:szCs w:val="21"/>
              </w:rPr>
            </w:pPr>
            <w:r>
              <w:rPr>
                <w:rFonts w:ascii="宋体" w:hAnsi="宋体" w:cs="宋体" w:eastAsia="宋体" w:hint="default"/>
                <w:spacing w:val="13"/>
                <w:sz w:val="21"/>
                <w:szCs w:val="21"/>
              </w:rPr>
              <w:t>作为南威</w:t>
            </w:r>
            <w:r>
              <w:rPr>
                <w:rFonts w:ascii="宋体" w:hAnsi="宋体" w:cs="宋体" w:eastAsia="宋体" w:hint="default"/>
                <w:spacing w:val="-96"/>
                <w:sz w:val="21"/>
                <w:szCs w:val="21"/>
              </w:rPr>
              <w:t> </w:t>
            </w:r>
            <w:r>
              <w:rPr>
                <w:rFonts w:ascii="宋体" w:hAnsi="宋体" w:cs="宋体" w:eastAsia="宋体" w:hint="default"/>
                <w:spacing w:val="13"/>
                <w:sz w:val="21"/>
                <w:szCs w:val="21"/>
              </w:rPr>
              <w:t>软件的控</w:t>
            </w:r>
            <w:r>
              <w:rPr>
                <w:rFonts w:ascii="宋体" w:hAnsi="宋体" w:cs="宋体" w:eastAsia="宋体" w:hint="default"/>
                <w:spacing w:val="-96"/>
                <w:sz w:val="21"/>
                <w:szCs w:val="21"/>
              </w:rPr>
              <w:t> </w:t>
            </w:r>
            <w:r>
              <w:rPr>
                <w:rFonts w:ascii="宋体" w:hAnsi="宋体" w:cs="宋体" w:eastAsia="宋体" w:hint="default"/>
                <w:spacing w:val="13"/>
                <w:sz w:val="21"/>
                <w:szCs w:val="21"/>
              </w:rPr>
              <w:t>股股东或</w:t>
            </w:r>
            <w:r>
              <w:rPr>
                <w:rFonts w:ascii="宋体" w:hAnsi="宋体" w:cs="宋体" w:eastAsia="宋体" w:hint="default"/>
                <w:spacing w:val="-96"/>
                <w:sz w:val="21"/>
                <w:szCs w:val="21"/>
              </w:rPr>
              <w:t> </w:t>
            </w:r>
            <w:r>
              <w:rPr>
                <w:rFonts w:ascii="宋体" w:hAnsi="宋体" w:cs="宋体" w:eastAsia="宋体" w:hint="default"/>
                <w:spacing w:val="13"/>
                <w:sz w:val="21"/>
                <w:szCs w:val="21"/>
              </w:rPr>
              <w:t>实际控制</w:t>
            </w:r>
            <w:r>
              <w:rPr>
                <w:rFonts w:ascii="宋体" w:hAnsi="宋体" w:cs="宋体" w:eastAsia="宋体" w:hint="default"/>
                <w:spacing w:val="-96"/>
                <w:sz w:val="21"/>
                <w:szCs w:val="21"/>
              </w:rPr>
              <w:t> </w:t>
            </w:r>
            <w:r>
              <w:rPr>
                <w:rFonts w:ascii="宋体" w:hAnsi="宋体" w:cs="宋体" w:eastAsia="宋体" w:hint="default"/>
                <w:sz w:val="21"/>
                <w:szCs w:val="21"/>
              </w:rPr>
              <w:t>人期间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1383"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43"/>
              <w:jc w:val="both"/>
              <w:rPr>
                <w:rFonts w:ascii="宋体" w:hAnsi="宋体" w:cs="宋体" w:eastAsia="宋体" w:hint="default"/>
                <w:sz w:val="21"/>
                <w:szCs w:val="21"/>
              </w:rPr>
            </w:pPr>
            <w:r>
              <w:rPr>
                <w:rFonts w:ascii="宋体" w:hAnsi="宋体" w:cs="宋体" w:eastAsia="宋体" w:hint="default"/>
                <w:spacing w:val="27"/>
                <w:sz w:val="21"/>
                <w:szCs w:val="21"/>
              </w:rPr>
              <w:t>解决</w:t>
            </w:r>
            <w:r>
              <w:rPr>
                <w:rFonts w:ascii="宋体" w:hAnsi="宋体" w:cs="宋体" w:eastAsia="宋体" w:hint="default"/>
                <w:spacing w:val="-102"/>
                <w:sz w:val="21"/>
                <w:szCs w:val="21"/>
              </w:rPr>
              <w:t> </w:t>
            </w:r>
            <w:r>
              <w:rPr>
                <w:rFonts w:ascii="宋体" w:hAnsi="宋体" w:cs="宋体" w:eastAsia="宋体" w:hint="default"/>
                <w:spacing w:val="27"/>
                <w:sz w:val="21"/>
                <w:szCs w:val="21"/>
              </w:rPr>
              <w:t>关联</w:t>
            </w:r>
            <w:r>
              <w:rPr>
                <w:rFonts w:ascii="宋体" w:hAnsi="宋体" w:cs="宋体" w:eastAsia="宋体" w:hint="default"/>
                <w:spacing w:val="-102"/>
                <w:sz w:val="21"/>
                <w:szCs w:val="21"/>
              </w:rPr>
              <w:t> </w:t>
            </w:r>
            <w:r>
              <w:rPr>
                <w:rFonts w:ascii="宋体" w:hAnsi="宋体" w:cs="宋体" w:eastAsia="宋体" w:hint="default"/>
                <w:sz w:val="21"/>
                <w:szCs w:val="21"/>
              </w:rPr>
              <w:t>交易</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43"/>
              <w:jc w:val="both"/>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pacing w:val="-101"/>
                <w:sz w:val="21"/>
                <w:szCs w:val="21"/>
              </w:rPr>
              <w:t> </w:t>
            </w:r>
            <w:r>
              <w:rPr>
                <w:rFonts w:ascii="宋体" w:hAnsi="宋体" w:cs="宋体" w:eastAsia="宋体" w:hint="default"/>
                <w:sz w:val="21"/>
                <w:szCs w:val="21"/>
              </w:rPr>
              <w:t>凯 信</w:t>
            </w:r>
            <w:r>
              <w:rPr>
                <w:rFonts w:ascii="宋体" w:hAnsi="宋体" w:cs="宋体" w:eastAsia="宋体" w:hint="default"/>
                <w:spacing w:val="-5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鹏</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将尽可能的避免和减少本人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本合伙企业或本人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本合伙企业控制的其他</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公司、企业或其他组织、机构与公司之间的关联交易；对于无法避免或</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者有合理原因而发生的关联交易，将根据有关法律、法规，遵循平等、</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自愿、等价和有偿的一般商业原则，与公司签订关联交易协议，确保关</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联交易的价格原则上不偏离市场独立第三方的价格或收费的标准，以维</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82"/>
              <w:jc w:val="both"/>
              <w:rPr>
                <w:rFonts w:ascii="宋体" w:hAnsi="宋体" w:cs="宋体" w:eastAsia="宋体" w:hint="default"/>
                <w:sz w:val="21"/>
                <w:szCs w:val="21"/>
              </w:rPr>
            </w:pPr>
            <w:r>
              <w:rPr>
                <w:rFonts w:ascii="宋体" w:hAnsi="宋体" w:cs="宋体" w:eastAsia="宋体" w:hint="default"/>
                <w:spacing w:val="13"/>
                <w:sz w:val="21"/>
                <w:szCs w:val="21"/>
              </w:rPr>
              <w:t>作为南威</w:t>
            </w:r>
            <w:r>
              <w:rPr>
                <w:rFonts w:ascii="宋体" w:hAnsi="宋体" w:cs="宋体" w:eastAsia="宋体" w:hint="default"/>
                <w:spacing w:val="-96"/>
                <w:sz w:val="21"/>
                <w:szCs w:val="21"/>
              </w:rPr>
              <w:t> </w:t>
            </w:r>
            <w:r>
              <w:rPr>
                <w:rFonts w:ascii="宋体" w:hAnsi="宋体" w:cs="宋体" w:eastAsia="宋体" w:hint="default"/>
                <w:spacing w:val="13"/>
                <w:sz w:val="21"/>
                <w:szCs w:val="21"/>
              </w:rPr>
              <w:t>软件关联</w:t>
            </w:r>
            <w:r>
              <w:rPr>
                <w:rFonts w:ascii="宋体" w:hAnsi="宋体" w:cs="宋体" w:eastAsia="宋体" w:hint="default"/>
                <w:spacing w:val="-96"/>
                <w:sz w:val="21"/>
                <w:szCs w:val="21"/>
              </w:rPr>
              <w:t> </w:t>
            </w:r>
            <w:r>
              <w:rPr>
                <w:rFonts w:ascii="宋体" w:hAnsi="宋体" w:cs="宋体" w:eastAsia="宋体" w:hint="default"/>
                <w:sz w:val="21"/>
                <w:szCs w:val="21"/>
              </w:rPr>
              <w:t>人期间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55" w:footer="980" w:top="1140" w:bottom="1160" w:left="1200" w:right="1300"/>
          <w:pgNumType w:start="3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383"/>
        <w:gridCol w:w="689"/>
        <w:gridCol w:w="1003"/>
        <w:gridCol w:w="6798"/>
        <w:gridCol w:w="1119"/>
        <w:gridCol w:w="425"/>
        <w:gridCol w:w="682"/>
        <w:gridCol w:w="1104"/>
        <w:gridCol w:w="905"/>
      </w:tblGrid>
      <w:tr>
        <w:trPr>
          <w:trHeight w:val="1570" w:hRule="exact"/>
        </w:trPr>
        <w:tc>
          <w:tcPr>
            <w:tcW w:w="1383"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6"/>
              <w:jc w:val="both"/>
              <w:rPr>
                <w:rFonts w:ascii="宋体" w:hAnsi="宋体" w:cs="宋体" w:eastAsia="宋体" w:hint="default"/>
                <w:sz w:val="21"/>
                <w:szCs w:val="21"/>
              </w:rPr>
            </w:pPr>
            <w:r>
              <w:rPr>
                <w:rFonts w:ascii="宋体" w:hAnsi="宋体" w:cs="宋体" w:eastAsia="宋体" w:hint="default"/>
                <w:sz w:val="21"/>
                <w:szCs w:val="21"/>
              </w:rPr>
              <w:t>护公司及其他股东的利益；不利用在公司中的地位和影响，通过关联交</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易损害股份公司及其他股东的合法权益；本人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本合伙企业或本人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本合伙</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sz w:val="21"/>
                <w:szCs w:val="21"/>
              </w:rPr>
              <w:t>企业控制的其他企业保证不利用本人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本合伙企业在公司中的地位和影</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响，违规占用或转移公司的资金、资产及其他资源，或要求公司违规提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供担保。</w:t>
            </w:r>
          </w:p>
        </w:tc>
        <w:tc>
          <w:tcPr>
            <w:tcW w:w="11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383" w:type="dxa"/>
            <w:vMerge/>
            <w:tcBorders>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0" w:right="43"/>
              <w:jc w:val="left"/>
              <w:rPr>
                <w:rFonts w:ascii="宋体" w:hAnsi="宋体" w:cs="宋体" w:eastAsia="宋体" w:hint="default"/>
                <w:sz w:val="21"/>
                <w:szCs w:val="21"/>
              </w:rPr>
            </w:pPr>
            <w:r>
              <w:rPr>
                <w:rFonts w:ascii="宋体" w:hAnsi="宋体" w:cs="宋体" w:eastAsia="宋体" w:hint="default"/>
                <w:spacing w:val="27"/>
                <w:sz w:val="21"/>
                <w:szCs w:val="21"/>
              </w:rPr>
              <w:t>股份</w:t>
            </w:r>
            <w:r>
              <w:rPr>
                <w:rFonts w:ascii="宋体" w:hAnsi="宋体" w:cs="宋体" w:eastAsia="宋体" w:hint="default"/>
                <w:spacing w:val="-102"/>
                <w:sz w:val="21"/>
                <w:szCs w:val="21"/>
              </w:rPr>
              <w:t> </w:t>
            </w:r>
            <w:r>
              <w:rPr>
                <w:rFonts w:ascii="宋体" w:hAnsi="宋体" w:cs="宋体" w:eastAsia="宋体" w:hint="default"/>
                <w:sz w:val="21"/>
                <w:szCs w:val="21"/>
              </w:rPr>
              <w:t>限售</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5"/>
              <w:jc w:val="both"/>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个月内，不转让或者委托他人管理本人直接或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间接持有的公司首次公开发行股票前已发行的股份，也不由公司回购直</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接或间接持有的公司首次公开发行股票前已发行的股份。所持股票在锁</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定期满后两年内减持的，其减持价格不低于发行价；公司上市后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个月</w:t>
            </w:r>
          </w:p>
          <w:p>
            <w:pPr>
              <w:pStyle w:val="TableParagraph"/>
              <w:spacing w:line="284" w:lineRule="exact"/>
              <w:ind w:left="103" w:right="0"/>
              <w:jc w:val="both"/>
              <w:rPr>
                <w:rFonts w:ascii="宋体" w:hAnsi="宋体" w:cs="宋体" w:eastAsia="宋体" w:hint="default"/>
                <w:sz w:val="21"/>
                <w:szCs w:val="21"/>
              </w:rPr>
            </w:pPr>
            <w:r>
              <w:rPr>
                <w:rFonts w:ascii="宋体" w:hAnsi="宋体" w:cs="宋体" w:eastAsia="宋体" w:hint="default"/>
                <w:sz w:val="21"/>
                <w:szCs w:val="21"/>
              </w:rPr>
              <w:t>内如公司股票连续</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个交易日的收盘价均低于发行价，或者上市后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w:t>
            </w:r>
          </w:p>
          <w:p>
            <w:pPr>
              <w:pStyle w:val="TableParagraph"/>
              <w:spacing w:line="256" w:lineRule="auto" w:before="21"/>
              <w:ind w:left="103" w:right="95"/>
              <w:jc w:val="both"/>
              <w:rPr>
                <w:rFonts w:ascii="宋体" w:hAnsi="宋体" w:cs="宋体" w:eastAsia="宋体" w:hint="default"/>
                <w:sz w:val="21"/>
                <w:szCs w:val="21"/>
              </w:rPr>
            </w:pPr>
            <w:r>
              <w:rPr>
                <w:rFonts w:ascii="宋体" w:hAnsi="宋体" w:cs="宋体" w:eastAsia="宋体" w:hint="default"/>
                <w:sz w:val="21"/>
                <w:szCs w:val="21"/>
              </w:rPr>
              <w:t>月期末收盘价低于发行价，持有公司股票的锁定期限自动延长至少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383" w:type="dxa"/>
            <w:vMerge/>
            <w:tcBorders>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0" w:right="43"/>
              <w:jc w:val="left"/>
              <w:rPr>
                <w:rFonts w:ascii="宋体" w:hAnsi="宋体" w:cs="宋体" w:eastAsia="宋体" w:hint="default"/>
                <w:sz w:val="21"/>
                <w:szCs w:val="21"/>
              </w:rPr>
            </w:pPr>
            <w:r>
              <w:rPr>
                <w:rFonts w:ascii="宋体" w:hAnsi="宋体" w:cs="宋体" w:eastAsia="宋体" w:hint="default"/>
                <w:spacing w:val="27"/>
                <w:sz w:val="21"/>
                <w:szCs w:val="21"/>
              </w:rPr>
              <w:t>股份</w:t>
            </w:r>
            <w:r>
              <w:rPr>
                <w:rFonts w:ascii="宋体" w:hAnsi="宋体" w:cs="宋体" w:eastAsia="宋体" w:hint="default"/>
                <w:spacing w:val="-102"/>
                <w:sz w:val="21"/>
                <w:szCs w:val="21"/>
              </w:rPr>
              <w:t> </w:t>
            </w:r>
            <w:r>
              <w:rPr>
                <w:rFonts w:ascii="宋体" w:hAnsi="宋体" w:cs="宋体" w:eastAsia="宋体" w:hint="default"/>
                <w:sz w:val="21"/>
                <w:szCs w:val="21"/>
              </w:rPr>
              <w:t>限售</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在担任公司董事、监事或高级管理人员职务期间，每年转让的股份不超</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过所持有的公司股份总数的百分之二十五；在离职后六个月内，不转让</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持有的公司股份，离职六个月后的十二个月内通过证券交易所挂牌交易</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出售发行人股份不超过所持有发行人股份总数的百分之五十；公司上市</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个交易日的收盘价均低于发行价，或者上</w:t>
            </w:r>
          </w:p>
          <w:p>
            <w:pPr>
              <w:pStyle w:val="TableParagraph"/>
              <w:spacing w:line="279" w:lineRule="exact"/>
              <w:ind w:left="103" w:right="0"/>
              <w:jc w:val="both"/>
              <w:rPr>
                <w:rFonts w:ascii="宋体" w:hAnsi="宋体" w:cs="宋体" w:eastAsia="宋体" w:hint="default"/>
                <w:sz w:val="21"/>
                <w:szCs w:val="21"/>
              </w:rPr>
            </w:pPr>
            <w:r>
              <w:rPr>
                <w:rFonts w:ascii="宋体" w:hAnsi="宋体" w:cs="宋体" w:eastAsia="宋体" w:hint="default"/>
                <w:sz w:val="21"/>
                <w:szCs w:val="21"/>
              </w:rPr>
              <w:t>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个月期末收盘价低于发行价，持有公司股票的锁定期限自动延长</w:t>
            </w:r>
          </w:p>
          <w:p>
            <w:pPr>
              <w:pStyle w:val="TableParagraph"/>
              <w:spacing w:line="240" w:lineRule="auto" w:before="21"/>
              <w:ind w:left="103" w:right="0"/>
              <w:jc w:val="both"/>
              <w:rPr>
                <w:rFonts w:ascii="宋体" w:hAnsi="宋体" w:cs="宋体" w:eastAsia="宋体" w:hint="default"/>
                <w:sz w:val="21"/>
                <w:szCs w:val="21"/>
              </w:rPr>
            </w:pPr>
            <w:r>
              <w:rPr>
                <w:rFonts w:ascii="宋体" w:hAnsi="宋体" w:cs="宋体" w:eastAsia="宋体" w:hint="default"/>
                <w:sz w:val="21"/>
                <w:szCs w:val="21"/>
              </w:rPr>
              <w:t>至少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个月。上述承诺事项不因本人职务变更、离职等原因而放弃履行。</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82"/>
              <w:jc w:val="both"/>
              <w:rPr>
                <w:rFonts w:ascii="宋体" w:hAnsi="宋体" w:cs="宋体" w:eastAsia="宋体" w:hint="default"/>
                <w:sz w:val="21"/>
                <w:szCs w:val="21"/>
              </w:rPr>
            </w:pPr>
            <w:r>
              <w:rPr>
                <w:rFonts w:ascii="宋体" w:hAnsi="宋体" w:cs="宋体" w:eastAsia="宋体" w:hint="default"/>
                <w:spacing w:val="13"/>
                <w:sz w:val="21"/>
                <w:szCs w:val="21"/>
              </w:rPr>
              <w:t>作为公司</w:t>
            </w:r>
            <w:r>
              <w:rPr>
                <w:rFonts w:ascii="宋体" w:hAnsi="宋体" w:cs="宋体" w:eastAsia="宋体" w:hint="default"/>
                <w:spacing w:val="-96"/>
                <w:sz w:val="21"/>
                <w:szCs w:val="21"/>
              </w:rPr>
              <w:t> </w:t>
            </w:r>
            <w:r>
              <w:rPr>
                <w:rFonts w:ascii="宋体" w:hAnsi="宋体" w:cs="宋体" w:eastAsia="宋体" w:hint="default"/>
                <w:spacing w:val="13"/>
                <w:sz w:val="21"/>
                <w:szCs w:val="21"/>
              </w:rPr>
              <w:t>董事、监</w:t>
            </w:r>
            <w:r>
              <w:rPr>
                <w:rFonts w:ascii="宋体" w:hAnsi="宋体" w:cs="宋体" w:eastAsia="宋体" w:hint="default"/>
                <w:spacing w:val="-96"/>
                <w:sz w:val="21"/>
                <w:szCs w:val="21"/>
              </w:rPr>
              <w:t> </w:t>
            </w:r>
            <w:r>
              <w:rPr>
                <w:rFonts w:ascii="宋体" w:hAnsi="宋体" w:cs="宋体" w:eastAsia="宋体" w:hint="default"/>
                <w:spacing w:val="13"/>
                <w:sz w:val="21"/>
                <w:szCs w:val="21"/>
              </w:rPr>
              <w:t>事、高级</w:t>
            </w:r>
            <w:r>
              <w:rPr>
                <w:rFonts w:ascii="宋体" w:hAnsi="宋体" w:cs="宋体" w:eastAsia="宋体" w:hint="default"/>
                <w:spacing w:val="-96"/>
                <w:sz w:val="21"/>
                <w:szCs w:val="21"/>
              </w:rPr>
              <w:t> </w:t>
            </w:r>
            <w:r>
              <w:rPr>
                <w:rFonts w:ascii="宋体" w:hAnsi="宋体" w:cs="宋体" w:eastAsia="宋体" w:hint="default"/>
                <w:spacing w:val="13"/>
                <w:sz w:val="21"/>
                <w:szCs w:val="21"/>
              </w:rPr>
              <w:t>管理人员</w:t>
            </w:r>
            <w:r>
              <w:rPr>
                <w:rFonts w:ascii="宋体" w:hAnsi="宋体" w:cs="宋体" w:eastAsia="宋体" w:hint="default"/>
                <w:spacing w:val="-96"/>
                <w:sz w:val="21"/>
                <w:szCs w:val="21"/>
              </w:rPr>
              <w:t> </w:t>
            </w:r>
            <w:r>
              <w:rPr>
                <w:rFonts w:ascii="宋体" w:hAnsi="宋体" w:cs="宋体" w:eastAsia="宋体" w:hint="default"/>
                <w:sz w:val="21"/>
                <w:szCs w:val="21"/>
              </w:rPr>
              <w:t>期间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2821" w:hRule="exact"/>
        </w:trPr>
        <w:tc>
          <w:tcPr>
            <w:tcW w:w="1383"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0"/>
              <w:ind w:left="103" w:right="99"/>
              <w:jc w:val="left"/>
              <w:rPr>
                <w:rFonts w:ascii="宋体" w:hAnsi="宋体" w:cs="宋体" w:eastAsia="宋体" w:hint="default"/>
                <w:sz w:val="21"/>
                <w:szCs w:val="21"/>
              </w:rPr>
            </w:pPr>
            <w:r>
              <w:rPr>
                <w:rFonts w:ascii="宋体" w:hAnsi="宋体" w:cs="宋体" w:eastAsia="宋体" w:hint="default"/>
                <w:sz w:val="21"/>
                <w:szCs w:val="21"/>
              </w:rPr>
              <w:t>南 威</w:t>
            </w:r>
            <w:r>
              <w:rPr>
                <w:rFonts w:ascii="宋体" w:hAnsi="宋体" w:cs="宋体" w:eastAsia="宋体" w:hint="default"/>
                <w:spacing w:val="-52"/>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6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、公司招股说明书有虚假记载、误导性陈述或者重大遗漏，对判断公司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是否符合法律规定的发行条件构成重大、实质影响的，公司董事会将在</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证券监管部门做出认定或处罚决定后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天内，制订股份回购方案并提交</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股东大会审议批准，公司将依法回购首次公开发行的全部新股，回购价</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格根据发行价格加上同期银行存款利息与回购义务触发时二级市场价格</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孰高来确定（公司上市后发生除权除息事项的，上述发行价格及回购股</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w w:val="100"/>
                <w:sz w:val="21"/>
                <w:szCs w:val="21"/>
              </w:rPr>
              <w:t>份数量做相应调整）。</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3"/>
                <w:w w:val="100"/>
                <w:sz w:val="21"/>
                <w:szCs w:val="21"/>
              </w:rPr>
              <w:t>、公司招股说明书有虚假记载、误导性陈述或者</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重大遗漏，致使投资者在证券交易中遭受损失的，公司将在该等违法事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实被证券监管部门做出认定或处罚决定后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天内依法赔偿投资者损失。</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383"/>
        <w:gridCol w:w="689"/>
        <w:gridCol w:w="1003"/>
        <w:gridCol w:w="6798"/>
        <w:gridCol w:w="1119"/>
        <w:gridCol w:w="425"/>
        <w:gridCol w:w="682"/>
        <w:gridCol w:w="1104"/>
        <w:gridCol w:w="905"/>
      </w:tblGrid>
      <w:tr>
        <w:trPr>
          <w:trHeight w:val="946" w:hRule="exact"/>
        </w:trPr>
        <w:tc>
          <w:tcPr>
            <w:tcW w:w="1383"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6"/>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、公司未能履行上述承诺时，应在证监会指定报刊上公告相关情况，及</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时、充分披露其承诺未能履行、无法履行或无法按期履行的具体原因并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向投资者道歉。</w:t>
            </w:r>
          </w:p>
        </w:tc>
        <w:tc>
          <w:tcPr>
            <w:tcW w:w="11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1383" w:type="dxa"/>
            <w:vMerge/>
            <w:tcBorders>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5"/>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、南威软件招股说明书有虚假记载、误导性陈述或者重大遗漏，对判断</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南威软件是否符合法律规定的发行条件构成重大、实质影响的，本人将</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利用南威软件的控股股东地位促成南威软件在证券监管部门做出认定或</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处罚决定后 </w:t>
            </w:r>
            <w:r>
              <w:rPr>
                <w:rFonts w:ascii="Times New Roman" w:hAnsi="Times New Roman" w:cs="Times New Roman" w:eastAsia="Times New Roman" w:hint="default"/>
                <w:sz w:val="21"/>
                <w:szCs w:val="21"/>
              </w:rPr>
              <w:t>30 </w:t>
            </w:r>
            <w:r>
              <w:rPr>
                <w:rFonts w:ascii="宋体" w:hAnsi="宋体" w:cs="宋体" w:eastAsia="宋体" w:hint="default"/>
                <w:sz w:val="21"/>
                <w:szCs w:val="21"/>
              </w:rPr>
              <w:t>天内启动依法回购南威软件首次公开发行的全部新股工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作，并在前述期限内制定股份回购方案，依法回购公司股东已转让的原</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限售股份，回购价格根据发行价格加上同期银行存款利息与回购义务触</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发时二级市场价格孰高来确定（南威软件上市后发生除权除息事项的，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w w:val="100"/>
                <w:sz w:val="21"/>
                <w:szCs w:val="21"/>
              </w:rPr>
              <w:t>上述发行价格及回购股份数量做相应调整）。</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3"/>
                <w:w w:val="100"/>
                <w:sz w:val="21"/>
                <w:szCs w:val="21"/>
              </w:rPr>
              <w:t>、南威软件招股说明书有</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虚假记载、误导性陈述或者重大遗漏，致使投资者在证券交易中遭受损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失的，本人将在该等违法事实被证券监管部门做出认定或处罚决定后</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天内依法赔偿投资者损失。</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383" w:type="dxa"/>
            <w:vMerge/>
            <w:tcBorders>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103" w:right="99"/>
              <w:jc w:val="left"/>
              <w:rPr>
                <w:rFonts w:ascii="宋体" w:hAnsi="宋体" w:cs="宋体" w:eastAsia="宋体" w:hint="default"/>
                <w:sz w:val="21"/>
                <w:szCs w:val="21"/>
              </w:rPr>
            </w:pPr>
            <w:r>
              <w:rPr>
                <w:rFonts w:ascii="宋体" w:hAnsi="宋体" w:cs="宋体" w:eastAsia="宋体" w:hint="default"/>
                <w:sz w:val="21"/>
                <w:szCs w:val="21"/>
              </w:rPr>
              <w:t>南 威</w:t>
            </w:r>
            <w:r>
              <w:rPr>
                <w:rFonts w:ascii="宋体" w:hAnsi="宋体" w:cs="宋体" w:eastAsia="宋体" w:hint="default"/>
                <w:spacing w:val="-52"/>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62"/>
              <w:jc w:val="both"/>
              <w:rPr>
                <w:rFonts w:ascii="宋体" w:hAnsi="宋体" w:cs="宋体" w:eastAsia="宋体" w:hint="default"/>
                <w:sz w:val="21"/>
                <w:szCs w:val="21"/>
              </w:rPr>
            </w:pPr>
            <w:r>
              <w:rPr>
                <w:rFonts w:ascii="宋体" w:hAnsi="宋体" w:cs="宋体" w:eastAsia="宋体" w:hint="default"/>
                <w:sz w:val="21"/>
                <w:szCs w:val="21"/>
              </w:rPr>
              <w:t>触发股价稳定机制的启动条件时，公司应在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个交易日内召开董事会，</w:t>
            </w:r>
            <w:r>
              <w:rPr>
                <w:rFonts w:ascii="宋体" w:hAnsi="宋体" w:cs="宋体" w:eastAsia="宋体" w:hint="default"/>
                <w:w w:val="100"/>
                <w:sz w:val="21"/>
                <w:szCs w:val="21"/>
              </w:rPr>
              <w:t> </w:t>
            </w:r>
            <w:r>
              <w:rPr>
                <w:rFonts w:ascii="宋体" w:hAnsi="宋体" w:cs="宋体" w:eastAsia="宋体" w:hint="default"/>
                <w:sz w:val="21"/>
                <w:szCs w:val="21"/>
              </w:rPr>
              <w:t>讨论回购公司股份的方案，包括但不限于回购股份的数量范围、价格区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间及完成期限等信息，并提交股东大会审议，公告具体股份回购计划。</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公司回购股票的价格、方式等应当符合中国证监会和证券交易所关于回</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购社会公众股相关法律法规的要求。用以稳定股价的回购资金合计不超</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过上一会计年度经审计的归属于母公司股东净利润的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83" w:type="dxa"/>
            <w:vMerge/>
            <w:tcBorders>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3"/>
              <w:jc w:val="both"/>
              <w:rPr>
                <w:rFonts w:ascii="宋体" w:hAnsi="宋体" w:cs="宋体" w:eastAsia="宋体" w:hint="default"/>
                <w:sz w:val="21"/>
                <w:szCs w:val="21"/>
              </w:rPr>
            </w:pPr>
            <w:r>
              <w:rPr>
                <w:rFonts w:ascii="宋体" w:hAnsi="宋体" w:cs="宋体" w:eastAsia="宋体" w:hint="default"/>
                <w:spacing w:val="-3"/>
                <w:sz w:val="21"/>
                <w:szCs w:val="21"/>
              </w:rPr>
              <w:t>触发控股股东增持的启动条件时，控股股东应在</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个交易日内提出具体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的增持方案，包括但不限于拟增持股份的数量范围、价格区间及完成期</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限等信息。用以稳定股价的增持资金不超过上年自发行人所获得现金分</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红金额的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，且不超过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82"/>
              <w:jc w:val="both"/>
              <w:rPr>
                <w:rFonts w:ascii="宋体" w:hAnsi="宋体" w:cs="宋体" w:eastAsia="宋体" w:hint="default"/>
                <w:sz w:val="21"/>
                <w:szCs w:val="21"/>
              </w:rPr>
            </w:pPr>
            <w:r>
              <w:rPr>
                <w:rFonts w:ascii="宋体" w:hAnsi="宋体" w:cs="宋体" w:eastAsia="宋体" w:hint="default"/>
                <w:spacing w:val="13"/>
                <w:sz w:val="21"/>
                <w:szCs w:val="21"/>
              </w:rPr>
              <w:t>担任公司</w:t>
            </w:r>
            <w:r>
              <w:rPr>
                <w:rFonts w:ascii="宋体" w:hAnsi="宋体" w:cs="宋体" w:eastAsia="宋体" w:hint="default"/>
                <w:spacing w:val="-96"/>
                <w:sz w:val="21"/>
                <w:szCs w:val="21"/>
              </w:rPr>
              <w:t> </w:t>
            </w:r>
            <w:r>
              <w:rPr>
                <w:rFonts w:ascii="宋体" w:hAnsi="宋体" w:cs="宋体" w:eastAsia="宋体" w:hint="default"/>
                <w:spacing w:val="13"/>
                <w:sz w:val="21"/>
                <w:szCs w:val="21"/>
              </w:rPr>
              <w:t>控股股东</w:t>
            </w:r>
            <w:r>
              <w:rPr>
                <w:rFonts w:ascii="宋体" w:hAnsi="宋体" w:cs="宋体" w:eastAsia="宋体" w:hint="default"/>
                <w:spacing w:val="-96"/>
                <w:sz w:val="21"/>
                <w:szCs w:val="21"/>
              </w:rPr>
              <w:t> </w:t>
            </w:r>
            <w:r>
              <w:rPr>
                <w:rFonts w:ascii="宋体" w:hAnsi="宋体" w:cs="宋体" w:eastAsia="宋体" w:hint="default"/>
                <w:sz w:val="21"/>
                <w:szCs w:val="21"/>
              </w:rPr>
              <w:t>期间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383"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如公司存续期内应有权部门要求或决定，公司需要为公司员工补缴社保、</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住房公积金或因未缴纳社保、住房公积金而承担罚款或损失，本人不可</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撤销地承诺无条件代公司承担上述所有补缴金额、承担任何相关罚款或</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损失赔偿的责任，保证公司不因此受到损失。</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82"/>
              <w:jc w:val="left"/>
              <w:rPr>
                <w:rFonts w:ascii="宋体" w:hAnsi="宋体" w:cs="宋体" w:eastAsia="宋体" w:hint="default"/>
                <w:sz w:val="21"/>
                <w:szCs w:val="21"/>
              </w:rPr>
            </w:pPr>
            <w:r>
              <w:rPr>
                <w:rFonts w:ascii="宋体" w:hAnsi="宋体" w:cs="宋体" w:eastAsia="宋体" w:hint="default"/>
                <w:spacing w:val="13"/>
                <w:sz w:val="21"/>
                <w:szCs w:val="21"/>
              </w:rPr>
              <w:t>公司存续</w:t>
            </w:r>
            <w:r>
              <w:rPr>
                <w:rFonts w:ascii="宋体" w:hAnsi="宋体" w:cs="宋体" w:eastAsia="宋体" w:hint="default"/>
                <w:spacing w:val="-96"/>
                <w:sz w:val="21"/>
                <w:szCs w:val="21"/>
              </w:rPr>
              <w:t> </w:t>
            </w:r>
            <w:r>
              <w:rPr>
                <w:rFonts w:ascii="宋体" w:hAnsi="宋体" w:cs="宋体" w:eastAsia="宋体" w:hint="default"/>
                <w:sz w:val="21"/>
                <w:szCs w:val="21"/>
              </w:rPr>
              <w:t>期内</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383"/>
        <w:gridCol w:w="689"/>
        <w:gridCol w:w="1003"/>
        <w:gridCol w:w="6798"/>
        <w:gridCol w:w="1119"/>
        <w:gridCol w:w="425"/>
        <w:gridCol w:w="682"/>
        <w:gridCol w:w="1104"/>
        <w:gridCol w:w="905"/>
      </w:tblGrid>
      <w:tr>
        <w:trPr>
          <w:trHeight w:val="1882" w:hRule="exact"/>
        </w:trPr>
        <w:tc>
          <w:tcPr>
            <w:tcW w:w="138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99"/>
              <w:jc w:val="left"/>
              <w:rPr>
                <w:rFonts w:ascii="宋体" w:hAnsi="宋体" w:cs="宋体" w:eastAsia="宋体" w:hint="default"/>
                <w:sz w:val="21"/>
                <w:szCs w:val="21"/>
              </w:rPr>
            </w:pPr>
            <w:r>
              <w:rPr>
                <w:rFonts w:ascii="宋体" w:hAnsi="宋体" w:cs="宋体" w:eastAsia="宋体" w:hint="default"/>
                <w:sz w:val="21"/>
                <w:szCs w:val="21"/>
              </w:rPr>
              <w:t>凯 信</w:t>
            </w:r>
            <w:r>
              <w:rPr>
                <w:rFonts w:ascii="宋体" w:hAnsi="宋体" w:cs="宋体" w:eastAsia="宋体" w:hint="default"/>
                <w:spacing w:val="-52"/>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鹏</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3" w:right="93"/>
              <w:jc w:val="both"/>
              <w:rPr>
                <w:rFonts w:ascii="宋体" w:hAnsi="宋体" w:cs="宋体" w:eastAsia="宋体" w:hint="default"/>
                <w:sz w:val="21"/>
                <w:szCs w:val="21"/>
              </w:rPr>
            </w:pPr>
            <w:r>
              <w:rPr>
                <w:rFonts w:ascii="宋体" w:hAnsi="宋体" w:cs="宋体" w:eastAsia="宋体" w:hint="default"/>
                <w:sz w:val="21"/>
                <w:szCs w:val="21"/>
              </w:rPr>
              <w:t>在锁定期满后的</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个月内，本合伙企业减持股份数量不超过本合伙企业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持有公司股份总数的</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30%</w:t>
            </w:r>
            <w:r>
              <w:rPr>
                <w:rFonts w:ascii="宋体" w:hAnsi="宋体" w:cs="宋体" w:eastAsia="宋体" w:hint="default"/>
                <w:spacing w:val="-4"/>
                <w:sz w:val="21"/>
                <w:szCs w:val="21"/>
              </w:rPr>
              <w:t>；在锁定期满后的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个月内，本合伙企业减持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股份数量累计不超过本合伙企业持有公司股份总数</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。本合伙企业在</w:t>
            </w:r>
            <w:r>
              <w:rPr>
                <w:rFonts w:ascii="宋体" w:hAnsi="宋体" w:cs="宋体" w:eastAsia="宋体" w:hint="default"/>
                <w:w w:val="100"/>
                <w:sz w:val="21"/>
                <w:szCs w:val="21"/>
              </w:rPr>
              <w:t> </w:t>
            </w:r>
            <w:r>
              <w:rPr>
                <w:rFonts w:ascii="宋体" w:hAnsi="宋体" w:cs="宋体" w:eastAsia="宋体" w:hint="default"/>
                <w:sz w:val="21"/>
                <w:szCs w:val="21"/>
              </w:rPr>
              <w:t>减持所持有的公司股份前，应提前三个交易日予以公告，并在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完成，并按照上海证券交易所的规则及时、准确、完整地履行信息披露</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义务。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64" w:lineRule="auto"/>
              <w:ind w:left="103" w:right="82"/>
              <w:jc w:val="both"/>
              <w:rPr>
                <w:rFonts w:ascii="宋体" w:hAnsi="宋体" w:cs="宋体" w:eastAsia="宋体" w:hint="default"/>
                <w:sz w:val="21"/>
                <w:szCs w:val="21"/>
              </w:rPr>
            </w:pPr>
            <w:r>
              <w:rPr>
                <w:rFonts w:ascii="宋体" w:hAnsi="宋体" w:cs="宋体" w:eastAsia="宋体" w:hint="default"/>
                <w:spacing w:val="13"/>
                <w:sz w:val="21"/>
                <w:szCs w:val="21"/>
              </w:rPr>
              <w:t>锁定期满</w:t>
            </w:r>
            <w:r>
              <w:rPr>
                <w:rFonts w:ascii="宋体" w:hAnsi="宋体" w:cs="宋体" w:eastAsia="宋体" w:hint="default"/>
                <w:spacing w:val="-96"/>
                <w:sz w:val="21"/>
                <w:szCs w:val="21"/>
              </w:rPr>
              <w:t> </w:t>
            </w:r>
            <w:r>
              <w:rPr>
                <w:rFonts w:ascii="宋体" w:hAnsi="宋体" w:cs="宋体" w:eastAsia="宋体" w:hint="default"/>
                <w:sz w:val="21"/>
                <w:szCs w:val="21"/>
              </w:rPr>
              <w:t>后</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76"/>
                <w:sz w:val="21"/>
                <w:szCs w:val="21"/>
              </w:rPr>
              <w:t> </w:t>
            </w:r>
            <w:r>
              <w:rPr>
                <w:rFonts w:ascii="宋体" w:hAnsi="宋体" w:cs="宋体" w:eastAsia="宋体" w:hint="default"/>
                <w:sz w:val="21"/>
                <w:szCs w:val="21"/>
              </w:rPr>
              <w:t>再</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5"/>
              <w:jc w:val="both"/>
              <w:rPr>
                <w:rFonts w:ascii="宋体" w:hAnsi="宋体" w:cs="宋体" w:eastAsia="宋体" w:hint="default"/>
                <w:sz w:val="21"/>
                <w:szCs w:val="21"/>
              </w:rPr>
            </w:pPr>
            <w:r>
              <w:rPr>
                <w:rFonts w:ascii="宋体" w:hAnsi="宋体" w:cs="宋体" w:eastAsia="宋体" w:hint="default"/>
                <w:sz w:val="21"/>
                <w:szCs w:val="21"/>
              </w:rPr>
              <w:t>如公司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年度配股方案获中国证监会审核批准，本人将以现金方式全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额认购本次配股方案本人可获配售的所有股份，并确认用于认配股份的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资金来源合法合规。</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82"/>
              <w:jc w:val="left"/>
              <w:rPr>
                <w:rFonts w:ascii="宋体" w:hAnsi="宋体" w:cs="宋体" w:eastAsia="宋体" w:hint="default"/>
                <w:sz w:val="21"/>
                <w:szCs w:val="21"/>
              </w:rPr>
            </w:pPr>
            <w:r>
              <w:rPr>
                <w:rFonts w:ascii="宋体" w:hAnsi="宋体" w:cs="宋体" w:eastAsia="宋体" w:hint="default"/>
                <w:spacing w:val="13"/>
                <w:sz w:val="21"/>
                <w:szCs w:val="21"/>
              </w:rPr>
              <w:t>配股方案</w:t>
            </w:r>
            <w:r>
              <w:rPr>
                <w:rFonts w:ascii="宋体" w:hAnsi="宋体" w:cs="宋体" w:eastAsia="宋体" w:hint="default"/>
                <w:spacing w:val="-96"/>
                <w:sz w:val="21"/>
                <w:szCs w:val="21"/>
              </w:rPr>
              <w:t> </w:t>
            </w:r>
            <w:r>
              <w:rPr>
                <w:rFonts w:ascii="宋体" w:hAnsi="宋体" w:cs="宋体" w:eastAsia="宋体" w:hint="default"/>
                <w:sz w:val="21"/>
                <w:szCs w:val="21"/>
              </w:rPr>
              <w:t>实施期间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1383" w:type="dxa"/>
            <w:vMerge/>
            <w:tcBorders>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
              <w:jc w:val="left"/>
              <w:rPr>
                <w:rFonts w:ascii="宋体" w:hAnsi="宋体" w:cs="宋体" w:eastAsia="宋体" w:hint="default"/>
                <w:sz w:val="21"/>
                <w:szCs w:val="21"/>
              </w:rPr>
            </w:pPr>
            <w:r>
              <w:rPr>
                <w:rFonts w:ascii="宋体" w:hAnsi="宋体" w:cs="宋体" w:eastAsia="宋体" w:hint="default"/>
                <w:sz w:val="21"/>
                <w:szCs w:val="21"/>
              </w:rPr>
              <w:t>为维护公司和全体股东的合法权益，保障公司填补被摊薄即期回报措施</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能够得到切实履行，作为公司董事和高管承诺如下：</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、不无偿或以不公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平条件向其他单位或者个人输送利益，也不采用其他方式损害公司利益；</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Times New Roman" w:hAnsi="Times New Roman" w:cs="Times New Roman" w:eastAsia="Times New Roman" w:hint="default"/>
                <w:sz w:val="21"/>
                <w:szCs w:val="21"/>
              </w:rPr>
              <w:t>2</w:t>
            </w:r>
            <w:r>
              <w:rPr>
                <w:rFonts w:ascii="宋体" w:hAnsi="宋体" w:cs="宋体" w:eastAsia="宋体" w:hint="default"/>
                <w:sz w:val="21"/>
                <w:szCs w:val="21"/>
              </w:rPr>
              <w:t>、对本人的职务消费行为进行约束；</w:t>
            </w:r>
            <w:r>
              <w:rPr>
                <w:rFonts w:ascii="Times New Roman" w:hAnsi="Times New Roman" w:cs="Times New Roman" w:eastAsia="Times New Roman" w:hint="default"/>
                <w:sz w:val="21"/>
                <w:szCs w:val="21"/>
              </w:rPr>
              <w:t>3</w:t>
            </w:r>
            <w:r>
              <w:rPr>
                <w:rFonts w:ascii="宋体" w:hAnsi="宋体" w:cs="宋体" w:eastAsia="宋体" w:hint="default"/>
                <w:sz w:val="21"/>
                <w:szCs w:val="21"/>
              </w:rPr>
              <w:t>、不动用公司资产从事与履行职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责无关的投资、消费活动；</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、由董事会或薪酬与考核委员会制定的薪酬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制度与公司填补回报措施的执行情况相挂钩；</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、若公司后续推出股权激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励政策，拟公布的公司股权激励的行权条件与公司填补回报措施的执行</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情况相挂钩；</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、自本承诺出具日至公司本次配股实施完毕前，若中国证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监会作出关于填补回报措施及其承诺的其他新的监管规定的，且上述承</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诺不能满足中国证监会该等规定时，届时将按照中国证监会的最新规定</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出具补充承诺。</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103" w:right="82"/>
              <w:jc w:val="left"/>
              <w:rPr>
                <w:rFonts w:ascii="宋体" w:hAnsi="宋体" w:cs="宋体" w:eastAsia="宋体" w:hint="default"/>
                <w:sz w:val="21"/>
                <w:szCs w:val="21"/>
              </w:rPr>
            </w:pPr>
            <w:r>
              <w:rPr>
                <w:rFonts w:ascii="宋体" w:hAnsi="宋体" w:cs="宋体" w:eastAsia="宋体" w:hint="default"/>
                <w:spacing w:val="13"/>
                <w:sz w:val="21"/>
                <w:szCs w:val="21"/>
              </w:rPr>
              <w:t>配股实施</w:t>
            </w:r>
            <w:r>
              <w:rPr>
                <w:rFonts w:ascii="宋体" w:hAnsi="宋体" w:cs="宋体" w:eastAsia="宋体" w:hint="default"/>
                <w:spacing w:val="-96"/>
                <w:sz w:val="21"/>
                <w:szCs w:val="21"/>
              </w:rPr>
              <w:t> </w:t>
            </w:r>
            <w:r>
              <w:rPr>
                <w:rFonts w:ascii="宋体" w:hAnsi="宋体" w:cs="宋体" w:eastAsia="宋体" w:hint="default"/>
                <w:sz w:val="21"/>
                <w:szCs w:val="21"/>
              </w:rPr>
              <w:t>完毕前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383"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5"/>
              <w:jc w:val="both"/>
              <w:rPr>
                <w:rFonts w:ascii="宋体" w:hAnsi="宋体" w:cs="宋体" w:eastAsia="宋体" w:hint="default"/>
                <w:sz w:val="21"/>
                <w:szCs w:val="21"/>
              </w:rPr>
            </w:pPr>
            <w:r>
              <w:rPr>
                <w:rFonts w:ascii="宋体" w:hAnsi="宋体" w:cs="宋体" w:eastAsia="宋体" w:hint="default"/>
                <w:sz w:val="21"/>
                <w:szCs w:val="21"/>
              </w:rPr>
              <w:t>为维护公司和全体股东的合法权益，保障公司填补被摊薄即期回报措施</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能够得到切实履行，本人作出以下承诺：</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、不越权干预公司经营管理活</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动，不侵占公司的利益；</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、若本人违反该等承诺并给公司或者投资者造</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成损失的，本人将依法承担相应的法律责任；</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、自本人承诺出具日至公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司本次配股实施完毕前，若中国证监会作出关于填补回报措施及其承诺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的其他新的监管规定的，且上述承诺不能满足中国证监会该等规定时，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届时将按照中国证监会的最新规定出具补充承诺。</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3" w:right="82"/>
              <w:jc w:val="left"/>
              <w:rPr>
                <w:rFonts w:ascii="宋体" w:hAnsi="宋体" w:cs="宋体" w:eastAsia="宋体" w:hint="default"/>
                <w:sz w:val="21"/>
                <w:szCs w:val="21"/>
              </w:rPr>
            </w:pPr>
            <w:r>
              <w:rPr>
                <w:rFonts w:ascii="宋体" w:hAnsi="宋体" w:cs="宋体" w:eastAsia="宋体" w:hint="default"/>
                <w:spacing w:val="13"/>
                <w:sz w:val="21"/>
                <w:szCs w:val="21"/>
              </w:rPr>
              <w:t>配股实施</w:t>
            </w:r>
            <w:r>
              <w:rPr>
                <w:rFonts w:ascii="宋体" w:hAnsi="宋体" w:cs="宋体" w:eastAsia="宋体" w:hint="default"/>
                <w:spacing w:val="-96"/>
                <w:sz w:val="21"/>
                <w:szCs w:val="21"/>
              </w:rPr>
              <w:t> </w:t>
            </w:r>
            <w:r>
              <w:rPr>
                <w:rFonts w:ascii="宋体" w:hAnsi="宋体" w:cs="宋体" w:eastAsia="宋体" w:hint="default"/>
                <w:sz w:val="21"/>
                <w:szCs w:val="21"/>
              </w:rPr>
              <w:t>完毕前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日起至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日期间，不减持本人直接或间</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383"/>
        <w:gridCol w:w="689"/>
        <w:gridCol w:w="1003"/>
        <w:gridCol w:w="6798"/>
        <w:gridCol w:w="1119"/>
        <w:gridCol w:w="425"/>
        <w:gridCol w:w="682"/>
        <w:gridCol w:w="1104"/>
        <w:gridCol w:w="905"/>
      </w:tblGrid>
      <w:tr>
        <w:trPr>
          <w:trHeight w:val="1258" w:hRule="exact"/>
        </w:trPr>
        <w:tc>
          <w:tcPr>
            <w:tcW w:w="1383"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接持有的公司股份，若违反上述承诺，减持股份所得全部归公司所有。</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起至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2018</w:t>
            </w:r>
          </w:p>
          <w:p>
            <w:pPr>
              <w:pStyle w:val="TableParagraph"/>
              <w:spacing w:line="240" w:lineRule="auto" w:before="2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2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383"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3"/>
              <w:jc w:val="both"/>
              <w:rPr>
                <w:rFonts w:ascii="宋体" w:hAnsi="宋体" w:cs="宋体" w:eastAsia="宋体" w:hint="default"/>
                <w:sz w:val="21"/>
                <w:szCs w:val="21"/>
              </w:rPr>
            </w:pPr>
            <w:r>
              <w:rPr>
                <w:rFonts w:ascii="宋体" w:hAnsi="宋体" w:cs="宋体" w:eastAsia="宋体" w:hint="default"/>
                <w:sz w:val="21"/>
                <w:szCs w:val="21"/>
              </w:rPr>
              <w:t>徐春梅、</w:t>
            </w:r>
            <w:r>
              <w:rPr>
                <w:rFonts w:ascii="宋体" w:hAnsi="宋体" w:cs="宋体" w:eastAsia="宋体" w:hint="default"/>
                <w:spacing w:val="-101"/>
                <w:sz w:val="21"/>
                <w:szCs w:val="21"/>
              </w:rPr>
              <w:t> </w:t>
            </w:r>
            <w:r>
              <w:rPr>
                <w:rFonts w:ascii="宋体" w:hAnsi="宋体" w:cs="宋体" w:eastAsia="宋体" w:hint="default"/>
                <w:sz w:val="21"/>
                <w:szCs w:val="21"/>
              </w:rPr>
              <w:t>廖长宝、</w:t>
            </w:r>
            <w:r>
              <w:rPr>
                <w:rFonts w:ascii="宋体" w:hAnsi="宋体" w:cs="宋体" w:eastAsia="宋体" w:hint="default"/>
                <w:spacing w:val="-101"/>
                <w:sz w:val="21"/>
                <w:szCs w:val="21"/>
              </w:rPr>
              <w:t> </w:t>
            </w:r>
            <w:r>
              <w:rPr>
                <w:rFonts w:ascii="宋体" w:hAnsi="宋体" w:cs="宋体" w:eastAsia="宋体" w:hint="default"/>
                <w:sz w:val="21"/>
                <w:szCs w:val="21"/>
              </w:rPr>
              <w:t>张鹏程、</w:t>
            </w:r>
            <w:r>
              <w:rPr>
                <w:rFonts w:ascii="宋体" w:hAnsi="宋体" w:cs="宋体" w:eastAsia="宋体" w:hint="default"/>
                <w:spacing w:val="-101"/>
                <w:sz w:val="21"/>
                <w:szCs w:val="21"/>
              </w:rPr>
              <w:t> </w:t>
            </w:r>
            <w:r>
              <w:rPr>
                <w:rFonts w:ascii="宋体" w:hAnsi="宋体" w:cs="宋体" w:eastAsia="宋体" w:hint="default"/>
                <w:sz w:val="21"/>
                <w:szCs w:val="21"/>
              </w:rPr>
              <w:t>吴丽卿、</w:t>
            </w:r>
            <w:r>
              <w:rPr>
                <w:rFonts w:ascii="宋体" w:hAnsi="宋体" w:cs="宋体" w:eastAsia="宋体" w:hint="default"/>
                <w:spacing w:val="-101"/>
                <w:sz w:val="21"/>
                <w:szCs w:val="21"/>
              </w:rPr>
              <w:t> </w:t>
            </w:r>
            <w:r>
              <w:rPr>
                <w:rFonts w:ascii="宋体" w:hAnsi="宋体" w:cs="宋体" w:eastAsia="宋体" w:hint="default"/>
                <w:sz w:val="21"/>
                <w:szCs w:val="21"/>
              </w:rPr>
              <w:t>曾志勇</w:t>
            </w:r>
          </w:p>
        </w:tc>
        <w:tc>
          <w:tcPr>
            <w:tcW w:w="6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59" w:lineRule="auto"/>
              <w:ind w:left="103" w:right="97"/>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日期间，不减持本人直接或间</w:t>
            </w:r>
            <w:r>
              <w:rPr>
                <w:rFonts w:ascii="宋体" w:hAnsi="宋体" w:cs="宋体" w:eastAsia="宋体" w:hint="default"/>
                <w:w w:val="100"/>
                <w:sz w:val="21"/>
                <w:szCs w:val="21"/>
              </w:rPr>
              <w:t> </w:t>
            </w:r>
            <w:r>
              <w:rPr>
                <w:rFonts w:ascii="宋体" w:hAnsi="宋体" w:cs="宋体" w:eastAsia="宋体" w:hint="default"/>
                <w:sz w:val="21"/>
                <w:szCs w:val="21"/>
              </w:rPr>
              <w:t>接持有的公司股份，若违反上述承诺，减持股份所得全部归公司所有。</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2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起至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3"/>
        <w:tabs>
          <w:tab w:pos="784" w:val="left" w:leader="none"/>
        </w:tabs>
        <w:spacing w:line="295" w:lineRule="auto"/>
        <w:ind w:right="8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tabs>
          <w:tab w:pos="1269" w:val="left" w:leader="none"/>
          <w:tab w:pos="2320" w:val="left" w:leader="none"/>
        </w:tabs>
        <w:spacing w:line="291" w:lineRule="exact"/>
        <w:ind w:right="102"/>
        <w:jc w:val="left"/>
      </w:pPr>
      <w:r>
        <w:rPr>
          <w:rFonts w:ascii="Arial" w:hAnsi="Arial" w:cs="Arial" w:eastAsia="Arial" w:hint="default"/>
        </w:rPr>
        <w:t>□</w:t>
      </w:r>
      <w:r>
        <w:rPr>
          <w:rFonts w:ascii="Arial" w:hAnsi="Arial" w:cs="Arial" w:eastAsia="Arial" w:hint="default"/>
          <w:spacing w:val="26"/>
        </w:rPr>
        <w:t> </w:t>
      </w:r>
      <w:r>
        <w:rPr/>
        <w:t>已达到</w:t>
        <w:tab/>
      </w:r>
      <w:r>
        <w:rPr>
          <w:rFonts w:ascii="Arial" w:hAnsi="Arial" w:cs="Arial" w:eastAsia="Arial" w:hint="default"/>
        </w:rPr>
        <w:t>□</w:t>
      </w:r>
      <w:r>
        <w:rPr>
          <w:rFonts w:ascii="Arial" w:hAnsi="Arial" w:cs="Arial" w:eastAsia="Arial" w:hint="default"/>
          <w:spacing w:val="26"/>
        </w:rPr>
        <w:t> </w:t>
      </w:r>
      <w:r>
        <w:rPr/>
        <w:t>未达到</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102"/>
        <w:jc w:val="left"/>
        <w:rPr>
          <w:b w:val="0"/>
          <w:bCs w:val="0"/>
        </w:rPr>
      </w:pPr>
      <w:r>
        <w:rPr/>
        <w:t>三、报告期内资金被占用情况及清欠进展情况</w:t>
      </w:r>
      <w:r>
        <w:rPr>
          <w:b w:val="0"/>
          <w:bCs w:val="0"/>
        </w:rPr>
      </w:r>
    </w:p>
    <w:p>
      <w:pPr>
        <w:pStyle w:val="BodyText"/>
        <w:tabs>
          <w:tab w:pos="1060" w:val="left" w:leader="none"/>
        </w:tabs>
        <w:spacing w:line="240" w:lineRule="auto" w:before="97"/>
        <w:ind w:right="102"/>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102"/>
        <w:jc w:val="left"/>
        <w:rPr>
          <w:b w:val="0"/>
          <w:bCs w:val="0"/>
        </w:rPr>
      </w:pPr>
      <w:r>
        <w:rPr/>
        <w:t>四、公司对会计师事务所“非标准意见审计报告”的说明</w:t>
      </w:r>
      <w:r>
        <w:rPr>
          <w:b w:val="0"/>
          <w:bCs w:val="0"/>
        </w:rPr>
      </w:r>
    </w:p>
    <w:p>
      <w:pPr>
        <w:pStyle w:val="BodyText"/>
        <w:tabs>
          <w:tab w:pos="1060" w:val="left" w:leader="none"/>
        </w:tabs>
        <w:spacing w:line="240" w:lineRule="auto" w:before="97"/>
        <w:ind w:right="102"/>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102"/>
        <w:jc w:val="left"/>
        <w:rPr>
          <w:b w:val="0"/>
          <w:bCs w:val="0"/>
        </w:rPr>
      </w:pPr>
      <w:r>
        <w:rPr/>
        <w:t>五、公司对会计政策、会计估计变更或重大会计差错更正原因和影响的分析说明</w:t>
      </w:r>
      <w:r>
        <w:rPr>
          <w:b w:val="0"/>
          <w:bCs w:val="0"/>
        </w:rPr>
      </w:r>
    </w:p>
    <w:p>
      <w:pPr>
        <w:pStyle w:val="Heading3"/>
        <w:spacing w:line="240" w:lineRule="auto" w:before="97"/>
        <w:ind w:right="102"/>
        <w:jc w:val="left"/>
        <w:rPr>
          <w:b w:val="0"/>
          <w:bCs w:val="0"/>
        </w:rPr>
      </w:pPr>
      <w:r>
        <w:rPr/>
        <w:t>（一）公司对会计政策、会计估计变更原因及影响的分析说明</w:t>
      </w:r>
      <w:r>
        <w:rPr>
          <w:b w:val="0"/>
          <w:bCs w:val="0"/>
        </w:rPr>
      </w:r>
    </w:p>
    <w:p>
      <w:pPr>
        <w:pStyle w:val="BodyText"/>
        <w:tabs>
          <w:tab w:pos="1163" w:val="left" w:leader="none"/>
        </w:tabs>
        <w:spacing w:line="240" w:lineRule="auto" w:before="97"/>
        <w:ind w:right="102"/>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right="102"/>
        <w:jc w:val="left"/>
        <w:rPr>
          <w:b w:val="0"/>
          <w:bCs w:val="0"/>
        </w:rPr>
      </w:pPr>
      <w:r>
        <w:rPr/>
        <w:t>（二）公司对重大会计差错更正原因及影响的分析说明</w:t>
      </w:r>
      <w:r>
        <w:rPr>
          <w:b w:val="0"/>
          <w:bCs w:val="0"/>
        </w:rPr>
      </w:r>
    </w:p>
    <w:p>
      <w:pPr>
        <w:pStyle w:val="BodyText"/>
        <w:tabs>
          <w:tab w:pos="1163" w:val="left" w:leader="none"/>
        </w:tabs>
        <w:spacing w:line="240" w:lineRule="auto" w:before="97"/>
        <w:ind w:right="102"/>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right="102"/>
        <w:jc w:val="left"/>
        <w:rPr>
          <w:b w:val="0"/>
          <w:bCs w:val="0"/>
        </w:rPr>
      </w:pPr>
      <w:r>
        <w:rPr/>
        <w:t>（三）与前任会计师事务所进行的沟通情况</w:t>
      </w:r>
      <w:r>
        <w:rPr>
          <w:b w:val="0"/>
          <w:bCs w:val="0"/>
        </w:rPr>
      </w:r>
    </w:p>
    <w:p>
      <w:pPr>
        <w:pStyle w:val="BodyText"/>
        <w:tabs>
          <w:tab w:pos="1163" w:val="left" w:leader="none"/>
        </w:tabs>
        <w:spacing w:line="240" w:lineRule="auto" w:before="97"/>
        <w:ind w:right="102"/>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102"/>
        <w:jc w:val="left"/>
        <w:rPr>
          <w:b w:val="0"/>
          <w:bCs w:val="0"/>
        </w:rPr>
      </w:pPr>
      <w:r>
        <w:rPr/>
        <w:t>（四）其他说明</w:t>
      </w:r>
      <w:r>
        <w:rPr>
          <w:b w:val="0"/>
          <w:bCs w:val="0"/>
        </w:rPr>
      </w:r>
    </w:p>
    <w:p>
      <w:pPr>
        <w:pStyle w:val="BodyText"/>
        <w:tabs>
          <w:tab w:pos="1163" w:val="left" w:leader="none"/>
        </w:tabs>
        <w:spacing w:line="240" w:lineRule="auto" w:before="97"/>
        <w:ind w:right="102"/>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before="36"/>
        <w:ind w:right="102"/>
        <w:jc w:val="left"/>
        <w:rPr>
          <w:b w:val="0"/>
          <w:bCs w:val="0"/>
        </w:rPr>
      </w:pPr>
      <w:r>
        <w:rPr/>
        <w:t>六、聘任、解聘会计师事务所情况</w:t>
      </w:r>
      <w:r>
        <w:rPr>
          <w:b w:val="0"/>
          <w:bCs w:val="0"/>
        </w:rPr>
      </w:r>
    </w:p>
    <w:p>
      <w:pPr>
        <w:pStyle w:val="BodyText"/>
        <w:spacing w:line="240" w:lineRule="auto" w:before="97"/>
        <w:ind w:left="0" w:right="130"/>
        <w:jc w:val="right"/>
      </w:pPr>
      <w:r>
        <w:rPr>
          <w:spacing w:val="-2"/>
        </w:rPr>
        <w:t>单位：元币种：人民币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03"/>
        <w:gridCol w:w="2900"/>
        <w:gridCol w:w="2921"/>
      </w:tblGrid>
      <w:tr>
        <w:trPr>
          <w:trHeight w:val="324" w:hRule="exact"/>
        </w:trPr>
        <w:tc>
          <w:tcPr>
            <w:tcW w:w="3003" w:type="dxa"/>
            <w:tcBorders>
              <w:top w:val="single" w:sz="4" w:space="0" w:color="000000"/>
              <w:left w:val="single" w:sz="4" w:space="0" w:color="000000"/>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634"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0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4"/>
                <w:sz w:val="21"/>
                <w:szCs w:val="21"/>
              </w:rPr>
              <w:t>福建华兴会计师事务所（特殊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普通合伙）</w:t>
            </w:r>
          </w:p>
        </w:tc>
      </w:tr>
      <w:tr>
        <w:trPr>
          <w:trHeight w:val="32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0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800,000</w:t>
            </w:r>
          </w:p>
        </w:tc>
      </w:tr>
      <w:tr>
        <w:trPr>
          <w:trHeight w:val="32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0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7</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01"/>
        <w:gridCol w:w="2904"/>
        <w:gridCol w:w="2919"/>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福建华兴会计师事务所（特殊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普通合伙）</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w:t>
            </w:r>
          </w:p>
        </w:tc>
      </w:tr>
    </w:tbl>
    <w:p>
      <w:pPr>
        <w:spacing w:line="240" w:lineRule="auto" w:before="2"/>
        <w:rPr>
          <w:rFonts w:ascii="宋体" w:hAnsi="宋体" w:cs="宋体" w:eastAsia="宋体" w:hint="default"/>
          <w:sz w:val="20"/>
          <w:szCs w:val="20"/>
        </w:rPr>
      </w:pPr>
    </w:p>
    <w:p>
      <w:pPr>
        <w:pStyle w:val="BodyText"/>
        <w:spacing w:line="240" w:lineRule="auto" w:before="36"/>
        <w:ind w:right="102"/>
        <w:jc w:val="left"/>
      </w:pPr>
      <w:r>
        <w:rPr/>
        <w:t>聘任、解聘会计师事务所的情况说明</w:t>
      </w:r>
    </w:p>
    <w:p>
      <w:pPr>
        <w:pStyle w:val="BodyText"/>
        <w:tabs>
          <w:tab w:pos="1060" w:val="left" w:leader="none"/>
        </w:tabs>
        <w:spacing w:line="240" w:lineRule="auto" w:before="37"/>
        <w:ind w:right="102"/>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40" w:lineRule="auto" w:before="77"/>
        <w:ind w:left="638" w:right="102"/>
        <w:jc w:val="left"/>
      </w:pPr>
      <w:r>
        <w:rPr/>
        <w:t>经公司 </w:t>
      </w:r>
      <w:r>
        <w:rPr>
          <w:rFonts w:ascii="Times New Roman" w:hAnsi="Times New Roman" w:cs="Times New Roman" w:eastAsia="Times New Roman" w:hint="default"/>
        </w:rPr>
        <w:t>2016</w:t>
      </w:r>
      <w:r>
        <w:rPr>
          <w:rFonts w:ascii="Times New Roman" w:hAnsi="Times New Roman" w:cs="Times New Roman" w:eastAsia="Times New Roman" w:hint="default"/>
          <w:spacing w:val="21"/>
        </w:rPr>
        <w:t> </w:t>
      </w:r>
      <w:r>
        <w:rPr>
          <w:spacing w:val="-5"/>
        </w:rPr>
        <w:t>年年度股东大会审议批准，聘请福建华兴会计师事务所（特殊普通合伙）为公司</w:t>
      </w:r>
    </w:p>
    <w:p>
      <w:pPr>
        <w:pStyle w:val="BodyText"/>
        <w:spacing w:line="240" w:lineRule="auto" w:before="69"/>
        <w:ind w:right="102"/>
        <w:jc w:val="left"/>
      </w:pP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spacing w:val="-2"/>
        </w:rPr>
        <w:t>年度财务报告与内部控制审计机构，负责本公司年度财务报告及相关专项审计工作。</w:t>
      </w:r>
    </w:p>
    <w:p>
      <w:pPr>
        <w:spacing w:after="0" w:line="240" w:lineRule="auto"/>
        <w:jc w:val="left"/>
        <w:sectPr>
          <w:headerReference w:type="default" r:id="rId15"/>
          <w:footerReference w:type="default" r:id="rId16"/>
          <w:pgSz w:w="11910" w:h="16840"/>
          <w:pgMar w:header="855" w:footer="979" w:top="1140" w:bottom="1160" w:left="1580" w:right="1140"/>
          <w:pgNumType w:start="38"/>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审计期间改聘会计师事务所的情况说明</w:t>
      </w:r>
    </w:p>
    <w:p>
      <w:pPr>
        <w:pStyle w:val="BodyText"/>
        <w:tabs>
          <w:tab w:pos="1163" w:val="left" w:leader="none"/>
        </w:tabs>
        <w:spacing w:line="240" w:lineRule="auto" w:before="37"/>
        <w:ind w:right="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324" w:lineRule="auto"/>
        <w:ind w:right="622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tabs>
          <w:tab w:pos="1163" w:val="left" w:leader="none"/>
        </w:tabs>
        <w:spacing w:line="240" w:lineRule="auto" w:before="23"/>
        <w:ind w:right="0"/>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BodyText"/>
        <w:tabs>
          <w:tab w:pos="1060" w:val="left" w:leader="none"/>
        </w:tabs>
        <w:spacing w:line="240" w:lineRule="auto" w:before="97"/>
        <w:ind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0"/>
        <w:jc w:val="left"/>
        <w:rPr>
          <w:b w:val="0"/>
          <w:bCs w:val="0"/>
        </w:rPr>
      </w:pPr>
      <w:r>
        <w:rPr/>
        <w:t>八、面临终止上市的情况和原因</w:t>
      </w:r>
      <w:r>
        <w:rPr>
          <w:b w:val="0"/>
          <w:bCs w:val="0"/>
        </w:rPr>
      </w:r>
    </w:p>
    <w:p>
      <w:pPr>
        <w:pStyle w:val="BodyText"/>
        <w:tabs>
          <w:tab w:pos="1163" w:val="left" w:leader="none"/>
        </w:tabs>
        <w:spacing w:line="240" w:lineRule="auto" w:before="97"/>
        <w:ind w:right="0"/>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right="0"/>
        <w:jc w:val="left"/>
        <w:rPr>
          <w:b w:val="0"/>
          <w:bCs w:val="0"/>
        </w:rPr>
      </w:pPr>
      <w:r>
        <w:rPr/>
        <w:t>九、破产重整相关事项</w:t>
      </w:r>
      <w:r>
        <w:rPr>
          <w:b w:val="0"/>
          <w:bCs w:val="0"/>
        </w:rPr>
      </w:r>
    </w:p>
    <w:p>
      <w:pPr>
        <w:pStyle w:val="BodyText"/>
        <w:tabs>
          <w:tab w:pos="1060" w:val="left" w:leader="none"/>
        </w:tabs>
        <w:spacing w:line="240" w:lineRule="auto" w:before="97"/>
        <w:ind w:right="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0"/>
        <w:jc w:val="left"/>
        <w:rPr>
          <w:b w:val="0"/>
          <w:bCs w:val="0"/>
        </w:rPr>
      </w:pPr>
      <w:r>
        <w:rPr/>
        <w:t>十、重大诉讼、仲裁事项</w:t>
      </w:r>
      <w:r>
        <w:rPr>
          <w:b w:val="0"/>
          <w:bCs w:val="0"/>
        </w:rPr>
      </w:r>
    </w:p>
    <w:p>
      <w:pPr>
        <w:pStyle w:val="BodyText"/>
        <w:tabs>
          <w:tab w:pos="3792" w:val="left" w:leader="none"/>
        </w:tabs>
        <w:spacing w:line="240" w:lineRule="auto" w:before="97"/>
        <w:ind w:right="0"/>
        <w:jc w:val="left"/>
      </w:pPr>
      <w:r>
        <w:rPr>
          <w:rFonts w:ascii="Arial" w:hAnsi="Arial" w:cs="Arial" w:eastAsia="Arial" w:hint="default"/>
        </w:rPr>
        <w:t>□</w:t>
      </w:r>
      <w:r>
        <w:rPr>
          <w:rFonts w:ascii="Arial" w:hAnsi="Arial" w:cs="Arial" w:eastAsia="Arial" w:hint="default"/>
          <w:spacing w:val="25"/>
        </w:rPr>
        <w:t> </w:t>
      </w:r>
      <w:r>
        <w:rPr/>
        <w:t>本年度公司有重大诉讼、仲裁事项</w:t>
        <w:tab/>
      </w:r>
      <w:r>
        <w:rPr>
          <w:rFonts w:ascii="Calibri" w:hAnsi="Calibri" w:cs="Calibri" w:eastAsia="Calibri" w:hint="default"/>
        </w:rPr>
        <w:t>√</w:t>
      </w:r>
      <w:r>
        <w:rPr/>
        <w:t>本年度公司无重大诉讼、仲裁事项</w:t>
      </w:r>
    </w:p>
    <w:p>
      <w:pPr>
        <w:pStyle w:val="Heading3"/>
        <w:spacing w:line="240" w:lineRule="auto" w:before="70"/>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70"/>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70"/>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70"/>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pStyle w:val="Heading3"/>
        <w:spacing w:line="240" w:lineRule="auto" w:before="7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40" w:lineRule="auto" w:before="70"/>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73" w:lineRule="auto"/>
        <w:ind w:left="63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tabs>
          <w:tab w:pos="1060" w:val="left" w:leader="none"/>
        </w:tabs>
        <w:spacing w:line="240" w:lineRule="auto" w:before="67"/>
        <w:ind w:right="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0"/>
        <w:jc w:val="left"/>
        <w:rPr>
          <w:b w:val="0"/>
          <w:bCs w:val="0"/>
        </w:rPr>
      </w:pPr>
      <w:r>
        <w:rPr/>
        <w:t>十二、报告期内公司及其控股股东、实际控制人诚信状况的说明</w:t>
      </w:r>
      <w:r>
        <w:rPr>
          <w:b w:val="0"/>
          <w:bCs w:val="0"/>
        </w:rPr>
      </w:r>
    </w:p>
    <w:p>
      <w:pPr>
        <w:pStyle w:val="BodyText"/>
        <w:tabs>
          <w:tab w:pos="1163" w:val="left" w:leader="none"/>
        </w:tabs>
        <w:spacing w:line="321" w:lineRule="auto" w:before="97"/>
        <w:ind w:left="638" w:right="150" w:hanging="420"/>
        <w:jc w:val="left"/>
      </w:pPr>
      <w:r>
        <w:rPr/>
        <w:t>√适用</w:t>
        <w:tab/>
        <w:t>□不适用</w:t>
      </w:r>
      <w:r>
        <w:rPr>
          <w:w w:val="100"/>
        </w:rPr>
        <w:t> </w:t>
      </w:r>
      <w:r>
        <w:rPr>
          <w:spacing w:val="-2"/>
        </w:rPr>
        <w:t>报告期内，公司及控股股东、实际控制人不存在未履行法院生效判决、所负数额较大的债务</w:t>
      </w:r>
    </w:p>
    <w:p>
      <w:pPr>
        <w:pStyle w:val="BodyText"/>
        <w:spacing w:line="240" w:lineRule="auto" w:before="13"/>
        <w:ind w:right="0"/>
        <w:jc w:val="left"/>
      </w:pPr>
      <w:r>
        <w:rPr/>
        <w:t>到期未清偿等情况。</w:t>
      </w:r>
    </w:p>
    <w:p>
      <w:pPr>
        <w:spacing w:line="240" w:lineRule="auto" w:before="0"/>
        <w:rPr>
          <w:rFonts w:ascii="宋体" w:hAnsi="宋体" w:cs="宋体" w:eastAsia="宋体" w:hint="default"/>
          <w:sz w:val="20"/>
          <w:szCs w:val="20"/>
        </w:rPr>
      </w:pPr>
    </w:p>
    <w:p>
      <w:pPr>
        <w:pStyle w:val="Heading3"/>
        <w:spacing w:line="324" w:lineRule="auto" w:before="140"/>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tabs>
          <w:tab w:pos="1060" w:val="left" w:leader="none"/>
        </w:tabs>
        <w:spacing w:line="240" w:lineRule="auto" w:before="23"/>
        <w:ind w:right="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公司第二届董事会第二十七次会</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tc>
      </w:tr>
    </w:tbl>
    <w:p>
      <w:pPr>
        <w:spacing w:after="0" w:line="278" w:lineRule="exact"/>
        <w:jc w:val="center"/>
        <w:rPr>
          <w:rFonts w:ascii="宋体" w:hAnsi="宋体" w:cs="宋体" w:eastAsia="宋体" w:hint="default"/>
          <w:sz w:val="21"/>
          <w:szCs w:val="21"/>
        </w:rPr>
        <w:sectPr>
          <w:pgSz w:w="11910" w:h="16840"/>
          <w:pgMar w:header="855" w:footer="979" w:top="1140" w:bottom="1160" w:left="1580" w:right="1120"/>
        </w:sectPr>
      </w:pPr>
    </w:p>
    <w:p>
      <w:pPr>
        <w:spacing w:line="240" w:lineRule="auto" w:before="10"/>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63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left"/>
              <w:rPr>
                <w:rFonts w:ascii="宋体" w:hAnsi="宋体" w:cs="宋体" w:eastAsia="宋体" w:hint="default"/>
                <w:sz w:val="21"/>
                <w:szCs w:val="21"/>
              </w:rPr>
            </w:pPr>
            <w:r>
              <w:rPr>
                <w:rFonts w:ascii="宋体" w:hAnsi="宋体" w:cs="宋体" w:eastAsia="宋体" w:hint="default"/>
                <w:sz w:val="21"/>
                <w:szCs w:val="21"/>
              </w:rPr>
              <w:t>议审议通过了实施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年限制</w:t>
            </w:r>
            <w:r>
              <w:rPr>
                <w:rFonts w:ascii="宋体" w:hAnsi="宋体" w:cs="宋体" w:eastAsia="宋体" w:hint="default"/>
                <w:w w:val="100"/>
                <w:sz w:val="21"/>
                <w:szCs w:val="21"/>
              </w:rPr>
              <w:t> </w:t>
            </w:r>
            <w:r>
              <w:rPr>
                <w:rFonts w:ascii="宋体" w:hAnsi="宋体" w:cs="宋体" w:eastAsia="宋体" w:hint="default"/>
                <w:sz w:val="21"/>
                <w:szCs w:val="21"/>
              </w:rPr>
              <w:t>性股票激励计划的有关事项</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1"/>
              <w:jc w:val="left"/>
              <w:rPr>
                <w:rFonts w:ascii="宋体" w:hAnsi="宋体" w:cs="宋体" w:eastAsia="宋体" w:hint="default"/>
                <w:sz w:val="21"/>
                <w:szCs w:val="21"/>
              </w:rPr>
            </w:pPr>
            <w:r>
              <w:rPr>
                <w:rFonts w:ascii="宋体" w:hAnsi="宋体" w:cs="宋体" w:eastAsia="宋体" w:hint="default"/>
                <w:spacing w:val="-1"/>
                <w:sz w:val="21"/>
                <w:szCs w:val="21"/>
              </w:rPr>
              <w:t>（</w:t>
            </w:r>
            <w:hyperlink r:id="rId12">
              <w:r>
                <w:rPr>
                  <w:rFonts w:ascii="Times New Roman" w:hAnsi="Times New Roman" w:cs="Times New Roman" w:eastAsia="Times New Roman" w:hint="default"/>
                  <w:spacing w:val="-1"/>
                  <w:sz w:val="21"/>
                  <w:szCs w:val="21"/>
                </w:rPr>
                <w:t>http://www.sse.com.cn/</w:t>
              </w:r>
            </w:hyperlink>
            <w:r>
              <w:rPr>
                <w:rFonts w:ascii="宋体" w:hAnsi="宋体" w:cs="宋体" w:eastAsia="宋体" w:hint="default"/>
                <w:spacing w:val="-1"/>
                <w:sz w:val="21"/>
                <w:szCs w:val="21"/>
              </w:rPr>
              <w:t>）披露的《第二届董事会第二十七次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6"/>
                <w:w w:val="100"/>
                <w:sz w:val="21"/>
                <w:szCs w:val="21"/>
              </w:rPr>
              <w:t>会议决议公告》（公告编号：</w:t>
            </w:r>
            <w:r>
              <w:rPr>
                <w:rFonts w:ascii="Times New Roman" w:hAnsi="Times New Roman" w:cs="Times New Roman" w:eastAsia="Times New Roman" w:hint="default"/>
                <w:spacing w:val="-6"/>
                <w:w w:val="100"/>
                <w:sz w:val="21"/>
                <w:szCs w:val="21"/>
              </w:rPr>
              <w:t>2016-065</w:t>
            </w:r>
            <w:r>
              <w:rPr>
                <w:rFonts w:ascii="宋体" w:hAnsi="宋体" w:cs="宋体" w:eastAsia="宋体" w:hint="default"/>
                <w:spacing w:val="-6"/>
                <w:w w:val="100"/>
                <w:sz w:val="21"/>
                <w:szCs w:val="21"/>
              </w:rPr>
              <w:t>）</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7"/>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年第二次临时股东大</w:t>
            </w:r>
            <w:r>
              <w:rPr>
                <w:rFonts w:ascii="宋体" w:hAnsi="宋体" w:cs="宋体" w:eastAsia="宋体" w:hint="default"/>
                <w:w w:val="100"/>
                <w:sz w:val="21"/>
                <w:szCs w:val="21"/>
              </w:rPr>
              <w:t> </w:t>
            </w:r>
            <w:r>
              <w:rPr>
                <w:rFonts w:ascii="宋体" w:hAnsi="宋体" w:cs="宋体" w:eastAsia="宋体" w:hint="default"/>
                <w:sz w:val="21"/>
                <w:szCs w:val="21"/>
              </w:rPr>
              <w:t>会决议通过了实施股权激励计划</w:t>
            </w:r>
            <w:r>
              <w:rPr>
                <w:rFonts w:ascii="宋体" w:hAnsi="宋体" w:cs="宋体" w:eastAsia="宋体" w:hint="default"/>
                <w:spacing w:val="-89"/>
                <w:sz w:val="21"/>
                <w:szCs w:val="21"/>
              </w:rPr>
              <w:t> </w:t>
            </w:r>
            <w:r>
              <w:rPr>
                <w:rFonts w:ascii="宋体" w:hAnsi="宋体" w:cs="宋体" w:eastAsia="宋体" w:hint="default"/>
                <w:sz w:val="21"/>
                <w:szCs w:val="21"/>
              </w:rPr>
              <w:t>等事项</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58"/>
                <w:sz w:val="21"/>
                <w:szCs w:val="21"/>
              </w:rPr>
              <w:t> </w:t>
            </w:r>
            <w:r>
              <w:rPr>
                <w:rFonts w:ascii="宋体" w:hAnsi="宋体" w:cs="宋体" w:eastAsia="宋体" w:hint="default"/>
                <w:sz w:val="21"/>
                <w:szCs w:val="21"/>
              </w:rPr>
              <w:t>见</w:t>
            </w:r>
            <w:r>
              <w:rPr>
                <w:rFonts w:ascii="宋体" w:hAnsi="宋体" w:cs="宋体" w:eastAsia="宋体" w:hint="default"/>
                <w:spacing w:val="-58"/>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日</w:t>
            </w:r>
            <w:r>
              <w:rPr>
                <w:rFonts w:ascii="宋体" w:hAnsi="宋体" w:cs="宋体" w:eastAsia="宋体" w:hint="default"/>
                <w:spacing w:val="-60"/>
                <w:sz w:val="21"/>
                <w:szCs w:val="21"/>
              </w:rPr>
              <w:t> </w:t>
            </w:r>
            <w:r>
              <w:rPr>
                <w:rFonts w:ascii="宋体" w:hAnsi="宋体" w:cs="宋体" w:eastAsia="宋体" w:hint="default"/>
                <w:sz w:val="21"/>
                <w:szCs w:val="21"/>
              </w:rPr>
              <w:t>在</w:t>
            </w:r>
            <w:r>
              <w:rPr>
                <w:rFonts w:ascii="宋体" w:hAnsi="宋体" w:cs="宋体" w:eastAsia="宋体" w:hint="default"/>
                <w:spacing w:val="-58"/>
                <w:sz w:val="21"/>
                <w:szCs w:val="21"/>
              </w:rPr>
              <w:t> </w:t>
            </w:r>
            <w:r>
              <w:rPr>
                <w:rFonts w:ascii="宋体" w:hAnsi="宋体" w:cs="宋体" w:eastAsia="宋体" w:hint="default"/>
                <w:sz w:val="21"/>
                <w:szCs w:val="21"/>
              </w:rPr>
              <w:t>上</w:t>
            </w:r>
            <w:r>
              <w:rPr>
                <w:rFonts w:ascii="宋体" w:hAnsi="宋体" w:cs="宋体" w:eastAsia="宋体" w:hint="default"/>
                <w:spacing w:val="-60"/>
                <w:sz w:val="21"/>
                <w:szCs w:val="21"/>
              </w:rPr>
              <w:t> </w:t>
            </w:r>
            <w:r>
              <w:rPr>
                <w:rFonts w:ascii="宋体" w:hAnsi="宋体" w:cs="宋体" w:eastAsia="宋体" w:hint="default"/>
                <w:sz w:val="21"/>
                <w:szCs w:val="21"/>
              </w:rPr>
              <w:t>海</w:t>
            </w:r>
            <w:r>
              <w:rPr>
                <w:rFonts w:ascii="宋体" w:hAnsi="宋体" w:cs="宋体" w:eastAsia="宋体" w:hint="default"/>
                <w:spacing w:val="-58"/>
                <w:sz w:val="21"/>
                <w:szCs w:val="21"/>
              </w:rPr>
              <w:t> </w:t>
            </w:r>
            <w:r>
              <w:rPr>
                <w:rFonts w:ascii="宋体" w:hAnsi="宋体" w:cs="宋体" w:eastAsia="宋体" w:hint="default"/>
                <w:sz w:val="21"/>
                <w:szCs w:val="21"/>
              </w:rPr>
              <w:t>证</w:t>
            </w:r>
            <w:r>
              <w:rPr>
                <w:rFonts w:ascii="宋体" w:hAnsi="宋体" w:cs="宋体" w:eastAsia="宋体" w:hint="default"/>
                <w:spacing w:val="-60"/>
                <w:sz w:val="21"/>
                <w:szCs w:val="21"/>
              </w:rPr>
              <w:t> </w:t>
            </w:r>
            <w:r>
              <w:rPr>
                <w:rFonts w:ascii="宋体" w:hAnsi="宋体" w:cs="宋体" w:eastAsia="宋体" w:hint="default"/>
                <w:sz w:val="21"/>
                <w:szCs w:val="21"/>
              </w:rPr>
              <w:t>券</w:t>
            </w:r>
            <w:r>
              <w:rPr>
                <w:rFonts w:ascii="宋体" w:hAnsi="宋体" w:cs="宋体" w:eastAsia="宋体" w:hint="default"/>
                <w:spacing w:val="-60"/>
                <w:sz w:val="21"/>
                <w:szCs w:val="21"/>
              </w:rPr>
              <w:t> </w:t>
            </w:r>
            <w:r>
              <w:rPr>
                <w:rFonts w:ascii="宋体" w:hAnsi="宋体" w:cs="宋体" w:eastAsia="宋体" w:hint="default"/>
                <w:sz w:val="21"/>
                <w:szCs w:val="21"/>
              </w:rPr>
              <w:t>交</w:t>
            </w:r>
            <w:r>
              <w:rPr>
                <w:rFonts w:ascii="宋体" w:hAnsi="宋体" w:cs="宋体" w:eastAsia="宋体" w:hint="default"/>
                <w:spacing w:val="-58"/>
                <w:sz w:val="21"/>
                <w:szCs w:val="21"/>
              </w:rPr>
              <w:t> </w:t>
            </w:r>
            <w:r>
              <w:rPr>
                <w:rFonts w:ascii="宋体" w:hAnsi="宋体" w:cs="宋体" w:eastAsia="宋体" w:hint="default"/>
                <w:sz w:val="21"/>
                <w:szCs w:val="21"/>
              </w:rPr>
              <w:t>易</w:t>
            </w:r>
            <w:r>
              <w:rPr>
                <w:rFonts w:ascii="宋体" w:hAnsi="宋体" w:cs="宋体" w:eastAsia="宋体" w:hint="default"/>
                <w:spacing w:val="-58"/>
                <w:sz w:val="21"/>
                <w:szCs w:val="21"/>
              </w:rPr>
              <w:t> </w:t>
            </w:r>
            <w:r>
              <w:rPr>
                <w:rFonts w:ascii="宋体" w:hAnsi="宋体" w:cs="宋体" w:eastAsia="宋体" w:hint="default"/>
                <w:sz w:val="21"/>
                <w:szCs w:val="21"/>
              </w:rPr>
              <w:t>所</w:t>
            </w:r>
          </w:p>
          <w:p>
            <w:pPr>
              <w:pStyle w:val="TableParagraph"/>
              <w:spacing w:line="256" w:lineRule="auto" w:before="21"/>
              <w:ind w:left="103" w:right="99"/>
              <w:jc w:val="left"/>
              <w:rPr>
                <w:rFonts w:ascii="宋体" w:hAnsi="宋体" w:cs="宋体" w:eastAsia="宋体" w:hint="default"/>
                <w:sz w:val="21"/>
                <w:szCs w:val="21"/>
              </w:rPr>
            </w:pPr>
            <w:r>
              <w:rPr>
                <w:rFonts w:ascii="宋体" w:hAnsi="宋体" w:cs="宋体" w:eastAsia="宋体" w:hint="default"/>
                <w:spacing w:val="-2"/>
                <w:sz w:val="21"/>
                <w:szCs w:val="21"/>
              </w:rPr>
              <w:t>（</w:t>
            </w:r>
            <w:hyperlink r:id="rId12">
              <w:r>
                <w:rPr>
                  <w:rFonts w:ascii="Times New Roman" w:hAnsi="Times New Roman" w:cs="Times New Roman" w:eastAsia="Times New Roman" w:hint="default"/>
                  <w:spacing w:val="-2"/>
                  <w:sz w:val="21"/>
                  <w:szCs w:val="21"/>
                </w:rPr>
                <w:t>http://www.sse.com.cn/</w:t>
              </w:r>
            </w:hyperlink>
            <w:r>
              <w:rPr>
                <w:rFonts w:ascii="宋体" w:hAnsi="宋体" w:cs="宋体" w:eastAsia="宋体" w:hint="default"/>
                <w:spacing w:val="-2"/>
                <w:sz w:val="21"/>
                <w:szCs w:val="21"/>
              </w:rPr>
              <w:t>）披露的《</w:t>
            </w:r>
            <w:r>
              <w:rPr>
                <w:rFonts w:ascii="Times New Roman" w:hAnsi="Times New Roman" w:cs="Times New Roman" w:eastAsia="Times New Roman" w:hint="default"/>
                <w:spacing w:val="-2"/>
                <w:sz w:val="21"/>
                <w:szCs w:val="21"/>
              </w:rPr>
              <w:t>2016</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年第二次临时股东大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w w:val="100"/>
                <w:sz w:val="21"/>
                <w:szCs w:val="21"/>
              </w:rPr>
              <w:t>会决议公告》（公告编号：</w:t>
            </w:r>
            <w:r>
              <w:rPr>
                <w:rFonts w:ascii="Times New Roman" w:hAnsi="Times New Roman" w:cs="Times New Roman" w:eastAsia="Times New Roman" w:hint="default"/>
                <w:spacing w:val="-7"/>
                <w:w w:val="100"/>
                <w:sz w:val="21"/>
                <w:szCs w:val="21"/>
              </w:rPr>
              <w:t>2016-076</w:t>
            </w:r>
            <w:r>
              <w:rPr>
                <w:rFonts w:ascii="宋体" w:hAnsi="宋体" w:cs="宋体" w:eastAsia="宋体" w:hint="default"/>
                <w:spacing w:val="-7"/>
                <w:w w:val="100"/>
                <w:sz w:val="21"/>
                <w:szCs w:val="21"/>
              </w:rPr>
              <w:t>）</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公司第二届董事会第二十九次会</w:t>
            </w:r>
            <w:r>
              <w:rPr>
                <w:rFonts w:ascii="宋体" w:hAnsi="宋体" w:cs="宋体" w:eastAsia="宋体" w:hint="default"/>
                <w:spacing w:val="-89"/>
                <w:sz w:val="21"/>
                <w:szCs w:val="21"/>
              </w:rPr>
              <w:t> </w:t>
            </w:r>
            <w:r>
              <w:rPr>
                <w:rFonts w:ascii="宋体" w:hAnsi="宋体" w:cs="宋体" w:eastAsia="宋体" w:hint="default"/>
                <w:sz w:val="21"/>
                <w:szCs w:val="21"/>
              </w:rPr>
              <w:t>议决议通过了股权激励计划股份</w:t>
            </w:r>
            <w:r>
              <w:rPr>
                <w:rFonts w:ascii="宋体" w:hAnsi="宋体" w:cs="宋体" w:eastAsia="宋体" w:hint="default"/>
                <w:spacing w:val="-89"/>
                <w:sz w:val="21"/>
                <w:szCs w:val="21"/>
              </w:rPr>
              <w:t> </w:t>
            </w:r>
            <w:r>
              <w:rPr>
                <w:rFonts w:ascii="宋体" w:hAnsi="宋体" w:cs="宋体" w:eastAsia="宋体" w:hint="default"/>
                <w:sz w:val="21"/>
                <w:szCs w:val="21"/>
              </w:rPr>
              <w:t>授予等事项</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详 见 公 司 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30  </w:t>
            </w:r>
            <w:r>
              <w:rPr>
                <w:rFonts w:ascii="宋体" w:hAnsi="宋体" w:cs="宋体" w:eastAsia="宋体" w:hint="default"/>
                <w:spacing w:val="34"/>
                <w:sz w:val="21"/>
                <w:szCs w:val="21"/>
              </w:rPr>
              <w:t>日在上海证券交易</w:t>
            </w:r>
            <w:r>
              <w:rPr>
                <w:rFonts w:ascii="宋体" w:hAnsi="宋体" w:cs="宋体" w:eastAsia="宋体" w:hint="default"/>
                <w:spacing w:val="-82"/>
                <w:sz w:val="21"/>
                <w:szCs w:val="21"/>
              </w:rPr>
              <w:t> </w:t>
            </w:r>
            <w:r>
              <w:rPr>
                <w:rFonts w:ascii="宋体" w:hAnsi="宋体" w:cs="宋体" w:eastAsia="宋体" w:hint="default"/>
                <w:sz w:val="21"/>
                <w:szCs w:val="21"/>
              </w:rPr>
              <w:t>所</w:t>
            </w:r>
          </w:p>
          <w:p>
            <w:pPr>
              <w:pStyle w:val="TableParagraph"/>
              <w:spacing w:line="256" w:lineRule="auto" w:before="21"/>
              <w:ind w:left="103" w:right="101"/>
              <w:jc w:val="left"/>
              <w:rPr>
                <w:rFonts w:ascii="宋体" w:hAnsi="宋体" w:cs="宋体" w:eastAsia="宋体" w:hint="default"/>
                <w:sz w:val="21"/>
                <w:szCs w:val="21"/>
              </w:rPr>
            </w:pPr>
            <w:r>
              <w:rPr>
                <w:rFonts w:ascii="宋体" w:hAnsi="宋体" w:cs="宋体" w:eastAsia="宋体" w:hint="default"/>
                <w:spacing w:val="-1"/>
                <w:sz w:val="21"/>
                <w:szCs w:val="21"/>
              </w:rPr>
              <w:t>（</w:t>
            </w:r>
            <w:hyperlink r:id="rId12">
              <w:r>
                <w:rPr>
                  <w:rFonts w:ascii="Times New Roman" w:hAnsi="Times New Roman" w:cs="Times New Roman" w:eastAsia="Times New Roman" w:hint="default"/>
                  <w:spacing w:val="-1"/>
                  <w:sz w:val="21"/>
                  <w:szCs w:val="21"/>
                </w:rPr>
                <w:t>http://www.sse.com.cn/</w:t>
              </w:r>
            </w:hyperlink>
            <w:r>
              <w:rPr>
                <w:rFonts w:ascii="宋体" w:hAnsi="宋体" w:cs="宋体" w:eastAsia="宋体" w:hint="default"/>
                <w:spacing w:val="-1"/>
                <w:sz w:val="21"/>
                <w:szCs w:val="21"/>
              </w:rPr>
              <w:t>）披露的《第二届董事会第二十九次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6"/>
                <w:w w:val="100"/>
                <w:sz w:val="21"/>
                <w:szCs w:val="21"/>
              </w:rPr>
              <w:t>会议决议公告》（公告编号：</w:t>
            </w:r>
            <w:r>
              <w:rPr>
                <w:rFonts w:ascii="Times New Roman" w:hAnsi="Times New Roman" w:cs="Times New Roman" w:eastAsia="Times New Roman" w:hint="default"/>
                <w:spacing w:val="-6"/>
                <w:w w:val="100"/>
                <w:sz w:val="21"/>
                <w:szCs w:val="21"/>
              </w:rPr>
              <w:t>2016-080</w:t>
            </w:r>
            <w:r>
              <w:rPr>
                <w:rFonts w:ascii="宋体" w:hAnsi="宋体" w:cs="宋体" w:eastAsia="宋体" w:hint="default"/>
                <w:spacing w:val="-6"/>
                <w:w w:val="100"/>
                <w:sz w:val="21"/>
                <w:szCs w:val="21"/>
              </w:rPr>
              <w:t>）</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3"/>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5"/>
                <w:sz w:val="21"/>
                <w:szCs w:val="21"/>
              </w:rPr>
              <w:t> </w:t>
            </w:r>
            <w:r>
              <w:rPr>
                <w:rFonts w:ascii="宋体" w:hAnsi="宋体" w:cs="宋体" w:eastAsia="宋体" w:hint="default"/>
                <w:spacing w:val="7"/>
                <w:sz w:val="21"/>
                <w:szCs w:val="21"/>
              </w:rPr>
              <w:t>年限制性股票激励计划首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次授予部分完成授予登记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21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9" w:lineRule="auto" w:before="21"/>
              <w:ind w:left="103" w:right="101"/>
              <w:jc w:val="left"/>
              <w:rPr>
                <w:rFonts w:ascii="宋体" w:hAnsi="宋体" w:cs="宋体" w:eastAsia="宋体" w:hint="default"/>
                <w:sz w:val="21"/>
                <w:szCs w:val="21"/>
              </w:rPr>
            </w:pPr>
            <w:r>
              <w:rPr>
                <w:rFonts w:ascii="宋体" w:hAnsi="宋体" w:cs="宋体" w:eastAsia="宋体" w:hint="default"/>
                <w:spacing w:val="-1"/>
                <w:sz w:val="21"/>
                <w:szCs w:val="21"/>
              </w:rPr>
              <w:t>（</w:t>
            </w:r>
            <w:hyperlink r:id="rId12">
              <w:r>
                <w:rPr>
                  <w:rFonts w:ascii="Times New Roman" w:hAnsi="Times New Roman" w:cs="Times New Roman" w:eastAsia="Times New Roman" w:hint="default"/>
                  <w:spacing w:val="-1"/>
                  <w:sz w:val="21"/>
                  <w:szCs w:val="21"/>
                </w:rPr>
                <w:t>http://www.sse.com.cn/</w:t>
              </w:r>
            </w:hyperlink>
            <w:r>
              <w:rPr>
                <w:rFonts w:ascii="宋体" w:hAnsi="宋体" w:cs="宋体" w:eastAsia="宋体" w:hint="default"/>
                <w:spacing w:val="-1"/>
                <w:sz w:val="21"/>
                <w:szCs w:val="21"/>
              </w:rPr>
              <w:t>）披露的《关于限制性股票激励计划</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6"/>
                <w:w w:val="100"/>
                <w:sz w:val="21"/>
                <w:szCs w:val="21"/>
              </w:rPr>
              <w:t>首次授予登记完成的公告》（公告编号：</w:t>
            </w:r>
            <w:r>
              <w:rPr>
                <w:rFonts w:ascii="Times New Roman" w:hAnsi="Times New Roman" w:cs="Times New Roman" w:eastAsia="Times New Roman" w:hint="default"/>
                <w:spacing w:val="-6"/>
                <w:w w:val="100"/>
                <w:sz w:val="21"/>
                <w:szCs w:val="21"/>
              </w:rPr>
              <w:t>2016-086</w:t>
            </w:r>
            <w:r>
              <w:rPr>
                <w:rFonts w:ascii="宋体" w:hAnsi="宋体" w:cs="宋体" w:eastAsia="宋体" w:hint="default"/>
                <w:spacing w:val="-6"/>
                <w:w w:val="100"/>
                <w:sz w:val="21"/>
                <w:szCs w:val="21"/>
              </w:rPr>
              <w:t>）</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3"/>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5"/>
                <w:sz w:val="21"/>
                <w:szCs w:val="21"/>
              </w:rPr>
              <w:t> </w:t>
            </w:r>
            <w:r>
              <w:rPr>
                <w:rFonts w:ascii="宋体" w:hAnsi="宋体" w:cs="宋体" w:eastAsia="宋体" w:hint="default"/>
                <w:spacing w:val="7"/>
                <w:sz w:val="21"/>
                <w:szCs w:val="21"/>
              </w:rPr>
              <w:t>年限制性股票激励计划预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留部分完成授予登记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详 见 公 司 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25  </w:t>
            </w:r>
            <w:r>
              <w:rPr>
                <w:rFonts w:ascii="宋体" w:hAnsi="宋体" w:cs="宋体" w:eastAsia="宋体" w:hint="default"/>
                <w:spacing w:val="34"/>
                <w:sz w:val="21"/>
                <w:szCs w:val="21"/>
              </w:rPr>
              <w:t>日在上海证券交易</w:t>
            </w:r>
            <w:r>
              <w:rPr>
                <w:rFonts w:ascii="宋体" w:hAnsi="宋体" w:cs="宋体" w:eastAsia="宋体" w:hint="default"/>
                <w:spacing w:val="-82"/>
                <w:sz w:val="21"/>
                <w:szCs w:val="21"/>
              </w:rPr>
              <w:t> </w:t>
            </w:r>
            <w:r>
              <w:rPr>
                <w:rFonts w:ascii="宋体" w:hAnsi="宋体" w:cs="宋体" w:eastAsia="宋体" w:hint="default"/>
                <w:sz w:val="21"/>
                <w:szCs w:val="21"/>
              </w:rPr>
              <w:t>所</w:t>
            </w:r>
          </w:p>
          <w:p>
            <w:pPr>
              <w:pStyle w:val="TableParagraph"/>
              <w:spacing w:line="256" w:lineRule="auto" w:before="21"/>
              <w:ind w:left="103" w:right="101"/>
              <w:jc w:val="left"/>
              <w:rPr>
                <w:rFonts w:ascii="宋体" w:hAnsi="宋体" w:cs="宋体" w:eastAsia="宋体" w:hint="default"/>
                <w:sz w:val="21"/>
                <w:szCs w:val="21"/>
              </w:rPr>
            </w:pPr>
            <w:r>
              <w:rPr>
                <w:rFonts w:ascii="宋体" w:hAnsi="宋体" w:cs="宋体" w:eastAsia="宋体" w:hint="default"/>
                <w:spacing w:val="-1"/>
                <w:sz w:val="21"/>
                <w:szCs w:val="21"/>
              </w:rPr>
              <w:t>（</w:t>
            </w:r>
            <w:hyperlink r:id="rId12">
              <w:r>
                <w:rPr>
                  <w:rFonts w:ascii="Times New Roman" w:hAnsi="Times New Roman" w:cs="Times New Roman" w:eastAsia="Times New Roman" w:hint="default"/>
                  <w:spacing w:val="-1"/>
                  <w:sz w:val="21"/>
                  <w:szCs w:val="21"/>
                </w:rPr>
                <w:t>http://www.sse.com.cn/</w:t>
              </w:r>
            </w:hyperlink>
            <w:r>
              <w:rPr>
                <w:rFonts w:ascii="宋体" w:hAnsi="宋体" w:cs="宋体" w:eastAsia="宋体" w:hint="default"/>
                <w:spacing w:val="-1"/>
                <w:sz w:val="21"/>
                <w:szCs w:val="21"/>
              </w:rPr>
              <w:t>）披露的《关于限制性股票激励计划</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5"/>
                <w:w w:val="100"/>
                <w:sz w:val="21"/>
                <w:szCs w:val="21"/>
              </w:rPr>
              <w:t>预留部分授予登记完成的公告》（公告编号：</w:t>
            </w:r>
            <w:r>
              <w:rPr>
                <w:rFonts w:ascii="Times New Roman" w:hAnsi="Times New Roman" w:cs="Times New Roman" w:eastAsia="Times New Roman" w:hint="default"/>
                <w:spacing w:val="-5"/>
                <w:w w:val="100"/>
                <w:sz w:val="21"/>
                <w:szCs w:val="21"/>
              </w:rPr>
              <w:t>2017-121</w:t>
            </w:r>
            <w:r>
              <w:rPr>
                <w:rFonts w:ascii="宋体" w:hAnsi="宋体" w:cs="宋体" w:eastAsia="宋体" w:hint="default"/>
                <w:spacing w:val="-5"/>
                <w:w w:val="100"/>
                <w:sz w:val="21"/>
                <w:szCs w:val="21"/>
              </w:rPr>
              <w:t>）</w:t>
            </w:r>
          </w:p>
        </w:tc>
      </w:tr>
      <w:tr>
        <w:trPr>
          <w:trHeight w:val="125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5"/>
                <w:sz w:val="21"/>
                <w:szCs w:val="21"/>
              </w:rPr>
              <w:t> </w:t>
            </w:r>
            <w:r>
              <w:rPr>
                <w:rFonts w:ascii="宋体" w:hAnsi="宋体" w:cs="宋体" w:eastAsia="宋体" w:hint="default"/>
                <w:spacing w:val="7"/>
                <w:sz w:val="21"/>
                <w:szCs w:val="21"/>
              </w:rPr>
              <w:t>年限制性股票激励计划首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次授予的部分激励对象由于离职</w:t>
            </w:r>
            <w:r>
              <w:rPr>
                <w:rFonts w:ascii="宋体" w:hAnsi="宋体" w:cs="宋体" w:eastAsia="宋体" w:hint="default"/>
                <w:spacing w:val="-89"/>
                <w:sz w:val="21"/>
                <w:szCs w:val="21"/>
              </w:rPr>
              <w:t> </w:t>
            </w:r>
            <w:r>
              <w:rPr>
                <w:rFonts w:ascii="宋体" w:hAnsi="宋体" w:cs="宋体" w:eastAsia="宋体" w:hint="default"/>
                <w:sz w:val="21"/>
                <w:szCs w:val="21"/>
              </w:rPr>
              <w:t>或绩效未达标，依据激励计划规</w:t>
            </w:r>
            <w:r>
              <w:rPr>
                <w:rFonts w:ascii="宋体" w:hAnsi="宋体" w:cs="宋体" w:eastAsia="宋体" w:hint="default"/>
                <w:spacing w:val="-89"/>
                <w:sz w:val="21"/>
                <w:szCs w:val="21"/>
              </w:rPr>
              <w:t> </w:t>
            </w:r>
            <w:r>
              <w:rPr>
                <w:rFonts w:ascii="宋体" w:hAnsi="宋体" w:cs="宋体" w:eastAsia="宋体" w:hint="default"/>
                <w:sz w:val="21"/>
                <w:szCs w:val="21"/>
              </w:rPr>
              <w:t>定回购注销相应股份</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详 见 公 司 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30  </w:t>
            </w:r>
            <w:r>
              <w:rPr>
                <w:rFonts w:ascii="宋体" w:hAnsi="宋体" w:cs="宋体" w:eastAsia="宋体" w:hint="default"/>
                <w:spacing w:val="34"/>
                <w:sz w:val="21"/>
                <w:szCs w:val="21"/>
              </w:rPr>
              <w:t>日在上海证券交易</w:t>
            </w:r>
            <w:r>
              <w:rPr>
                <w:rFonts w:ascii="宋体" w:hAnsi="宋体" w:cs="宋体" w:eastAsia="宋体" w:hint="default"/>
                <w:spacing w:val="-82"/>
                <w:sz w:val="21"/>
                <w:szCs w:val="21"/>
              </w:rPr>
              <w:t> </w:t>
            </w:r>
            <w:r>
              <w:rPr>
                <w:rFonts w:ascii="宋体" w:hAnsi="宋体" w:cs="宋体" w:eastAsia="宋体" w:hint="default"/>
                <w:sz w:val="21"/>
                <w:szCs w:val="21"/>
              </w:rPr>
              <w:t>所</w:t>
            </w:r>
          </w:p>
          <w:p>
            <w:pPr>
              <w:pStyle w:val="TableParagraph"/>
              <w:spacing w:line="256" w:lineRule="auto" w:before="21"/>
              <w:ind w:left="103" w:right="101"/>
              <w:jc w:val="left"/>
              <w:rPr>
                <w:rFonts w:ascii="宋体" w:hAnsi="宋体" w:cs="宋体" w:eastAsia="宋体" w:hint="default"/>
                <w:sz w:val="21"/>
                <w:szCs w:val="21"/>
              </w:rPr>
            </w:pPr>
            <w:r>
              <w:rPr>
                <w:rFonts w:ascii="宋体" w:hAnsi="宋体" w:cs="宋体" w:eastAsia="宋体" w:hint="default"/>
                <w:spacing w:val="-1"/>
                <w:sz w:val="21"/>
                <w:szCs w:val="21"/>
              </w:rPr>
              <w:t>（</w:t>
            </w:r>
            <w:hyperlink r:id="rId12">
              <w:r>
                <w:rPr>
                  <w:rFonts w:ascii="Times New Roman" w:hAnsi="Times New Roman" w:cs="Times New Roman" w:eastAsia="Times New Roman" w:hint="default"/>
                  <w:spacing w:val="-1"/>
                  <w:sz w:val="21"/>
                  <w:szCs w:val="21"/>
                </w:rPr>
                <w:t>http://www.sse.com.cn/</w:t>
              </w:r>
            </w:hyperlink>
            <w:r>
              <w:rPr>
                <w:rFonts w:ascii="宋体" w:hAnsi="宋体" w:cs="宋体" w:eastAsia="宋体" w:hint="default"/>
                <w:spacing w:val="-1"/>
                <w:sz w:val="21"/>
                <w:szCs w:val="21"/>
              </w:rPr>
              <w:t>）披露的《关于部分限制性股票回购</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6"/>
                <w:w w:val="100"/>
                <w:sz w:val="21"/>
                <w:szCs w:val="21"/>
              </w:rPr>
              <w:t>注销完成的公告》（公告编号：</w:t>
            </w:r>
            <w:r>
              <w:rPr>
                <w:rFonts w:ascii="Times New Roman" w:hAnsi="Times New Roman" w:cs="Times New Roman" w:eastAsia="Times New Roman" w:hint="default"/>
                <w:spacing w:val="-6"/>
                <w:w w:val="100"/>
                <w:sz w:val="21"/>
                <w:szCs w:val="21"/>
              </w:rPr>
              <w:t>2017-123</w:t>
            </w:r>
            <w:r>
              <w:rPr>
                <w:rFonts w:ascii="宋体" w:hAnsi="宋体" w:cs="宋体" w:eastAsia="宋体" w:hint="default"/>
                <w:spacing w:val="-6"/>
                <w:w w:val="100"/>
                <w:sz w:val="21"/>
                <w:szCs w:val="21"/>
              </w:rPr>
              <w:t>）</w:t>
            </w:r>
          </w:p>
        </w:tc>
      </w:tr>
      <w:tr>
        <w:trPr>
          <w:trHeight w:val="126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46"/>
              <w:ind w:left="103"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5"/>
                <w:sz w:val="21"/>
                <w:szCs w:val="21"/>
              </w:rPr>
              <w:t> </w:t>
            </w:r>
            <w:r>
              <w:rPr>
                <w:rFonts w:ascii="宋体" w:hAnsi="宋体" w:cs="宋体" w:eastAsia="宋体" w:hint="default"/>
                <w:spacing w:val="7"/>
                <w:sz w:val="21"/>
                <w:szCs w:val="21"/>
              </w:rPr>
              <w:t>年限制性股票激励计划首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次授予的限制性股票第一个解锁</w:t>
            </w:r>
            <w:r>
              <w:rPr>
                <w:rFonts w:ascii="宋体" w:hAnsi="宋体" w:cs="宋体" w:eastAsia="宋体" w:hint="default"/>
                <w:spacing w:val="-89"/>
                <w:sz w:val="21"/>
                <w:szCs w:val="21"/>
              </w:rPr>
              <w:t> </w:t>
            </w:r>
            <w:r>
              <w:rPr>
                <w:rFonts w:ascii="宋体" w:hAnsi="宋体" w:cs="宋体" w:eastAsia="宋体" w:hint="default"/>
                <w:sz w:val="21"/>
                <w:szCs w:val="21"/>
              </w:rPr>
              <w:t>期解锁并上市</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both"/>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58"/>
                <w:sz w:val="21"/>
                <w:szCs w:val="21"/>
              </w:rPr>
              <w:t> </w:t>
            </w:r>
            <w:r>
              <w:rPr>
                <w:rFonts w:ascii="宋体" w:hAnsi="宋体" w:cs="宋体" w:eastAsia="宋体" w:hint="default"/>
                <w:sz w:val="21"/>
                <w:szCs w:val="21"/>
              </w:rPr>
              <w:t>见</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日</w:t>
            </w:r>
            <w:r>
              <w:rPr>
                <w:rFonts w:ascii="宋体" w:hAnsi="宋体" w:cs="宋体" w:eastAsia="宋体" w:hint="default"/>
                <w:spacing w:val="-60"/>
                <w:sz w:val="21"/>
                <w:szCs w:val="21"/>
              </w:rPr>
              <w:t> </w:t>
            </w:r>
            <w:r>
              <w:rPr>
                <w:rFonts w:ascii="宋体" w:hAnsi="宋体" w:cs="宋体" w:eastAsia="宋体" w:hint="default"/>
                <w:sz w:val="21"/>
                <w:szCs w:val="21"/>
              </w:rPr>
              <w:t>在</w:t>
            </w:r>
            <w:r>
              <w:rPr>
                <w:rFonts w:ascii="宋体" w:hAnsi="宋体" w:cs="宋体" w:eastAsia="宋体" w:hint="default"/>
                <w:spacing w:val="-58"/>
                <w:sz w:val="21"/>
                <w:szCs w:val="21"/>
              </w:rPr>
              <w:t> </w:t>
            </w:r>
            <w:r>
              <w:rPr>
                <w:rFonts w:ascii="宋体" w:hAnsi="宋体" w:cs="宋体" w:eastAsia="宋体" w:hint="default"/>
                <w:sz w:val="21"/>
                <w:szCs w:val="21"/>
              </w:rPr>
              <w:t>上</w:t>
            </w:r>
            <w:r>
              <w:rPr>
                <w:rFonts w:ascii="宋体" w:hAnsi="宋体" w:cs="宋体" w:eastAsia="宋体" w:hint="default"/>
                <w:spacing w:val="-60"/>
                <w:sz w:val="21"/>
                <w:szCs w:val="21"/>
              </w:rPr>
              <w:t> </w:t>
            </w:r>
            <w:r>
              <w:rPr>
                <w:rFonts w:ascii="宋体" w:hAnsi="宋体" w:cs="宋体" w:eastAsia="宋体" w:hint="default"/>
                <w:sz w:val="21"/>
                <w:szCs w:val="21"/>
              </w:rPr>
              <w:t>海</w:t>
            </w:r>
            <w:r>
              <w:rPr>
                <w:rFonts w:ascii="宋体" w:hAnsi="宋体" w:cs="宋体" w:eastAsia="宋体" w:hint="default"/>
                <w:spacing w:val="-58"/>
                <w:sz w:val="21"/>
                <w:szCs w:val="21"/>
              </w:rPr>
              <w:t> </w:t>
            </w:r>
            <w:r>
              <w:rPr>
                <w:rFonts w:ascii="宋体" w:hAnsi="宋体" w:cs="宋体" w:eastAsia="宋体" w:hint="default"/>
                <w:sz w:val="21"/>
                <w:szCs w:val="21"/>
              </w:rPr>
              <w:t>证</w:t>
            </w:r>
            <w:r>
              <w:rPr>
                <w:rFonts w:ascii="宋体" w:hAnsi="宋体" w:cs="宋体" w:eastAsia="宋体" w:hint="default"/>
                <w:spacing w:val="-60"/>
                <w:sz w:val="21"/>
                <w:szCs w:val="21"/>
              </w:rPr>
              <w:t> </w:t>
            </w:r>
            <w:r>
              <w:rPr>
                <w:rFonts w:ascii="宋体" w:hAnsi="宋体" w:cs="宋体" w:eastAsia="宋体" w:hint="default"/>
                <w:sz w:val="21"/>
                <w:szCs w:val="21"/>
              </w:rPr>
              <w:t>券</w:t>
            </w:r>
            <w:r>
              <w:rPr>
                <w:rFonts w:ascii="宋体" w:hAnsi="宋体" w:cs="宋体" w:eastAsia="宋体" w:hint="default"/>
                <w:spacing w:val="-60"/>
                <w:sz w:val="21"/>
                <w:szCs w:val="21"/>
              </w:rPr>
              <w:t> </w:t>
            </w:r>
            <w:r>
              <w:rPr>
                <w:rFonts w:ascii="宋体" w:hAnsi="宋体" w:cs="宋体" w:eastAsia="宋体" w:hint="default"/>
                <w:sz w:val="21"/>
                <w:szCs w:val="21"/>
              </w:rPr>
              <w:t>交</w:t>
            </w:r>
            <w:r>
              <w:rPr>
                <w:rFonts w:ascii="宋体" w:hAnsi="宋体" w:cs="宋体" w:eastAsia="宋体" w:hint="default"/>
                <w:spacing w:val="-58"/>
                <w:sz w:val="21"/>
                <w:szCs w:val="21"/>
              </w:rPr>
              <w:t> </w:t>
            </w:r>
            <w:r>
              <w:rPr>
                <w:rFonts w:ascii="宋体" w:hAnsi="宋体" w:cs="宋体" w:eastAsia="宋体" w:hint="default"/>
                <w:sz w:val="21"/>
                <w:szCs w:val="21"/>
              </w:rPr>
              <w:t>易</w:t>
            </w:r>
            <w:r>
              <w:rPr>
                <w:rFonts w:ascii="宋体" w:hAnsi="宋体" w:cs="宋体" w:eastAsia="宋体" w:hint="default"/>
                <w:spacing w:val="-60"/>
                <w:sz w:val="21"/>
                <w:szCs w:val="21"/>
              </w:rPr>
              <w:t> </w:t>
            </w:r>
            <w:r>
              <w:rPr>
                <w:rFonts w:ascii="宋体" w:hAnsi="宋体" w:cs="宋体" w:eastAsia="宋体" w:hint="default"/>
                <w:sz w:val="21"/>
                <w:szCs w:val="21"/>
              </w:rPr>
              <w:t>所</w:t>
            </w:r>
          </w:p>
          <w:p>
            <w:pPr>
              <w:pStyle w:val="TableParagraph"/>
              <w:spacing w:line="266" w:lineRule="auto" w:before="21"/>
              <w:ind w:left="103" w:right="96"/>
              <w:jc w:val="both"/>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http://www.sse.com.cn/</w:t>
              </w:r>
            </w:hyperlink>
            <w:r>
              <w:rPr>
                <w:rFonts w:ascii="宋体" w:hAnsi="宋体" w:cs="宋体" w:eastAsia="宋体" w:hint="default"/>
                <w:sz w:val="21"/>
                <w:szCs w:val="21"/>
              </w:rPr>
              <w:t>）披露的《关于限制性股票激励计划</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w w:val="100"/>
                <w:sz w:val="21"/>
                <w:szCs w:val="21"/>
              </w:rPr>
              <w:t>首次授予的限制性股票第一个解锁期解锁暨上市的公告》（公</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2017-127</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spacing w:line="324"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tabs>
          <w:tab w:pos="1060" w:val="left" w:leader="none"/>
        </w:tabs>
        <w:spacing w:line="265" w:lineRule="exact"/>
        <w:ind w:right="0"/>
        <w:jc w:val="left"/>
      </w:pPr>
      <w:r>
        <w:rPr/>
        <w:t>□适用</w:t>
        <w:tab/>
      </w:r>
      <w:r>
        <w:rPr>
          <w:rFonts w:ascii="Calibri" w:hAnsi="Calibri" w:cs="Calibri" w:eastAsia="Calibri" w:hint="default"/>
        </w:rPr>
        <w:t>√</w:t>
      </w:r>
      <w:r>
        <w:rPr/>
        <w:t>不适用</w:t>
      </w:r>
    </w:p>
    <w:p>
      <w:pPr>
        <w:pStyle w:val="BodyText"/>
        <w:spacing w:line="240" w:lineRule="auto" w:before="10"/>
        <w:ind w:right="0"/>
        <w:jc w:val="left"/>
      </w:pPr>
      <w:r>
        <w:rPr/>
        <w:t>其他说明</w:t>
      </w:r>
    </w:p>
    <w:p>
      <w:pPr>
        <w:pStyle w:val="BodyText"/>
        <w:spacing w:line="240" w:lineRule="auto" w:before="37"/>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8"/>
        <w:rPr>
          <w:rFonts w:ascii="宋体" w:hAnsi="宋体" w:cs="宋体" w:eastAsia="宋体" w:hint="default"/>
          <w:sz w:val="24"/>
          <w:szCs w:val="24"/>
        </w:rPr>
      </w:pPr>
    </w:p>
    <w:p>
      <w:pPr>
        <w:pStyle w:val="BodyText"/>
        <w:spacing w:line="240" w:lineRule="auto"/>
        <w:ind w:right="0"/>
        <w:jc w:val="left"/>
      </w:pPr>
      <w:r>
        <w:rPr/>
        <w:t>员工持股计划情况</w:t>
      </w:r>
    </w:p>
    <w:p>
      <w:pPr>
        <w:pStyle w:val="BodyText"/>
        <w:spacing w:line="240" w:lineRule="auto" w:before="37"/>
        <w:ind w:right="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9"/>
        <w:rPr>
          <w:rFonts w:ascii="宋体" w:hAnsi="宋体" w:cs="宋体" w:eastAsia="宋体" w:hint="default"/>
          <w:sz w:val="24"/>
          <w:szCs w:val="24"/>
        </w:rPr>
      </w:pPr>
    </w:p>
    <w:p>
      <w:pPr>
        <w:pStyle w:val="BodyText"/>
        <w:spacing w:line="240" w:lineRule="auto"/>
        <w:ind w:right="0"/>
        <w:jc w:val="left"/>
      </w:pPr>
      <w:r>
        <w:rPr/>
        <w:t>其他激励措施</w:t>
      </w:r>
    </w:p>
    <w:p>
      <w:pPr>
        <w:pStyle w:val="BodyText"/>
        <w:tabs>
          <w:tab w:pos="1060" w:val="left" w:leader="none"/>
        </w:tabs>
        <w:spacing w:line="240" w:lineRule="auto" w:before="37"/>
        <w:ind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0"/>
        <w:jc w:val="left"/>
        <w:rPr>
          <w:b w:val="0"/>
          <w:bCs w:val="0"/>
        </w:rPr>
      </w:pPr>
      <w:r>
        <w:rPr/>
        <w:t>十四、重大关联交易</w:t>
      </w:r>
      <w:r>
        <w:rPr>
          <w:b w:val="0"/>
          <w:bCs w:val="0"/>
        </w:rPr>
      </w:r>
    </w:p>
    <w:p>
      <w:pPr>
        <w:pStyle w:val="Heading3"/>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t>与日常经营相关的关联交易</w:t>
      </w:r>
      <w:r>
        <w:rPr>
          <w:b w:val="0"/>
          <w:bCs w:val="0"/>
        </w:rPr>
      </w:r>
    </w:p>
    <w:p>
      <w:pPr>
        <w:pStyle w:val="Heading3"/>
        <w:spacing w:line="240" w:lineRule="auto" w:before="70"/>
        <w:ind w:right="0"/>
        <w:jc w:val="left"/>
        <w:rPr>
          <w:b w:val="0"/>
          <w:bCs w:val="0"/>
        </w:rPr>
      </w:pPr>
      <w:r>
        <w:rPr>
          <w:rFonts w:ascii="Times New Roman" w:hAnsi="Times New Roman" w:cs="Times New Roman" w:eastAsia="Times New Roman" w:hint="default"/>
        </w:rPr>
        <w:t>1</w:t>
      </w:r>
      <w:r>
        <w:rPr/>
        <w:t>、已在临时公告披露且后续实施无进展或变化的事项</w:t>
      </w:r>
      <w:r>
        <w:rPr>
          <w:b w:val="0"/>
          <w:bCs w:val="0"/>
        </w:rPr>
      </w:r>
    </w:p>
    <w:p>
      <w:pPr>
        <w:pStyle w:val="BodyText"/>
        <w:tabs>
          <w:tab w:pos="1060" w:val="left" w:leader="none"/>
        </w:tabs>
        <w:spacing w:line="240" w:lineRule="auto" w:before="81"/>
        <w:ind w:right="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2</w:t>
      </w:r>
      <w:r>
        <w:rPr/>
        <w:t>、已在临时公告披露，但有后续实施的进展或变化的事项</w:t>
      </w:r>
      <w:r>
        <w:rPr>
          <w:b w:val="0"/>
          <w:bCs w:val="0"/>
        </w:rPr>
      </w:r>
    </w:p>
    <w:p>
      <w:pPr>
        <w:pStyle w:val="BodyText"/>
        <w:tabs>
          <w:tab w:pos="1163" w:val="left" w:leader="none"/>
        </w:tabs>
        <w:spacing w:line="240" w:lineRule="auto" w:before="81"/>
        <w:ind w:right="0"/>
        <w:jc w:val="left"/>
      </w:pPr>
      <w:r>
        <w:rPr/>
        <w:t>□适用</w:t>
        <w:tab/>
        <w:t>√不适用</w:t>
      </w:r>
    </w:p>
    <w:p>
      <w:pPr>
        <w:spacing w:after="0" w:line="240" w:lineRule="auto"/>
        <w:jc w:val="left"/>
        <w:sectPr>
          <w:pgSz w:w="11910" w:h="16840"/>
          <w:pgMar w:header="855" w:footer="979" w:top="1140" w:bottom="1160" w:left="158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ind w:left="138" w:right="130"/>
        <w:jc w:val="left"/>
        <w:rPr>
          <w:b w:val="0"/>
          <w:bCs w:val="0"/>
        </w:rPr>
      </w:pPr>
      <w:r>
        <w:rPr>
          <w:rFonts w:ascii="Times New Roman" w:hAnsi="Times New Roman" w:cs="Times New Roman" w:eastAsia="Times New Roman" w:hint="default"/>
        </w:rPr>
        <w:t>3</w:t>
      </w:r>
      <w:r>
        <w:rPr/>
        <w:t>、临时公告未披露的事项</w:t>
      </w:r>
      <w:r>
        <w:rPr>
          <w:b w:val="0"/>
          <w:bCs w:val="0"/>
        </w:rPr>
      </w:r>
    </w:p>
    <w:p>
      <w:pPr>
        <w:pStyle w:val="BodyText"/>
        <w:tabs>
          <w:tab w:pos="980" w:val="left" w:leader="none"/>
        </w:tabs>
        <w:spacing w:line="240" w:lineRule="auto" w:before="81"/>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3"/>
        <w:spacing w:line="240" w:lineRule="auto" w:before="97"/>
        <w:ind w:left="138" w:right="13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tabs>
          <w:tab w:pos="980" w:val="left" w:leader="none"/>
        </w:tabs>
        <w:spacing w:line="240" w:lineRule="auto" w:before="97"/>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left="138" w:right="13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tabs>
          <w:tab w:pos="980" w:val="left" w:leader="none"/>
        </w:tabs>
        <w:spacing w:line="240" w:lineRule="auto" w:before="97"/>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83" w:val="left" w:leader="none"/>
        </w:tabs>
        <w:spacing w:line="240" w:lineRule="auto" w:before="97"/>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Calibri" w:hAnsi="Calibri" w:cs="Calibri" w:eastAsia="Calibri" w:hint="default"/>
        </w:rPr>
        <w:t>(</w:t>
      </w:r>
      <w:r>
        <w:rPr/>
        <w:t>三</w:t>
      </w:r>
      <w:r>
        <w:rPr>
          <w:rFonts w:ascii="Calibri" w:hAnsi="Calibri" w:cs="Calibri" w:eastAsia="Calibri" w:hint="default"/>
        </w:rPr>
        <w:t>)</w:t>
      </w:r>
      <w:r>
        <w:rPr/>
        <w:t>共同对外投资的重大关联交易</w:t>
      </w:r>
      <w:r>
        <w:rPr>
          <w:b w:val="0"/>
          <w:bCs w:val="0"/>
        </w:rPr>
      </w:r>
    </w:p>
    <w:p>
      <w:pPr>
        <w:pStyle w:val="Heading3"/>
        <w:spacing w:line="240" w:lineRule="auto" w:before="70"/>
        <w:ind w:left="138" w:right="130"/>
        <w:jc w:val="left"/>
        <w:rPr>
          <w:b w:val="0"/>
          <w:bCs w:val="0"/>
        </w:rPr>
      </w:pPr>
      <w:r>
        <w:rPr>
          <w:rFonts w:ascii="Times New Roman" w:hAnsi="Times New Roman" w:cs="Times New Roman" w:eastAsia="Times New Roman" w:hint="default"/>
        </w:rPr>
        <w:t>1</w:t>
      </w:r>
      <w:r>
        <w:rPr/>
        <w:t>、</w:t>
      </w:r>
      <w:r>
        <w:rPr>
          <w:spacing w:val="-3"/>
        </w:rPr>
        <w:t> </w:t>
      </w:r>
      <w:r>
        <w:rPr/>
        <w:t>已在临时公告披露且后续实施无进展或变化的事项</w:t>
      </w:r>
      <w:r>
        <w:rPr>
          <w:b w:val="0"/>
          <w:bCs w:val="0"/>
        </w:rPr>
      </w:r>
    </w:p>
    <w:p>
      <w:pPr>
        <w:pStyle w:val="BodyText"/>
        <w:tabs>
          <w:tab w:pos="980" w:val="left" w:leader="none"/>
        </w:tabs>
        <w:spacing w:line="240" w:lineRule="auto" w:before="81"/>
        <w:ind w:left="138" w:right="130"/>
        <w:jc w:val="left"/>
      </w:pPr>
      <w:r>
        <w:rPr/>
        <w:t>□适用</w:t>
        <w:tab/>
      </w:r>
      <w:r>
        <w:rPr>
          <w:rFonts w:ascii="Calibri" w:hAnsi="Calibri" w:cs="Calibri" w:eastAsia="Calibri" w:hint="default"/>
        </w:rPr>
        <w:t>√</w:t>
      </w:r>
      <w:r>
        <w:rPr/>
        <w:t>不适用</w:t>
      </w:r>
    </w:p>
    <w:p>
      <w:pPr>
        <w:pStyle w:val="Heading3"/>
        <w:spacing w:line="240" w:lineRule="auto" w:before="70"/>
        <w:ind w:left="138" w:right="130"/>
        <w:jc w:val="left"/>
        <w:rPr>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b w:val="0"/>
          <w:bCs w:val="0"/>
        </w:rPr>
      </w:r>
    </w:p>
    <w:p>
      <w:pPr>
        <w:pStyle w:val="BodyText"/>
        <w:tabs>
          <w:tab w:pos="1083" w:val="left" w:leader="none"/>
        </w:tabs>
        <w:spacing w:line="240" w:lineRule="auto" w:before="81"/>
        <w:ind w:left="138" w:right="130"/>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left="138" w:right="130"/>
        <w:jc w:val="left"/>
        <w:rPr>
          <w:b w:val="0"/>
          <w:bCs w:val="0"/>
        </w:rPr>
      </w:pPr>
      <w:r>
        <w:rPr>
          <w:rFonts w:ascii="Times New Roman" w:hAnsi="Times New Roman" w:cs="Times New Roman" w:eastAsia="Times New Roman" w:hint="default"/>
        </w:rPr>
        <w:t>3</w:t>
      </w:r>
      <w:r>
        <w:rPr/>
        <w:t>、</w:t>
      </w:r>
      <w:r>
        <w:rPr>
          <w:spacing w:val="-2"/>
        </w:rPr>
        <w:t> </w:t>
      </w:r>
      <w:r>
        <w:rPr/>
        <w:t>临时公告未披露的事项</w:t>
      </w:r>
      <w:r>
        <w:rPr>
          <w:b w:val="0"/>
          <w:bCs w:val="0"/>
        </w:rPr>
      </w:r>
    </w:p>
    <w:p>
      <w:pPr>
        <w:pStyle w:val="BodyText"/>
        <w:tabs>
          <w:tab w:pos="980" w:val="left" w:leader="none"/>
        </w:tabs>
        <w:spacing w:line="240" w:lineRule="auto" w:before="81"/>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Calibri" w:hAnsi="Calibri" w:cs="Calibri" w:eastAsia="Calibri" w:hint="default"/>
        </w:rPr>
        <w:t>(</w:t>
      </w:r>
      <w:r>
        <w:rPr/>
        <w:t>四</w:t>
      </w:r>
      <w:r>
        <w:rPr>
          <w:rFonts w:ascii="Calibri" w:hAnsi="Calibri" w:cs="Calibri" w:eastAsia="Calibri" w:hint="default"/>
        </w:rPr>
        <w:t>)</w:t>
      </w:r>
      <w:r>
        <w:rPr/>
        <w:t>关联债权债务往来</w:t>
      </w:r>
      <w:r>
        <w:rPr>
          <w:b w:val="0"/>
          <w:bCs w:val="0"/>
        </w:rPr>
      </w:r>
    </w:p>
    <w:p>
      <w:pPr>
        <w:pStyle w:val="Heading3"/>
        <w:spacing w:line="240" w:lineRule="auto" w:before="70"/>
        <w:ind w:left="138" w:right="130"/>
        <w:jc w:val="left"/>
        <w:rPr>
          <w:b w:val="0"/>
          <w:bCs w:val="0"/>
        </w:rPr>
      </w:pPr>
      <w:r>
        <w:rPr>
          <w:rFonts w:ascii="Times New Roman" w:hAnsi="Times New Roman" w:cs="Times New Roman" w:eastAsia="Times New Roman" w:hint="default"/>
        </w:rPr>
        <w:t>1</w:t>
      </w:r>
      <w:r>
        <w:rPr/>
        <w:t>、</w:t>
      </w:r>
      <w:r>
        <w:rPr>
          <w:spacing w:val="-3"/>
        </w:rPr>
        <w:t> </w:t>
      </w:r>
      <w:r>
        <w:rPr/>
        <w:t>已在临时公告披露且后续实施无进展或变化的事项</w:t>
      </w:r>
      <w:r>
        <w:rPr>
          <w:b w:val="0"/>
          <w:bCs w:val="0"/>
        </w:rPr>
      </w:r>
    </w:p>
    <w:p>
      <w:pPr>
        <w:pStyle w:val="BodyText"/>
        <w:tabs>
          <w:tab w:pos="980" w:val="left" w:leader="none"/>
        </w:tabs>
        <w:spacing w:line="240" w:lineRule="auto" w:before="82"/>
        <w:ind w:left="138" w:right="130"/>
        <w:jc w:val="left"/>
      </w:pPr>
      <w:r>
        <w:rPr/>
        <w:t>□适用</w:t>
        <w:tab/>
      </w:r>
      <w:r>
        <w:rPr>
          <w:rFonts w:ascii="Calibri" w:hAnsi="Calibri" w:cs="Calibri" w:eastAsia="Calibri" w:hint="default"/>
        </w:rPr>
        <w:t>√</w:t>
      </w:r>
      <w:r>
        <w:rPr/>
        <w:t>不适用</w:t>
      </w:r>
    </w:p>
    <w:p>
      <w:pPr>
        <w:pStyle w:val="Heading3"/>
        <w:spacing w:line="240" w:lineRule="auto" w:before="70"/>
        <w:ind w:left="138" w:right="130"/>
        <w:jc w:val="left"/>
        <w:rPr>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b w:val="0"/>
          <w:bCs w:val="0"/>
        </w:rPr>
      </w:r>
    </w:p>
    <w:p>
      <w:pPr>
        <w:pStyle w:val="BodyText"/>
        <w:tabs>
          <w:tab w:pos="1083" w:val="left" w:leader="none"/>
        </w:tabs>
        <w:spacing w:line="240" w:lineRule="auto" w:before="81"/>
        <w:ind w:left="138" w:right="130"/>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left="138" w:right="130"/>
        <w:jc w:val="left"/>
        <w:rPr>
          <w:b w:val="0"/>
          <w:bCs w:val="0"/>
        </w:rPr>
      </w:pPr>
      <w:r>
        <w:rPr>
          <w:rFonts w:ascii="Times New Roman" w:hAnsi="Times New Roman" w:cs="Times New Roman" w:eastAsia="Times New Roman" w:hint="default"/>
        </w:rPr>
        <w:t>3</w:t>
      </w:r>
      <w:r>
        <w:rPr/>
        <w:t>、</w:t>
      </w:r>
      <w:r>
        <w:rPr>
          <w:spacing w:val="-2"/>
        </w:rPr>
        <w:t> </w:t>
      </w:r>
      <w:r>
        <w:rPr/>
        <w:t>临时公告未披露的事项</w:t>
      </w:r>
      <w:r>
        <w:rPr>
          <w:b w:val="0"/>
          <w:bCs w:val="0"/>
        </w:rPr>
      </w:r>
    </w:p>
    <w:p>
      <w:pPr>
        <w:pStyle w:val="BodyText"/>
        <w:tabs>
          <w:tab w:pos="980" w:val="left" w:leader="none"/>
        </w:tabs>
        <w:spacing w:line="240" w:lineRule="auto" w:before="81"/>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Calibri" w:hAnsi="Calibri" w:cs="Calibri" w:eastAsia="Calibri" w:hint="default"/>
        </w:rPr>
        <w:t>(</w:t>
      </w:r>
      <w:r>
        <w:rPr/>
        <w:t>五</w:t>
      </w:r>
      <w:r>
        <w:rPr>
          <w:rFonts w:ascii="Calibri" w:hAnsi="Calibri" w:cs="Calibri" w:eastAsia="Calibri" w:hint="default"/>
        </w:rPr>
        <w:t>)</w:t>
      </w:r>
      <w:r>
        <w:rPr/>
        <w:t>其他</w:t>
      </w:r>
      <w:r>
        <w:rPr>
          <w:b w:val="0"/>
          <w:bCs w:val="0"/>
        </w:rPr>
      </w:r>
    </w:p>
    <w:p>
      <w:pPr>
        <w:pStyle w:val="BodyText"/>
        <w:tabs>
          <w:tab w:pos="1083" w:val="left" w:leader="none"/>
        </w:tabs>
        <w:spacing w:line="240" w:lineRule="auto" w:before="70"/>
        <w:ind w:left="138" w:right="130"/>
        <w:jc w:val="left"/>
      </w:pPr>
      <w:r>
        <w:rPr/>
        <w:t>□适用</w:t>
        <w:tab/>
        <w:t>√不适用</w:t>
      </w:r>
    </w:p>
    <w:p>
      <w:pPr>
        <w:spacing w:after="0" w:line="240" w:lineRule="auto"/>
        <w:jc w:val="left"/>
        <w:sectPr>
          <w:pgSz w:w="11910" w:h="16840"/>
          <w:pgMar w:header="855" w:footer="979" w:top="1140" w:bottom="1160" w:left="1660" w:right="1140"/>
        </w:sectPr>
      </w:pPr>
    </w:p>
    <w:p>
      <w:pPr>
        <w:spacing w:line="240" w:lineRule="auto" w:before="1"/>
        <w:rPr>
          <w:rFonts w:ascii="宋体" w:hAnsi="宋体" w:cs="宋体" w:eastAsia="宋体" w:hint="default"/>
          <w:sz w:val="25"/>
          <w:szCs w:val="25"/>
        </w:rPr>
      </w:pPr>
    </w:p>
    <w:p>
      <w:pPr>
        <w:pStyle w:val="Heading3"/>
        <w:spacing w:line="324" w:lineRule="auto" w:before="36"/>
        <w:ind w:left="138" w:right="6507"/>
        <w:jc w:val="left"/>
        <w:rPr>
          <w:b w:val="0"/>
          <w:bCs w:val="0"/>
        </w:rPr>
      </w:pPr>
      <w:r>
        <w:rPr/>
        <w:t>十五、重大合同及其履行情况</w:t>
      </w:r>
      <w:r>
        <w:rPr>
          <w:w w:val="100"/>
        </w:rPr>
        <w:t> </w:t>
      </w:r>
      <w:r>
        <w:rPr>
          <w:rFonts w:ascii="宋体" w:hAnsi="宋体" w:cs="宋体" w:eastAsia="宋体" w:hint="default"/>
        </w:rPr>
        <w:t>(</w:t>
      </w:r>
      <w:r>
        <w:rPr/>
        <w:t>一</w:t>
      </w:r>
      <w:r>
        <w:rPr>
          <w:rFonts w:ascii="宋体" w:hAnsi="宋体" w:cs="宋体" w:eastAsia="宋体" w:hint="default"/>
        </w:rPr>
        <w:t>)</w:t>
      </w:r>
      <w:r>
        <w:rPr/>
        <w:t>托管、承包、租赁事项</w:t>
      </w:r>
      <w:r>
        <w:rPr>
          <w:w w:val="100"/>
        </w:rPr>
        <w:t> </w:t>
      </w:r>
      <w:r>
        <w:rPr>
          <w:rFonts w:ascii="Times New Roman" w:hAnsi="Times New Roman" w:cs="Times New Roman" w:eastAsia="Times New Roman" w:hint="default"/>
        </w:rPr>
        <w:t>1</w:t>
      </w:r>
      <w:r>
        <w:rPr/>
        <w:t>、</w:t>
      </w:r>
      <w:r>
        <w:rPr>
          <w:spacing w:val="-1"/>
        </w:rPr>
        <w:t> </w:t>
      </w:r>
      <w:r>
        <w:rPr/>
        <w:t>托管情况</w:t>
      </w:r>
      <w:r>
        <w:rPr>
          <w:b w:val="0"/>
          <w:bCs w:val="0"/>
        </w:rPr>
      </w:r>
    </w:p>
    <w:p>
      <w:pPr>
        <w:pStyle w:val="BodyText"/>
        <w:tabs>
          <w:tab w:pos="980" w:val="left" w:leader="none"/>
        </w:tabs>
        <w:spacing w:line="240" w:lineRule="auto"/>
        <w:ind w:left="138" w:right="6507"/>
        <w:jc w:val="left"/>
      </w:pPr>
      <w:r>
        <w:rPr/>
        <w:t>□适用</w:t>
        <w:tab/>
      </w:r>
      <w:r>
        <w:rPr>
          <w:rFonts w:ascii="Calibri" w:hAnsi="Calibri" w:cs="Calibri" w:eastAsia="Calibri" w:hint="default"/>
        </w:rPr>
        <w:t>√</w:t>
      </w:r>
      <w:r>
        <w:rPr/>
        <w:t>不适用</w:t>
      </w:r>
    </w:p>
    <w:p>
      <w:pPr>
        <w:pStyle w:val="Heading3"/>
        <w:spacing w:line="240" w:lineRule="auto" w:before="70"/>
        <w:ind w:left="138" w:right="6507"/>
        <w:jc w:val="left"/>
        <w:rPr>
          <w:b w:val="0"/>
          <w:bCs w:val="0"/>
        </w:rPr>
      </w:pPr>
      <w:r>
        <w:rPr>
          <w:rFonts w:ascii="Times New Roman" w:hAnsi="Times New Roman" w:cs="Times New Roman" w:eastAsia="Times New Roman" w:hint="default"/>
        </w:rPr>
        <w:t>2</w:t>
      </w:r>
      <w:r>
        <w:rPr/>
        <w:t>、</w:t>
      </w:r>
      <w:r>
        <w:rPr>
          <w:spacing w:val="-1"/>
        </w:rPr>
        <w:t> </w:t>
      </w:r>
      <w:r>
        <w:rPr/>
        <w:t>承包情况</w:t>
      </w:r>
      <w:r>
        <w:rPr>
          <w:b w:val="0"/>
          <w:bCs w:val="0"/>
        </w:rPr>
      </w:r>
    </w:p>
    <w:p>
      <w:pPr>
        <w:pStyle w:val="BodyText"/>
        <w:tabs>
          <w:tab w:pos="980" w:val="left" w:leader="none"/>
        </w:tabs>
        <w:spacing w:line="240" w:lineRule="auto" w:before="81"/>
        <w:ind w:left="138" w:right="6507"/>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6507"/>
        <w:jc w:val="left"/>
        <w:rPr>
          <w:b w:val="0"/>
          <w:bCs w:val="0"/>
        </w:rPr>
      </w:pPr>
      <w:r>
        <w:rPr>
          <w:rFonts w:ascii="Times New Roman" w:hAnsi="Times New Roman" w:cs="Times New Roman" w:eastAsia="Times New Roman" w:hint="default"/>
        </w:rPr>
        <w:t>3</w:t>
      </w:r>
      <w:r>
        <w:rPr/>
        <w:t>、</w:t>
      </w:r>
      <w:r>
        <w:rPr>
          <w:spacing w:val="-1"/>
        </w:rPr>
        <w:t> </w:t>
      </w:r>
      <w:r>
        <w:rPr/>
        <w:t>租赁情况</w:t>
      </w:r>
      <w:r>
        <w:rPr>
          <w:b w:val="0"/>
          <w:bCs w:val="0"/>
        </w:rPr>
      </w:r>
    </w:p>
    <w:p>
      <w:pPr>
        <w:pStyle w:val="BodyText"/>
        <w:tabs>
          <w:tab w:pos="980" w:val="left" w:leader="none"/>
        </w:tabs>
        <w:spacing w:line="240" w:lineRule="auto" w:before="81"/>
        <w:ind w:left="138" w:right="6507"/>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55" w:footer="979" w:top="1140" w:bottom="1160" w:left="1660" w:right="840"/>
        </w:sectPr>
      </w:pPr>
    </w:p>
    <w:p>
      <w:pPr>
        <w:pStyle w:val="Heading3"/>
        <w:spacing w:line="240" w:lineRule="auto" w:before="36"/>
        <w:ind w:left="138" w:right="-18"/>
        <w:jc w:val="left"/>
        <w:rPr>
          <w:b w:val="0"/>
          <w:bCs w:val="0"/>
        </w:rPr>
      </w:pPr>
      <w:r>
        <w:rPr>
          <w:rFonts w:ascii="宋体" w:hAnsi="宋体" w:cs="宋体" w:eastAsia="宋体" w:hint="default"/>
        </w:rPr>
        <w:t>(</w:t>
      </w:r>
      <w:r>
        <w:rPr/>
        <w:t>二</w:t>
      </w:r>
      <w:r>
        <w:rPr>
          <w:rFonts w:ascii="宋体" w:hAnsi="宋体" w:cs="宋体" w:eastAsia="宋体" w:hint="default"/>
        </w:rPr>
        <w:t>)</w:t>
      </w:r>
      <w:r>
        <w:rPr/>
        <w:t>担保情况</w:t>
      </w:r>
      <w:r>
        <w:rPr>
          <w:b w:val="0"/>
          <w:bCs w:val="0"/>
        </w:rPr>
      </w:r>
    </w:p>
    <w:p>
      <w:pPr>
        <w:pStyle w:val="BodyText"/>
        <w:spacing w:line="240" w:lineRule="auto" w:before="97"/>
        <w:ind w:left="138" w:right="-18"/>
        <w:jc w:val="left"/>
      </w:pPr>
      <w:r>
        <w:rPr>
          <w:rFonts w:ascii="Calibri" w:hAnsi="Calibri" w:cs="Calibri" w:eastAsia="Calibri" w:hint="default"/>
        </w:rPr>
        <w:t>√</w:t>
      </w: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44"/>
        <w:ind w:left="138"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660" w:right="840"/>
          <w:cols w:num="2" w:equalWidth="0">
            <w:col w:w="1507" w:space="5851"/>
            <w:col w:w="2052"/>
          </w:cols>
        </w:sect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6"/>
        <w:gridCol w:w="701"/>
        <w:gridCol w:w="624"/>
        <w:gridCol w:w="634"/>
        <w:gridCol w:w="624"/>
        <w:gridCol w:w="624"/>
        <w:gridCol w:w="624"/>
        <w:gridCol w:w="624"/>
        <w:gridCol w:w="701"/>
        <w:gridCol w:w="625"/>
        <w:gridCol w:w="624"/>
        <w:gridCol w:w="614"/>
      </w:tblGrid>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8" w:right="2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62" w:right="62" w:firstLine="33"/>
              <w:jc w:val="both"/>
              <w:rPr>
                <w:rFonts w:ascii="Calibri" w:hAnsi="Calibri" w:cs="Calibri" w:eastAsia="Calibri"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Calibri" w:hAnsi="Calibri" w:cs="Calibri" w:eastAsia="Calibri" w:hint="default"/>
                <w:sz w:val="21"/>
                <w:szCs w:val="21"/>
              </w:rPr>
              <w:t>(</w:t>
            </w: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Calibri" w:hAnsi="Calibri" w:cs="Calibri" w:eastAsia="Calibri" w:hint="default"/>
                <w:sz w:val="21"/>
                <w:szCs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6"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1" w:right="8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司的担保）</w:t>
            </w:r>
          </w:p>
        </w:tc>
        <w:tc>
          <w:tcPr>
            <w:tcW w:w="5060"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6" w:right="21"/>
              <w:jc w:val="left"/>
              <w:rPr>
                <w:rFonts w:ascii="宋体" w:hAnsi="宋体" w:cs="宋体" w:eastAsia="宋体" w:hint="default"/>
                <w:sz w:val="21"/>
                <w:szCs w:val="21"/>
              </w:rPr>
            </w:pPr>
            <w:r>
              <w:rPr>
                <w:rFonts w:ascii="宋体" w:hAnsi="宋体" w:cs="宋体" w:eastAsia="宋体" w:hint="default"/>
                <w:spacing w:val="-9"/>
                <w:w w:val="100"/>
                <w:sz w:val="21"/>
                <w:szCs w:val="21"/>
              </w:rPr>
              <w:t>报告期末担保余额合计（</w:t>
            </w:r>
            <w:r>
              <w:rPr>
                <w:rFonts w:ascii="Calibri" w:hAnsi="Calibri" w:cs="Calibri" w:eastAsia="Calibri" w:hint="default"/>
                <w:spacing w:val="-9"/>
                <w:w w:val="100"/>
                <w:sz w:val="21"/>
                <w:szCs w:val="21"/>
              </w:rPr>
              <w:t>A</w:t>
            </w:r>
            <w:r>
              <w:rPr>
                <w:rFonts w:ascii="宋体" w:hAnsi="宋体" w:cs="宋体" w:eastAsia="宋体" w:hint="default"/>
                <w:spacing w:val="-9"/>
                <w:w w:val="100"/>
                <w:sz w:val="21"/>
                <w:szCs w:val="21"/>
              </w:rPr>
              <w:t>）（不包括对子</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公司的担保）</w:t>
            </w:r>
          </w:p>
        </w:tc>
        <w:tc>
          <w:tcPr>
            <w:tcW w:w="5060"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39,999,320.03</w:t>
            </w:r>
          </w:p>
        </w:tc>
      </w:tr>
      <w:tr>
        <w:trPr>
          <w:trHeight w:val="322"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50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29,956,092.98</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784"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50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spacing w:val="-1"/>
                <w:sz w:val="21"/>
              </w:rPr>
              <w:t>29,956,092.98</w:t>
            </w:r>
          </w:p>
        </w:tc>
      </w:tr>
      <w:tr>
        <w:trPr>
          <w:trHeight w:val="322"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50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2.97</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6"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5060"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6" w:right="19"/>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保对象提供的债务担保金额（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5060"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p>
        </w:tc>
        <w:tc>
          <w:tcPr>
            <w:tcW w:w="50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5"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5060"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3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22</w:t>
            </w:r>
            <w:r>
              <w:rPr>
                <w:rFonts w:ascii="宋体" w:hAnsi="宋体" w:cs="宋体" w:eastAsia="宋体" w:hint="default"/>
                <w:spacing w:val="-3"/>
                <w:sz w:val="21"/>
                <w:szCs w:val="21"/>
              </w:rPr>
              <w:t>日，第二届董事会第三十次会议审议通过</w:t>
            </w:r>
          </w:p>
        </w:tc>
      </w:tr>
    </w:tbl>
    <w:p>
      <w:pPr>
        <w:spacing w:after="0" w:line="278" w:lineRule="exact"/>
        <w:jc w:val="left"/>
        <w:rPr>
          <w:rFonts w:ascii="宋体" w:hAnsi="宋体" w:cs="宋体" w:eastAsia="宋体" w:hint="default"/>
          <w:sz w:val="21"/>
          <w:szCs w:val="21"/>
        </w:rPr>
        <w:sectPr>
          <w:type w:val="continuous"/>
          <w:pgSz w:w="11910" w:h="16840"/>
          <w:pgMar w:top="1580" w:bottom="280" w:left="1660" w:right="840"/>
        </w:sectPr>
      </w:pPr>
    </w:p>
    <w:p>
      <w:pPr>
        <w:spacing w:line="240" w:lineRule="auto" w:before="0"/>
        <w:rPr>
          <w:rFonts w:ascii="宋体" w:hAnsi="宋体" w:cs="宋体" w:eastAsia="宋体" w:hint="default"/>
          <w:sz w:val="26"/>
          <w:szCs w:val="26"/>
        </w:rPr>
      </w:pPr>
    </w:p>
    <w:p>
      <w:pPr>
        <w:pStyle w:val="BodyText"/>
        <w:spacing w:line="240" w:lineRule="auto" w:before="36"/>
        <w:ind w:left="0" w:right="102"/>
        <w:jc w:val="right"/>
      </w:pPr>
      <w:r>
        <w:rPr/>
        <w:pict>
          <v:shape style="position:absolute;margin-left:88.103996pt;margin-top:1.803694pt;width:445.55pt;height:344.3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6"/>
                    <w:gridCol w:w="5060"/>
                  </w:tblGrid>
                  <w:tr>
                    <w:trPr>
                      <w:trHeight w:val="320" w:hRule="exact"/>
                    </w:trPr>
                    <w:tc>
                      <w:tcPr>
                        <w:tcW w:w="3836" w:type="dxa"/>
                        <w:vMerge w:val="restart"/>
                        <w:tcBorders>
                          <w:top w:val="single" w:sz="4" w:space="0" w:color="000000"/>
                          <w:left w:val="single" w:sz="4" w:space="0" w:color="000000"/>
                          <w:right w:val="single" w:sz="4" w:space="0" w:color="000000"/>
                        </w:tcBorders>
                      </w:tcPr>
                      <w:p>
                        <w:pPr/>
                      </w:p>
                    </w:tc>
                    <w:tc>
                      <w:tcPr>
                        <w:tcW w:w="506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为</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担保</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47"/>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p>
                    </w:tc>
                  </w:tr>
                  <w:tr>
                    <w:trPr>
                      <w:trHeight w:val="318"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2016</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08</w:t>
                        </w:r>
                        <w:r>
                          <w:rPr>
                            <w:rFonts w:ascii="Times New Roman" w:hAnsi="Times New Roman" w:cs="Times New Roman" w:eastAsia="Times New Roman" w:hint="default"/>
                            <w:spacing w:val="5"/>
                            <w:w w:val="100"/>
                            <w:sz w:val="21"/>
                            <w:szCs w:val="21"/>
                          </w:rPr>
                          <w:t>8</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宋体" w:hAnsi="宋体" w:cs="宋体" w:eastAsia="宋体" w:hint="default"/>
                            <w:spacing w:val="2"/>
                            <w:w w:val="100"/>
                            <w:sz w:val="21"/>
                            <w:szCs w:val="21"/>
                          </w:rPr>
                          <w:t>同</w:t>
                        </w:r>
                        <w:r>
                          <w:rPr>
                            <w:rFonts w:ascii="宋体" w:hAnsi="宋体" w:cs="宋体" w:eastAsia="宋体" w:hint="default"/>
                            <w:spacing w:val="4"/>
                            <w:w w:val="100"/>
                            <w:sz w:val="21"/>
                            <w:szCs w:val="21"/>
                          </w:rPr>
                          <w:t>意</w:t>
                        </w:r>
                        <w:r>
                          <w:rPr>
                            <w:rFonts w:ascii="宋体" w:hAnsi="宋体" w:cs="宋体" w:eastAsia="宋体" w:hint="default"/>
                            <w:spacing w:val="2"/>
                            <w:w w:val="100"/>
                            <w:sz w:val="21"/>
                            <w:szCs w:val="21"/>
                          </w:rPr>
                          <w:t>公</w:t>
                        </w:r>
                        <w:r>
                          <w:rPr>
                            <w:rFonts w:ascii="宋体" w:hAnsi="宋体" w:cs="宋体" w:eastAsia="宋体" w:hint="default"/>
                            <w:spacing w:val="4"/>
                            <w:w w:val="100"/>
                            <w:sz w:val="21"/>
                            <w:szCs w:val="21"/>
                          </w:rPr>
                          <w:t>司</w:t>
                        </w:r>
                        <w:r>
                          <w:rPr>
                            <w:rFonts w:ascii="宋体" w:hAnsi="宋体" w:cs="宋体" w:eastAsia="宋体" w:hint="default"/>
                            <w:spacing w:val="2"/>
                            <w:w w:val="100"/>
                            <w:sz w:val="21"/>
                            <w:szCs w:val="21"/>
                          </w:rPr>
                          <w:t>为福</w:t>
                        </w:r>
                        <w:r>
                          <w:rPr>
                            <w:rFonts w:ascii="宋体" w:hAnsi="宋体" w:cs="宋体" w:eastAsia="宋体" w:hint="default"/>
                            <w:spacing w:val="4"/>
                            <w:w w:val="100"/>
                            <w:sz w:val="21"/>
                            <w:szCs w:val="21"/>
                          </w:rPr>
                          <w:t>建神</w:t>
                        </w:r>
                        <w:r>
                          <w:rPr>
                            <w:rFonts w:ascii="宋体" w:hAnsi="宋体" w:cs="宋体" w:eastAsia="宋体" w:hint="default"/>
                            <w:spacing w:val="2"/>
                            <w:w w:val="100"/>
                            <w:sz w:val="21"/>
                            <w:szCs w:val="21"/>
                          </w:rPr>
                          <w:t>威</w:t>
                        </w:r>
                        <w:r>
                          <w:rPr>
                            <w:rFonts w:ascii="宋体" w:hAnsi="宋体" w:cs="宋体" w:eastAsia="宋体" w:hint="default"/>
                            <w:spacing w:val="4"/>
                            <w:w w:val="100"/>
                            <w:sz w:val="21"/>
                            <w:szCs w:val="21"/>
                          </w:rPr>
                          <w:t>的银</w:t>
                        </w:r>
                        <w:r>
                          <w:rPr>
                            <w:rFonts w:ascii="宋体" w:hAnsi="宋体" w:cs="宋体" w:eastAsia="宋体" w:hint="default"/>
                            <w:spacing w:val="2"/>
                            <w:w w:val="100"/>
                            <w:sz w:val="21"/>
                            <w:szCs w:val="21"/>
                          </w:rPr>
                          <w:t>行</w:t>
                        </w:r>
                        <w:r>
                          <w:rPr>
                            <w:rFonts w:ascii="宋体" w:hAnsi="宋体" w:cs="宋体" w:eastAsia="宋体" w:hint="default"/>
                            <w:spacing w:val="4"/>
                            <w:w w:val="100"/>
                            <w:sz w:val="21"/>
                            <w:szCs w:val="21"/>
                          </w:rPr>
                          <w:t>综</w:t>
                        </w:r>
                        <w:r>
                          <w:rPr>
                            <w:rFonts w:ascii="宋体" w:hAnsi="宋体" w:cs="宋体" w:eastAsia="宋体" w:hint="default"/>
                            <w:spacing w:val="2"/>
                            <w:w w:val="100"/>
                            <w:sz w:val="21"/>
                            <w:szCs w:val="21"/>
                          </w:rPr>
                          <w:t>合</w:t>
                        </w:r>
                        <w:r>
                          <w:rPr>
                            <w:rFonts w:ascii="宋体" w:hAnsi="宋体" w:cs="宋体" w:eastAsia="宋体" w:hint="default"/>
                            <w:spacing w:val="4"/>
                            <w:w w:val="100"/>
                            <w:sz w:val="21"/>
                            <w:szCs w:val="21"/>
                          </w:rPr>
                          <w:t>授信</w:t>
                        </w:r>
                        <w:r>
                          <w:rPr>
                            <w:rFonts w:ascii="宋体" w:hAnsi="宋体" w:cs="宋体" w:eastAsia="宋体" w:hint="default"/>
                            <w:spacing w:val="2"/>
                            <w:w w:val="100"/>
                            <w:sz w:val="21"/>
                            <w:szCs w:val="21"/>
                          </w:rPr>
                          <w:t>提</w:t>
                        </w:r>
                        <w:r>
                          <w:rPr>
                            <w:rFonts w:ascii="宋体" w:hAnsi="宋体" w:cs="宋体" w:eastAsia="宋体" w:hint="default"/>
                            <w:w w:val="100"/>
                            <w:sz w:val="21"/>
                            <w:szCs w:val="21"/>
                          </w:rPr>
                          <w:t>供</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不超</w:t>
                        </w:r>
                        <w:r>
                          <w:rPr>
                            <w:rFonts w:ascii="宋体" w:hAnsi="宋体" w:cs="宋体" w:eastAsia="宋体" w:hint="default"/>
                            <w:spacing w:val="-3"/>
                            <w:w w:val="100"/>
                            <w:sz w:val="21"/>
                            <w:szCs w:val="21"/>
                          </w:rPr>
                          <w:t>过</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万</w:t>
                        </w:r>
                        <w:r>
                          <w:rPr>
                            <w:rFonts w:ascii="宋体" w:hAnsi="宋体" w:cs="宋体" w:eastAsia="宋体" w:hint="default"/>
                            <w:spacing w:val="-3"/>
                            <w:w w:val="100"/>
                            <w:sz w:val="21"/>
                            <w:szCs w:val="21"/>
                          </w:rPr>
                          <w:t>元的</w:t>
                        </w:r>
                        <w:r>
                          <w:rPr>
                            <w:rFonts w:ascii="宋体" w:hAnsi="宋体" w:cs="宋体" w:eastAsia="宋体" w:hint="default"/>
                            <w:w w:val="100"/>
                            <w:sz w:val="21"/>
                            <w:szCs w:val="21"/>
                          </w:rPr>
                          <w:t>担保</w:t>
                        </w:r>
                        <w:r>
                          <w:rPr>
                            <w:rFonts w:ascii="宋体" w:hAnsi="宋体" w:cs="宋体" w:eastAsia="宋体" w:hint="default"/>
                            <w:spacing w:val="-97"/>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的</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神通电脑股份有限公司为本公司的担保金额</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承担</w:t>
                        </w:r>
                        <w:r>
                          <w:rPr>
                            <w:rFonts w:ascii="Times New Roman" w:hAnsi="Times New Roman" w:cs="Times New Roman" w:eastAsia="Times New Roman" w:hint="default"/>
                            <w:spacing w:val="-2"/>
                            <w:sz w:val="21"/>
                            <w:szCs w:val="21"/>
                          </w:rPr>
                          <w:t>40%</w:t>
                        </w:r>
                        <w:r>
                          <w:rPr>
                            <w:rFonts w:ascii="宋体" w:hAnsi="宋体" w:cs="宋体" w:eastAsia="宋体" w:hint="default"/>
                            <w:spacing w:val="-2"/>
                            <w:sz w:val="21"/>
                            <w:szCs w:val="21"/>
                          </w:rPr>
                          <w:t>担保责任的反担保。</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日，南威软件</w:t>
                        </w:r>
                      </w:p>
                    </w:tc>
                  </w:tr>
                  <w:tr>
                    <w:trPr>
                      <w:trHeight w:val="306"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股份有限公司与中国民生银行股份有限公司福州分行</w:t>
                        </w:r>
                      </w:p>
                    </w:tc>
                  </w:tr>
                  <w:tr>
                    <w:trPr>
                      <w:trHeight w:val="318"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签订最高额保证合同，金额</w:t>
                        </w:r>
                        <w:r>
                          <w:rPr>
                            <w:rFonts w:ascii="Times New Roman" w:hAnsi="Times New Roman" w:cs="Times New Roman" w:eastAsia="Times New Roman" w:hint="default"/>
                            <w:spacing w:val="-3"/>
                            <w:sz w:val="21"/>
                            <w:szCs w:val="21"/>
                          </w:rPr>
                          <w:t>3000</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16</w:t>
                        </w:r>
                        <w:r>
                          <w:rPr>
                            <w:rFonts w:ascii="宋体" w:hAnsi="宋体" w:cs="宋体" w:eastAsia="宋体" w:hint="default"/>
                            <w:spacing w:val="-3"/>
                            <w:sz w:val="21"/>
                            <w:szCs w:val="21"/>
                          </w:rPr>
                          <w:t>日</w:t>
                        </w:r>
                      </w:p>
                    </w:tc>
                  </w:tr>
                  <w:tr>
                    <w:trPr>
                      <w:trHeight w:val="306"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南威软件股份有限公司与与兴业银行股份有限公司福</w:t>
                        </w:r>
                      </w:p>
                    </w:tc>
                  </w:tr>
                  <w:tr>
                    <w:trPr>
                      <w:trHeight w:val="318"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州分行签订最高额保证合同，金额</w:t>
                        </w:r>
                        <w:r>
                          <w:rPr>
                            <w:rFonts w:ascii="Times New Roman" w:hAnsi="Times New Roman" w:cs="Times New Roman" w:eastAsia="Times New Roman" w:hint="default"/>
                            <w:spacing w:val="-7"/>
                            <w:sz w:val="21"/>
                            <w:szCs w:val="21"/>
                          </w:rPr>
                          <w:t>1400</w:t>
                        </w:r>
                        <w:r>
                          <w:rPr>
                            <w:rFonts w:ascii="宋体" w:hAnsi="宋体" w:cs="宋体" w:eastAsia="宋体" w:hint="default"/>
                            <w:spacing w:val="-7"/>
                            <w:sz w:val="21"/>
                            <w:szCs w:val="21"/>
                          </w:rPr>
                          <w:t>万元。报告期内</w:t>
                        </w:r>
                      </w:p>
                    </w:tc>
                  </w:tr>
                  <w:tr>
                    <w:trPr>
                      <w:trHeight w:val="307"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福建神威均能及时偿还各类贷款，未发生逾期违约。</w:t>
                        </w:r>
                      </w:p>
                    </w:tc>
                  </w:tr>
                  <w:tr>
                    <w:trPr>
                      <w:trHeight w:val="318"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日，公司第三届董事会第二次会议审议通</w:t>
                        </w:r>
                      </w:p>
                    </w:tc>
                  </w:tr>
                  <w:tr>
                    <w:trPr>
                      <w:trHeight w:val="306"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w w:val="100"/>
                            <w:sz w:val="21"/>
                            <w:szCs w:val="21"/>
                          </w:rPr>
                          <w:t>过《关</w:t>
                        </w:r>
                        <w:r>
                          <w:rPr>
                            <w:rFonts w:ascii="宋体" w:hAnsi="宋体" w:cs="宋体" w:eastAsia="宋体" w:hint="default"/>
                            <w:w w:val="100"/>
                            <w:sz w:val="21"/>
                            <w:szCs w:val="21"/>
                          </w:rPr>
                          <w:t>于</w:t>
                        </w:r>
                        <w:r>
                          <w:rPr>
                            <w:rFonts w:ascii="宋体" w:hAnsi="宋体" w:cs="宋体" w:eastAsia="宋体" w:hint="default"/>
                            <w:spacing w:val="2"/>
                            <w:w w:val="100"/>
                            <w:sz w:val="21"/>
                            <w:szCs w:val="21"/>
                          </w:rPr>
                          <w:t>为全</w:t>
                        </w:r>
                        <w:r>
                          <w:rPr>
                            <w:rFonts w:ascii="宋体" w:hAnsi="宋体" w:cs="宋体" w:eastAsia="宋体" w:hint="default"/>
                            <w:w w:val="100"/>
                            <w:sz w:val="21"/>
                            <w:szCs w:val="21"/>
                          </w:rPr>
                          <w:t>资</w:t>
                        </w:r>
                        <w:r>
                          <w:rPr>
                            <w:rFonts w:ascii="宋体" w:hAnsi="宋体" w:cs="宋体" w:eastAsia="宋体" w:hint="default"/>
                            <w:spacing w:val="2"/>
                            <w:w w:val="100"/>
                            <w:sz w:val="21"/>
                            <w:szCs w:val="21"/>
                          </w:rPr>
                          <w:t>子公司</w:t>
                        </w:r>
                        <w:r>
                          <w:rPr>
                            <w:rFonts w:ascii="宋体" w:hAnsi="宋体" w:cs="宋体" w:eastAsia="宋体" w:hint="default"/>
                            <w:w w:val="100"/>
                            <w:sz w:val="21"/>
                            <w:szCs w:val="21"/>
                          </w:rPr>
                          <w:t>银</w:t>
                        </w:r>
                        <w:r>
                          <w:rPr>
                            <w:rFonts w:ascii="宋体" w:hAnsi="宋体" w:cs="宋体" w:eastAsia="宋体" w:hint="default"/>
                            <w:spacing w:val="2"/>
                            <w:w w:val="100"/>
                            <w:sz w:val="21"/>
                            <w:szCs w:val="21"/>
                          </w:rPr>
                          <w:t>行授信</w:t>
                        </w:r>
                        <w:r>
                          <w:rPr>
                            <w:rFonts w:ascii="宋体" w:hAnsi="宋体" w:cs="宋体" w:eastAsia="宋体" w:hint="default"/>
                            <w:w w:val="100"/>
                            <w:sz w:val="21"/>
                            <w:szCs w:val="21"/>
                          </w:rPr>
                          <w:t>提</w:t>
                        </w:r>
                        <w:r>
                          <w:rPr>
                            <w:rFonts w:ascii="宋体" w:hAnsi="宋体" w:cs="宋体" w:eastAsia="宋体" w:hint="default"/>
                            <w:spacing w:val="2"/>
                            <w:w w:val="100"/>
                            <w:sz w:val="21"/>
                            <w:szCs w:val="21"/>
                          </w:rPr>
                          <w:t>供担</w:t>
                        </w:r>
                        <w:r>
                          <w:rPr>
                            <w:rFonts w:ascii="宋体" w:hAnsi="宋体" w:cs="宋体" w:eastAsia="宋体" w:hint="default"/>
                            <w:w w:val="100"/>
                            <w:sz w:val="21"/>
                            <w:szCs w:val="21"/>
                          </w:rPr>
                          <w:t>保</w:t>
                        </w:r>
                        <w:r>
                          <w:rPr>
                            <w:rFonts w:ascii="宋体" w:hAnsi="宋体" w:cs="宋体" w:eastAsia="宋体" w:hint="default"/>
                            <w:spacing w:val="2"/>
                            <w:w w:val="100"/>
                            <w:sz w:val="21"/>
                            <w:szCs w:val="21"/>
                          </w:rPr>
                          <w:t>的议案</w:t>
                        </w:r>
                        <w:r>
                          <w:rPr>
                            <w:rFonts w:ascii="宋体" w:hAnsi="宋体" w:cs="宋体" w:eastAsia="宋体" w:hint="default"/>
                            <w:spacing w:val="-106"/>
                            <w:w w:val="100"/>
                            <w:sz w:val="21"/>
                            <w:szCs w:val="21"/>
                          </w:rPr>
                          <w:t>》</w:t>
                        </w:r>
                        <w:r>
                          <w:rPr>
                            <w:rFonts w:ascii="宋体" w:hAnsi="宋体" w:cs="宋体" w:eastAsia="宋体" w:hint="default"/>
                            <w:w w:val="100"/>
                            <w:sz w:val="21"/>
                            <w:szCs w:val="21"/>
                          </w:rPr>
                          <w:t>（详</w:t>
                        </w:r>
                      </w:p>
                    </w:tc>
                  </w:tr>
                  <w:tr>
                    <w:trPr>
                      <w:trHeight w:val="318"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4"/>
                            <w:w w:val="100"/>
                            <w:sz w:val="21"/>
                            <w:szCs w:val="21"/>
                          </w:rPr>
                          <w:t>见公</w:t>
                        </w:r>
                        <w:r>
                          <w:rPr>
                            <w:rFonts w:ascii="宋体" w:hAnsi="宋体" w:cs="宋体" w:eastAsia="宋体" w:hint="default"/>
                            <w:spacing w:val="2"/>
                            <w:w w:val="100"/>
                            <w:sz w:val="21"/>
                            <w:szCs w:val="21"/>
                          </w:rPr>
                          <w:t>告</w:t>
                        </w:r>
                        <w:r>
                          <w:rPr>
                            <w:rFonts w:ascii="宋体" w:hAnsi="宋体" w:cs="宋体" w:eastAsia="宋体" w:hint="default"/>
                            <w:spacing w:val="4"/>
                            <w:w w:val="100"/>
                            <w:sz w:val="21"/>
                            <w:szCs w:val="21"/>
                          </w:rPr>
                          <w:t>编号</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2017</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05</w:t>
                        </w:r>
                        <w:r>
                          <w:rPr>
                            <w:rFonts w:ascii="Times New Roman" w:hAnsi="Times New Roman" w:cs="Times New Roman" w:eastAsia="Times New Roman" w:hint="default"/>
                            <w:spacing w:val="4"/>
                            <w:w w:val="100"/>
                            <w:sz w:val="21"/>
                            <w:szCs w:val="21"/>
                          </w:rPr>
                          <w:t>7</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w:t>
                        </w:r>
                        <w:r>
                          <w:rPr>
                            <w:rFonts w:ascii="宋体" w:hAnsi="宋体" w:cs="宋体" w:eastAsia="宋体" w:hint="default"/>
                            <w:spacing w:val="4"/>
                            <w:w w:val="100"/>
                            <w:sz w:val="21"/>
                            <w:szCs w:val="21"/>
                          </w:rPr>
                          <w:t>同意</w:t>
                        </w:r>
                        <w:r>
                          <w:rPr>
                            <w:rFonts w:ascii="宋体" w:hAnsi="宋体" w:cs="宋体" w:eastAsia="宋体" w:hint="default"/>
                            <w:spacing w:val="2"/>
                            <w:w w:val="100"/>
                            <w:sz w:val="21"/>
                            <w:szCs w:val="21"/>
                          </w:rPr>
                          <w:t>公</w:t>
                        </w:r>
                        <w:r>
                          <w:rPr>
                            <w:rFonts w:ascii="宋体" w:hAnsi="宋体" w:cs="宋体" w:eastAsia="宋体" w:hint="default"/>
                            <w:spacing w:val="4"/>
                            <w:w w:val="100"/>
                            <w:sz w:val="21"/>
                            <w:szCs w:val="21"/>
                          </w:rPr>
                          <w:t>司在</w:t>
                        </w:r>
                        <w:r>
                          <w:rPr>
                            <w:rFonts w:ascii="宋体" w:hAnsi="宋体" w:cs="宋体" w:eastAsia="宋体" w:hint="default"/>
                            <w:spacing w:val="2"/>
                            <w:w w:val="100"/>
                            <w:sz w:val="21"/>
                            <w:szCs w:val="21"/>
                          </w:rPr>
                          <w:t>确</w:t>
                        </w:r>
                        <w:r>
                          <w:rPr>
                            <w:rFonts w:ascii="宋体" w:hAnsi="宋体" w:cs="宋体" w:eastAsia="宋体" w:hint="default"/>
                            <w:spacing w:val="4"/>
                            <w:w w:val="100"/>
                            <w:sz w:val="21"/>
                            <w:szCs w:val="21"/>
                          </w:rPr>
                          <w:t>保</w:t>
                        </w:r>
                        <w:r>
                          <w:rPr>
                            <w:rFonts w:ascii="宋体" w:hAnsi="宋体" w:cs="宋体" w:eastAsia="宋体" w:hint="default"/>
                            <w:spacing w:val="2"/>
                            <w:w w:val="100"/>
                            <w:sz w:val="21"/>
                            <w:szCs w:val="21"/>
                          </w:rPr>
                          <w:t>运</w:t>
                        </w:r>
                        <w:r>
                          <w:rPr>
                            <w:rFonts w:ascii="宋体" w:hAnsi="宋体" w:cs="宋体" w:eastAsia="宋体" w:hint="default"/>
                            <w:spacing w:val="4"/>
                            <w:w w:val="100"/>
                            <w:sz w:val="21"/>
                            <w:szCs w:val="21"/>
                          </w:rPr>
                          <w:t>作规</w:t>
                        </w:r>
                        <w:r>
                          <w:rPr>
                            <w:rFonts w:ascii="宋体" w:hAnsi="宋体" w:cs="宋体" w:eastAsia="宋体" w:hint="default"/>
                            <w:spacing w:val="2"/>
                            <w:w w:val="100"/>
                            <w:sz w:val="21"/>
                            <w:szCs w:val="21"/>
                          </w:rPr>
                          <w:t>范</w:t>
                        </w:r>
                        <w:r>
                          <w:rPr>
                            <w:rFonts w:ascii="宋体" w:hAnsi="宋体" w:cs="宋体" w:eastAsia="宋体" w:hint="default"/>
                            <w:w w:val="100"/>
                            <w:sz w:val="21"/>
                            <w:szCs w:val="21"/>
                          </w:rPr>
                          <w:t>和</w:t>
                        </w:r>
                      </w:p>
                    </w:tc>
                  </w:tr>
                  <w:tr>
                    <w:trPr>
                      <w:trHeight w:val="306"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风险可控的前提下，为福建南威软件有限公司提供不超</w:t>
                        </w:r>
                      </w:p>
                    </w:tc>
                  </w:tr>
                  <w:tr>
                    <w:trPr>
                      <w:trHeight w:val="318"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过</w:t>
                        </w:r>
                        <w:r>
                          <w:rPr>
                            <w:rFonts w:ascii="Times New Roman" w:hAnsi="Times New Roman" w:cs="Times New Roman" w:eastAsia="Times New Roman" w:hint="default"/>
                            <w:spacing w:val="2"/>
                            <w:sz w:val="21"/>
                            <w:szCs w:val="21"/>
                          </w:rPr>
                          <w:t>8,000</w:t>
                        </w:r>
                        <w:r>
                          <w:rPr>
                            <w:rFonts w:ascii="宋体" w:hAnsi="宋体" w:cs="宋体" w:eastAsia="宋体" w:hint="default"/>
                            <w:spacing w:val="2"/>
                            <w:sz w:val="21"/>
                            <w:szCs w:val="21"/>
                          </w:rPr>
                          <w:t>万元的银行综合授信提供连带责任担保。</w:t>
                        </w:r>
                        <w:r>
                          <w:rPr>
                            <w:rFonts w:ascii="Times New Roman" w:hAnsi="Times New Roman" w:cs="Times New Roman" w:eastAsia="Times New Roman" w:hint="default"/>
                            <w:spacing w:val="2"/>
                            <w:sz w:val="21"/>
                            <w:szCs w:val="21"/>
                          </w:rPr>
                          <w:t>2017</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日，南威软件股份有限公司与中国民生银行股</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份有限公司福州分行签订最高额保证合同，金额</w:t>
                        </w:r>
                        <w:r>
                          <w:rPr>
                            <w:rFonts w:ascii="Times New Roman" w:hAnsi="Times New Roman" w:cs="Times New Roman" w:eastAsia="Times New Roman" w:hint="default"/>
                            <w:spacing w:val="2"/>
                            <w:sz w:val="21"/>
                            <w:szCs w:val="21"/>
                          </w:rPr>
                          <w:t>3,000</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万元，有效使用期限为</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26</w:t>
                        </w:r>
                        <w:r>
                          <w:rPr>
                            <w:rFonts w:ascii="宋体" w:hAnsi="宋体" w:cs="宋体" w:eastAsia="宋体" w:hint="default"/>
                            <w:spacing w:val="3"/>
                            <w:sz w:val="21"/>
                            <w:szCs w:val="21"/>
                          </w:rPr>
                          <w:t>日至</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26</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日。</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日，南威软件股份有限公司与兴业银</w:t>
                        </w:r>
                      </w:p>
                    </w:tc>
                  </w:tr>
                  <w:tr>
                    <w:trPr>
                      <w:trHeight w:val="312"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20"/>
                          <w:jc w:val="left"/>
                          <w:rPr>
                            <w:rFonts w:ascii="宋体" w:hAnsi="宋体" w:cs="宋体" w:eastAsia="宋体" w:hint="default"/>
                            <w:sz w:val="21"/>
                            <w:szCs w:val="21"/>
                          </w:rPr>
                        </w:pPr>
                        <w:r>
                          <w:rPr>
                            <w:rFonts w:ascii="宋体" w:hAnsi="宋体" w:cs="宋体" w:eastAsia="宋体" w:hint="default"/>
                            <w:spacing w:val="-2"/>
                            <w:sz w:val="21"/>
                            <w:szCs w:val="21"/>
                          </w:rPr>
                          <w:t>行股份有限公司签订最高额保证合同，金额</w:t>
                        </w:r>
                        <w:r>
                          <w:rPr>
                            <w:rFonts w:ascii="Times New Roman" w:hAnsi="Times New Roman" w:cs="Times New Roman" w:eastAsia="Times New Roman" w:hint="default"/>
                            <w:spacing w:val="-2"/>
                            <w:sz w:val="21"/>
                            <w:szCs w:val="21"/>
                          </w:rPr>
                          <w:t>2100</w:t>
                        </w:r>
                        <w:r>
                          <w:rPr>
                            <w:rFonts w:ascii="宋体" w:hAnsi="宋体" w:cs="宋体" w:eastAsia="宋体" w:hint="default"/>
                            <w:spacing w:val="-2"/>
                            <w:sz w:val="21"/>
                            <w:szCs w:val="21"/>
                          </w:rPr>
                          <w:t>万元。</w:t>
                        </w:r>
                      </w:p>
                    </w:tc>
                  </w:tr>
                  <w:tr>
                    <w:trPr>
                      <w:trHeight w:val="306" w:hRule="exact"/>
                    </w:trPr>
                    <w:tc>
                      <w:tcPr>
                        <w:tcW w:w="3836" w:type="dxa"/>
                        <w:vMerge/>
                        <w:tcBorders>
                          <w:left w:val="single" w:sz="4" w:space="0" w:color="000000"/>
                          <w:right w:val="single" w:sz="4" w:space="0" w:color="000000"/>
                        </w:tcBorders>
                      </w:tcPr>
                      <w:p>
                        <w:pPr/>
                      </w:p>
                    </w:tc>
                    <w:tc>
                      <w:tcPr>
                        <w:tcW w:w="506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报告期内，福建南威均能及时偿还各类贷款，未发生逾</w:t>
                        </w:r>
                      </w:p>
                    </w:tc>
                  </w:tr>
                  <w:tr>
                    <w:trPr>
                      <w:trHeight w:val="316" w:hRule="exact"/>
                    </w:trPr>
                    <w:tc>
                      <w:tcPr>
                        <w:tcW w:w="3836" w:type="dxa"/>
                        <w:vMerge/>
                        <w:tcBorders>
                          <w:left w:val="single" w:sz="4" w:space="0" w:color="000000"/>
                          <w:bottom w:val="single" w:sz="4" w:space="0" w:color="000000"/>
                          <w:right w:val="single" w:sz="4" w:space="0" w:color="000000"/>
                        </w:tcBorders>
                      </w:tcPr>
                      <w:p>
                        <w:pPr/>
                      </w:p>
                    </w:tc>
                    <w:tc>
                      <w:tcPr>
                        <w:tcW w:w="506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期违约。</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36"/>
        <w:ind w:left="0" w:right="104"/>
        <w:jc w:val="right"/>
      </w:pPr>
      <w:r>
        <w:rPr>
          <w:w w:val="100"/>
        </w:rPr>
        <w:t>，</w:t>
      </w:r>
    </w:p>
    <w:p>
      <w:pPr>
        <w:spacing w:line="240" w:lineRule="auto" w:before="12"/>
        <w:rPr>
          <w:rFonts w:ascii="宋体" w:hAnsi="宋体" w:cs="宋体" w:eastAsia="宋体" w:hint="default"/>
          <w:sz w:val="23"/>
          <w:szCs w:val="23"/>
        </w:rPr>
      </w:pPr>
    </w:p>
    <w:p>
      <w:pPr>
        <w:pStyle w:val="BodyText"/>
        <w:spacing w:line="240" w:lineRule="auto" w:before="36"/>
        <w:ind w:left="0" w:right="102"/>
        <w:jc w:val="right"/>
      </w:pPr>
      <w:r>
        <w:rPr>
          <w:w w:val="100"/>
        </w:rPr>
        <w:t>，</w:t>
      </w:r>
    </w:p>
    <w:p>
      <w:pPr>
        <w:spacing w:after="0" w:line="240" w:lineRule="auto"/>
        <w:jc w:val="right"/>
        <w:sectPr>
          <w:pgSz w:w="11910" w:h="16840"/>
          <w:pgMar w:header="855" w:footer="979" w:top="1140" w:bottom="116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7"/>
          <w:footerReference w:type="default" r:id="rId18"/>
          <w:pgSz w:w="16840" w:h="11910" w:orient="landscape"/>
          <w:pgMar w:header="855" w:footer="980" w:top="1140" w:bottom="1160" w:left="1220" w:right="920"/>
          <w:pgNumType w:start="44"/>
        </w:sectPr>
      </w:pPr>
    </w:p>
    <w:p>
      <w:pPr>
        <w:pStyle w:val="Heading3"/>
        <w:spacing w:line="324" w:lineRule="auto" w:before="175"/>
        <w:ind w:left="220" w:right="-1"/>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r>
      <w:r>
        <w:rPr>
          <w:spacing w:val="-1"/>
        </w:rPr>
        <w:t>委托他人进行现金资产管理的情况</w:t>
      </w:r>
      <w:r>
        <w:rPr>
          <w:spacing w:val="-89"/>
        </w:rPr>
        <w:t> </w:t>
      </w:r>
      <w:r>
        <w:rPr>
          <w:spacing w:val="-89"/>
        </w:rPr>
      </w:r>
      <w:r>
        <w:rPr>
          <w:rFonts w:ascii="宋体" w:hAnsi="宋体" w:cs="宋体" w:eastAsia="宋体" w:hint="default"/>
        </w:rPr>
        <w:t>1</w:t>
      </w:r>
      <w:r>
        <w:rPr/>
        <w:t>、 委托理财情况</w:t>
      </w:r>
      <w:r>
        <w:rPr>
          <w:spacing w:val="-104"/>
        </w:rPr>
        <w:t> </w:t>
      </w:r>
      <w:r>
        <w:rPr>
          <w:spacing w:val="-104"/>
        </w:rPr>
      </w:r>
      <w:r>
        <w:rPr>
          <w:rFonts w:ascii="宋体" w:hAnsi="宋体" w:cs="宋体" w:eastAsia="宋体" w:hint="default"/>
        </w:rPr>
        <w:t>(1).</w:t>
      </w:r>
      <w:r>
        <w:rPr/>
        <w:t>委托理财总体情况</w:t>
      </w:r>
      <w:r>
        <w:rPr>
          <w:b w:val="0"/>
          <w:bCs w:val="0"/>
        </w:rPr>
      </w:r>
    </w:p>
    <w:p>
      <w:pPr>
        <w:pStyle w:val="BodyText"/>
        <w:tabs>
          <w:tab w:pos="957" w:val="left" w:leader="none"/>
        </w:tabs>
        <w:spacing w:line="265" w:lineRule="exact"/>
        <w:ind w:left="220" w:right="-1"/>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580" w:bottom="280" w:left="1220" w:right="920"/>
          <w:cols w:num="2" w:equalWidth="0">
            <w:col w:w="3807" w:space="7967"/>
            <w:col w:w="292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597"/>
        <w:gridCol w:w="2650"/>
        <w:gridCol w:w="2650"/>
        <w:gridCol w:w="2648"/>
        <w:gridCol w:w="3545"/>
      </w:tblGrid>
      <w:tr>
        <w:trPr>
          <w:trHeight w:val="32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8"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2"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1,470,402,510.65</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116,299,599.77</w:t>
            </w:r>
          </w:p>
        </w:tc>
        <w:tc>
          <w:tcPr>
            <w:tcW w:w="35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证券理财</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330,000,000.00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120,000,000.00</w:t>
            </w:r>
          </w:p>
        </w:tc>
        <w:tc>
          <w:tcPr>
            <w:tcW w:w="35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before="36"/>
        <w:ind w:left="220" w:right="0"/>
        <w:jc w:val="left"/>
        <w:rPr>
          <w:b w:val="0"/>
          <w:bCs w:val="0"/>
        </w:rPr>
      </w:pPr>
      <w:r>
        <w:rPr/>
        <w:t>其他情况</w:t>
      </w:r>
      <w:r>
        <w:rPr>
          <w:b w:val="0"/>
          <w:bCs w:val="0"/>
        </w:rPr>
      </w:r>
    </w:p>
    <w:p>
      <w:pPr>
        <w:pStyle w:val="BodyText"/>
        <w:tabs>
          <w:tab w:pos="1062" w:val="left" w:leader="none"/>
        </w:tabs>
        <w:spacing w:line="240" w:lineRule="auto" w:before="37"/>
        <w:ind w:left="220"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6840" w:h="11910" w:orient="landscape"/>
          <w:pgMar w:top="1580" w:bottom="280" w:left="1220" w:right="920"/>
        </w:sectPr>
      </w:pPr>
    </w:p>
    <w:p>
      <w:pPr>
        <w:pStyle w:val="Heading3"/>
        <w:spacing w:line="240" w:lineRule="auto" w:before="36"/>
        <w:ind w:left="220" w:right="-15"/>
        <w:jc w:val="left"/>
        <w:rPr>
          <w:b w:val="0"/>
          <w:bCs w:val="0"/>
        </w:rPr>
      </w:pPr>
      <w:r>
        <w:rPr>
          <w:rFonts w:ascii="宋体" w:hAnsi="宋体" w:cs="宋体" w:eastAsia="宋体" w:hint="default"/>
        </w:rPr>
        <w:t>(2).</w:t>
      </w:r>
      <w:r>
        <w:rPr/>
        <w:t>单项委托理财情况</w:t>
      </w:r>
      <w:r>
        <w:rPr>
          <w:b w:val="0"/>
          <w:bCs w:val="0"/>
        </w:rPr>
      </w:r>
    </w:p>
    <w:p>
      <w:pPr>
        <w:pStyle w:val="BodyText"/>
        <w:tabs>
          <w:tab w:pos="957" w:val="left" w:leader="none"/>
        </w:tabs>
        <w:spacing w:line="240" w:lineRule="auto" w:before="37"/>
        <w:ind w:left="220" w:right="-1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220" w:right="0"/>
        <w:jc w:val="left"/>
      </w:pPr>
      <w:r>
        <w:rPr/>
        <w:t>单位：元币种：人民币</w:t>
      </w:r>
    </w:p>
    <w:p>
      <w:pPr>
        <w:spacing w:after="0" w:line="240" w:lineRule="auto"/>
        <w:jc w:val="left"/>
        <w:sectPr>
          <w:type w:val="continuous"/>
          <w:pgSz w:w="16840" w:h="11910" w:orient="landscape"/>
          <w:pgMar w:top="1580" w:bottom="280" w:left="1220" w:right="920"/>
          <w:cols w:num="2" w:equalWidth="0">
            <w:col w:w="2335" w:space="9439"/>
            <w:col w:w="292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080"/>
        <w:gridCol w:w="1222"/>
        <w:gridCol w:w="1585"/>
        <w:gridCol w:w="1334"/>
        <w:gridCol w:w="835"/>
        <w:gridCol w:w="696"/>
        <w:gridCol w:w="838"/>
        <w:gridCol w:w="845"/>
        <w:gridCol w:w="720"/>
        <w:gridCol w:w="1215"/>
        <w:gridCol w:w="1459"/>
        <w:gridCol w:w="694"/>
        <w:gridCol w:w="694"/>
        <w:gridCol w:w="735"/>
        <w:gridCol w:w="511"/>
      </w:tblGrid>
      <w:tr>
        <w:trPr>
          <w:trHeight w:val="313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93" w:right="182" w:hanging="20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54"/>
              <w:jc w:val="right"/>
              <w:rPr>
                <w:rFonts w:ascii="宋体" w:hAnsi="宋体" w:cs="宋体" w:eastAsia="宋体" w:hint="default"/>
                <w:sz w:val="21"/>
                <w:szCs w:val="21"/>
              </w:rPr>
            </w:pPr>
            <w:r>
              <w:rPr>
                <w:rFonts w:ascii="宋体" w:hAnsi="宋体" w:cs="宋体" w:eastAsia="宋体" w:hint="default"/>
                <w:spacing w:val="-1"/>
                <w:sz w:val="21"/>
                <w:szCs w:val="21"/>
              </w:rPr>
              <w:t>委托理财金额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345" w:right="134" w:hanging="212"/>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201" w:right="199"/>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31" w:right="13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02" w:right="203"/>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3" w:right="143"/>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预期收益</w:t>
            </w:r>
          </w:p>
          <w:p>
            <w:pPr>
              <w:pStyle w:val="TableParagraph"/>
              <w:spacing w:line="240" w:lineRule="auto" w:before="37"/>
              <w:ind w:left="1" w:right="0"/>
              <w:jc w:val="center"/>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如有</w:t>
            </w:r>
            <w:r>
              <w:rPr>
                <w:rFonts w:ascii="Calibri" w:hAnsi="Calibri" w:cs="Calibri" w:eastAsia="Calibri" w:hint="default"/>
                <w:sz w:val="21"/>
                <w:szCs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99" w:right="194"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9" w:right="131"/>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32" w:right="12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51" w:right="149"/>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firstLine="3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如</w:t>
            </w:r>
          </w:p>
          <w:p>
            <w:pPr>
              <w:pStyle w:val="TableParagraph"/>
              <w:spacing w:line="276" w:lineRule="exact"/>
              <w:ind w:left="112" w:right="0"/>
              <w:jc w:val="both"/>
              <w:rPr>
                <w:rFonts w:ascii="Calibri" w:hAnsi="Calibri" w:cs="Calibri" w:eastAsia="Calibri" w:hint="default"/>
                <w:sz w:val="21"/>
                <w:szCs w:val="21"/>
              </w:rPr>
            </w:pPr>
            <w:r>
              <w:rPr>
                <w:rFonts w:ascii="宋体" w:hAnsi="宋体" w:cs="宋体" w:eastAsia="宋体" w:hint="default"/>
                <w:sz w:val="21"/>
                <w:szCs w:val="21"/>
              </w:rPr>
              <w:t>有</w:t>
            </w:r>
            <w:r>
              <w:rPr>
                <w:rFonts w:ascii="Calibri" w:hAnsi="Calibri" w:cs="Calibri" w:eastAsia="Calibri" w:hint="default"/>
                <w:sz w:val="21"/>
                <w:szCs w:val="21"/>
              </w:rPr>
              <w:t>)</w:t>
            </w: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0" w:right="111" w:hanging="315"/>
              <w:jc w:val="left"/>
              <w:rPr>
                <w:rFonts w:ascii="宋体" w:hAnsi="宋体" w:cs="宋体" w:eastAsia="宋体" w:hint="default"/>
                <w:sz w:val="21"/>
                <w:szCs w:val="21"/>
              </w:rPr>
            </w:pPr>
            <w:r>
              <w:rPr>
                <w:rFonts w:ascii="宋体" w:hAnsi="宋体" w:cs="宋体" w:eastAsia="宋体" w:hint="default"/>
                <w:sz w:val="21"/>
                <w:szCs w:val="21"/>
              </w:rPr>
              <w:t>太平洋证</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8" w:right="0"/>
              <w:jc w:val="left"/>
              <w:rPr>
                <w:rFonts w:ascii="Times New Roman" w:hAnsi="Times New Roman" w:cs="Times New Roman" w:eastAsia="Times New Roman" w:hint="default"/>
                <w:sz w:val="21"/>
                <w:szCs w:val="21"/>
              </w:rPr>
            </w:pPr>
            <w:r>
              <w:rPr>
                <w:rFonts w:ascii="Times New Roman"/>
                <w:sz w:val="21"/>
              </w:rPr>
              <w:t>2015-4-7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7" w:right="0"/>
              <w:jc w:val="left"/>
              <w:rPr>
                <w:rFonts w:ascii="Times New Roman" w:hAnsi="Times New Roman" w:cs="Times New Roman" w:eastAsia="Times New Roman" w:hint="default"/>
                <w:sz w:val="21"/>
                <w:szCs w:val="21"/>
              </w:rPr>
            </w:pPr>
            <w:r>
              <w:rPr>
                <w:rFonts w:ascii="Times New Roman"/>
                <w:sz w:val="21"/>
              </w:rPr>
              <w:t>2015-1</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0-7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6"/>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资管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left"/>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6" w:right="0"/>
              <w:jc w:val="left"/>
              <w:rPr>
                <w:rFonts w:ascii="Times New Roman" w:hAnsi="Times New Roman" w:cs="Times New Roman" w:eastAsia="Times New Roman" w:hint="default"/>
                <w:sz w:val="21"/>
                <w:szCs w:val="21"/>
              </w:rPr>
            </w:pPr>
            <w:r>
              <w:rPr>
                <w:rFonts w:ascii="Times New Roman"/>
                <w:sz w:val="21"/>
              </w:rPr>
              <w:t>71500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1" w:right="0"/>
              <w:jc w:val="left"/>
              <w:rPr>
                <w:rFonts w:ascii="Times New Roman" w:hAnsi="Times New Roman" w:cs="Times New Roman" w:eastAsia="Times New Roman" w:hint="default"/>
                <w:sz w:val="21"/>
                <w:szCs w:val="21"/>
              </w:rPr>
            </w:pPr>
            <w:r>
              <w:rPr>
                <w:rFonts w:ascii="Times New Roman"/>
                <w:sz w:val="21"/>
              </w:rPr>
              <w:t>-578,081.75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080"/>
        <w:gridCol w:w="1222"/>
        <w:gridCol w:w="1585"/>
        <w:gridCol w:w="1334"/>
        <w:gridCol w:w="835"/>
        <w:gridCol w:w="696"/>
        <w:gridCol w:w="838"/>
        <w:gridCol w:w="845"/>
        <w:gridCol w:w="720"/>
        <w:gridCol w:w="1215"/>
        <w:gridCol w:w="1459"/>
        <w:gridCol w:w="694"/>
        <w:gridCol w:w="694"/>
        <w:gridCol w:w="735"/>
        <w:gridCol w:w="511"/>
      </w:tblGrid>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2" w:right="204" w:hanging="106"/>
              <w:jc w:val="left"/>
              <w:rPr>
                <w:rFonts w:ascii="宋体" w:hAnsi="宋体" w:cs="宋体" w:eastAsia="宋体" w:hint="default"/>
                <w:sz w:val="21"/>
                <w:szCs w:val="21"/>
              </w:rPr>
            </w:pP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42,200,831.00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2017-1-3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10328.98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1"/>
              <w:jc w:val="both"/>
              <w:rPr>
                <w:rFonts w:ascii="宋体" w:hAnsi="宋体" w:cs="宋体" w:eastAsia="宋体" w:hint="default"/>
                <w:sz w:val="21"/>
                <w:szCs w:val="21"/>
              </w:rPr>
            </w:pPr>
            <w:r>
              <w:rPr>
                <w:rFonts w:ascii="宋体" w:hAnsi="宋体" w:cs="宋体" w:eastAsia="宋体" w:hint="default"/>
                <w:sz w:val="21"/>
                <w:szCs w:val="21"/>
              </w:rPr>
              <w:t>上海国泰</w:t>
            </w:r>
            <w:r>
              <w:rPr>
                <w:rFonts w:ascii="宋体" w:hAnsi="宋体" w:cs="宋体" w:eastAsia="宋体" w:hint="default"/>
                <w:w w:val="100"/>
                <w:sz w:val="21"/>
                <w:szCs w:val="21"/>
              </w:rPr>
              <w:t> </w:t>
            </w:r>
            <w:r>
              <w:rPr>
                <w:rFonts w:ascii="宋体" w:hAnsi="宋体" w:cs="宋体" w:eastAsia="宋体" w:hint="default"/>
                <w:sz w:val="21"/>
                <w:szCs w:val="21"/>
              </w:rPr>
              <w:t>君安证券</w:t>
            </w:r>
            <w:r>
              <w:rPr>
                <w:rFonts w:ascii="宋体" w:hAnsi="宋体" w:cs="宋体" w:eastAsia="宋体" w:hint="default"/>
                <w:w w:val="100"/>
                <w:sz w:val="21"/>
                <w:szCs w:val="21"/>
              </w:rPr>
              <w:t> </w:t>
            </w:r>
            <w:r>
              <w:rPr>
                <w:rFonts w:ascii="宋体" w:hAnsi="宋体" w:cs="宋体" w:eastAsia="宋体" w:hint="default"/>
                <w:sz w:val="21"/>
                <w:szCs w:val="21"/>
              </w:rPr>
              <w:t>资产管理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2016-12-28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27" w:right="0"/>
              <w:jc w:val="left"/>
              <w:rPr>
                <w:rFonts w:ascii="Times New Roman" w:hAnsi="Times New Roman" w:cs="Times New Roman" w:eastAsia="Times New Roman" w:hint="default"/>
                <w:sz w:val="21"/>
                <w:szCs w:val="21"/>
              </w:rPr>
            </w:pPr>
            <w:r>
              <w:rPr>
                <w:rFonts w:ascii="Times New Roman"/>
                <w:sz w:val="21"/>
              </w:rPr>
              <w:t>2017-2</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335616.438</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335616.44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45,001,200.00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2017-3-17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2017-3</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-31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19874.99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7"/>
              <w:jc w:val="right"/>
              <w:rPr>
                <w:rFonts w:ascii="Times New Roman" w:hAnsi="Times New Roman" w:cs="Times New Roman" w:eastAsia="Times New Roman" w:hint="default"/>
                <w:sz w:val="21"/>
                <w:szCs w:val="21"/>
              </w:rPr>
            </w:pPr>
            <w:r>
              <w:rPr>
                <w:rFonts w:ascii="Times New Roman"/>
                <w:spacing w:val="-1"/>
                <w:sz w:val="21"/>
              </w:rPr>
              <w:t>2017-3-23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2017-4</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01"/>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9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存款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16953.42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1"/>
              <w:jc w:val="both"/>
              <w:rPr>
                <w:rFonts w:ascii="宋体" w:hAnsi="宋体" w:cs="宋体" w:eastAsia="宋体" w:hint="default"/>
                <w:sz w:val="21"/>
                <w:szCs w:val="21"/>
              </w:rPr>
            </w:pPr>
            <w:r>
              <w:rPr>
                <w:rFonts w:ascii="宋体" w:hAnsi="宋体" w:cs="宋体" w:eastAsia="宋体" w:hint="default"/>
                <w:sz w:val="21"/>
                <w:szCs w:val="21"/>
              </w:rPr>
              <w:t>上海国泰</w:t>
            </w:r>
            <w:r>
              <w:rPr>
                <w:rFonts w:ascii="宋体" w:hAnsi="宋体" w:cs="宋体" w:eastAsia="宋体" w:hint="default"/>
                <w:w w:val="100"/>
                <w:sz w:val="21"/>
                <w:szCs w:val="21"/>
              </w:rPr>
              <w:t> </w:t>
            </w:r>
            <w:r>
              <w:rPr>
                <w:rFonts w:ascii="宋体" w:hAnsi="宋体" w:cs="宋体" w:eastAsia="宋体" w:hint="default"/>
                <w:sz w:val="21"/>
                <w:szCs w:val="21"/>
              </w:rPr>
              <w:t>君安证券</w:t>
            </w:r>
            <w:r>
              <w:rPr>
                <w:rFonts w:ascii="宋体" w:hAnsi="宋体" w:cs="宋体" w:eastAsia="宋体" w:hint="default"/>
                <w:w w:val="100"/>
                <w:sz w:val="21"/>
                <w:szCs w:val="21"/>
              </w:rPr>
              <w:t> </w:t>
            </w:r>
            <w:r>
              <w:rPr>
                <w:rFonts w:ascii="宋体" w:hAnsi="宋体" w:cs="宋体" w:eastAsia="宋体" w:hint="default"/>
                <w:sz w:val="21"/>
                <w:szCs w:val="21"/>
              </w:rPr>
              <w:t>资产管理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2017-1-13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2017-4</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0.047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352500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370849.32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海通证券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2016-11-24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2017-5</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-24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准</w:t>
            </w:r>
            <w:r>
              <w:rPr>
                <w:rFonts w:ascii="宋体" w:hAnsi="宋体" w:cs="宋体" w:eastAsia="宋体" w:hint="default"/>
                <w:spacing w:val="96"/>
                <w:sz w:val="21"/>
                <w:szCs w:val="21"/>
              </w:rPr>
              <w:t> </w:t>
            </w:r>
            <w:r>
              <w:rPr>
                <w:rFonts w:ascii="宋体" w:hAnsi="宋体" w:cs="宋体" w:eastAsia="宋体" w:hint="default"/>
                <w:sz w:val="21"/>
                <w:szCs w:val="21"/>
              </w:rPr>
              <w:t>化</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96"/>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530000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525628.57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5" w:right="111"/>
              <w:jc w:val="center"/>
              <w:rPr>
                <w:rFonts w:ascii="宋体" w:hAnsi="宋体" w:cs="宋体" w:eastAsia="宋体" w:hint="default"/>
                <w:sz w:val="21"/>
                <w:szCs w:val="21"/>
              </w:rPr>
            </w:pPr>
            <w:r>
              <w:rPr>
                <w:rFonts w:ascii="宋体" w:hAnsi="宋体" w:cs="宋体" w:eastAsia="宋体" w:hint="default"/>
                <w:sz w:val="21"/>
                <w:szCs w:val="21"/>
              </w:rPr>
              <w:t>东兴证券</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2016-12-14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2017-6</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1248000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1272564.49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080"/>
        <w:gridCol w:w="1222"/>
        <w:gridCol w:w="1585"/>
        <w:gridCol w:w="1334"/>
        <w:gridCol w:w="835"/>
        <w:gridCol w:w="696"/>
        <w:gridCol w:w="838"/>
        <w:gridCol w:w="845"/>
        <w:gridCol w:w="720"/>
        <w:gridCol w:w="1215"/>
        <w:gridCol w:w="1459"/>
        <w:gridCol w:w="694"/>
        <w:gridCol w:w="694"/>
        <w:gridCol w:w="735"/>
        <w:gridCol w:w="511"/>
      </w:tblGrid>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5" w:right="111"/>
              <w:jc w:val="center"/>
              <w:rPr>
                <w:rFonts w:ascii="宋体" w:hAnsi="宋体" w:cs="宋体" w:eastAsia="宋体" w:hint="default"/>
                <w:sz w:val="21"/>
                <w:szCs w:val="21"/>
              </w:rPr>
            </w:pPr>
            <w:r>
              <w:rPr>
                <w:rFonts w:ascii="宋体" w:hAnsi="宋体" w:cs="宋体" w:eastAsia="宋体" w:hint="default"/>
                <w:sz w:val="21"/>
                <w:szCs w:val="21"/>
              </w:rPr>
              <w:t>东兴证券</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11,340,000.00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2017-1-19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2017-6</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-27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240408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17,000,450.00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2017-6-20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2017-6</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-29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7437.34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27,001,180.00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2017-6-20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2017-7</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21,036.56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15,000,150.00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2017-7-3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2017-7</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324" w:right="111" w:hanging="210"/>
              <w:jc w:val="left"/>
              <w:rPr>
                <w:rFonts w:ascii="宋体" w:hAnsi="宋体" w:cs="宋体" w:eastAsia="宋体" w:hint="default"/>
                <w:sz w:val="21"/>
                <w:szCs w:val="21"/>
              </w:rPr>
            </w:pPr>
            <w:r>
              <w:rPr>
                <w:rFonts w:ascii="宋体" w:hAnsi="宋体" w:cs="宋体" w:eastAsia="宋体" w:hint="default"/>
                <w:sz w:val="21"/>
                <w:szCs w:val="21"/>
              </w:rPr>
              <w:t>中国工商</w:t>
            </w:r>
            <w:r>
              <w:rPr>
                <w:rFonts w:ascii="宋体" w:hAnsi="宋体" w:cs="宋体" w:eastAsia="宋体" w:hint="default"/>
                <w:w w:val="100"/>
                <w:sz w:val="21"/>
                <w:szCs w:val="21"/>
              </w:rPr>
              <w:t> </w:t>
            </w:r>
            <w:r>
              <w:rPr>
                <w:rFonts w:ascii="宋体" w:hAnsi="宋体" w:cs="宋体" w:eastAsia="宋体" w:hint="default"/>
                <w:sz w:val="21"/>
                <w:szCs w:val="21"/>
              </w:rPr>
              <w:t>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2017-8-28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27" w:right="0"/>
              <w:jc w:val="left"/>
              <w:rPr>
                <w:rFonts w:ascii="Times New Roman" w:hAnsi="Times New Roman" w:cs="Times New Roman" w:eastAsia="Times New Roman" w:hint="default"/>
                <w:sz w:val="21"/>
                <w:szCs w:val="21"/>
              </w:rPr>
            </w:pPr>
            <w:r>
              <w:rPr>
                <w:rFonts w:ascii="Times New Roman"/>
                <w:sz w:val="21"/>
              </w:rPr>
              <w:t>2017-8</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-31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0.03</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6897.09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24" w:right="111" w:hanging="210"/>
              <w:jc w:val="left"/>
              <w:rPr>
                <w:rFonts w:ascii="宋体" w:hAnsi="宋体" w:cs="宋体" w:eastAsia="宋体" w:hint="default"/>
                <w:sz w:val="21"/>
                <w:szCs w:val="21"/>
              </w:rPr>
            </w:pPr>
            <w:r>
              <w:rPr>
                <w:rFonts w:ascii="宋体" w:hAnsi="宋体" w:cs="宋体" w:eastAsia="宋体" w:hint="default"/>
                <w:sz w:val="21"/>
                <w:szCs w:val="21"/>
              </w:rPr>
              <w:t>中国工商</w:t>
            </w:r>
            <w:r>
              <w:rPr>
                <w:rFonts w:ascii="宋体" w:hAnsi="宋体" w:cs="宋体" w:eastAsia="宋体" w:hint="default"/>
                <w:w w:val="100"/>
                <w:sz w:val="21"/>
                <w:szCs w:val="21"/>
              </w:rPr>
              <w:t> </w:t>
            </w:r>
            <w:r>
              <w:rPr>
                <w:rFonts w:ascii="宋体" w:hAnsi="宋体" w:cs="宋体" w:eastAsia="宋体" w:hint="default"/>
                <w:sz w:val="21"/>
                <w:szCs w:val="21"/>
              </w:rPr>
              <w:t>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2017-9-1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2017-9</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0.032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36666.6666</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37253.84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厦门银行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2017-6-23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27" w:right="0"/>
              <w:jc w:val="left"/>
              <w:rPr>
                <w:rFonts w:ascii="Times New Roman" w:hAnsi="Times New Roman" w:cs="Times New Roman" w:eastAsia="Times New Roman" w:hint="default"/>
                <w:sz w:val="21"/>
                <w:szCs w:val="21"/>
              </w:rPr>
            </w:pPr>
            <w:r>
              <w:rPr>
                <w:rFonts w:ascii="Times New Roman"/>
                <w:sz w:val="21"/>
              </w:rPr>
              <w:t>2017-9</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70" w:right="0"/>
              <w:jc w:val="left"/>
              <w:rPr>
                <w:rFonts w:ascii="Times New Roman" w:hAnsi="Times New Roman" w:cs="Times New Roman" w:eastAsia="Times New Roman" w:hint="default"/>
                <w:sz w:val="21"/>
                <w:szCs w:val="21"/>
              </w:rPr>
            </w:pPr>
            <w:r>
              <w:rPr>
                <w:rFonts w:ascii="Times New Roman"/>
                <w:sz w:val="21"/>
              </w:rPr>
              <w:t>378000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368383.56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14,999,299.98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2017-9-26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2017-9</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-28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4712.57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080"/>
        <w:gridCol w:w="1222"/>
        <w:gridCol w:w="1585"/>
        <w:gridCol w:w="1334"/>
        <w:gridCol w:w="835"/>
        <w:gridCol w:w="696"/>
        <w:gridCol w:w="838"/>
        <w:gridCol w:w="845"/>
        <w:gridCol w:w="720"/>
        <w:gridCol w:w="1215"/>
        <w:gridCol w:w="1459"/>
        <w:gridCol w:w="694"/>
        <w:gridCol w:w="694"/>
        <w:gridCol w:w="735"/>
        <w:gridCol w:w="511"/>
      </w:tblGrid>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国泰君安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2017-6-20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0-9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840000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821095.89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 w:right="0"/>
              <w:jc w:val="center"/>
              <w:rPr>
                <w:rFonts w:ascii="宋体" w:hAnsi="宋体" w:cs="宋体" w:eastAsia="宋体" w:hint="default"/>
                <w:sz w:val="21"/>
                <w:szCs w:val="21"/>
              </w:rPr>
            </w:pPr>
            <w:r>
              <w:rPr>
                <w:rFonts w:ascii="宋体" w:hAnsi="宋体" w:cs="宋体" w:eastAsia="宋体" w:hint="default"/>
                <w:sz w:val="21"/>
                <w:szCs w:val="21"/>
              </w:rPr>
              <w:t>光大银行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2017-9-13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1"/>
              <w:ind w:left="345" w:right="0"/>
              <w:jc w:val="left"/>
              <w:rPr>
                <w:rFonts w:ascii="Times New Roman" w:hAnsi="Times New Roman" w:cs="Times New Roman" w:eastAsia="Times New Roman" w:hint="default"/>
                <w:sz w:val="21"/>
                <w:szCs w:val="21"/>
              </w:rPr>
            </w:pPr>
            <w:r>
              <w:rPr>
                <w:rFonts w:ascii="Times New Roman"/>
                <w:spacing w:val="-5"/>
                <w:sz w:val="21"/>
              </w:rPr>
              <w:t>0-11</w:t>
            </w:r>
            <w:r>
              <w:rPr>
                <w:rFonts w:ascii="Times New Roman"/>
                <w:sz w:val="21"/>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9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pacing w:val="-5"/>
                <w:sz w:val="21"/>
                <w:szCs w:val="21"/>
              </w:rPr>
              <w:t>类、固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w:t>
            </w:r>
            <w:r>
              <w:rPr>
                <w:rFonts w:ascii="宋体" w:hAnsi="宋体" w:cs="宋体" w:eastAsia="宋体" w:hint="default"/>
                <w:spacing w:val="96"/>
                <w:sz w:val="21"/>
                <w:szCs w:val="21"/>
              </w:rPr>
              <w:t> </w:t>
            </w:r>
            <w:r>
              <w:rPr>
                <w:rFonts w:ascii="宋体" w:hAnsi="宋体" w:cs="宋体" w:eastAsia="宋体" w:hint="default"/>
                <w:sz w:val="21"/>
                <w:szCs w:val="21"/>
              </w:rPr>
              <w:t>收</w:t>
            </w:r>
          </w:p>
          <w:p>
            <w:pPr>
              <w:pStyle w:val="TableParagraph"/>
              <w:spacing w:line="273" w:lineRule="auto" w:before="7"/>
              <w:ind w:left="103" w:right="101"/>
              <w:jc w:val="both"/>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96"/>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0.046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70888.89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70575.34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both"/>
              <w:rPr>
                <w:rFonts w:ascii="宋体" w:hAnsi="宋体" w:cs="宋体" w:eastAsia="宋体" w:hint="default"/>
                <w:sz w:val="21"/>
                <w:szCs w:val="21"/>
              </w:rPr>
            </w:pPr>
            <w:r>
              <w:rPr>
                <w:rFonts w:ascii="宋体" w:hAnsi="宋体" w:cs="宋体" w:eastAsia="宋体" w:hint="default"/>
                <w:sz w:val="21"/>
                <w:szCs w:val="21"/>
              </w:rPr>
              <w:t>银行理财</w:t>
            </w:r>
          </w:p>
          <w:p>
            <w:pPr>
              <w:pStyle w:val="TableParagraph"/>
              <w:spacing w:line="264" w:lineRule="auto" w:before="37"/>
              <w:ind w:left="184" w:right="123" w:hanging="60"/>
              <w:jc w:val="both"/>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54"/>
                <w:sz w:val="21"/>
                <w:szCs w:val="21"/>
              </w:rPr>
              <w:t> </w:t>
            </w:r>
            <w:r>
              <w:rPr>
                <w:rFonts w:ascii="Calibri" w:hAnsi="Calibri" w:cs="Calibri" w:eastAsia="Calibri" w:hint="default"/>
                <w:sz w:val="21"/>
                <w:szCs w:val="21"/>
              </w:rPr>
              <w:t>1-9</w:t>
            </w:r>
            <w:r>
              <w:rPr>
                <w:rFonts w:ascii="Calibri" w:hAnsi="Calibri" w:cs="Calibri" w:eastAsia="Calibri" w:hint="default"/>
                <w:w w:val="100"/>
                <w:sz w:val="21"/>
                <w:szCs w:val="21"/>
              </w:rPr>
              <w:t> </w:t>
            </w:r>
            <w:r>
              <w:rPr>
                <w:rFonts w:ascii="宋体" w:hAnsi="宋体" w:cs="宋体" w:eastAsia="宋体" w:hint="default"/>
                <w:sz w:val="21"/>
                <w:szCs w:val="21"/>
              </w:rPr>
              <w:t>月理财产</w:t>
            </w:r>
            <w:r>
              <w:rPr>
                <w:rFonts w:ascii="宋体" w:hAnsi="宋体" w:cs="宋体" w:eastAsia="宋体" w:hint="default"/>
                <w:w w:val="100"/>
                <w:sz w:val="21"/>
                <w:szCs w:val="21"/>
              </w:rPr>
              <w:t> </w:t>
            </w:r>
            <w:r>
              <w:rPr>
                <w:rFonts w:ascii="宋体" w:hAnsi="宋体" w:cs="宋体" w:eastAsia="宋体" w:hint="default"/>
                <w:sz w:val="21"/>
                <w:szCs w:val="21"/>
              </w:rPr>
              <w:t>品保本收</w:t>
            </w:r>
            <w:r>
              <w:rPr>
                <w:rFonts w:ascii="宋体" w:hAnsi="宋体" w:cs="宋体" w:eastAsia="宋体" w:hint="default"/>
                <w:w w:val="100"/>
                <w:sz w:val="21"/>
                <w:szCs w:val="21"/>
              </w:rPr>
              <w:t> </w:t>
            </w:r>
            <w:r>
              <w:rPr>
                <w:rFonts w:ascii="宋体" w:hAnsi="宋体" w:cs="宋体" w:eastAsia="宋体" w:hint="default"/>
                <w:sz w:val="21"/>
                <w:szCs w:val="21"/>
              </w:rPr>
              <w:t>益税差）</w:t>
            </w:r>
          </w:p>
        </w:tc>
        <w:tc>
          <w:tcPr>
            <w:tcW w:w="158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-5,385.83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24" w:right="111" w:hanging="210"/>
              <w:jc w:val="left"/>
              <w:rPr>
                <w:rFonts w:ascii="宋体" w:hAnsi="宋体" w:cs="宋体" w:eastAsia="宋体" w:hint="default"/>
                <w:sz w:val="21"/>
                <w:szCs w:val="21"/>
              </w:rPr>
            </w:pPr>
            <w:r>
              <w:rPr>
                <w:rFonts w:ascii="宋体" w:hAnsi="宋体" w:cs="宋体" w:eastAsia="宋体" w:hint="default"/>
                <w:sz w:val="21"/>
                <w:szCs w:val="21"/>
              </w:rPr>
              <w:t>厦门国际</w:t>
            </w:r>
            <w:r>
              <w:rPr>
                <w:rFonts w:ascii="宋体" w:hAnsi="宋体" w:cs="宋体" w:eastAsia="宋体" w:hint="default"/>
                <w:w w:val="100"/>
                <w:sz w:val="21"/>
                <w:szCs w:val="21"/>
              </w:rPr>
              <w:t> </w:t>
            </w:r>
            <w:r>
              <w:rPr>
                <w:rFonts w:ascii="宋体" w:hAnsi="宋体" w:cs="宋体" w:eastAsia="宋体" w:hint="default"/>
                <w:sz w:val="21"/>
                <w:szCs w:val="21"/>
              </w:rPr>
              <w:t>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2017-8-18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8" w:right="0"/>
              <w:jc w:val="center"/>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235" w:right="0"/>
              <w:jc w:val="center"/>
              <w:rPr>
                <w:rFonts w:ascii="Times New Roman" w:hAnsi="Times New Roman" w:cs="Times New Roman" w:eastAsia="Times New Roman" w:hint="default"/>
                <w:sz w:val="21"/>
                <w:szCs w:val="21"/>
              </w:rPr>
            </w:pPr>
            <w:r>
              <w:rPr>
                <w:rFonts w:ascii="Times New Roman"/>
                <w:sz w:val="21"/>
              </w:rPr>
              <w:t>1-20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0.053</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5"/>
                <w:sz w:val="21"/>
              </w:rPr>
              <w:t>261111.11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15" w:right="111"/>
              <w:jc w:val="center"/>
              <w:rPr>
                <w:rFonts w:ascii="宋体" w:hAnsi="宋体" w:cs="宋体" w:eastAsia="宋体" w:hint="default"/>
                <w:sz w:val="21"/>
                <w:szCs w:val="21"/>
              </w:rPr>
            </w:pPr>
            <w:r>
              <w:rPr>
                <w:rFonts w:ascii="宋体" w:hAnsi="宋体" w:cs="宋体" w:eastAsia="宋体" w:hint="default"/>
                <w:sz w:val="21"/>
                <w:szCs w:val="21"/>
              </w:rPr>
              <w:t>上海国际</w:t>
            </w:r>
            <w:r>
              <w:rPr>
                <w:rFonts w:ascii="宋体" w:hAnsi="宋体" w:cs="宋体" w:eastAsia="宋体" w:hint="default"/>
                <w:w w:val="100"/>
                <w:sz w:val="21"/>
                <w:szCs w:val="21"/>
              </w:rPr>
              <w:t> </w:t>
            </w:r>
            <w:r>
              <w:rPr>
                <w:rFonts w:ascii="宋体" w:hAnsi="宋体" w:cs="宋体" w:eastAsia="宋体" w:hint="default"/>
                <w:sz w:val="21"/>
                <w:szCs w:val="21"/>
              </w:rPr>
              <w:t>信托有限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2017-8-17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8" w:right="0"/>
              <w:jc w:val="center"/>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235" w:right="0"/>
              <w:jc w:val="center"/>
              <w:rPr>
                <w:rFonts w:ascii="Times New Roman" w:hAnsi="Times New Roman" w:cs="Times New Roman" w:eastAsia="Times New Roman" w:hint="default"/>
                <w:sz w:val="21"/>
                <w:szCs w:val="21"/>
              </w:rPr>
            </w:pPr>
            <w:r>
              <w:rPr>
                <w:rFonts w:ascii="Times New Roman"/>
                <w:sz w:val="21"/>
              </w:rPr>
              <w:t>1-20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424000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413835.62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15" w:right="111"/>
              <w:jc w:val="center"/>
              <w:rPr>
                <w:rFonts w:ascii="宋体" w:hAnsi="宋体" w:cs="宋体" w:eastAsia="宋体" w:hint="default"/>
                <w:sz w:val="21"/>
                <w:szCs w:val="21"/>
              </w:rPr>
            </w:pPr>
            <w:r>
              <w:rPr>
                <w:rFonts w:ascii="宋体" w:hAnsi="宋体" w:cs="宋体" w:eastAsia="宋体" w:hint="default"/>
                <w:sz w:val="21"/>
                <w:szCs w:val="21"/>
              </w:rPr>
              <w:t>东兴证券</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24,660,000.00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2017-1-19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27"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338" w:right="0"/>
              <w:jc w:val="left"/>
              <w:rPr>
                <w:rFonts w:ascii="Times New Roman" w:hAnsi="Times New Roman" w:cs="Times New Roman" w:eastAsia="Times New Roman" w:hint="default"/>
                <w:sz w:val="21"/>
                <w:szCs w:val="21"/>
              </w:rPr>
            </w:pPr>
            <w:r>
              <w:rPr>
                <w:rFonts w:ascii="Times New Roman"/>
                <w:sz w:val="21"/>
              </w:rPr>
              <w:t>2-20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1150800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3"/>
                <w:sz w:val="21"/>
              </w:rPr>
              <w:t>1118145.2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东兴证券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2017-6-27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7"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338" w:right="0"/>
              <w:jc w:val="left"/>
              <w:rPr>
                <w:rFonts w:ascii="Times New Roman" w:hAnsi="Times New Roman" w:cs="Times New Roman" w:eastAsia="Times New Roman" w:hint="default"/>
                <w:sz w:val="21"/>
                <w:szCs w:val="21"/>
              </w:rPr>
            </w:pPr>
            <w:r>
              <w:rPr>
                <w:rFonts w:ascii="Times New Roman"/>
                <w:sz w:val="21"/>
              </w:rPr>
              <w:t>2-26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left"/>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579500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553656.03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080"/>
        <w:gridCol w:w="1222"/>
        <w:gridCol w:w="1585"/>
        <w:gridCol w:w="1334"/>
        <w:gridCol w:w="835"/>
        <w:gridCol w:w="696"/>
        <w:gridCol w:w="838"/>
        <w:gridCol w:w="845"/>
        <w:gridCol w:w="720"/>
        <w:gridCol w:w="1215"/>
        <w:gridCol w:w="1459"/>
        <w:gridCol w:w="694"/>
        <w:gridCol w:w="694"/>
        <w:gridCol w:w="735"/>
        <w:gridCol w:w="511"/>
      </w:tblGrid>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2" w:right="204" w:hanging="106"/>
              <w:jc w:val="left"/>
              <w:rPr>
                <w:rFonts w:ascii="宋体" w:hAnsi="宋体" w:cs="宋体" w:eastAsia="宋体" w:hint="default"/>
                <w:sz w:val="21"/>
                <w:szCs w:val="21"/>
              </w:rPr>
            </w:pP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20,000,200.00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2017-12-28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338" w:right="0"/>
              <w:jc w:val="left"/>
              <w:rPr>
                <w:rFonts w:ascii="Times New Roman" w:hAnsi="Times New Roman" w:cs="Times New Roman" w:eastAsia="Times New Roman" w:hint="default"/>
                <w:sz w:val="21"/>
                <w:szCs w:val="21"/>
              </w:rPr>
            </w:pPr>
            <w:r>
              <w:rPr>
                <w:rFonts w:ascii="Times New Roman"/>
                <w:sz w:val="21"/>
              </w:rPr>
              <w:t>2-29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33389.04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31499.09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24" w:right="111" w:hanging="210"/>
              <w:jc w:val="left"/>
              <w:rPr>
                <w:rFonts w:ascii="宋体" w:hAnsi="宋体" w:cs="宋体" w:eastAsia="宋体" w:hint="default"/>
                <w:sz w:val="21"/>
                <w:szCs w:val="21"/>
              </w:rPr>
            </w:pPr>
            <w:r>
              <w:rPr>
                <w:rFonts w:ascii="宋体" w:hAnsi="宋体" w:cs="宋体" w:eastAsia="宋体" w:hint="default"/>
                <w:sz w:val="21"/>
                <w:szCs w:val="21"/>
              </w:rPr>
              <w:t>国泰君安</w:t>
            </w:r>
            <w:r>
              <w:rPr>
                <w:rFonts w:ascii="宋体" w:hAnsi="宋体" w:cs="宋体" w:eastAsia="宋体" w:hint="default"/>
                <w:w w:val="100"/>
                <w:sz w:val="21"/>
                <w:szCs w:val="21"/>
              </w:rPr>
              <w:t> </w:t>
            </w:r>
            <w:r>
              <w:rPr>
                <w:rFonts w:ascii="宋体" w:hAnsi="宋体" w:cs="宋体" w:eastAsia="宋体" w:hint="default"/>
                <w:sz w:val="21"/>
                <w:szCs w:val="21"/>
              </w:rPr>
              <w:t>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2016-5-20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27" w:right="0"/>
              <w:jc w:val="left"/>
              <w:rPr>
                <w:rFonts w:ascii="Times New Roman" w:hAnsi="Times New Roman" w:cs="Times New Roman" w:eastAsia="Times New Roman" w:hint="default"/>
                <w:sz w:val="21"/>
                <w:szCs w:val="21"/>
              </w:rPr>
            </w:pPr>
            <w:r>
              <w:rPr>
                <w:rFonts w:ascii="Times New Roman"/>
                <w:sz w:val="21"/>
              </w:rPr>
              <w:t>2017-6</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524,767.12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524794.16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15" w:right="111"/>
              <w:jc w:val="both"/>
              <w:rPr>
                <w:rFonts w:ascii="宋体" w:hAnsi="宋体" w:cs="宋体" w:eastAsia="宋体" w:hint="default"/>
                <w:sz w:val="21"/>
                <w:szCs w:val="21"/>
              </w:rPr>
            </w:pPr>
            <w:r>
              <w:rPr>
                <w:rFonts w:ascii="宋体" w:hAnsi="宋体" w:cs="宋体" w:eastAsia="宋体" w:hint="default"/>
                <w:sz w:val="21"/>
                <w:szCs w:val="21"/>
              </w:rPr>
              <w:t>北京植信</w:t>
            </w:r>
            <w:r>
              <w:rPr>
                <w:rFonts w:ascii="宋体" w:hAnsi="宋体" w:cs="宋体" w:eastAsia="宋体" w:hint="default"/>
                <w:w w:val="100"/>
                <w:sz w:val="21"/>
                <w:szCs w:val="21"/>
              </w:rPr>
              <w:t> </w:t>
            </w:r>
            <w:r>
              <w:rPr>
                <w:rFonts w:ascii="宋体" w:hAnsi="宋体" w:cs="宋体" w:eastAsia="宋体" w:hint="default"/>
                <w:sz w:val="21"/>
                <w:szCs w:val="21"/>
              </w:rPr>
              <w:t>基金销售</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2017-9-26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70"/>
              <w:ind w:left="338" w:right="0"/>
              <w:jc w:val="left"/>
              <w:rPr>
                <w:rFonts w:ascii="Times New Roman" w:hAnsi="Times New Roman" w:cs="Times New Roman" w:eastAsia="Times New Roman" w:hint="default"/>
                <w:sz w:val="21"/>
                <w:szCs w:val="21"/>
              </w:rPr>
            </w:pPr>
            <w:r>
              <w:rPr>
                <w:rFonts w:ascii="Times New Roman"/>
                <w:sz w:val="21"/>
              </w:rPr>
              <w:t>0-12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9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pacing w:val="-5"/>
                <w:sz w:val="21"/>
                <w:szCs w:val="21"/>
              </w:rPr>
              <w:t>类、固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w:t>
            </w:r>
            <w:r>
              <w:rPr>
                <w:rFonts w:ascii="宋体" w:hAnsi="宋体" w:cs="宋体" w:eastAsia="宋体" w:hint="default"/>
                <w:spacing w:val="96"/>
                <w:sz w:val="21"/>
                <w:szCs w:val="21"/>
              </w:rPr>
              <w:t> </w:t>
            </w:r>
            <w:r>
              <w:rPr>
                <w:rFonts w:ascii="宋体" w:hAnsi="宋体" w:cs="宋体" w:eastAsia="宋体" w:hint="default"/>
                <w:sz w:val="21"/>
                <w:szCs w:val="21"/>
              </w:rPr>
              <w:t>收</w:t>
            </w:r>
          </w:p>
          <w:p>
            <w:pPr>
              <w:pStyle w:val="TableParagraph"/>
              <w:spacing w:line="273" w:lineRule="auto" w:before="7"/>
              <w:ind w:left="103" w:right="101"/>
              <w:jc w:val="both"/>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96"/>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24,600.94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15" w:right="111"/>
              <w:jc w:val="both"/>
              <w:rPr>
                <w:rFonts w:ascii="宋体" w:hAnsi="宋体" w:cs="宋体" w:eastAsia="宋体" w:hint="default"/>
                <w:sz w:val="21"/>
                <w:szCs w:val="21"/>
              </w:rPr>
            </w:pPr>
            <w:r>
              <w:rPr>
                <w:rFonts w:ascii="宋体" w:hAnsi="宋体" w:cs="宋体" w:eastAsia="宋体" w:hint="default"/>
                <w:sz w:val="21"/>
                <w:szCs w:val="21"/>
              </w:rPr>
              <w:t>银华基金</w:t>
            </w:r>
            <w:r>
              <w:rPr>
                <w:rFonts w:ascii="宋体" w:hAnsi="宋体" w:cs="宋体" w:eastAsia="宋体" w:hint="default"/>
                <w:w w:val="100"/>
                <w:sz w:val="21"/>
                <w:szCs w:val="21"/>
              </w:rPr>
              <w:t> </w:t>
            </w:r>
            <w:r>
              <w:rPr>
                <w:rFonts w:ascii="宋体" w:hAnsi="宋体" w:cs="宋体" w:eastAsia="宋体" w:hint="default"/>
                <w:sz w:val="21"/>
                <w:szCs w:val="21"/>
              </w:rPr>
              <w:t>管理股份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2017-12-22</w:t>
            </w:r>
          </w:p>
        </w:tc>
        <w:tc>
          <w:tcPr>
            <w:tcW w:w="83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96"/>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基金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6,450,266.19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24" w:right="111" w:hanging="210"/>
              <w:jc w:val="left"/>
              <w:rPr>
                <w:rFonts w:ascii="宋体" w:hAnsi="宋体" w:cs="宋体" w:eastAsia="宋体" w:hint="default"/>
                <w:sz w:val="21"/>
                <w:szCs w:val="21"/>
              </w:rPr>
            </w:pPr>
            <w:r>
              <w:rPr>
                <w:rFonts w:ascii="宋体" w:hAnsi="宋体" w:cs="宋体" w:eastAsia="宋体" w:hint="default"/>
                <w:sz w:val="21"/>
                <w:szCs w:val="21"/>
              </w:rPr>
              <w:t>厦门国际</w:t>
            </w:r>
            <w:r>
              <w:rPr>
                <w:rFonts w:ascii="宋体" w:hAnsi="宋体" w:cs="宋体" w:eastAsia="宋体" w:hint="default"/>
                <w:w w:val="100"/>
                <w:sz w:val="21"/>
                <w:szCs w:val="21"/>
              </w:rPr>
              <w:t> </w:t>
            </w:r>
            <w:r>
              <w:rPr>
                <w:rFonts w:ascii="宋体" w:hAnsi="宋体" w:cs="宋体" w:eastAsia="宋体" w:hint="default"/>
                <w:sz w:val="21"/>
                <w:szCs w:val="21"/>
              </w:rPr>
              <w:t>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2017-12-15</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2018-3</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126083.333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15" w:right="111"/>
              <w:jc w:val="center"/>
              <w:rPr>
                <w:rFonts w:ascii="宋体" w:hAnsi="宋体" w:cs="宋体" w:eastAsia="宋体" w:hint="default"/>
                <w:sz w:val="21"/>
                <w:szCs w:val="21"/>
              </w:rPr>
            </w:pPr>
            <w:r>
              <w:rPr>
                <w:rFonts w:ascii="宋体" w:hAnsi="宋体" w:cs="宋体" w:eastAsia="宋体" w:hint="default"/>
                <w:sz w:val="21"/>
                <w:szCs w:val="21"/>
              </w:rPr>
              <w:t>上海国际</w:t>
            </w:r>
            <w:r>
              <w:rPr>
                <w:rFonts w:ascii="宋体" w:hAnsi="宋体" w:cs="宋体" w:eastAsia="宋体" w:hint="default"/>
                <w:w w:val="100"/>
                <w:sz w:val="21"/>
                <w:szCs w:val="21"/>
              </w:rPr>
              <w:t> </w:t>
            </w:r>
            <w:r>
              <w:rPr>
                <w:rFonts w:ascii="宋体" w:hAnsi="宋体" w:cs="宋体" w:eastAsia="宋体" w:hint="default"/>
                <w:sz w:val="21"/>
                <w:szCs w:val="21"/>
              </w:rPr>
              <w:t>信托有限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2017-12-14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27" w:right="0"/>
              <w:jc w:val="left"/>
              <w:rPr>
                <w:rFonts w:ascii="Times New Roman" w:hAnsi="Times New Roman" w:cs="Times New Roman" w:eastAsia="Times New Roman" w:hint="default"/>
                <w:sz w:val="21"/>
                <w:szCs w:val="21"/>
              </w:rPr>
            </w:pPr>
            <w:r>
              <w:rPr>
                <w:rFonts w:ascii="Times New Roman"/>
                <w:sz w:val="21"/>
              </w:rPr>
              <w:t>2018-2</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285000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光大银行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2017-12-14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7" w:right="0"/>
              <w:jc w:val="left"/>
              <w:rPr>
                <w:rFonts w:ascii="Times New Roman" w:hAnsi="Times New Roman" w:cs="Times New Roman" w:eastAsia="Times New Roman" w:hint="default"/>
                <w:sz w:val="21"/>
                <w:szCs w:val="21"/>
              </w:rPr>
            </w:pPr>
            <w:r>
              <w:rPr>
                <w:rFonts w:ascii="Times New Roman"/>
                <w:sz w:val="21"/>
              </w:rPr>
              <w:t>2018-3</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9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pacing w:val="-5"/>
                <w:sz w:val="21"/>
                <w:szCs w:val="21"/>
              </w:rPr>
              <w:t>类、固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left"/>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127500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080"/>
        <w:gridCol w:w="1222"/>
        <w:gridCol w:w="1585"/>
        <w:gridCol w:w="1334"/>
        <w:gridCol w:w="835"/>
        <w:gridCol w:w="696"/>
        <w:gridCol w:w="838"/>
        <w:gridCol w:w="845"/>
        <w:gridCol w:w="720"/>
        <w:gridCol w:w="1215"/>
        <w:gridCol w:w="1459"/>
        <w:gridCol w:w="694"/>
        <w:gridCol w:w="694"/>
        <w:gridCol w:w="735"/>
        <w:gridCol w:w="511"/>
      </w:tblGrid>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96"/>
                <w:sz w:val="21"/>
                <w:szCs w:val="21"/>
              </w:rPr>
              <w:t> </w:t>
            </w:r>
            <w:r>
              <w:rPr>
                <w:rFonts w:ascii="宋体" w:hAnsi="宋体" w:cs="宋体" w:eastAsia="宋体" w:hint="default"/>
                <w:sz w:val="21"/>
                <w:szCs w:val="21"/>
              </w:rPr>
              <w:t>收</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96"/>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2" w:right="204" w:hanging="106"/>
              <w:jc w:val="left"/>
              <w:rPr>
                <w:rFonts w:ascii="宋体" w:hAnsi="宋体" w:cs="宋体" w:eastAsia="宋体" w:hint="default"/>
                <w:sz w:val="21"/>
                <w:szCs w:val="21"/>
              </w:rPr>
            </w:pP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东兴证券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证券理财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2017-12-18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7" w:right="0"/>
              <w:jc w:val="left"/>
              <w:rPr>
                <w:rFonts w:ascii="Times New Roman" w:hAnsi="Times New Roman" w:cs="Times New Roman" w:eastAsia="Times New Roman" w:hint="default"/>
                <w:sz w:val="21"/>
                <w:szCs w:val="21"/>
              </w:rPr>
            </w:pPr>
            <w:r>
              <w:rPr>
                <w:rFonts w:ascii="Times New Roman"/>
                <w:sz w:val="21"/>
              </w:rPr>
              <w:t>2018-3</w:t>
            </w:r>
          </w:p>
          <w:p>
            <w:pPr>
              <w:pStyle w:val="TableParagraph"/>
              <w:spacing w:line="240" w:lineRule="auto" w:before="70"/>
              <w:ind w:left="441" w:right="0"/>
              <w:jc w:val="left"/>
              <w:rPr>
                <w:rFonts w:ascii="Times New Roman" w:hAnsi="Times New Roman" w:cs="Times New Roman" w:eastAsia="Times New Roman" w:hint="default"/>
                <w:sz w:val="21"/>
                <w:szCs w:val="21"/>
              </w:rPr>
            </w:pPr>
            <w:r>
              <w:rPr>
                <w:rFonts w:ascii="Times New Roman"/>
                <w:sz w:val="21"/>
              </w:rPr>
              <w:t>-18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427500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19,999,999.80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2017-12-20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2018-1</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0.066</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50685.09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w w:val="100"/>
                <w:sz w:val="21"/>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长江证券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19,999,599.97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2017-12-27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2018-1</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0.153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50238.01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w w:val="100"/>
                <w:sz w:val="21"/>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工商银行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2017-12-28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27" w:right="0"/>
              <w:jc w:val="left"/>
              <w:rPr>
                <w:rFonts w:ascii="Times New Roman" w:hAnsi="Times New Roman" w:cs="Times New Roman" w:eastAsia="Times New Roman" w:hint="default"/>
                <w:sz w:val="21"/>
                <w:szCs w:val="21"/>
              </w:rPr>
            </w:pPr>
            <w:r>
              <w:rPr>
                <w:rFonts w:ascii="Times New Roman"/>
                <w:sz w:val="21"/>
              </w:rPr>
              <w:t>2018-2</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06" w:right="204"/>
              <w:jc w:val="both"/>
              <w:rPr>
                <w:rFonts w:ascii="宋体" w:hAnsi="宋体" w:cs="宋体" w:eastAsia="宋体" w:hint="default"/>
                <w:sz w:val="21"/>
                <w:szCs w:val="21"/>
              </w:rPr>
            </w:pPr>
            <w:r>
              <w:rPr>
                <w:rFonts w:ascii="宋体" w:hAnsi="宋体" w:cs="宋体" w:eastAsia="宋体" w:hint="default"/>
                <w:sz w:val="21"/>
                <w:szCs w:val="21"/>
              </w:rPr>
              <w:t>保本</w:t>
            </w:r>
            <w:r>
              <w:rPr>
                <w:rFonts w:ascii="宋体" w:hAnsi="宋体" w:cs="宋体" w:eastAsia="宋体" w:hint="default"/>
                <w:spacing w:val="-103"/>
                <w:sz w:val="21"/>
                <w:szCs w:val="21"/>
              </w:rPr>
              <w:t> </w:t>
            </w:r>
            <w:r>
              <w:rPr>
                <w:rFonts w:ascii="宋体" w:hAnsi="宋体" w:cs="宋体" w:eastAsia="宋体" w:hint="default"/>
                <w:sz w:val="21"/>
                <w:szCs w:val="21"/>
              </w:rPr>
              <w:t>浮动</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0.041</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2016-1-4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02" w:right="98"/>
              <w:jc w:val="left"/>
              <w:rPr>
                <w:rFonts w:ascii="宋体" w:hAnsi="宋体" w:cs="宋体" w:eastAsia="宋体" w:hint="default"/>
                <w:sz w:val="21"/>
                <w:szCs w:val="21"/>
              </w:rPr>
            </w:pPr>
            <w:r>
              <w:rPr>
                <w:rFonts w:ascii="宋体" w:hAnsi="宋体" w:cs="宋体" w:eastAsia="宋体" w:hint="default"/>
                <w:sz w:val="21"/>
                <w:szCs w:val="21"/>
              </w:rPr>
              <w:t>随时</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0" w:right="0"/>
              <w:jc w:val="left"/>
              <w:rPr>
                <w:rFonts w:ascii="Calibri" w:hAnsi="Calibri" w:cs="Calibri" w:eastAsia="Calibri" w:hint="default"/>
                <w:sz w:val="21"/>
                <w:szCs w:val="21"/>
              </w:rPr>
            </w:pPr>
            <w:r>
              <w:rPr>
                <w:rFonts w:ascii="Calibri"/>
                <w:sz w:val="21"/>
              </w:rPr>
              <w:t>4,819,698.93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2017-1-3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02" w:right="98"/>
              <w:jc w:val="left"/>
              <w:rPr>
                <w:rFonts w:ascii="宋体" w:hAnsi="宋体" w:cs="宋体" w:eastAsia="宋体" w:hint="default"/>
                <w:sz w:val="21"/>
                <w:szCs w:val="21"/>
              </w:rPr>
            </w:pPr>
            <w:r>
              <w:rPr>
                <w:rFonts w:ascii="宋体" w:hAnsi="宋体" w:cs="宋体" w:eastAsia="宋体" w:hint="default"/>
                <w:sz w:val="21"/>
                <w:szCs w:val="21"/>
              </w:rPr>
              <w:t>随时</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232" w:right="131" w:hanging="104"/>
              <w:jc w:val="left"/>
              <w:rPr>
                <w:rFonts w:ascii="宋体" w:hAnsi="宋体" w:cs="宋体" w:eastAsia="宋体" w:hint="default"/>
                <w:sz w:val="21"/>
                <w:szCs w:val="21"/>
              </w:rPr>
            </w:pPr>
            <w:r>
              <w:rPr>
                <w:rFonts w:ascii="宋体" w:hAnsi="宋体" w:cs="宋体" w:eastAsia="宋体" w:hint="default"/>
                <w:sz w:val="21"/>
                <w:szCs w:val="21"/>
              </w:rPr>
              <w:t>已收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1"/>
                <w:sz w:val="21"/>
                <w:szCs w:val="21"/>
              </w:rPr>
              <w:t>银行理财</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2017-10-26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02" w:right="98"/>
              <w:jc w:val="left"/>
              <w:rPr>
                <w:rFonts w:ascii="宋体" w:hAnsi="宋体" w:cs="宋体" w:eastAsia="宋体" w:hint="default"/>
                <w:sz w:val="21"/>
                <w:szCs w:val="21"/>
              </w:rPr>
            </w:pPr>
            <w:r>
              <w:rPr>
                <w:rFonts w:ascii="宋体" w:hAnsi="宋体" w:cs="宋体" w:eastAsia="宋体" w:hint="default"/>
                <w:sz w:val="21"/>
                <w:szCs w:val="21"/>
              </w:rPr>
              <w:t>随时</w:t>
            </w:r>
            <w:r>
              <w:rPr>
                <w:rFonts w:ascii="宋体" w:hAnsi="宋体" w:cs="宋体" w:eastAsia="宋体" w:hint="default"/>
                <w:spacing w:val="-103"/>
                <w:sz w:val="21"/>
                <w:szCs w:val="21"/>
              </w:rPr>
              <w:t> </w:t>
            </w:r>
            <w:r>
              <w:rPr>
                <w:rFonts w:ascii="宋体" w:hAnsi="宋体" w:cs="宋体" w:eastAsia="宋体" w:hint="default"/>
                <w:sz w:val="21"/>
                <w:szCs w:val="21"/>
              </w:rPr>
              <w:t>赎回</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8"/>
              <w:jc w:val="left"/>
              <w:rPr>
                <w:rFonts w:ascii="宋体" w:hAnsi="宋体" w:cs="宋体" w:eastAsia="宋体" w:hint="default"/>
                <w:sz w:val="21"/>
                <w:szCs w:val="21"/>
              </w:rPr>
            </w:pPr>
            <w:r>
              <w:rPr>
                <w:rFonts w:ascii="宋体" w:hAnsi="宋体" w:cs="宋体" w:eastAsia="宋体" w:hint="default"/>
                <w:spacing w:val="29"/>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96"/>
                <w:sz w:val="21"/>
                <w:szCs w:val="21"/>
              </w:rPr>
              <w:t> </w:t>
            </w:r>
            <w:r>
              <w:rPr>
                <w:rFonts w:ascii="宋体" w:hAnsi="宋体" w:cs="宋体" w:eastAsia="宋体" w:hint="default"/>
                <w:sz w:val="21"/>
                <w:szCs w:val="21"/>
              </w:rPr>
              <w:t>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6"/>
                <w:sz w:val="21"/>
                <w:szCs w:val="21"/>
              </w:rPr>
              <w:t> </w:t>
            </w:r>
            <w:r>
              <w:rPr>
                <w:rFonts w:ascii="宋体" w:hAnsi="宋体" w:cs="宋体" w:eastAsia="宋体" w:hint="default"/>
                <w:sz w:val="21"/>
                <w:szCs w:val="21"/>
              </w:rPr>
              <w:t>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96"/>
                <w:sz w:val="21"/>
                <w:szCs w:val="21"/>
              </w:rPr>
              <w:t> </w:t>
            </w:r>
            <w:r>
              <w:rPr>
                <w:rFonts w:ascii="宋体" w:hAnsi="宋体" w:cs="宋体" w:eastAsia="宋体" w:hint="default"/>
                <w:sz w:val="21"/>
                <w:szCs w:val="21"/>
              </w:rPr>
              <w:t>资</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非保</w:t>
            </w:r>
            <w:r>
              <w:rPr>
                <w:rFonts w:ascii="宋体" w:hAnsi="宋体" w:cs="宋体" w:eastAsia="宋体" w:hint="default"/>
                <w:spacing w:val="-103"/>
                <w:sz w:val="21"/>
                <w:szCs w:val="21"/>
              </w:rPr>
              <w:t> </w:t>
            </w:r>
            <w:r>
              <w:rPr>
                <w:rFonts w:ascii="宋体" w:hAnsi="宋体" w:cs="宋体" w:eastAsia="宋体" w:hint="default"/>
                <w:sz w:val="21"/>
                <w:szCs w:val="21"/>
              </w:rPr>
              <w:t>本浮</w:t>
            </w:r>
            <w:r>
              <w:rPr>
                <w:rFonts w:ascii="宋体" w:hAnsi="宋体" w:cs="宋体" w:eastAsia="宋体" w:hint="default"/>
                <w:spacing w:val="-103"/>
                <w:sz w:val="21"/>
                <w:szCs w:val="21"/>
              </w:rPr>
              <w:t> </w:t>
            </w:r>
            <w:r>
              <w:rPr>
                <w:rFonts w:ascii="宋体" w:hAnsi="宋体" w:cs="宋体" w:eastAsia="宋体" w:hint="default"/>
                <w:sz w:val="21"/>
                <w:szCs w:val="21"/>
              </w:rPr>
              <w:t>动收</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31" w:hanging="104"/>
              <w:jc w:val="left"/>
              <w:rPr>
                <w:rFonts w:ascii="宋体" w:hAnsi="宋体" w:cs="宋体" w:eastAsia="宋体" w:hint="default"/>
                <w:sz w:val="21"/>
                <w:szCs w:val="21"/>
              </w:rPr>
            </w:pPr>
            <w:r>
              <w:rPr>
                <w:rFonts w:ascii="宋体" w:hAnsi="宋体" w:cs="宋体" w:eastAsia="宋体" w:hint="default"/>
                <w:sz w:val="21"/>
                <w:szCs w:val="21"/>
              </w:rPr>
              <w:t>未收</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40" w:bottom="116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080"/>
        <w:gridCol w:w="1222"/>
        <w:gridCol w:w="1585"/>
        <w:gridCol w:w="1334"/>
        <w:gridCol w:w="835"/>
        <w:gridCol w:w="696"/>
        <w:gridCol w:w="838"/>
        <w:gridCol w:w="845"/>
        <w:gridCol w:w="720"/>
        <w:gridCol w:w="1215"/>
        <w:gridCol w:w="1459"/>
        <w:gridCol w:w="694"/>
        <w:gridCol w:w="694"/>
        <w:gridCol w:w="735"/>
        <w:gridCol w:w="511"/>
      </w:tblGrid>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2"/>
          <w:szCs w:val="22"/>
        </w:rPr>
      </w:pPr>
    </w:p>
    <w:p>
      <w:pPr>
        <w:pStyle w:val="Heading3"/>
        <w:spacing w:line="240" w:lineRule="auto" w:before="36"/>
        <w:ind w:left="220" w:right="0"/>
        <w:jc w:val="left"/>
        <w:rPr>
          <w:b w:val="0"/>
          <w:bCs w:val="0"/>
        </w:rPr>
      </w:pPr>
      <w:r>
        <w:rPr/>
        <w:t>其他情况</w:t>
      </w:r>
      <w:r>
        <w:rPr>
          <w:b w:val="0"/>
          <w:bCs w:val="0"/>
        </w:rPr>
      </w:r>
    </w:p>
    <w:p>
      <w:pPr>
        <w:pStyle w:val="BodyText"/>
        <w:tabs>
          <w:tab w:pos="1062" w:val="left" w:leader="none"/>
        </w:tabs>
        <w:spacing w:line="240" w:lineRule="auto" w:before="37"/>
        <w:ind w:left="220"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4"/>
          <w:szCs w:val="24"/>
        </w:rPr>
      </w:pPr>
    </w:p>
    <w:p>
      <w:pPr>
        <w:pStyle w:val="Heading3"/>
        <w:spacing w:line="240" w:lineRule="auto"/>
        <w:ind w:left="220" w:right="0"/>
        <w:jc w:val="left"/>
        <w:rPr>
          <w:b w:val="0"/>
          <w:bCs w:val="0"/>
        </w:rPr>
      </w:pPr>
      <w:r>
        <w:rPr>
          <w:rFonts w:ascii="宋体" w:hAnsi="宋体" w:cs="宋体" w:eastAsia="宋体" w:hint="default"/>
        </w:rPr>
        <w:t>(3).</w:t>
      </w:r>
      <w:r>
        <w:rPr/>
        <w:t>委托理财减值准备</w:t>
      </w:r>
      <w:r>
        <w:rPr>
          <w:b w:val="0"/>
          <w:bCs w:val="0"/>
        </w:rPr>
      </w:r>
    </w:p>
    <w:p>
      <w:pPr>
        <w:pStyle w:val="BodyText"/>
        <w:tabs>
          <w:tab w:pos="1062" w:val="left" w:leader="none"/>
        </w:tabs>
        <w:spacing w:line="240" w:lineRule="auto" w:before="37"/>
        <w:ind w:left="220"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pgSz w:w="16840" w:h="11910" w:orient="landscape"/>
          <w:pgMar w:header="855" w:footer="980" w:top="1140" w:bottom="1160" w:left="1220" w:right="920"/>
        </w:sectPr>
      </w:pPr>
    </w:p>
    <w:p>
      <w:pPr>
        <w:spacing w:line="240" w:lineRule="auto" w:before="9"/>
        <w:rPr>
          <w:rFonts w:ascii="宋体" w:hAnsi="宋体" w:cs="宋体" w:eastAsia="宋体" w:hint="default"/>
          <w:sz w:val="29"/>
          <w:szCs w:val="29"/>
        </w:rPr>
      </w:pPr>
    </w:p>
    <w:p>
      <w:pPr>
        <w:pStyle w:val="Heading3"/>
        <w:spacing w:line="324" w:lineRule="auto" w:before="36"/>
        <w:ind w:left="138" w:right="68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65" w:lineRule="exact"/>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pStyle w:val="Heading3"/>
        <w:spacing w:line="240" w:lineRule="auto" w:before="10"/>
        <w:ind w:left="138" w:right="0"/>
        <w:jc w:val="both"/>
        <w:rPr>
          <w:b w:val="0"/>
          <w:bCs w:val="0"/>
        </w:rPr>
      </w:pPr>
      <w:r>
        <w:rPr/>
        <w:t>其他情况</w:t>
      </w:r>
      <w:r>
        <w:rPr>
          <w:b w:val="0"/>
          <w:bCs w:val="0"/>
        </w:rPr>
      </w:r>
    </w:p>
    <w:p>
      <w:pPr>
        <w:pStyle w:val="BodyText"/>
        <w:spacing w:line="240" w:lineRule="auto" w:before="37"/>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8"/>
        <w:rPr>
          <w:rFonts w:ascii="宋体" w:hAnsi="宋体" w:cs="宋体" w:eastAsia="宋体" w:hint="default"/>
          <w:sz w:val="24"/>
          <w:szCs w:val="24"/>
        </w:rPr>
      </w:pPr>
    </w:p>
    <w:p>
      <w:pPr>
        <w:pStyle w:val="Heading3"/>
        <w:spacing w:line="240" w:lineRule="auto"/>
        <w:ind w:left="138" w:right="0"/>
        <w:jc w:val="both"/>
        <w:rPr>
          <w:b w:val="0"/>
          <w:bCs w:val="0"/>
        </w:rPr>
      </w:pPr>
      <w:r>
        <w:rPr>
          <w:rFonts w:ascii="宋体" w:hAnsi="宋体" w:cs="宋体" w:eastAsia="宋体" w:hint="default"/>
        </w:rPr>
        <w:t>(2).</w:t>
      </w:r>
      <w:r>
        <w:rPr/>
        <w:t>单项委托贷款情况</w:t>
      </w:r>
      <w:r>
        <w:rPr>
          <w:b w:val="0"/>
          <w:bCs w:val="0"/>
        </w:rPr>
      </w:r>
    </w:p>
    <w:p>
      <w:pPr>
        <w:tabs>
          <w:tab w:pos="980" w:val="left" w:leader="none"/>
        </w:tabs>
        <w:spacing w:line="247" w:lineRule="auto" w:before="37"/>
        <w:ind w:left="138" w:right="73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28"/>
          <w:sz w:val="21"/>
          <w:szCs w:val="21"/>
        </w:rPr>
        <w:t> </w:t>
      </w:r>
      <w:r>
        <w:rPr>
          <w:rFonts w:ascii="宋体" w:hAnsi="宋体" w:cs="宋体" w:eastAsia="宋体" w:hint="default"/>
          <w:sz w:val="21"/>
          <w:szCs w:val="21"/>
        </w:rPr>
        <w:t>适用</w:t>
        <w:tab/>
      </w:r>
      <w:r>
        <w:rPr>
          <w:rFonts w:ascii="Calibri" w:hAnsi="Calibri" w:cs="Calibri" w:eastAsia="Calibri"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31"/>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9"/>
        <w:rPr>
          <w:rFonts w:ascii="宋体" w:hAnsi="宋体" w:cs="宋体" w:eastAsia="宋体" w:hint="default"/>
          <w:sz w:val="24"/>
          <w:szCs w:val="24"/>
        </w:rPr>
      </w:pPr>
    </w:p>
    <w:p>
      <w:pPr>
        <w:pStyle w:val="Heading3"/>
        <w:spacing w:line="240" w:lineRule="auto"/>
        <w:ind w:left="138" w:right="0"/>
        <w:jc w:val="both"/>
        <w:rPr>
          <w:b w:val="0"/>
          <w:bCs w:val="0"/>
        </w:rPr>
      </w:pPr>
      <w:r>
        <w:rPr>
          <w:rFonts w:ascii="宋体" w:hAnsi="宋体" w:cs="宋体" w:eastAsia="宋体" w:hint="default"/>
        </w:rPr>
        <w:t>(3).</w:t>
      </w:r>
      <w:r>
        <w:rPr/>
        <w:t>委托贷款减值准备</w:t>
      </w:r>
      <w:r>
        <w:rPr>
          <w:b w:val="0"/>
          <w:bCs w:val="0"/>
        </w:rPr>
      </w:r>
    </w:p>
    <w:p>
      <w:pPr>
        <w:pStyle w:val="BodyText"/>
        <w:spacing w:line="240" w:lineRule="auto" w:before="37"/>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0"/>
        <w:jc w:val="both"/>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97"/>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t>其他重大合同</w:t>
      </w:r>
      <w:r>
        <w:rPr>
          <w:b w:val="0"/>
          <w:bCs w:val="0"/>
        </w:rPr>
      </w:r>
    </w:p>
    <w:p>
      <w:pPr>
        <w:pStyle w:val="BodyText"/>
        <w:spacing w:line="240" w:lineRule="auto" w:before="97"/>
        <w:ind w:left="138" w:right="0"/>
        <w:jc w:val="both"/>
      </w:pPr>
      <w:r>
        <w:rPr/>
        <w:t>□适用  </w:t>
      </w:r>
      <w:r>
        <w:rPr>
          <w:spacing w:val="1"/>
        </w:rPr>
        <w:t> </w:t>
      </w:r>
      <w:r>
        <w:rPr/>
        <w:t>√不适用</w:t>
      </w:r>
    </w:p>
    <w:p>
      <w:pPr>
        <w:spacing w:line="240" w:lineRule="auto" w:before="0"/>
        <w:rPr>
          <w:rFonts w:ascii="宋体" w:hAnsi="宋体" w:cs="宋体" w:eastAsia="宋体" w:hint="default"/>
          <w:sz w:val="20"/>
          <w:szCs w:val="20"/>
        </w:rPr>
      </w:pPr>
    </w:p>
    <w:p>
      <w:pPr>
        <w:pStyle w:val="Heading3"/>
        <w:spacing w:line="240" w:lineRule="auto" w:before="148"/>
        <w:ind w:left="138" w:right="0"/>
        <w:jc w:val="both"/>
        <w:rPr>
          <w:b w:val="0"/>
          <w:bCs w:val="0"/>
        </w:rPr>
      </w:pPr>
      <w:r>
        <w:rPr/>
        <w:t>十六、其他重大事项的说明</w:t>
      </w:r>
      <w:r>
        <w:rPr>
          <w:b w:val="0"/>
          <w:bCs w:val="0"/>
        </w:rPr>
      </w:r>
    </w:p>
    <w:p>
      <w:pPr>
        <w:pStyle w:val="BodyText"/>
        <w:spacing w:line="240" w:lineRule="auto" w:before="97"/>
        <w:ind w:left="138" w:right="0"/>
        <w:jc w:val="both"/>
      </w:pPr>
      <w:r>
        <w:rPr>
          <w:rFonts w:ascii="Arial" w:hAnsi="Arial" w:cs="Arial" w:eastAsia="Arial" w:hint="default"/>
        </w:rPr>
        <w:t>□ </w:t>
      </w:r>
      <w:r>
        <w:rPr/>
        <w:t>适用 </w:t>
      </w:r>
      <w:r>
        <w:rPr>
          <w:spacing w:val="25"/>
        </w:rPr>
        <w:t> </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781" w:val="left" w:leader="none"/>
        </w:tabs>
        <w:spacing w:line="324"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23"/>
        <w:ind w:left="138" w:right="0"/>
        <w:jc w:val="both"/>
      </w:pPr>
      <w:r>
        <w:rPr/>
        <w:t>□适用</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tabs>
          <w:tab w:pos="1503" w:val="left" w:leader="none"/>
        </w:tabs>
        <w:spacing w:line="297" w:lineRule="auto" w:before="152"/>
        <w:ind w:left="558" w:right="130"/>
        <w:jc w:val="left"/>
      </w:pPr>
      <w:r>
        <w:rPr/>
        <w:t>√适用</w:t>
        <w:tab/>
      </w:r>
      <w:r>
        <w:rPr>
          <w:rFonts w:ascii="Arial" w:hAnsi="Arial" w:cs="Arial" w:eastAsia="Arial" w:hint="default"/>
        </w:rPr>
        <w:t>□</w:t>
      </w:r>
      <w:r>
        <w:rPr>
          <w:rFonts w:ascii="Arial" w:hAnsi="Arial" w:cs="Arial" w:eastAsia="Arial" w:hint="default"/>
          <w:spacing w:val="26"/>
        </w:rPr>
        <w:t> </w:t>
      </w:r>
      <w:r>
        <w:rPr/>
        <w:t>不适用</w:t>
      </w:r>
      <w:r>
        <w:rPr>
          <w:w w:val="100"/>
        </w:rPr>
        <w:t> </w:t>
      </w:r>
      <w:r>
        <w:rPr>
          <w:spacing w:val="-2"/>
        </w:rPr>
        <w:t>公司在持续快速发展的过程中，积极履行社会责任，以“诚信、担当、高效、创新”的南威</w:t>
      </w:r>
    </w:p>
    <w:p>
      <w:pPr>
        <w:pStyle w:val="BodyText"/>
        <w:spacing w:line="314" w:lineRule="auto" w:before="34"/>
        <w:ind w:left="138" w:right="127"/>
        <w:jc w:val="both"/>
      </w:pPr>
      <w:r>
        <w:rPr>
          <w:spacing w:val="-1"/>
        </w:rPr>
        <w:t>精神，以专业的技术团队为客户提供专业的技术、产品和服务，与客户和合作伙伴以诚相待，用</w:t>
      </w:r>
      <w:r>
        <w:rPr>
          <w:spacing w:val="-55"/>
        </w:rPr>
        <w:t> </w:t>
      </w:r>
      <w:r>
        <w:rPr>
          <w:spacing w:val="-55"/>
        </w:rPr>
      </w:r>
      <w:r>
        <w:rPr>
          <w:spacing w:val="-1"/>
        </w:rPr>
        <w:t>“以人为本”的理念管理员工，不断加强公司管理，发展产品技术，提升经营业绩。近三年内，</w:t>
      </w:r>
      <w:r>
        <w:rPr>
          <w:spacing w:val="-55"/>
        </w:rPr>
        <w:t> </w:t>
      </w:r>
      <w:r>
        <w:rPr>
          <w:spacing w:val="-55"/>
        </w:rPr>
      </w:r>
      <w:r>
        <w:rPr>
          <w:spacing w:val="-1"/>
        </w:rPr>
        <w:t>公司均采取了稳定的现金分红政策，积极回报社会，履行公司应负的社会责任，用实际行动回报</w:t>
      </w:r>
      <w:r>
        <w:rPr>
          <w:spacing w:val="-55"/>
        </w:rPr>
        <w:t> </w:t>
      </w:r>
      <w:r>
        <w:rPr>
          <w:spacing w:val="-55"/>
        </w:rPr>
      </w:r>
      <w:r>
        <w:rPr/>
        <w:t>了广大投资者的信任，实现公司与社会之间的可持续发展。</w:t>
      </w:r>
    </w:p>
    <w:p>
      <w:pPr>
        <w:pStyle w:val="BodyText"/>
        <w:spacing w:line="314" w:lineRule="auto" w:before="20"/>
        <w:ind w:left="138" w:right="0" w:firstLine="419"/>
        <w:jc w:val="left"/>
        <w:rPr>
          <w:rFonts w:ascii="Times New Roman" w:hAnsi="Times New Roman" w:cs="Times New Roman" w:eastAsia="Times New Roman" w:hint="default"/>
        </w:rPr>
      </w:pPr>
      <w:r>
        <w:rPr>
          <w:spacing w:val="-7"/>
          <w:w w:val="100"/>
        </w:rPr>
        <w:t>另外，公司第二届董事会第三十次会议审议通过《关于设立南威助学基金会的议案》，公司拟</w:t>
      </w:r>
      <w:r>
        <w:rPr>
          <w:w w:val="100"/>
        </w:rPr>
        <w:t> </w:t>
      </w:r>
      <w:r>
        <w:rPr/>
        <w:t>在未来</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年内对助学基金会总出资规模不低于人民币</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spacing w:val="-4"/>
        </w:rPr>
        <w:t>万元，用于助学社会公益活动，</w:t>
      </w:r>
      <w:r>
        <w:rPr>
          <w:rFonts w:ascii="Times New Roman" w:hAnsi="Times New Roman" w:cs="Times New Roman" w:eastAsia="Times New Roman" w:hint="default"/>
          <w:spacing w:val="-4"/>
        </w:rPr>
        <w:t>2017</w:t>
      </w:r>
    </w:p>
    <w:p>
      <w:pPr>
        <w:pStyle w:val="BodyText"/>
        <w:spacing w:line="297" w:lineRule="auto"/>
        <w:ind w:left="138" w:right="0"/>
        <w:jc w:val="left"/>
      </w:pPr>
      <w:r>
        <w:rPr/>
        <w:t>年</w:t>
      </w:r>
      <w:r>
        <w:rPr>
          <w:spacing w:val="-3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spacing w:val="-4"/>
        </w:rPr>
        <w:t>月，公司已向丰泽区教育发展基金会提供教育基金</w:t>
      </w:r>
      <w:r>
        <w:rPr>
          <w:spacing w:val="-3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7"/>
        </w:rPr>
        <w:t> </w:t>
      </w:r>
      <w:r>
        <w:rPr>
          <w:spacing w:val="-5"/>
        </w:rPr>
        <w:t>万元，以期帮助莘莘学子顺利完成学</w:t>
      </w:r>
      <w:r>
        <w:rPr>
          <w:spacing w:val="-98"/>
        </w:rPr>
        <w:t> </w:t>
      </w:r>
      <w:r>
        <w:rPr>
          <w:spacing w:val="-98"/>
        </w:rPr>
      </w:r>
      <w:r>
        <w:rPr/>
        <w:t>业，为他们点燃美好生活的希望。</w:t>
      </w:r>
    </w:p>
    <w:p>
      <w:pPr>
        <w:spacing w:after="0" w:line="297" w:lineRule="auto"/>
        <w:jc w:val="left"/>
        <w:sectPr>
          <w:headerReference w:type="default" r:id="rId19"/>
          <w:footerReference w:type="default" r:id="rId20"/>
          <w:pgSz w:w="11910" w:h="16840"/>
          <w:pgMar w:header="855" w:footer="979" w:top="1140" w:bottom="1160" w:left="1660" w:right="1140"/>
          <w:pgNumType w:start="51"/>
        </w:sectPr>
      </w:pPr>
    </w:p>
    <w:p>
      <w:pPr>
        <w:spacing w:line="240" w:lineRule="auto" w:before="1"/>
        <w:rPr>
          <w:rFonts w:ascii="宋体" w:hAnsi="宋体" w:cs="宋体" w:eastAsia="宋体" w:hint="default"/>
          <w:sz w:val="25"/>
          <w:szCs w:val="25"/>
        </w:rPr>
      </w:pPr>
    </w:p>
    <w:p>
      <w:pPr>
        <w:pStyle w:val="Heading3"/>
        <w:tabs>
          <w:tab w:pos="781" w:val="left" w:leader="none"/>
        </w:tabs>
        <w:spacing w:line="240" w:lineRule="auto" w:before="36"/>
        <w:ind w:left="138" w:right="13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562" w:val="left" w:leader="none"/>
        </w:tabs>
        <w:spacing w:line="240" w:lineRule="auto" w:before="97"/>
        <w:ind w:left="138" w:right="130"/>
        <w:jc w:val="left"/>
        <w:rPr>
          <w:b w:val="0"/>
          <w:bCs w:val="0"/>
        </w:rPr>
      </w:pPr>
      <w:r>
        <w:rPr>
          <w:rFonts w:ascii="Times New Roman" w:hAnsi="Times New Roman" w:cs="Times New Roman" w:eastAsia="Times New Roman" w:hint="default"/>
        </w:rPr>
        <w:t>1.</w:t>
        <w:tab/>
      </w:r>
      <w:r>
        <w:rPr/>
        <w:t>属于环境保护部门公布的重点排污单位的公司及其重要子公司的环保情况说明</w:t>
      </w:r>
      <w:r>
        <w:rPr>
          <w:b w:val="0"/>
          <w:bCs w:val="0"/>
        </w:rPr>
      </w:r>
    </w:p>
    <w:p>
      <w:pPr>
        <w:pStyle w:val="BodyText"/>
        <w:tabs>
          <w:tab w:pos="1083" w:val="left" w:leader="none"/>
        </w:tabs>
        <w:spacing w:line="240" w:lineRule="auto" w:before="81"/>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562" w:val="left" w:leader="none"/>
        </w:tabs>
        <w:spacing w:line="240" w:lineRule="auto"/>
        <w:ind w:left="138" w:right="130"/>
        <w:jc w:val="left"/>
        <w:rPr>
          <w:b w:val="0"/>
          <w:bCs w:val="0"/>
        </w:rPr>
      </w:pPr>
      <w:r>
        <w:rPr>
          <w:rFonts w:ascii="Times New Roman" w:hAnsi="Times New Roman" w:cs="Times New Roman" w:eastAsia="Times New Roman" w:hint="default"/>
        </w:rPr>
        <w:t>2.</w:t>
        <w:tab/>
      </w:r>
      <w:r>
        <w:rPr/>
        <w:t>重点排污单位之外的公司</w:t>
      </w:r>
      <w:r>
        <w:rPr>
          <w:b w:val="0"/>
          <w:bCs w:val="0"/>
        </w:rPr>
      </w:r>
    </w:p>
    <w:p>
      <w:pPr>
        <w:pStyle w:val="BodyText"/>
        <w:spacing w:line="240" w:lineRule="auto" w:before="81"/>
        <w:ind w:left="138" w:right="13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562" w:val="left" w:leader="none"/>
        </w:tabs>
        <w:spacing w:line="240" w:lineRule="auto"/>
        <w:ind w:left="138" w:right="130"/>
        <w:jc w:val="left"/>
        <w:rPr>
          <w:b w:val="0"/>
          <w:bCs w:val="0"/>
        </w:rPr>
      </w:pPr>
      <w:r>
        <w:rPr>
          <w:rFonts w:ascii="Times New Roman" w:hAnsi="Times New Roman" w:cs="Times New Roman" w:eastAsia="Times New Roman" w:hint="default"/>
        </w:rPr>
        <w:t>3.</w:t>
        <w:tab/>
      </w:r>
      <w:r>
        <w:rPr/>
        <w:t>其他说明</w:t>
      </w:r>
      <w:r>
        <w:rPr>
          <w:b w:val="0"/>
          <w:bCs w:val="0"/>
        </w:rPr>
      </w:r>
    </w:p>
    <w:p>
      <w:pPr>
        <w:pStyle w:val="BodyText"/>
        <w:spacing w:line="240" w:lineRule="auto" w:before="81"/>
        <w:ind w:left="138" w:right="130"/>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781" w:val="left" w:leader="none"/>
        </w:tabs>
        <w:spacing w:line="240" w:lineRule="auto"/>
        <w:ind w:left="138" w:right="13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1083" w:val="left" w:leader="none"/>
        </w:tabs>
        <w:spacing w:line="240" w:lineRule="auto" w:before="97"/>
        <w:ind w:left="138" w:right="130"/>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left="138" w:right="130"/>
        <w:jc w:val="left"/>
        <w:rPr>
          <w:b w:val="0"/>
          <w:bCs w:val="0"/>
        </w:rPr>
      </w:pPr>
      <w:r>
        <w:rPr/>
        <w:t>十八、可转换公司债券情况</w:t>
      </w:r>
      <w:r>
        <w:rPr>
          <w:b w:val="0"/>
          <w:bCs w:val="0"/>
        </w:rPr>
      </w:r>
    </w:p>
    <w:p>
      <w:pPr>
        <w:pStyle w:val="Heading3"/>
        <w:spacing w:line="240" w:lineRule="auto" w:before="97"/>
        <w:ind w:left="138" w:right="13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1083" w:val="left" w:leader="none"/>
        </w:tabs>
        <w:spacing w:line="240" w:lineRule="auto" w:before="70"/>
        <w:ind w:left="138" w:right="130"/>
        <w:jc w:val="left"/>
      </w:pPr>
      <w:r>
        <w:rPr/>
        <w:t>□适用</w:t>
        <w:tab/>
        <w:t>√不适用</w:t>
      </w:r>
    </w:p>
    <w:p>
      <w:pPr>
        <w:spacing w:line="240" w:lineRule="auto" w:before="0"/>
        <w:rPr>
          <w:rFonts w:ascii="宋体" w:hAnsi="宋体" w:cs="宋体" w:eastAsia="宋体" w:hint="default"/>
          <w:sz w:val="20"/>
          <w:szCs w:val="20"/>
        </w:rPr>
      </w:pPr>
    </w:p>
    <w:p>
      <w:pPr>
        <w:pStyle w:val="Heading3"/>
        <w:spacing w:line="240" w:lineRule="auto" w:before="147"/>
        <w:ind w:left="138" w:right="13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tabs>
          <w:tab w:pos="980" w:val="left" w:leader="none"/>
        </w:tabs>
        <w:spacing w:line="240" w:lineRule="auto" w:before="70"/>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tabs>
          <w:tab w:pos="980" w:val="left" w:leader="none"/>
        </w:tabs>
        <w:spacing w:line="240" w:lineRule="auto" w:before="70"/>
        <w:ind w:left="138" w:right="130"/>
        <w:jc w:val="left"/>
      </w:pP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4"/>
          <w:szCs w:val="24"/>
        </w:rPr>
      </w:pPr>
    </w:p>
    <w:p>
      <w:pPr>
        <w:pStyle w:val="BodyText"/>
        <w:spacing w:line="240" w:lineRule="auto"/>
        <w:ind w:left="138" w:right="130"/>
        <w:jc w:val="left"/>
      </w:pPr>
      <w:r>
        <w:rPr/>
        <w:t>报告期转债累计转股情况</w:t>
      </w:r>
    </w:p>
    <w:p>
      <w:pPr>
        <w:pStyle w:val="BodyText"/>
        <w:tabs>
          <w:tab w:pos="980" w:val="left" w:leader="none"/>
        </w:tabs>
        <w:spacing w:line="240" w:lineRule="auto" w:before="37"/>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tabs>
          <w:tab w:pos="980" w:val="left" w:leader="none"/>
        </w:tabs>
        <w:spacing w:line="240" w:lineRule="auto" w:before="70"/>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083" w:val="left" w:leader="none"/>
        </w:tabs>
        <w:spacing w:line="240" w:lineRule="auto" w:before="70"/>
        <w:ind w:left="138" w:right="130"/>
        <w:jc w:val="left"/>
      </w:pPr>
      <w:r>
        <w:rPr/>
        <w:t>□适用</w:t>
        <w:tab/>
        <w:t>√不适用</w:t>
      </w:r>
    </w:p>
    <w:p>
      <w:pPr>
        <w:pStyle w:val="Heading3"/>
        <w:spacing w:line="240" w:lineRule="auto" w:before="97"/>
        <w:ind w:left="138" w:right="13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83" w:val="left" w:leader="none"/>
        </w:tabs>
        <w:spacing w:line="240" w:lineRule="auto" w:before="70"/>
        <w:ind w:left="138" w:right="130"/>
        <w:jc w:val="left"/>
      </w:pPr>
      <w:r>
        <w:rPr/>
        <w:t>□适用</w:t>
        <w:tab/>
        <w:t>√不适用</w:t>
      </w:r>
    </w:p>
    <w:p>
      <w:pPr>
        <w:spacing w:after="0" w:line="240" w:lineRule="auto"/>
        <w:jc w:val="left"/>
        <w:sectPr>
          <w:pgSz w:w="11910" w:h="16840"/>
          <w:pgMar w:header="855" w:footer="979" w:top="1140" w:bottom="1160" w:left="1660" w:right="1140"/>
        </w:sectPr>
      </w:pPr>
    </w:p>
    <w:p>
      <w:pPr>
        <w:tabs>
          <w:tab w:pos="9782" w:val="left" w:leader="none"/>
        </w:tabs>
        <w:spacing w:before="84"/>
        <w:ind w:left="4197" w:right="0" w:firstLine="0"/>
        <w:jc w:val="left"/>
        <w:rPr>
          <w:rFonts w:ascii="宋体" w:hAnsi="宋体" w:cs="宋体" w:eastAsia="宋体" w:hint="default"/>
          <w:sz w:val="18"/>
          <w:szCs w:val="18"/>
        </w:rPr>
      </w:pPr>
      <w:r>
        <w:rPr/>
        <w:pict>
          <v:shape style="position:absolute;margin-left:203.399994pt;margin-top:4.421748pt;width:67.543pt;height:10.3pt;mso-position-horizontal-relative:page;mso-position-vertical-relative:paragraph;z-index:-1004584" type="#_x0000_t75" stroked="false">
            <v:imagedata r:id="rId23" o:title=""/>
          </v:shape>
        </w:pict>
      </w:r>
      <w:r>
        <w:rPr>
          <w:rFonts w:ascii="宋体" w:hAnsi="宋体" w:cs="宋体" w:eastAsia="宋体" w:hint="default"/>
          <w:sz w:val="18"/>
          <w:szCs w:val="18"/>
        </w:rPr>
        <w:t>南威软件股份有限公司</w:t>
        <w:tab/>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1"/>
        <w:spacing w:line="240" w:lineRule="auto"/>
        <w:ind w:left="5028" w:right="5033"/>
        <w:jc w:val="center"/>
        <w:rPr>
          <w:b w:val="0"/>
          <w:bCs w:val="0"/>
        </w:rPr>
      </w:pPr>
      <w:bookmarkStart w:name="_TOC_250006" w:id="6"/>
      <w:r>
        <w:rPr/>
        <w:t>第六节普通股股份变动及股东情况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21"/>
          <w:footerReference w:type="default" r:id="rId22"/>
          <w:pgSz w:w="16840" w:h="11910" w:orient="landscape"/>
          <w:pgMar w:header="0" w:footer="0" w:top="760" w:bottom="280" w:left="1220" w:right="1300"/>
        </w:sectPr>
      </w:pPr>
    </w:p>
    <w:p>
      <w:pPr>
        <w:pStyle w:val="Heading3"/>
        <w:tabs>
          <w:tab w:pos="786" w:val="left" w:leader="none"/>
        </w:tabs>
        <w:spacing w:line="309" w:lineRule="auto" w:before="36"/>
        <w:ind w:left="2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Times New Roman" w:hAnsi="Times New Roman" w:cs="Times New Roman" w:eastAsia="Times New Roman" w:hint="default"/>
        </w:rPr>
        <w:t>1</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580" w:bottom="280" w:left="1220" w:right="1300"/>
          <w:cols w:num="2" w:equalWidth="0">
            <w:col w:w="2897" w:space="10137"/>
            <w:col w:w="128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911"/>
        <w:gridCol w:w="1267"/>
        <w:gridCol w:w="926"/>
        <w:gridCol w:w="975"/>
        <w:gridCol w:w="838"/>
        <w:gridCol w:w="1721"/>
        <w:gridCol w:w="1129"/>
        <w:gridCol w:w="1265"/>
        <w:gridCol w:w="1267"/>
        <w:gridCol w:w="792"/>
      </w:tblGrid>
      <w:tr>
        <w:trPr>
          <w:trHeight w:val="322" w:hRule="exact"/>
        </w:trPr>
        <w:tc>
          <w:tcPr>
            <w:tcW w:w="3911" w:type="dxa"/>
            <w:vMerge w:val="restart"/>
            <w:tcBorders>
              <w:top w:val="single" w:sz="4" w:space="0" w:color="000000"/>
              <w:left w:val="single" w:sz="4" w:space="0" w:color="000000"/>
              <w:right w:val="single" w:sz="4" w:space="0" w:color="000000"/>
            </w:tcBorders>
          </w:tcPr>
          <w:p>
            <w:pPr/>
          </w:p>
        </w:tc>
        <w:tc>
          <w:tcPr>
            <w:tcW w:w="2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9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3911"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300" w:right="0"/>
              <w:jc w:val="left"/>
              <w:rPr>
                <w:rFonts w:ascii="Times New Roman" w:hAnsi="Times New Roman" w:cs="Times New Roman" w:eastAsia="Times New Roman" w:hint="default"/>
                <w:sz w:val="21"/>
                <w:szCs w:val="21"/>
              </w:rPr>
            </w:pPr>
            <w:r>
              <w:rPr>
                <w:rFonts w:ascii="Times New Roman"/>
                <w:sz w:val="21"/>
              </w:rPr>
              <w:t>(%)</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6" w:right="165" w:hanging="212"/>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8"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235" w:right="0"/>
              <w:jc w:val="lef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59,112,130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58.12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525,000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177,336,390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-2,809,408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175,051,982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 w:right="0"/>
              <w:jc w:val="center"/>
              <w:rPr>
                <w:rFonts w:ascii="Times New Roman" w:hAnsi="Times New Roman" w:cs="Times New Roman" w:eastAsia="Times New Roman" w:hint="default"/>
                <w:sz w:val="21"/>
                <w:szCs w:val="21"/>
              </w:rPr>
            </w:pPr>
            <w:r>
              <w:rPr>
                <w:rFonts w:ascii="Times New Roman"/>
                <w:sz w:val="21"/>
              </w:rPr>
              <w:t>234,164,112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57.52</w:t>
            </w: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59,112,130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58.12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525,000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177,336,390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-2,809,408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175,051,982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 w:right="0"/>
              <w:jc w:val="center"/>
              <w:rPr>
                <w:rFonts w:ascii="Times New Roman" w:hAnsi="Times New Roman" w:cs="Times New Roman" w:eastAsia="Times New Roman" w:hint="default"/>
                <w:sz w:val="21"/>
                <w:szCs w:val="21"/>
              </w:rPr>
            </w:pPr>
            <w:r>
              <w:rPr>
                <w:rFonts w:ascii="Times New Roman"/>
                <w:sz w:val="21"/>
              </w:rPr>
              <w:t>234,164,112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57.52</w:t>
            </w: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59,112,130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58.12</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525,000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177,336,390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-2,809,408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175,051,982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 w:right="0"/>
              <w:jc w:val="center"/>
              <w:rPr>
                <w:rFonts w:ascii="Times New Roman" w:hAnsi="Times New Roman" w:cs="Times New Roman" w:eastAsia="Times New Roman" w:hint="default"/>
                <w:sz w:val="21"/>
                <w:szCs w:val="21"/>
              </w:rPr>
            </w:pPr>
            <w:r>
              <w:rPr>
                <w:rFonts w:ascii="Times New Roman"/>
                <w:sz w:val="21"/>
              </w:rPr>
              <w:t>234,164,112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57.52</w:t>
            </w: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42,595,750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41.88</w:t>
            </w: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127,787,250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2,550,688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130,337,938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172,933,688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42.48</w:t>
            </w: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42,595,750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41.88</w:t>
            </w: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127,787,250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2,550,688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130,337,938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172,933,688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42.48</w:t>
            </w: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101,707,880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525,000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305,123,640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spacing w:val="-1"/>
                <w:sz w:val="21"/>
              </w:rPr>
              <w:t>-258,720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305,389,920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407,097,800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76"/>
        <w:ind w:left="5028" w:right="5028" w:firstLine="0"/>
        <w:jc w:val="center"/>
        <w:rPr>
          <w:rFonts w:ascii="Times New Roman" w:hAnsi="Times New Roman" w:cs="Times New Roman" w:eastAsia="Times New Roman" w:hint="default"/>
          <w:sz w:val="18"/>
          <w:szCs w:val="18"/>
        </w:rPr>
      </w:pPr>
      <w:r>
        <w:rPr>
          <w:rFonts w:ascii="Times New Roman"/>
          <w:b/>
          <w:sz w:val="18"/>
        </w:rPr>
        <w:t>53</w:t>
      </w:r>
      <w:r>
        <w:rPr>
          <w:rFonts w:ascii="Times New Roman"/>
          <w:sz w:val="18"/>
        </w:rPr>
        <w:t>/</w:t>
      </w:r>
      <w:r>
        <w:rPr>
          <w:rFonts w:ascii="Times New Roman"/>
          <w:b/>
          <w:sz w:val="18"/>
        </w:rPr>
        <w:t>200</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1220" w:right="1300"/>
        </w:sectPr>
      </w:pPr>
    </w:p>
    <w:p>
      <w:pPr>
        <w:spacing w:line="240" w:lineRule="auto" w:before="0"/>
        <w:rPr>
          <w:rFonts w:ascii="Times New Roman" w:hAnsi="Times New Roman" w:cs="Times New Roman" w:eastAsia="Times New Roman" w:hint="default"/>
          <w:b/>
          <w:bCs/>
          <w:sz w:val="20"/>
          <w:szCs w:val="20"/>
        </w:rPr>
      </w:pPr>
    </w:p>
    <w:p>
      <w:pPr>
        <w:pStyle w:val="Heading3"/>
        <w:spacing w:line="240" w:lineRule="auto" w:before="194"/>
        <w:ind w:right="0"/>
        <w:jc w:val="both"/>
        <w:rPr>
          <w:b w:val="0"/>
          <w:bCs w:val="0"/>
        </w:rPr>
      </w:pPr>
      <w:r>
        <w:rPr>
          <w:rFonts w:ascii="Times New Roman" w:hAnsi="Times New Roman" w:cs="Times New Roman" w:eastAsia="Times New Roman" w:hint="default"/>
        </w:rPr>
        <w:t>2</w:t>
      </w:r>
      <w:r>
        <w:rPr/>
        <w:t>、普通股股份变动情况说明</w:t>
      </w:r>
      <w:r>
        <w:rPr>
          <w:b w:val="0"/>
          <w:bCs w:val="0"/>
        </w:rPr>
      </w:r>
    </w:p>
    <w:p>
      <w:pPr>
        <w:pStyle w:val="BodyText"/>
        <w:spacing w:line="240" w:lineRule="auto" w:before="81"/>
        <w:ind w:right="0"/>
        <w:jc w:val="both"/>
      </w:pPr>
      <w:r>
        <w:rPr/>
        <w:t>√适用  </w:t>
      </w:r>
      <w:r>
        <w:rPr>
          <w:spacing w:val="1"/>
        </w:rPr>
        <w:t> </w:t>
      </w:r>
      <w:r>
        <w:rPr/>
        <w:t>□不适用</w:t>
      </w:r>
    </w:p>
    <w:p>
      <w:pPr>
        <w:pStyle w:val="BodyText"/>
        <w:spacing w:line="240" w:lineRule="auto" w:before="92"/>
        <w:ind w:left="638" w:right="123"/>
        <w:jc w:val="left"/>
        <w:rPr>
          <w:rFonts w:ascii="Times New Roman" w:hAnsi="Times New Roman" w:cs="Times New Roman" w:eastAsia="Times New Roman" w:hint="default"/>
        </w:rPr>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日</w:t>
      </w:r>
      <w:r>
        <w:rPr>
          <w:spacing w:val="-3"/>
          <w:w w:val="100"/>
        </w:rPr>
        <w:t>公</w:t>
      </w:r>
      <w:r>
        <w:rPr>
          <w:w w:val="100"/>
        </w:rPr>
        <w:t>司</w:t>
      </w:r>
      <w:r>
        <w:rPr>
          <w:spacing w:val="-3"/>
          <w:w w:val="100"/>
        </w:rPr>
        <w:t>利润</w:t>
      </w:r>
      <w:r>
        <w:rPr>
          <w:w w:val="100"/>
        </w:rPr>
        <w:t>分配</w:t>
      </w:r>
      <w:r>
        <w:rPr>
          <w:spacing w:val="-3"/>
          <w:w w:val="100"/>
        </w:rPr>
        <w:t>及</w:t>
      </w:r>
      <w:r>
        <w:rPr>
          <w:w w:val="100"/>
        </w:rPr>
        <w:t>资</w:t>
      </w:r>
      <w:r>
        <w:rPr>
          <w:spacing w:val="-3"/>
          <w:w w:val="100"/>
        </w:rPr>
        <w:t>本</w:t>
      </w:r>
      <w:r>
        <w:rPr>
          <w:w w:val="100"/>
        </w:rPr>
        <w:t>公</w:t>
      </w:r>
      <w:r>
        <w:rPr>
          <w:spacing w:val="-3"/>
          <w:w w:val="100"/>
        </w:rPr>
        <w:t>积</w:t>
      </w:r>
      <w:r>
        <w:rPr>
          <w:w w:val="100"/>
        </w:rPr>
        <w:t>转</w:t>
      </w:r>
      <w:r>
        <w:rPr>
          <w:spacing w:val="-3"/>
          <w:w w:val="100"/>
        </w:rPr>
        <w:t>增</w:t>
      </w:r>
      <w:r>
        <w:rPr>
          <w:w w:val="100"/>
        </w:rPr>
        <w:t>股</w:t>
      </w:r>
      <w:r>
        <w:rPr>
          <w:spacing w:val="-3"/>
          <w:w w:val="100"/>
        </w:rPr>
        <w:t>本</w:t>
      </w:r>
      <w:r>
        <w:rPr>
          <w:w w:val="100"/>
        </w:rPr>
        <w:t>方案</w:t>
      </w:r>
      <w:r>
        <w:rPr>
          <w:spacing w:val="-3"/>
          <w:w w:val="100"/>
        </w:rPr>
        <w:t>实</w:t>
      </w:r>
      <w:r>
        <w:rPr>
          <w:w w:val="100"/>
        </w:rPr>
        <w:t>施</w:t>
      </w:r>
      <w:r>
        <w:rPr>
          <w:spacing w:val="-3"/>
          <w:w w:val="100"/>
        </w:rPr>
        <w:t>完毕</w:t>
      </w:r>
      <w:r>
        <w:rPr>
          <w:spacing w:val="-92"/>
          <w:w w:val="100"/>
        </w:rPr>
        <w:t>，</w:t>
      </w:r>
      <w:r>
        <w:rPr>
          <w:spacing w:val="-3"/>
          <w:w w:val="100"/>
        </w:rPr>
        <w:t>公</w:t>
      </w:r>
      <w:r>
        <w:rPr>
          <w:w w:val="100"/>
        </w:rPr>
        <w:t>司</w:t>
      </w:r>
      <w:r>
        <w:rPr>
          <w:spacing w:val="-3"/>
          <w:w w:val="100"/>
        </w:rPr>
        <w:t>总</w:t>
      </w:r>
      <w:r>
        <w:rPr>
          <w:w w:val="100"/>
        </w:rPr>
        <w:t>股</w:t>
      </w:r>
      <w:r>
        <w:rPr>
          <w:spacing w:val="-3"/>
          <w:w w:val="100"/>
        </w:rPr>
        <w:t>本</w:t>
      </w:r>
      <w:r>
        <w:rPr>
          <w:w w:val="100"/>
        </w:rPr>
        <w:t>由</w:t>
      </w:r>
      <w:r>
        <w:rPr>
          <w:spacing w:val="-52"/>
        </w:rPr>
        <w:t> </w:t>
      </w:r>
      <w:r>
        <w:rPr>
          <w:rFonts w:ascii="Times New Roman" w:hAnsi="Times New Roman" w:cs="Times New Roman" w:eastAsia="Times New Roman" w:hint="default"/>
          <w:w w:val="100"/>
        </w:rPr>
        <w:t>101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707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880</w:t>
      </w:r>
    </w:p>
    <w:p>
      <w:pPr>
        <w:pStyle w:val="BodyText"/>
        <w:spacing w:line="240" w:lineRule="auto" w:before="69"/>
        <w:ind w:right="0"/>
        <w:jc w:val="both"/>
        <w:rPr>
          <w:rFonts w:ascii="Times New Roman" w:hAnsi="Times New Roman" w:cs="Times New Roman" w:eastAsia="Times New Roman" w:hint="default"/>
        </w:rPr>
      </w:pPr>
      <w:r>
        <w:rPr/>
        <w:t>股变更为</w:t>
      </w:r>
      <w:r>
        <w:rPr>
          <w:spacing w:val="-51"/>
        </w:rPr>
        <w:t> </w:t>
      </w:r>
      <w:r>
        <w:rPr>
          <w:rFonts w:ascii="Times New Roman" w:hAnsi="Times New Roman" w:cs="Times New Roman" w:eastAsia="Times New Roman" w:hint="default"/>
        </w:rPr>
        <w:t>406,831,520</w:t>
      </w:r>
      <w:r>
        <w:rPr>
          <w:rFonts w:ascii="Times New Roman" w:hAnsi="Times New Roman" w:cs="Times New Roman" w:eastAsia="Times New Roman" w:hint="default"/>
          <w:spacing w:val="1"/>
        </w:rPr>
        <w:t> </w:t>
      </w:r>
      <w:r>
        <w:rPr/>
        <w:t>股，注册资本由</w:t>
      </w:r>
      <w:r>
        <w:rPr>
          <w:spacing w:val="-51"/>
        </w:rPr>
        <w:t> </w:t>
      </w:r>
      <w:r>
        <w:rPr>
          <w:rFonts w:ascii="Times New Roman" w:hAnsi="Times New Roman" w:cs="Times New Roman" w:eastAsia="Times New Roman" w:hint="default"/>
        </w:rPr>
        <w:t>101,707,880.00</w:t>
      </w:r>
      <w:r>
        <w:rPr>
          <w:rFonts w:ascii="Times New Roman" w:hAnsi="Times New Roman" w:cs="Times New Roman" w:eastAsia="Times New Roman" w:hint="default"/>
          <w:spacing w:val="1"/>
        </w:rPr>
        <w:t> </w:t>
      </w:r>
      <w:r>
        <w:rPr/>
        <w:t>元更为</w:t>
      </w:r>
      <w:r>
        <w:rPr>
          <w:spacing w:val="-51"/>
        </w:rPr>
        <w:t> </w:t>
      </w:r>
      <w:r>
        <w:rPr>
          <w:rFonts w:ascii="Times New Roman" w:hAnsi="Times New Roman" w:cs="Times New Roman" w:eastAsia="Times New Roman" w:hint="default"/>
        </w:rPr>
        <w:t>406,831,520.00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rPr>
      </w:r>
    </w:p>
    <w:p>
      <w:pPr>
        <w:pStyle w:val="BodyText"/>
        <w:spacing w:line="240" w:lineRule="auto" w:before="69"/>
        <w:ind w:right="0"/>
        <w:jc w:val="both"/>
        <w:rPr>
          <w:rFonts w:ascii="Times New Roman" w:hAnsi="Times New Roman" w:cs="Times New Roman" w:eastAsia="Times New Roman" w:hint="default"/>
        </w:rPr>
      </w:pPr>
      <w:r>
        <w:rPr/>
        <w:t>日，公司完成了限制性股票激励计划预留部分</w:t>
      </w:r>
      <w:r>
        <w:rPr>
          <w:spacing w:val="-52"/>
        </w:rPr>
        <w:t> </w:t>
      </w:r>
      <w:r>
        <w:rPr>
          <w:rFonts w:ascii="Times New Roman" w:hAnsi="Times New Roman" w:cs="Times New Roman" w:eastAsia="Times New Roman" w:hint="default"/>
        </w:rPr>
        <w:t>525,000</w:t>
      </w:r>
      <w:r>
        <w:rPr>
          <w:rFonts w:ascii="Times New Roman" w:hAnsi="Times New Roman" w:cs="Times New Roman" w:eastAsia="Times New Roman" w:hint="default"/>
          <w:spacing w:val="1"/>
        </w:rPr>
        <w:t> </w:t>
      </w:r>
      <w:r>
        <w:rPr/>
        <w:t>股的授予登记，公司总股本由</w:t>
      </w:r>
      <w:r>
        <w:rPr>
          <w:spacing w:val="-52"/>
        </w:rPr>
        <w:t> </w:t>
      </w:r>
      <w:r>
        <w:rPr>
          <w:rFonts w:ascii="Times New Roman" w:hAnsi="Times New Roman" w:cs="Times New Roman" w:eastAsia="Times New Roman" w:hint="default"/>
        </w:rPr>
        <w:t>406,831,520</w:t>
      </w:r>
    </w:p>
    <w:p>
      <w:pPr>
        <w:pStyle w:val="BodyText"/>
        <w:spacing w:line="304" w:lineRule="auto" w:before="69"/>
        <w:ind w:right="227"/>
        <w:jc w:val="both"/>
      </w:pPr>
      <w:r>
        <w:rPr/>
        <w:t>股变更为</w:t>
      </w:r>
      <w:r>
        <w:rPr>
          <w:spacing w:val="-52"/>
        </w:rPr>
        <w:t> </w:t>
      </w:r>
      <w:r>
        <w:rPr>
          <w:rFonts w:ascii="Times New Roman" w:hAnsi="Times New Roman" w:cs="Times New Roman" w:eastAsia="Times New Roman" w:hint="default"/>
        </w:rPr>
        <w:t>407,356,520 </w:t>
      </w:r>
      <w:r>
        <w:rPr/>
        <w:t>股，注册资本由</w:t>
      </w:r>
      <w:r>
        <w:rPr>
          <w:spacing w:val="-52"/>
        </w:rPr>
        <w:t> </w:t>
      </w:r>
      <w:r>
        <w:rPr>
          <w:rFonts w:ascii="Times New Roman" w:hAnsi="Times New Roman" w:cs="Times New Roman" w:eastAsia="Times New Roman" w:hint="default"/>
        </w:rPr>
        <w:t>406,831,520.00 </w:t>
      </w:r>
      <w:r>
        <w:rPr/>
        <w:t>元更为</w:t>
      </w:r>
      <w:r>
        <w:rPr>
          <w:spacing w:val="-52"/>
        </w:rPr>
        <w:t> </w:t>
      </w:r>
      <w:r>
        <w:rPr>
          <w:rFonts w:ascii="Times New Roman" w:hAnsi="Times New Roman" w:cs="Times New Roman" w:eastAsia="Times New Roman" w:hint="default"/>
        </w:rPr>
        <w:t>407,356,520.00</w:t>
      </w:r>
      <w:r>
        <w:rPr>
          <w:rFonts w:ascii="Times New Roman" w:hAnsi="Times New Roman" w:cs="Times New Roman" w:eastAsia="Times New Roman" w:hint="default"/>
          <w:spacing w:val="-2"/>
        </w:rPr>
        <w:t> </w:t>
      </w:r>
      <w:r>
        <w:rPr/>
        <w:t>元。上述事项已由福</w:t>
      </w:r>
      <w:r>
        <w:rPr>
          <w:w w:val="100"/>
        </w:rPr>
        <w:t> </w:t>
      </w:r>
      <w:r>
        <w:rPr>
          <w:spacing w:val="-1"/>
        </w:rPr>
        <w:t>建华兴会计师事务所（特殊普通合伙）出具验资报告，由中国证券登记结算有限责任公司上海分</w:t>
      </w:r>
      <w:r>
        <w:rPr>
          <w:spacing w:val="-55"/>
        </w:rPr>
        <w:t> </w:t>
      </w:r>
      <w:r>
        <w:rPr>
          <w:spacing w:val="-55"/>
        </w:rPr>
      </w:r>
      <w:r>
        <w:rPr>
          <w:spacing w:val="-7"/>
          <w:w w:val="100"/>
        </w:rPr>
        <w:t>公司出具《证券变更登记证明》。</w:t>
      </w:r>
      <w:r>
        <w:rPr>
          <w:rFonts w:ascii="Times New Roman" w:hAnsi="Times New Roman" w:cs="Times New Roman" w:eastAsia="Times New Roman" w:hint="default"/>
          <w:spacing w:val="-7"/>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w w:val="100"/>
        </w:rPr>
        <w:t> </w:t>
      </w:r>
      <w:r>
        <w:rPr>
          <w:w w:val="100"/>
        </w:rPr>
        <w:t>月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23"/>
          <w:w w:val="100"/>
        </w:rPr>
        <w:t> </w:t>
      </w:r>
      <w:r>
        <w:rPr>
          <w:spacing w:val="-2"/>
          <w:w w:val="100"/>
        </w:rPr>
        <w:t>日，公司收到《中国证券登记结算有限责任公</w:t>
      </w:r>
    </w:p>
    <w:p>
      <w:pPr>
        <w:pStyle w:val="BodyText"/>
        <w:spacing w:line="240" w:lineRule="auto" w:before="6"/>
        <w:ind w:right="0"/>
        <w:jc w:val="both"/>
      </w:pPr>
      <w:r>
        <w:rPr>
          <w:w w:val="100"/>
        </w:rPr>
        <w:t>司过</w:t>
      </w:r>
      <w:r>
        <w:rPr>
          <w:spacing w:val="-3"/>
          <w:w w:val="100"/>
        </w:rPr>
        <w:t>户</w:t>
      </w:r>
      <w:r>
        <w:rPr>
          <w:w w:val="100"/>
        </w:rPr>
        <w:t>登</w:t>
      </w:r>
      <w:r>
        <w:rPr>
          <w:spacing w:val="-3"/>
          <w:w w:val="100"/>
        </w:rPr>
        <w:t>记</w:t>
      </w:r>
      <w:r>
        <w:rPr>
          <w:w w:val="100"/>
        </w:rPr>
        <w:t>确</w:t>
      </w:r>
      <w:r>
        <w:rPr>
          <w:spacing w:val="-3"/>
          <w:w w:val="100"/>
        </w:rPr>
        <w:t>认</w:t>
      </w:r>
      <w:r>
        <w:rPr>
          <w:w w:val="100"/>
        </w:rPr>
        <w:t>书</w:t>
      </w:r>
      <w:r>
        <w:rPr>
          <w:spacing w:val="-108"/>
          <w:w w:val="100"/>
        </w:rPr>
        <w:t>》</w:t>
      </w:r>
      <w:r>
        <w:rPr>
          <w:spacing w:val="-46"/>
          <w:w w:val="100"/>
        </w:rPr>
        <w:t>，</w:t>
      </w:r>
      <w:r>
        <w:rPr>
          <w:spacing w:val="-3"/>
          <w:w w:val="100"/>
        </w:rPr>
        <w:t>公司</w:t>
      </w:r>
      <w:r>
        <w:rPr>
          <w:w w:val="100"/>
        </w:rPr>
        <w:t>限制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w w:val="100"/>
        </w:rPr>
        <w:t>首</w:t>
      </w:r>
      <w:r>
        <w:rPr>
          <w:spacing w:val="-3"/>
          <w:w w:val="100"/>
        </w:rPr>
        <w:t>次</w:t>
      </w:r>
      <w:r>
        <w:rPr>
          <w:w w:val="100"/>
        </w:rPr>
        <w:t>授</w:t>
      </w:r>
      <w:r>
        <w:rPr>
          <w:spacing w:val="-3"/>
          <w:w w:val="100"/>
        </w:rPr>
        <w:t>予</w:t>
      </w:r>
      <w:r>
        <w:rPr>
          <w:w w:val="100"/>
        </w:rPr>
        <w:t>的</w:t>
      </w:r>
      <w:r>
        <w:rPr>
          <w:spacing w:val="-53"/>
        </w:rPr>
        <w:t> </w:t>
      </w:r>
      <w:r>
        <w:rPr>
          <w:rFonts w:ascii="Times New Roman" w:hAnsi="Times New Roman" w:cs="Times New Roman" w:eastAsia="Times New Roman" w:hint="default"/>
          <w:w w:val="100"/>
        </w:rPr>
        <w:t>168</w:t>
      </w:r>
      <w:r>
        <w:rPr>
          <w:rFonts w:ascii="Times New Roman" w:hAnsi="Times New Roman" w:cs="Times New Roman" w:eastAsia="Times New Roman" w:hint="default"/>
          <w:spacing w:val="-3"/>
        </w:rPr>
        <w:t> </w:t>
      </w:r>
      <w:r>
        <w:rPr>
          <w:w w:val="100"/>
        </w:rPr>
        <w:t>位</w:t>
      </w:r>
      <w:r>
        <w:rPr>
          <w:spacing w:val="-3"/>
          <w:w w:val="100"/>
        </w:rPr>
        <w:t>激</w:t>
      </w:r>
      <w:r>
        <w:rPr>
          <w:w w:val="100"/>
        </w:rPr>
        <w:t>励</w:t>
      </w:r>
      <w:r>
        <w:rPr>
          <w:spacing w:val="-3"/>
          <w:w w:val="100"/>
        </w:rPr>
        <w:t>对</w:t>
      </w:r>
      <w:r>
        <w:rPr>
          <w:w w:val="100"/>
        </w:rPr>
        <w:t>象</w:t>
      </w:r>
      <w:r>
        <w:rPr>
          <w:spacing w:val="-3"/>
          <w:w w:val="100"/>
        </w:rPr>
        <w:t>中</w:t>
      </w:r>
      <w:r>
        <w:rPr>
          <w:spacing w:val="-46"/>
          <w:w w:val="100"/>
        </w:rPr>
        <w:t>，</w:t>
      </w:r>
      <w:r>
        <w:rPr>
          <w:spacing w:val="-3"/>
          <w:w w:val="100"/>
        </w:rPr>
        <w:t>不</w:t>
      </w:r>
      <w:r>
        <w:rPr>
          <w:w w:val="100"/>
        </w:rPr>
        <w:t>符</w:t>
      </w:r>
      <w:r>
        <w:rPr>
          <w:spacing w:val="-3"/>
          <w:w w:val="100"/>
        </w:rPr>
        <w:t>合</w:t>
      </w:r>
      <w:r>
        <w:rPr>
          <w:w w:val="100"/>
        </w:rPr>
        <w:t>第</w:t>
      </w:r>
      <w:r>
        <w:rPr>
          <w:spacing w:val="-3"/>
          <w:w w:val="100"/>
        </w:rPr>
        <w:t>一</w:t>
      </w:r>
      <w:r>
        <w:rPr>
          <w:w w:val="100"/>
        </w:rPr>
        <w:t>个</w:t>
      </w:r>
      <w:r>
        <w:rPr>
          <w:spacing w:val="-3"/>
          <w:w w:val="100"/>
        </w:rPr>
        <w:t>解</w:t>
      </w:r>
      <w:r>
        <w:rPr>
          <w:w w:val="100"/>
        </w:rPr>
        <w:t>锁</w:t>
      </w:r>
    </w:p>
    <w:p>
      <w:pPr>
        <w:pStyle w:val="BodyText"/>
        <w:spacing w:line="240" w:lineRule="auto" w:before="70"/>
        <w:ind w:right="0"/>
        <w:jc w:val="both"/>
      </w:pPr>
      <w:r>
        <w:rPr/>
        <w:t>期解锁条件的</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名激励对象合计持有的</w:t>
      </w:r>
      <w:r>
        <w:rPr>
          <w:spacing w:val="-43"/>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8"/>
        </w:rPr>
        <w:t> </w:t>
      </w:r>
      <w:r>
        <w:rPr>
          <w:spacing w:val="-4"/>
        </w:rPr>
        <w:t>股限制性股票，已全部过户至公司回购专用证券</w:t>
      </w:r>
    </w:p>
    <w:p>
      <w:pPr>
        <w:pStyle w:val="BodyText"/>
        <w:spacing w:line="240" w:lineRule="auto" w:before="69"/>
        <w:ind w:right="0"/>
        <w:jc w:val="both"/>
      </w:pPr>
      <w:r>
        <w:rPr>
          <w:spacing w:val="-3"/>
        </w:rPr>
        <w:t>账户。公司已于</w:t>
      </w:r>
      <w:r>
        <w:rPr>
          <w:spacing w:val="-50"/>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日注销上述回购股份</w:t>
      </w:r>
      <w:r>
        <w:rPr>
          <w:spacing w:val="-50"/>
        </w:rPr>
        <w:t> </w:t>
      </w:r>
      <w:r>
        <w:rPr>
          <w:rFonts w:ascii="Times New Roman" w:hAnsi="Times New Roman" w:cs="Times New Roman" w:eastAsia="Times New Roman" w:hint="default"/>
        </w:rPr>
        <w:t>258,720 </w:t>
      </w:r>
      <w:r>
        <w:rPr>
          <w:spacing w:val="-3"/>
        </w:rPr>
        <w:t>股。本次注销完成后，公司总股本</w:t>
      </w:r>
    </w:p>
    <w:p>
      <w:pPr>
        <w:pStyle w:val="BodyText"/>
        <w:spacing w:line="240" w:lineRule="auto" w:before="69"/>
        <w:ind w:right="0"/>
        <w:jc w:val="both"/>
      </w:pPr>
      <w:r>
        <w:rPr/>
        <w:t>由</w:t>
      </w:r>
      <w:r>
        <w:rPr>
          <w:spacing w:val="-54"/>
        </w:rPr>
        <w:t> </w:t>
      </w:r>
      <w:r>
        <w:rPr>
          <w:rFonts w:ascii="Times New Roman" w:hAnsi="Times New Roman" w:cs="Times New Roman" w:eastAsia="Times New Roman" w:hint="default"/>
        </w:rPr>
        <w:t>407,356,520</w:t>
      </w:r>
      <w:r>
        <w:rPr>
          <w:rFonts w:ascii="Times New Roman" w:hAnsi="Times New Roman" w:cs="Times New Roman" w:eastAsia="Times New Roman" w:hint="default"/>
          <w:spacing w:val="-4"/>
        </w:rPr>
        <w:t> </w:t>
      </w:r>
      <w:r>
        <w:rPr/>
        <w:t>股变更为</w:t>
      </w:r>
      <w:r>
        <w:rPr>
          <w:spacing w:val="-56"/>
        </w:rPr>
        <w:t> </w:t>
      </w:r>
      <w:r>
        <w:rPr>
          <w:rFonts w:ascii="Times New Roman" w:hAnsi="Times New Roman" w:cs="Times New Roman" w:eastAsia="Times New Roman" w:hint="default"/>
        </w:rPr>
        <w:t>407,097,800</w:t>
      </w:r>
      <w:r>
        <w:rPr>
          <w:rFonts w:ascii="Times New Roman" w:hAnsi="Times New Roman" w:cs="Times New Roman" w:eastAsia="Times New Roman" w:hint="default"/>
          <w:spacing w:val="-4"/>
        </w:rPr>
        <w:t> </w:t>
      </w:r>
      <w:r>
        <w:rPr/>
        <w:t>股，注册资本由</w:t>
      </w:r>
      <w:r>
        <w:rPr>
          <w:spacing w:val="-54"/>
        </w:rPr>
        <w:t> </w:t>
      </w:r>
      <w:r>
        <w:rPr>
          <w:rFonts w:ascii="Times New Roman" w:hAnsi="Times New Roman" w:cs="Times New Roman" w:eastAsia="Times New Roman" w:hint="default"/>
        </w:rPr>
        <w:t>407,356,520.00</w:t>
      </w:r>
      <w:r>
        <w:rPr>
          <w:rFonts w:ascii="Times New Roman" w:hAnsi="Times New Roman" w:cs="Times New Roman" w:eastAsia="Times New Roman" w:hint="default"/>
          <w:spacing w:val="-1"/>
        </w:rPr>
        <w:t> </w:t>
      </w:r>
      <w:r>
        <w:rPr/>
        <w:t>元更为</w:t>
      </w:r>
      <w:r>
        <w:rPr>
          <w:spacing w:val="-56"/>
        </w:rPr>
        <w:t> </w:t>
      </w:r>
      <w:r>
        <w:rPr>
          <w:rFonts w:ascii="Times New Roman" w:hAnsi="Times New Roman" w:cs="Times New Roman" w:eastAsia="Times New Roman" w:hint="default"/>
        </w:rPr>
        <w:t>407,097,800.00</w:t>
      </w:r>
      <w:r>
        <w:rPr>
          <w:rFonts w:ascii="Times New Roman" w:hAnsi="Times New Roman" w:cs="Times New Roman" w:eastAsia="Times New Roman" w:hint="default"/>
          <w:spacing w:val="-1"/>
        </w:rPr>
        <w:t> </w:t>
      </w:r>
      <w:r>
        <w:rPr/>
        <w:t>元。</w:t>
      </w:r>
    </w:p>
    <w:p>
      <w:pPr>
        <w:pStyle w:val="BodyText"/>
        <w:spacing w:line="285" w:lineRule="auto" w:before="69"/>
        <w:ind w:right="227" w:firstLine="419"/>
        <w:jc w:val="both"/>
      </w:pPr>
      <w:r>
        <w:rPr/>
        <w:t>经中国证券监督管理委员会“证监许可</w:t>
      </w:r>
      <w:r>
        <w:rPr>
          <w:rFonts w:ascii="Calibri" w:hAnsi="Calibri" w:cs="Calibri" w:eastAsia="Calibri" w:hint="default"/>
        </w:rPr>
        <w:t>[2017]2382</w:t>
      </w:r>
      <w:r>
        <w:rPr>
          <w:rFonts w:ascii="Calibri" w:hAnsi="Calibri" w:cs="Calibri" w:eastAsia="Calibri" w:hint="default"/>
          <w:spacing w:val="26"/>
        </w:rPr>
        <w:t> </w:t>
      </w:r>
      <w:r>
        <w:rPr/>
        <w:t>号”核准，并经上海证券交易所同意，公</w:t>
      </w:r>
      <w:r>
        <w:rPr>
          <w:w w:val="100"/>
        </w:rPr>
        <w:t> </w:t>
      </w:r>
      <w:r>
        <w:rPr/>
        <w:t>司以股权登记日</w:t>
      </w:r>
      <w:r>
        <w:rPr>
          <w:spacing w:val="-53"/>
        </w:rPr>
        <w:t> </w:t>
      </w:r>
      <w:r>
        <w:rPr>
          <w:rFonts w:ascii="Calibri" w:hAnsi="Calibri" w:cs="Calibri" w:eastAsia="Calibri" w:hint="default"/>
        </w:rPr>
        <w:t>2018</w:t>
      </w:r>
      <w:r>
        <w:rPr>
          <w:rFonts w:ascii="Calibri" w:hAnsi="Calibri" w:cs="Calibri" w:eastAsia="Calibri" w:hint="default"/>
          <w:spacing w:val="4"/>
        </w:rPr>
        <w:t> </w:t>
      </w:r>
      <w:r>
        <w:rPr/>
        <w:t>年</w:t>
      </w:r>
      <w:r>
        <w:rPr>
          <w:spacing w:val="-52"/>
        </w:rPr>
        <w:t> </w:t>
      </w:r>
      <w:r>
        <w:rPr>
          <w:rFonts w:ascii="Calibri" w:hAnsi="Calibri" w:cs="Calibri" w:eastAsia="Calibri" w:hint="default"/>
        </w:rPr>
        <w:t>3</w:t>
      </w:r>
      <w:r>
        <w:rPr>
          <w:rFonts w:ascii="Calibri" w:hAnsi="Calibri" w:cs="Calibri" w:eastAsia="Calibri" w:hint="default"/>
          <w:spacing w:val="4"/>
        </w:rPr>
        <w:t> </w:t>
      </w:r>
      <w:r>
        <w:rPr/>
        <w:t>月</w:t>
      </w:r>
      <w:r>
        <w:rPr>
          <w:spacing w:val="-52"/>
        </w:rPr>
        <w:t> </w:t>
      </w:r>
      <w:r>
        <w:rPr>
          <w:rFonts w:ascii="Calibri" w:hAnsi="Calibri" w:cs="Calibri" w:eastAsia="Calibri" w:hint="default"/>
        </w:rPr>
        <w:t>12</w:t>
      </w:r>
      <w:r>
        <w:rPr>
          <w:rFonts w:ascii="Calibri" w:hAnsi="Calibri" w:cs="Calibri" w:eastAsia="Calibri" w:hint="default"/>
          <w:spacing w:val="6"/>
        </w:rPr>
        <w:t> </w:t>
      </w:r>
      <w:r>
        <w:rPr/>
        <w:t>日总股本</w:t>
      </w:r>
      <w:r>
        <w:rPr>
          <w:spacing w:val="-55"/>
        </w:rPr>
        <w:t> </w:t>
      </w:r>
      <w:r>
        <w:rPr>
          <w:rFonts w:ascii="Calibri" w:hAnsi="Calibri" w:cs="Calibri" w:eastAsia="Calibri" w:hint="default"/>
        </w:rPr>
        <w:t>407,097,800</w:t>
      </w:r>
      <w:r>
        <w:rPr>
          <w:rFonts w:ascii="Calibri" w:hAnsi="Calibri" w:cs="Calibri" w:eastAsia="Calibri" w:hint="default"/>
          <w:spacing w:val="8"/>
        </w:rPr>
        <w:t> </w:t>
      </w:r>
      <w:r>
        <w:rPr/>
        <w:t>股为基数，按每</w:t>
      </w:r>
      <w:r>
        <w:rPr>
          <w:spacing w:val="-55"/>
        </w:rPr>
        <w:t> </w:t>
      </w:r>
      <w:r>
        <w:rPr>
          <w:rFonts w:ascii="Calibri" w:hAnsi="Calibri" w:cs="Calibri" w:eastAsia="Calibri" w:hint="default"/>
        </w:rPr>
        <w:t>10</w:t>
      </w:r>
      <w:r>
        <w:rPr>
          <w:rFonts w:ascii="Calibri" w:hAnsi="Calibri" w:cs="Calibri" w:eastAsia="Calibri" w:hint="default"/>
          <w:spacing w:val="6"/>
        </w:rPr>
        <w:t> </w:t>
      </w:r>
      <w:r>
        <w:rPr/>
        <w:t>股配售</w:t>
      </w:r>
      <w:r>
        <w:rPr>
          <w:spacing w:val="-52"/>
        </w:rPr>
        <w:t> </w:t>
      </w:r>
      <w:r>
        <w:rPr>
          <w:rFonts w:ascii="Calibri" w:hAnsi="Calibri" w:cs="Calibri" w:eastAsia="Calibri" w:hint="default"/>
        </w:rPr>
        <w:t>2.99803</w:t>
      </w:r>
      <w:r>
        <w:rPr>
          <w:rFonts w:ascii="Calibri" w:hAnsi="Calibri" w:cs="Calibri" w:eastAsia="Calibri" w:hint="default"/>
          <w:spacing w:val="5"/>
        </w:rPr>
        <w:t> </w:t>
      </w:r>
      <w:r>
        <w:rPr/>
        <w:t>股的比</w:t>
      </w:r>
      <w:r>
        <w:rPr>
          <w:w w:val="100"/>
        </w:rPr>
        <w:t> </w:t>
      </w:r>
      <w:r>
        <w:rPr/>
        <w:t>例向全体股东配售</w:t>
      </w:r>
      <w:r>
        <w:rPr>
          <w:spacing w:val="-51"/>
        </w:rPr>
        <w:t> </w:t>
      </w:r>
      <w:r>
        <w:rPr>
          <w:rFonts w:ascii="Calibri" w:hAnsi="Calibri" w:cs="Calibri" w:eastAsia="Calibri" w:hint="default"/>
        </w:rPr>
        <w:t>A</w:t>
      </w:r>
      <w:r>
        <w:rPr>
          <w:rFonts w:ascii="Calibri" w:hAnsi="Calibri" w:cs="Calibri" w:eastAsia="Calibri" w:hint="default"/>
          <w:spacing w:val="9"/>
        </w:rPr>
        <w:t> </w:t>
      </w:r>
      <w:r>
        <w:rPr>
          <w:spacing w:val="-3"/>
        </w:rPr>
        <w:t>股股份，可配售股份总数为</w:t>
      </w:r>
      <w:r>
        <w:rPr>
          <w:spacing w:val="-51"/>
        </w:rPr>
        <w:t> </w:t>
      </w:r>
      <w:r>
        <w:rPr>
          <w:rFonts w:ascii="Calibri" w:hAnsi="Calibri" w:cs="Calibri" w:eastAsia="Calibri" w:hint="default"/>
        </w:rPr>
        <w:t>122,049,456</w:t>
      </w:r>
      <w:r>
        <w:rPr>
          <w:rFonts w:ascii="Calibri" w:hAnsi="Calibri" w:cs="Calibri" w:eastAsia="Calibri" w:hint="default"/>
          <w:spacing w:val="11"/>
        </w:rPr>
        <w:t> </w:t>
      </w:r>
      <w:r>
        <w:rPr>
          <w:spacing w:val="-4"/>
        </w:rPr>
        <w:t>股，实际配售</w:t>
      </w:r>
      <w:r>
        <w:rPr>
          <w:spacing w:val="-51"/>
        </w:rPr>
        <w:t> </w:t>
      </w:r>
      <w:r>
        <w:rPr>
          <w:rFonts w:ascii="Calibri" w:hAnsi="Calibri" w:cs="Calibri" w:eastAsia="Calibri" w:hint="default"/>
        </w:rPr>
        <w:t>120,159,152</w:t>
      </w:r>
      <w:r>
        <w:rPr>
          <w:rFonts w:ascii="Calibri" w:hAnsi="Calibri" w:cs="Calibri" w:eastAsia="Calibri" w:hint="default"/>
          <w:spacing w:val="11"/>
        </w:rPr>
        <w:t> </w:t>
      </w:r>
      <w:r>
        <w:rPr>
          <w:spacing w:val="-4"/>
        </w:rPr>
        <w:t>股。本次</w:t>
      </w:r>
      <w:r>
        <w:rPr>
          <w:spacing w:val="-103"/>
        </w:rPr>
        <w:t> </w:t>
      </w:r>
      <w:r>
        <w:rPr>
          <w:spacing w:val="-103"/>
        </w:rPr>
      </w:r>
      <w:r>
        <w:rPr/>
        <w:t>配股发行已于</w:t>
      </w:r>
      <w:r>
        <w:rPr>
          <w:spacing w:val="-56"/>
        </w:rPr>
        <w:t> </w:t>
      </w:r>
      <w:r>
        <w:rPr>
          <w:rFonts w:ascii="Calibri" w:hAnsi="Calibri" w:cs="Calibri" w:eastAsia="Calibri" w:hint="default"/>
        </w:rPr>
        <w:t>2018</w:t>
      </w:r>
      <w:r>
        <w:rPr>
          <w:rFonts w:ascii="Calibri" w:hAnsi="Calibri" w:cs="Calibri" w:eastAsia="Calibri" w:hint="default"/>
          <w:spacing w:val="3"/>
        </w:rPr>
        <w:t> </w:t>
      </w:r>
      <w:r>
        <w:rPr/>
        <w:t>年</w:t>
      </w:r>
      <w:r>
        <w:rPr>
          <w:spacing w:val="-53"/>
        </w:rPr>
        <w:t> </w:t>
      </w:r>
      <w:r>
        <w:rPr>
          <w:rFonts w:ascii="Calibri" w:hAnsi="Calibri" w:cs="Calibri" w:eastAsia="Calibri" w:hint="default"/>
        </w:rPr>
        <w:t>3</w:t>
      </w:r>
      <w:r>
        <w:rPr>
          <w:rFonts w:ascii="Calibri" w:hAnsi="Calibri" w:cs="Calibri" w:eastAsia="Calibri" w:hint="default"/>
          <w:spacing w:val="2"/>
        </w:rPr>
        <w:t> </w:t>
      </w:r>
      <w:r>
        <w:rPr/>
        <w:t>月</w:t>
      </w:r>
      <w:r>
        <w:rPr>
          <w:spacing w:val="-54"/>
        </w:rPr>
        <w:t> </w:t>
      </w:r>
      <w:r>
        <w:rPr>
          <w:rFonts w:ascii="Calibri" w:hAnsi="Calibri" w:cs="Calibri" w:eastAsia="Calibri" w:hint="default"/>
        </w:rPr>
        <w:t>22</w:t>
      </w:r>
      <w:r>
        <w:rPr>
          <w:rFonts w:ascii="Calibri" w:hAnsi="Calibri" w:cs="Calibri" w:eastAsia="Calibri" w:hint="default"/>
          <w:spacing w:val="5"/>
        </w:rPr>
        <w:t> </w:t>
      </w:r>
      <w:r>
        <w:rPr/>
        <w:t>日在中国证券登记结算有限责任公司上海分公司完成办理股份登记</w:t>
      </w:r>
    </w:p>
    <w:p>
      <w:pPr>
        <w:pStyle w:val="BodyText"/>
        <w:spacing w:line="240" w:lineRule="auto" w:before="9"/>
        <w:ind w:right="0"/>
        <w:jc w:val="both"/>
        <w:rPr>
          <w:rFonts w:ascii="Calibri" w:hAnsi="Calibri" w:cs="Calibri" w:eastAsia="Calibri" w:hint="default"/>
        </w:rPr>
      </w:pPr>
      <w:r>
        <w:rPr>
          <w:w w:val="100"/>
        </w:rPr>
        <w:t>托管</w:t>
      </w:r>
      <w:r>
        <w:rPr>
          <w:spacing w:val="-3"/>
          <w:w w:val="100"/>
        </w:rPr>
        <w:t>手</w:t>
      </w:r>
      <w:r>
        <w:rPr>
          <w:w w:val="100"/>
        </w:rPr>
        <w:t>续</w:t>
      </w:r>
      <w:r>
        <w:rPr>
          <w:spacing w:val="-108"/>
          <w:w w:val="100"/>
        </w:rPr>
        <w:t>。</w:t>
      </w:r>
      <w:r>
        <w:rPr>
          <w:w w:val="100"/>
        </w:rPr>
        <w:t>本</w:t>
      </w:r>
      <w:r>
        <w:rPr>
          <w:spacing w:val="-3"/>
          <w:w w:val="100"/>
        </w:rPr>
        <w:t>次</w:t>
      </w:r>
      <w:r>
        <w:rPr>
          <w:w w:val="100"/>
        </w:rPr>
        <w:t>配</w:t>
      </w:r>
      <w:r>
        <w:rPr>
          <w:spacing w:val="-3"/>
          <w:w w:val="100"/>
        </w:rPr>
        <w:t>股</w:t>
      </w:r>
      <w:r>
        <w:rPr>
          <w:w w:val="100"/>
        </w:rPr>
        <w:t>发</w:t>
      </w:r>
      <w:r>
        <w:rPr>
          <w:spacing w:val="-3"/>
          <w:w w:val="100"/>
        </w:rPr>
        <w:t>行完</w:t>
      </w:r>
      <w:r>
        <w:rPr>
          <w:w w:val="100"/>
        </w:rPr>
        <w:t>成后</w:t>
      </w:r>
      <w:r>
        <w:rPr>
          <w:spacing w:val="-108"/>
          <w:w w:val="100"/>
        </w:rPr>
        <w:t>，</w:t>
      </w:r>
      <w:r>
        <w:rPr>
          <w:w w:val="100"/>
        </w:rPr>
        <w:t>公</w:t>
      </w:r>
      <w:r>
        <w:rPr>
          <w:spacing w:val="-3"/>
          <w:w w:val="100"/>
        </w:rPr>
        <w:t>司</w:t>
      </w:r>
      <w:r>
        <w:rPr>
          <w:w w:val="100"/>
        </w:rPr>
        <w:t>新</w:t>
      </w:r>
      <w:r>
        <w:rPr>
          <w:spacing w:val="-3"/>
          <w:w w:val="100"/>
        </w:rPr>
        <w:t>增</w:t>
      </w:r>
      <w:r>
        <w:rPr>
          <w:w w:val="100"/>
        </w:rPr>
        <w:t>股</w:t>
      </w:r>
      <w:r>
        <w:rPr>
          <w:spacing w:val="-3"/>
          <w:w w:val="100"/>
        </w:rPr>
        <w:t>份</w:t>
      </w:r>
      <w:r>
        <w:rPr>
          <w:w w:val="100"/>
        </w:rPr>
        <w:t>数</w:t>
      </w:r>
      <w:r>
        <w:rPr>
          <w:spacing w:val="-75"/>
        </w:rPr>
        <w:t> </w:t>
      </w:r>
      <w:r>
        <w:rPr>
          <w:rFonts w:ascii="Calibri" w:hAnsi="Calibri" w:cs="Calibri" w:eastAsia="Calibri" w:hint="default"/>
          <w:spacing w:val="-2"/>
          <w:w w:val="100"/>
        </w:rPr>
        <w:t>12</w:t>
      </w:r>
      <w:r>
        <w:rPr>
          <w:rFonts w:ascii="Calibri" w:hAnsi="Calibri" w:cs="Calibri" w:eastAsia="Calibri" w:hint="default"/>
          <w:w w:val="100"/>
        </w:rPr>
        <w:t>0</w:t>
      </w:r>
      <w:r>
        <w:rPr>
          <w:rFonts w:ascii="Calibri" w:hAnsi="Calibri" w:cs="Calibri" w:eastAsia="Calibri" w:hint="default"/>
          <w:spacing w:val="-3"/>
          <w:w w:val="100"/>
        </w:rPr>
        <w:t>,</w:t>
      </w:r>
      <w:r>
        <w:rPr>
          <w:rFonts w:ascii="Calibri" w:hAnsi="Calibri" w:cs="Calibri" w:eastAsia="Calibri" w:hint="default"/>
          <w:w w:val="100"/>
        </w:rPr>
        <w:t>1</w:t>
      </w:r>
      <w:r>
        <w:rPr>
          <w:rFonts w:ascii="Calibri" w:hAnsi="Calibri" w:cs="Calibri" w:eastAsia="Calibri" w:hint="default"/>
          <w:spacing w:val="-2"/>
          <w:w w:val="100"/>
        </w:rPr>
        <w:t>5</w:t>
      </w:r>
      <w:r>
        <w:rPr>
          <w:rFonts w:ascii="Calibri" w:hAnsi="Calibri" w:cs="Calibri" w:eastAsia="Calibri" w:hint="default"/>
          <w:w w:val="100"/>
        </w:rPr>
        <w:t>9</w:t>
      </w:r>
      <w:r>
        <w:rPr>
          <w:rFonts w:ascii="Calibri" w:hAnsi="Calibri" w:cs="Calibri" w:eastAsia="Calibri" w:hint="default"/>
          <w:spacing w:val="-3"/>
          <w:w w:val="100"/>
        </w:rPr>
        <w:t>,</w:t>
      </w:r>
      <w:r>
        <w:rPr>
          <w:rFonts w:ascii="Calibri" w:hAnsi="Calibri" w:cs="Calibri" w:eastAsia="Calibri" w:hint="default"/>
          <w:w w:val="100"/>
        </w:rPr>
        <w:t>1</w:t>
      </w:r>
      <w:r>
        <w:rPr>
          <w:rFonts w:ascii="Calibri" w:hAnsi="Calibri" w:cs="Calibri" w:eastAsia="Calibri" w:hint="default"/>
          <w:spacing w:val="-2"/>
          <w:w w:val="100"/>
        </w:rPr>
        <w:t>5</w:t>
      </w:r>
      <w:r>
        <w:rPr>
          <w:rFonts w:ascii="Calibri" w:hAnsi="Calibri" w:cs="Calibri" w:eastAsia="Calibri" w:hint="default"/>
          <w:w w:val="100"/>
        </w:rPr>
        <w:t>2</w:t>
      </w:r>
      <w:r>
        <w:rPr>
          <w:rFonts w:ascii="Calibri" w:hAnsi="Calibri" w:cs="Calibri" w:eastAsia="Calibri" w:hint="default"/>
          <w:spacing w:val="-17"/>
        </w:rPr>
        <w:t> </w:t>
      </w:r>
      <w:r>
        <w:rPr>
          <w:w w:val="100"/>
        </w:rPr>
        <w:t>股</w:t>
      </w:r>
      <w:r>
        <w:rPr>
          <w:spacing w:val="-106"/>
          <w:w w:val="100"/>
        </w:rPr>
        <w:t>，</w:t>
      </w:r>
      <w:r>
        <w:rPr>
          <w:spacing w:val="-3"/>
          <w:w w:val="100"/>
        </w:rPr>
        <w:t>变</w:t>
      </w:r>
      <w:r>
        <w:rPr>
          <w:w w:val="100"/>
        </w:rPr>
        <w:t>更</w:t>
      </w:r>
      <w:r>
        <w:rPr>
          <w:spacing w:val="-3"/>
          <w:w w:val="100"/>
        </w:rPr>
        <w:t>后</w:t>
      </w:r>
      <w:r>
        <w:rPr>
          <w:w w:val="100"/>
        </w:rPr>
        <w:t>的</w:t>
      </w:r>
      <w:r>
        <w:rPr>
          <w:spacing w:val="-3"/>
          <w:w w:val="100"/>
        </w:rPr>
        <w:t>股本</w:t>
      </w:r>
      <w:r>
        <w:rPr>
          <w:w w:val="100"/>
        </w:rPr>
        <w:t>总</w:t>
      </w:r>
      <w:r>
        <w:rPr>
          <w:spacing w:val="-3"/>
          <w:w w:val="100"/>
        </w:rPr>
        <w:t>数</w:t>
      </w:r>
      <w:r>
        <w:rPr>
          <w:w w:val="100"/>
        </w:rPr>
        <w:t>为</w:t>
      </w:r>
      <w:r>
        <w:rPr>
          <w:spacing w:val="-74"/>
        </w:rPr>
        <w:t> </w:t>
      </w:r>
      <w:r>
        <w:rPr>
          <w:rFonts w:ascii="Calibri" w:hAnsi="Calibri" w:cs="Calibri" w:eastAsia="Calibri" w:hint="default"/>
          <w:spacing w:val="-2"/>
          <w:w w:val="100"/>
        </w:rPr>
        <w:t>52</w:t>
      </w:r>
      <w:r>
        <w:rPr>
          <w:rFonts w:ascii="Calibri" w:hAnsi="Calibri" w:cs="Calibri" w:eastAsia="Calibri" w:hint="default"/>
          <w:w w:val="100"/>
        </w:rPr>
        <w:t>7,</w:t>
      </w:r>
      <w:r>
        <w:rPr>
          <w:rFonts w:ascii="Calibri" w:hAnsi="Calibri" w:cs="Calibri" w:eastAsia="Calibri" w:hint="default"/>
          <w:spacing w:val="-2"/>
          <w:w w:val="100"/>
        </w:rPr>
        <w:t>25</w:t>
      </w:r>
      <w:r>
        <w:rPr>
          <w:rFonts w:ascii="Calibri" w:hAnsi="Calibri" w:cs="Calibri" w:eastAsia="Calibri" w:hint="default"/>
          <w:w w:val="100"/>
        </w:rPr>
        <w:t>6,</w:t>
      </w:r>
      <w:r>
        <w:rPr>
          <w:rFonts w:ascii="Calibri" w:hAnsi="Calibri" w:cs="Calibri" w:eastAsia="Calibri" w:hint="default"/>
          <w:spacing w:val="-2"/>
          <w:w w:val="100"/>
        </w:rPr>
        <w:t>95</w:t>
      </w:r>
      <w:r>
        <w:rPr>
          <w:rFonts w:ascii="Calibri" w:hAnsi="Calibri" w:cs="Calibri" w:eastAsia="Calibri" w:hint="default"/>
          <w:w w:val="100"/>
        </w:rPr>
        <w:t>2</w:t>
      </w:r>
    </w:p>
    <w:p>
      <w:pPr>
        <w:pStyle w:val="BodyText"/>
        <w:spacing w:line="240" w:lineRule="auto" w:before="58"/>
        <w:ind w:right="0"/>
        <w:jc w:val="both"/>
      </w:pPr>
      <w:r>
        <w:rPr/>
        <w:t>股；新增注册资本人民币</w:t>
      </w:r>
      <w:r>
        <w:rPr>
          <w:spacing w:val="-58"/>
        </w:rPr>
        <w:t> </w:t>
      </w:r>
      <w:r>
        <w:rPr>
          <w:rFonts w:ascii="Calibri" w:hAnsi="Calibri" w:cs="Calibri" w:eastAsia="Calibri" w:hint="default"/>
        </w:rPr>
        <w:t>120,159,152</w:t>
      </w:r>
      <w:r>
        <w:rPr>
          <w:rFonts w:ascii="Calibri" w:hAnsi="Calibri" w:cs="Calibri" w:eastAsia="Calibri" w:hint="default"/>
          <w:spacing w:val="2"/>
        </w:rPr>
        <w:t> </w:t>
      </w:r>
      <w:r>
        <w:rPr/>
        <w:t>元，变更后的注册资本为人民币</w:t>
      </w:r>
      <w:r>
        <w:rPr>
          <w:spacing w:val="-58"/>
        </w:rPr>
        <w:t> </w:t>
      </w:r>
      <w:r>
        <w:rPr>
          <w:rFonts w:ascii="Calibri" w:hAnsi="Calibri" w:cs="Calibri" w:eastAsia="Calibri" w:hint="default"/>
        </w:rPr>
        <w:t>527,256,952</w:t>
      </w:r>
      <w:r>
        <w:rPr>
          <w:rFonts w:ascii="Calibri" w:hAnsi="Calibri" w:cs="Calibri" w:eastAsia="Calibri" w:hint="default"/>
          <w:spacing w:val="2"/>
        </w:rPr>
        <w:t> </w:t>
      </w:r>
      <w:r>
        <w:rPr/>
        <w:t>元。</w:t>
      </w:r>
    </w:p>
    <w:p>
      <w:pPr>
        <w:spacing w:line="240" w:lineRule="auto" w:before="9"/>
        <w:rPr>
          <w:rFonts w:ascii="宋体" w:hAnsi="宋体" w:cs="宋体" w:eastAsia="宋体" w:hint="default"/>
          <w:sz w:val="28"/>
          <w:szCs w:val="28"/>
        </w:rPr>
      </w:pPr>
    </w:p>
    <w:p>
      <w:pPr>
        <w:pStyle w:val="Heading3"/>
        <w:spacing w:line="240" w:lineRule="auto"/>
        <w:ind w:right="0"/>
        <w:jc w:val="both"/>
        <w:rPr>
          <w:b w:val="0"/>
          <w:bCs w:val="0"/>
        </w:rPr>
      </w:pPr>
      <w:r>
        <w:rPr>
          <w:rFonts w:ascii="Times New Roman" w:hAnsi="Times New Roman" w:cs="Times New Roman" w:eastAsia="Times New Roman" w:hint="default"/>
        </w:rPr>
        <w:t>3</w:t>
      </w:r>
      <w:r>
        <w:rPr/>
        <w:t>、普通股股份变动对最近一年和最近一期每股收益、每股净资产等财务指标的影响（如有）</w:t>
      </w:r>
      <w:r>
        <w:rPr>
          <w:b w:val="0"/>
          <w:bCs w:val="0"/>
        </w:rPr>
      </w:r>
    </w:p>
    <w:p>
      <w:pPr>
        <w:pStyle w:val="BodyText"/>
        <w:spacing w:line="240" w:lineRule="auto" w:before="81"/>
        <w:ind w:right="0"/>
        <w:jc w:val="both"/>
      </w:pPr>
      <w:r>
        <w:rPr/>
        <w:t>√适用  </w:t>
      </w:r>
      <w:r>
        <w:rPr>
          <w:spacing w:val="1"/>
        </w:rPr>
        <w:t> </w:t>
      </w:r>
      <w:r>
        <w:rPr/>
        <w:t>□不适用</w:t>
      </w:r>
    </w:p>
    <w:p>
      <w:pPr>
        <w:pStyle w:val="BodyText"/>
        <w:spacing w:line="240" w:lineRule="auto" w:before="92"/>
        <w:ind w:left="638" w:right="123"/>
        <w:jc w:val="left"/>
      </w:pPr>
      <w:r>
        <w:rPr>
          <w:spacing w:val="3"/>
        </w:rPr>
        <w:t>本报告期，公司通过转增股本增加 </w:t>
      </w:r>
      <w:r>
        <w:rPr>
          <w:rFonts w:ascii="Times New Roman" w:hAnsi="Times New Roman" w:cs="Times New Roman" w:eastAsia="Times New Roman" w:hint="default"/>
        </w:rPr>
        <w:t>305,123,640  </w:t>
      </w:r>
      <w:r>
        <w:rPr>
          <w:rFonts w:ascii="Times New Roman" w:hAnsi="Times New Roman" w:cs="Times New Roman" w:eastAsia="Times New Roman" w:hint="default"/>
          <w:spacing w:val="42"/>
        </w:rPr>
        <w:t> </w:t>
      </w:r>
      <w:r>
        <w:rPr>
          <w:spacing w:val="3"/>
        </w:rPr>
        <w:t>股，通过股权激励预留部分授予新增股份</w:t>
      </w:r>
    </w:p>
    <w:p>
      <w:pPr>
        <w:pStyle w:val="BodyText"/>
        <w:spacing w:line="240" w:lineRule="auto" w:before="69"/>
        <w:ind w:right="0"/>
        <w:jc w:val="both"/>
      </w:pPr>
      <w:r>
        <w:rPr>
          <w:rFonts w:ascii="Times New Roman" w:hAnsi="Times New Roman" w:cs="Times New Roman" w:eastAsia="Times New Roman" w:hint="default"/>
        </w:rPr>
        <w:t>525,000</w:t>
      </w:r>
      <w:r>
        <w:rPr>
          <w:rFonts w:ascii="Times New Roman" w:hAnsi="Times New Roman" w:cs="Times New Roman" w:eastAsia="Times New Roman" w:hint="default"/>
          <w:spacing w:val="9"/>
        </w:rPr>
        <w:t> </w:t>
      </w:r>
      <w:r>
        <w:rPr/>
        <w:t>股，通过股权激励回购注销股份</w:t>
      </w:r>
      <w:r>
        <w:rPr>
          <w:spacing w:val="-41"/>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12"/>
        </w:rPr>
        <w:t> </w:t>
      </w:r>
      <w:r>
        <w:rPr/>
        <w:t>股，变动前公司股本为</w:t>
      </w:r>
      <w:r>
        <w:rPr>
          <w:spacing w:val="-41"/>
        </w:rPr>
        <w:t> </w:t>
      </w:r>
      <w:r>
        <w:rPr>
          <w:rFonts w:ascii="Times New Roman" w:hAnsi="Times New Roman" w:cs="Times New Roman" w:eastAsia="Times New Roman" w:hint="default"/>
        </w:rPr>
        <w:t>101,707,880</w:t>
      </w:r>
      <w:r>
        <w:rPr>
          <w:rFonts w:ascii="Times New Roman" w:hAnsi="Times New Roman" w:cs="Times New Roman" w:eastAsia="Times New Roman" w:hint="default"/>
          <w:spacing w:val="10"/>
        </w:rPr>
        <w:t> </w:t>
      </w:r>
      <w:r>
        <w:rPr/>
        <w:t>股，本次发</w:t>
      </w:r>
    </w:p>
    <w:p>
      <w:pPr>
        <w:pStyle w:val="BodyText"/>
        <w:spacing w:line="297" w:lineRule="auto" w:before="69"/>
        <w:ind w:right="227"/>
        <w:jc w:val="left"/>
      </w:pPr>
      <w:r>
        <w:rPr/>
        <w:t>行后，公司股本变更为</w:t>
      </w:r>
      <w:r>
        <w:rPr>
          <w:spacing w:val="-52"/>
        </w:rPr>
        <w:t> </w:t>
      </w:r>
      <w:r>
        <w:rPr>
          <w:rFonts w:ascii="Times New Roman" w:hAnsi="Times New Roman" w:cs="Times New Roman" w:eastAsia="Times New Roman" w:hint="default"/>
        </w:rPr>
        <w:t>407,097,800 </w:t>
      </w:r>
      <w:r>
        <w:rPr/>
        <w:t>股。上述股本变动致使公司</w:t>
      </w:r>
      <w:r>
        <w:rPr>
          <w:spacing w:val="-52"/>
        </w:rPr>
        <w:t> </w:t>
      </w:r>
      <w:r>
        <w:rPr>
          <w:rFonts w:ascii="Times New Roman" w:hAnsi="Times New Roman" w:cs="Times New Roman" w:eastAsia="Times New Roman" w:hint="default"/>
        </w:rPr>
        <w:t>2017 </w:t>
      </w:r>
      <w:r>
        <w:rPr/>
        <w:t>年度的基本每股收益及每股</w:t>
      </w:r>
      <w:r>
        <w:rPr>
          <w:w w:val="100"/>
        </w:rPr>
        <w:t> </w:t>
      </w:r>
      <w:r>
        <w:rPr>
          <w:spacing w:val="-6"/>
          <w:w w:val="100"/>
        </w:rPr>
        <w:t>净资产等指标被摊薄。具体详见“会计数据和财务指标”。</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4"/>
          <w:pgSz w:w="11910" w:h="16840"/>
          <w:pgMar w:footer="979" w:header="0" w:top="1140" w:bottom="1160" w:left="1580" w:right="1040"/>
          <w:pgNumType w:start="54"/>
        </w:sectPr>
      </w:pPr>
    </w:p>
    <w:p>
      <w:pPr>
        <w:pStyle w:val="Heading3"/>
        <w:spacing w:line="240" w:lineRule="auto" w:before="36"/>
        <w:ind w:right="0"/>
        <w:jc w:val="left"/>
        <w:rPr>
          <w:b w:val="0"/>
          <w:bCs w:val="0"/>
        </w:rPr>
      </w:pPr>
      <w:r>
        <w:rPr>
          <w:rFonts w:ascii="Times New Roman" w:hAnsi="Times New Roman" w:cs="Times New Roman" w:eastAsia="Times New Roman" w:hint="default"/>
          <w:spacing w:val="-1"/>
        </w:rPr>
        <w:t>4</w:t>
      </w:r>
      <w:r>
        <w:rPr>
          <w:spacing w:val="-1"/>
        </w:rPr>
        <w:t>、公司认为必要或证券监管机构要求披露的其他内容</w:t>
      </w:r>
      <w:r>
        <w:rPr>
          <w:b w:val="0"/>
          <w:bCs w:val="0"/>
          <w:spacing w:val="-1"/>
        </w:rPr>
      </w:r>
    </w:p>
    <w:p>
      <w:pPr>
        <w:pStyle w:val="BodyText"/>
        <w:tabs>
          <w:tab w:pos="1163" w:val="left" w:leader="none"/>
        </w:tabs>
        <w:spacing w:line="240" w:lineRule="auto" w:before="82"/>
        <w:ind w:right="0"/>
        <w:jc w:val="left"/>
      </w:pPr>
      <w:r>
        <w:rPr/>
        <w:t>□适用</w:t>
        <w:tab/>
        <w:t>√不适用</w:t>
      </w:r>
    </w:p>
    <w:p>
      <w:pPr>
        <w:pStyle w:val="Heading3"/>
        <w:tabs>
          <w:tab w:pos="784" w:val="left" w:leader="none"/>
        </w:tabs>
        <w:spacing w:line="240" w:lineRule="auto" w:before="97"/>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0"/>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BodyText"/>
        <w:spacing w:line="240" w:lineRule="auto"/>
        <w:ind w:right="0"/>
        <w:jc w:val="left"/>
      </w:pPr>
      <w:r>
        <w:rPr/>
        <w:t>单位</w:t>
      </w:r>
      <w:r>
        <w:rPr>
          <w:rFonts w:ascii="Calibri" w:hAnsi="Calibri" w:cs="Calibri" w:eastAsia="Calibri" w:hint="default"/>
        </w:rPr>
        <w:t>:</w:t>
      </w:r>
      <w:r>
        <w:rPr/>
        <w:t>股</w:t>
      </w:r>
    </w:p>
    <w:p>
      <w:pPr>
        <w:spacing w:after="0" w:line="240" w:lineRule="auto"/>
        <w:jc w:val="left"/>
        <w:sectPr>
          <w:type w:val="continuous"/>
          <w:pgSz w:w="11910" w:h="16840"/>
          <w:pgMar w:top="1580" w:bottom="280" w:left="1580" w:right="1040"/>
          <w:cols w:num="2" w:equalWidth="0">
            <w:col w:w="5175" w:space="2972"/>
            <w:col w:w="1143"/>
          </w:cols>
        </w:sect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068"/>
        <w:gridCol w:w="1275"/>
        <w:gridCol w:w="1277"/>
        <w:gridCol w:w="1551"/>
        <w:gridCol w:w="1294"/>
      </w:tblGrid>
      <w:tr>
        <w:trPr>
          <w:trHeight w:val="63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8"/>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3"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57,404,250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172,212,750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229,617,000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公司股权激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励计划首次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授予对象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1,707,880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2,550,688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4,864,920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4,022,112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股权激励限售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公司股权激</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525,000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525,000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股权激励限售</w:t>
            </w:r>
          </w:p>
        </w:tc>
        <w:tc>
          <w:tcPr>
            <w:tcW w:w="12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10"/>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068"/>
        <w:gridCol w:w="1275"/>
        <w:gridCol w:w="1277"/>
        <w:gridCol w:w="1551"/>
        <w:gridCol w:w="1294"/>
      </w:tblGrid>
      <w:tr>
        <w:trPr>
          <w:trHeight w:val="94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jc w:val="center"/>
              <w:rPr>
                <w:rFonts w:ascii="宋体" w:hAnsi="宋体" w:cs="宋体" w:eastAsia="宋体" w:hint="default"/>
                <w:sz w:val="21"/>
                <w:szCs w:val="21"/>
              </w:rPr>
            </w:pPr>
            <w:r>
              <w:rPr>
                <w:rFonts w:ascii="宋体" w:hAnsi="宋体" w:cs="宋体" w:eastAsia="宋体" w:hint="default"/>
                <w:sz w:val="21"/>
                <w:szCs w:val="21"/>
              </w:rPr>
              <w:t>励计划预留</w:t>
            </w:r>
            <w:r>
              <w:rPr>
                <w:rFonts w:ascii="宋体" w:hAnsi="宋体" w:cs="宋体" w:eastAsia="宋体" w:hint="default"/>
                <w:w w:val="100"/>
                <w:sz w:val="21"/>
                <w:szCs w:val="21"/>
              </w:rPr>
              <w:t> </w:t>
            </w:r>
            <w:r>
              <w:rPr>
                <w:rFonts w:ascii="宋体" w:hAnsi="宋体" w:cs="宋体" w:eastAsia="宋体" w:hint="default"/>
                <w:sz w:val="21"/>
                <w:szCs w:val="21"/>
              </w:rPr>
              <w:t>部分授予对</w:t>
            </w:r>
            <w:r>
              <w:rPr>
                <w:rFonts w:ascii="宋体" w:hAnsi="宋体" w:cs="宋体" w:eastAsia="宋体" w:hint="default"/>
                <w:w w:val="100"/>
                <w:sz w:val="21"/>
                <w:szCs w:val="21"/>
              </w:rPr>
              <w:t> </w:t>
            </w:r>
            <w:r>
              <w:rPr>
                <w:rFonts w:ascii="宋体" w:hAnsi="宋体" w:cs="宋体" w:eastAsia="宋体" w:hint="default"/>
                <w:sz w:val="21"/>
                <w:szCs w:val="21"/>
              </w:rPr>
              <w:t>象</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0" w:right="0"/>
              <w:jc w:val="left"/>
              <w:rPr>
                <w:rFonts w:ascii="Times New Roman" w:hAnsi="Times New Roman" w:cs="Times New Roman" w:eastAsia="Times New Roman" w:hint="default"/>
                <w:sz w:val="21"/>
                <w:szCs w:val="21"/>
              </w:rPr>
            </w:pPr>
            <w:r>
              <w:rPr>
                <w:rFonts w:ascii="Times New Roman"/>
                <w:sz w:val="21"/>
              </w:rPr>
              <w:t>59,112,130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2" w:right="0"/>
              <w:jc w:val="left"/>
              <w:rPr>
                <w:rFonts w:ascii="Times New Roman" w:hAnsi="Times New Roman" w:cs="Times New Roman" w:eastAsia="Times New Roman" w:hint="default"/>
                <w:sz w:val="21"/>
                <w:szCs w:val="21"/>
              </w:rPr>
            </w:pPr>
            <w:r>
              <w:rPr>
                <w:rFonts w:ascii="Times New Roman"/>
                <w:sz w:val="21"/>
              </w:rPr>
              <w:t>2,550,688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177,602,670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2" w:right="0"/>
              <w:jc w:val="left"/>
              <w:rPr>
                <w:rFonts w:ascii="Times New Roman" w:hAnsi="Times New Roman" w:cs="Times New Roman" w:eastAsia="Times New Roman" w:hint="default"/>
                <w:sz w:val="21"/>
                <w:szCs w:val="21"/>
              </w:rPr>
            </w:pPr>
            <w:r>
              <w:rPr>
                <w:rFonts w:ascii="Times New Roman"/>
                <w:sz w:val="21"/>
              </w:rPr>
              <w:t>234,164,112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42"/>
        <w:ind w:left="638" w:right="123"/>
        <w:jc w:val="left"/>
      </w:pPr>
      <w:r>
        <w:rPr/>
        <w:t>注：</w:t>
      </w:r>
      <w:r>
        <w:rPr>
          <w:rFonts w:ascii="Times New Roman" w:hAnsi="Times New Roman" w:cs="Times New Roman" w:eastAsia="Times New Roman" w:hint="default"/>
        </w:rPr>
        <w:t>1</w:t>
      </w:r>
      <w:r>
        <w:rPr/>
        <w:t>、吴志雄先生年初持有公司限售股</w:t>
      </w:r>
      <w:r>
        <w:rPr>
          <w:spacing w:val="-53"/>
        </w:rPr>
        <w:t> </w:t>
      </w:r>
      <w:r>
        <w:rPr>
          <w:rFonts w:ascii="Times New Roman" w:hAnsi="Times New Roman" w:cs="Times New Roman" w:eastAsia="Times New Roman" w:hint="default"/>
        </w:rPr>
        <w:t>57,404,250 </w:t>
      </w:r>
      <w:r>
        <w:rPr/>
        <w:t>股，因公司</w:t>
      </w:r>
      <w:r>
        <w:rPr>
          <w:spacing w:val="-50"/>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7 </w:t>
      </w:r>
      <w:r>
        <w:rPr/>
        <w:t>日公司利润分</w:t>
      </w:r>
    </w:p>
    <w:p>
      <w:pPr>
        <w:pStyle w:val="BodyText"/>
        <w:spacing w:line="240" w:lineRule="auto" w:before="69"/>
        <w:ind w:right="2513"/>
        <w:jc w:val="left"/>
      </w:pPr>
      <w:r>
        <w:rPr/>
        <w:t>配及资本公积转增股本方案实施完毕增加限售股</w:t>
      </w:r>
      <w:r>
        <w:rPr>
          <w:spacing w:val="-55"/>
        </w:rPr>
        <w:t> </w:t>
      </w:r>
      <w:r>
        <w:rPr>
          <w:rFonts w:ascii="Times New Roman" w:hAnsi="Times New Roman" w:cs="Times New Roman" w:eastAsia="Times New Roman" w:hint="default"/>
        </w:rPr>
        <w:t>172,212,750</w:t>
      </w:r>
      <w:r>
        <w:rPr>
          <w:rFonts w:ascii="Times New Roman" w:hAnsi="Times New Roman" w:cs="Times New Roman" w:eastAsia="Times New Roman" w:hint="default"/>
          <w:spacing w:val="-4"/>
        </w:rPr>
        <w:t> </w:t>
      </w:r>
      <w:r>
        <w:rPr/>
        <w:t>股。</w:t>
      </w:r>
    </w:p>
    <w:p>
      <w:pPr>
        <w:pStyle w:val="BodyText"/>
        <w:spacing w:line="240" w:lineRule="auto" w:before="69"/>
        <w:ind w:left="638" w:right="123"/>
        <w:jc w:val="left"/>
      </w:pPr>
      <w:r>
        <w:rPr>
          <w:rFonts w:ascii="Times New Roman" w:hAnsi="Times New Roman" w:cs="Times New Roman" w:eastAsia="Times New Roman" w:hint="default"/>
          <w:w w:val="100"/>
        </w:rPr>
        <w:t>2</w:t>
      </w:r>
      <w:r>
        <w:rPr>
          <w:spacing w:val="-94"/>
          <w:w w:val="100"/>
        </w:rPr>
        <w:t>、</w:t>
      </w:r>
      <w:r>
        <w:rPr>
          <w:w w:val="100"/>
        </w:rPr>
        <w:t>公</w:t>
      </w:r>
      <w:r>
        <w:rPr>
          <w:spacing w:val="-3"/>
          <w:w w:val="100"/>
        </w:rPr>
        <w:t>司</w:t>
      </w:r>
      <w:r>
        <w:rPr>
          <w:w w:val="100"/>
        </w:rPr>
        <w:t>股</w:t>
      </w:r>
      <w:r>
        <w:rPr>
          <w:spacing w:val="-3"/>
          <w:w w:val="100"/>
        </w:rPr>
        <w:t>权</w:t>
      </w:r>
      <w:r>
        <w:rPr>
          <w:w w:val="100"/>
        </w:rPr>
        <w:t>激</w:t>
      </w:r>
      <w:r>
        <w:rPr>
          <w:spacing w:val="-3"/>
          <w:w w:val="100"/>
        </w:rPr>
        <w:t>励</w:t>
      </w:r>
      <w:r>
        <w:rPr>
          <w:w w:val="100"/>
        </w:rPr>
        <w:t>计</w:t>
      </w:r>
      <w:r>
        <w:rPr>
          <w:spacing w:val="-3"/>
          <w:w w:val="100"/>
        </w:rPr>
        <w:t>划</w:t>
      </w:r>
      <w:r>
        <w:rPr>
          <w:w w:val="100"/>
        </w:rPr>
        <w:t>首</w:t>
      </w:r>
      <w:r>
        <w:rPr>
          <w:spacing w:val="-3"/>
          <w:w w:val="100"/>
        </w:rPr>
        <w:t>次</w:t>
      </w:r>
      <w:r>
        <w:rPr>
          <w:w w:val="100"/>
        </w:rPr>
        <w:t>授</w:t>
      </w:r>
      <w:r>
        <w:rPr>
          <w:spacing w:val="-3"/>
          <w:w w:val="100"/>
        </w:rPr>
        <w:t>予</w:t>
      </w:r>
      <w:r>
        <w:rPr>
          <w:w w:val="100"/>
        </w:rPr>
        <w:t>的</w:t>
      </w:r>
      <w:r>
        <w:rPr>
          <w:spacing w:val="-53"/>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7,8</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因</w:t>
      </w:r>
      <w:r>
        <w:rPr>
          <w:spacing w:val="-3"/>
          <w:w w:val="100"/>
        </w:rPr>
        <w:t>公</w:t>
      </w:r>
      <w:r>
        <w:rPr>
          <w:w w:val="100"/>
        </w:rPr>
        <w:t>司</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日</w:t>
      </w:r>
      <w:r>
        <w:rPr>
          <w:w w:val="100"/>
        </w:rPr>
        <w:t>公</w:t>
      </w:r>
      <w:r>
        <w:rPr>
          <w:spacing w:val="-3"/>
          <w:w w:val="100"/>
        </w:rPr>
        <w:t>司利</w:t>
      </w:r>
      <w:r>
        <w:rPr>
          <w:w w:val="100"/>
        </w:rPr>
        <w:t>润分</w:t>
      </w:r>
      <w:r>
        <w:rPr>
          <w:spacing w:val="-3"/>
          <w:w w:val="100"/>
        </w:rPr>
        <w:t>配</w:t>
      </w:r>
      <w:r>
        <w:rPr>
          <w:w w:val="100"/>
        </w:rPr>
        <w:t>及</w:t>
      </w:r>
      <w:r>
        <w:rPr>
          <w:spacing w:val="-3"/>
          <w:w w:val="100"/>
        </w:rPr>
        <w:t>资</w:t>
      </w:r>
      <w:r>
        <w:rPr>
          <w:w w:val="100"/>
        </w:rPr>
        <w:t>本公</w:t>
      </w:r>
    </w:p>
    <w:p>
      <w:pPr>
        <w:pStyle w:val="BodyText"/>
        <w:spacing w:line="240" w:lineRule="auto" w:before="69"/>
        <w:ind w:right="123"/>
        <w:jc w:val="left"/>
      </w:pPr>
      <w:r>
        <w:rPr>
          <w:spacing w:val="-3"/>
        </w:rPr>
        <w:t>积转增股本相应增加；</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0"/>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3"/>
        </w:rPr>
        <w:t>日，公司完成对限制性股票激励计划首次授予的</w:t>
      </w:r>
      <w:r>
        <w:rPr>
          <w:spacing w:val="-42"/>
        </w:rPr>
        <w:t> </w:t>
      </w:r>
      <w:r>
        <w:rPr>
          <w:rFonts w:ascii="Times New Roman" w:hAnsi="Times New Roman" w:cs="Times New Roman" w:eastAsia="Times New Roman" w:hint="default"/>
        </w:rPr>
        <w:t>168</w:t>
      </w:r>
      <w:r>
        <w:rPr>
          <w:rFonts w:ascii="Times New Roman" w:hAnsi="Times New Roman" w:cs="Times New Roman" w:eastAsia="Times New Roman" w:hint="default"/>
          <w:spacing w:val="10"/>
        </w:rPr>
        <w:t> </w:t>
      </w:r>
      <w:r>
        <w:rPr>
          <w:spacing w:val="-3"/>
        </w:rPr>
        <w:t>位激</w:t>
      </w:r>
      <w:r>
        <w:rPr/>
      </w:r>
    </w:p>
    <w:p>
      <w:pPr>
        <w:pStyle w:val="BodyText"/>
        <w:spacing w:line="240" w:lineRule="auto" w:before="69"/>
        <w:ind w:right="123"/>
        <w:jc w:val="left"/>
      </w:pPr>
      <w:r>
        <w:rPr>
          <w:spacing w:val="-5"/>
        </w:rPr>
        <w:t>励对象中，不符合解锁条件的</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名激励对象合计持有的</w:t>
      </w:r>
      <w:r>
        <w:rPr>
          <w:spacing w:val="-50"/>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3"/>
        </w:rPr>
        <w:t> </w:t>
      </w:r>
      <w:r>
        <w:rPr/>
        <w:t>股已获授未解锁的首期限制性股</w:t>
      </w:r>
    </w:p>
    <w:p>
      <w:pPr>
        <w:pStyle w:val="BodyText"/>
        <w:spacing w:line="240" w:lineRule="auto" w:before="70"/>
        <w:ind w:right="123"/>
        <w:jc w:val="left"/>
      </w:pPr>
      <w:r>
        <w:rPr/>
        <w:t>票的回购注销工作，限售股数相应减少；</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日，公司限制性股票激励计划首次授予</w:t>
      </w:r>
    </w:p>
    <w:p>
      <w:pPr>
        <w:pStyle w:val="BodyText"/>
        <w:spacing w:line="240" w:lineRule="auto" w:before="69"/>
        <w:ind w:right="123"/>
        <w:jc w:val="left"/>
      </w:pPr>
      <w:r>
        <w:rPr/>
        <w:t>的</w:t>
      </w:r>
      <w:r>
        <w:rPr>
          <w:spacing w:val="-56"/>
        </w:rPr>
        <w:t> </w:t>
      </w:r>
      <w:r>
        <w:rPr>
          <w:rFonts w:ascii="Times New Roman" w:hAnsi="Times New Roman" w:cs="Times New Roman" w:eastAsia="Times New Roman" w:hint="default"/>
        </w:rPr>
        <w:t>2,550,688</w:t>
      </w:r>
      <w:r>
        <w:rPr>
          <w:rFonts w:ascii="Times New Roman" w:hAnsi="Times New Roman" w:cs="Times New Roman" w:eastAsia="Times New Roman" w:hint="default"/>
          <w:spacing w:val="-3"/>
        </w:rPr>
        <w:t> </w:t>
      </w:r>
      <w:r>
        <w:rPr/>
        <w:t>股限制性股票第一个解锁期解锁上市，限售股数相应增加。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9" w:top="1140" w:bottom="1160" w:left="1580" w:right="1040"/>
        </w:sectPr>
      </w:pPr>
    </w:p>
    <w:p>
      <w:pPr>
        <w:pStyle w:val="Heading3"/>
        <w:spacing w:line="324" w:lineRule="auto" w:before="172"/>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tabs>
          <w:tab w:pos="1060" w:val="left" w:leader="none"/>
        </w:tabs>
        <w:spacing w:line="240" w:lineRule="auto" w:before="23"/>
        <w:ind w:right="-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pPr>
      <w:r>
        <w:rPr/>
        <w:t>单位：股币种：人民币</w:t>
      </w:r>
    </w:p>
    <w:p>
      <w:pPr>
        <w:spacing w:after="0" w:line="240" w:lineRule="auto"/>
        <w:jc w:val="left"/>
        <w:sectPr>
          <w:type w:val="continuous"/>
          <w:pgSz w:w="11910" w:h="16840"/>
          <w:pgMar w:top="1580" w:bottom="280" w:left="1580" w:right="1040"/>
          <w:cols w:num="2" w:equalWidth="0">
            <w:col w:w="3173" w:space="3560"/>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58"/>
        <w:gridCol w:w="1205"/>
        <w:gridCol w:w="1217"/>
        <w:gridCol w:w="1205"/>
        <w:gridCol w:w="1202"/>
        <w:gridCol w:w="1160"/>
        <w:gridCol w:w="1202"/>
      </w:tblGrid>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8" w:right="290"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4"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5"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2"/>
              <w:jc w:val="left"/>
              <w:rPr>
                <w:rFonts w:ascii="宋体" w:hAnsi="宋体" w:cs="宋体" w:eastAsia="宋体" w:hint="default"/>
                <w:sz w:val="21"/>
                <w:szCs w:val="21"/>
              </w:rPr>
            </w:pPr>
            <w:r>
              <w:rPr>
                <w:rFonts w:ascii="宋体" w:hAnsi="宋体" w:cs="宋体" w:eastAsia="宋体" w:hint="default"/>
                <w:sz w:val="21"/>
                <w:szCs w:val="21"/>
              </w:rPr>
              <w:t>获准上市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6" w:right="170"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63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9" w:right="0"/>
              <w:jc w:val="left"/>
              <w:rPr>
                <w:rFonts w:ascii="宋体" w:hAnsi="宋体" w:cs="宋体" w:eastAsia="宋体" w:hint="default"/>
                <w:sz w:val="21"/>
                <w:szCs w:val="21"/>
              </w:rPr>
            </w:pPr>
            <w:r>
              <w:rPr>
                <w:rFonts w:ascii="宋体" w:hAnsi="宋体" w:cs="宋体" w:eastAsia="宋体" w:hint="default"/>
                <w:sz w:val="21"/>
                <w:szCs w:val="21"/>
              </w:rPr>
              <w:t>沪市</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5"/>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7.14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525,000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123"/>
        <w:jc w:val="left"/>
      </w:pP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tabs>
          <w:tab w:pos="1163" w:val="left" w:leader="none"/>
        </w:tabs>
        <w:spacing w:line="240" w:lineRule="auto" w:before="37"/>
        <w:ind w:right="2513"/>
        <w:jc w:val="left"/>
      </w:pPr>
      <w:r>
        <w:rPr/>
        <w:t>√适用</w:t>
        <w:tab/>
        <w:t>□不适用</w:t>
      </w:r>
    </w:p>
    <w:p>
      <w:pPr>
        <w:pStyle w:val="BodyText"/>
        <w:spacing w:line="240" w:lineRule="auto" w:before="92"/>
        <w:ind w:left="638" w:right="12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日，公司完成了限制性股票激励计划预留部分</w:t>
      </w:r>
      <w:r>
        <w:rPr>
          <w:spacing w:val="-52"/>
        </w:rPr>
        <w:t> </w:t>
      </w:r>
      <w:r>
        <w:rPr>
          <w:rFonts w:ascii="Times New Roman" w:hAnsi="Times New Roman" w:cs="Times New Roman" w:eastAsia="Times New Roman" w:hint="default"/>
        </w:rPr>
        <w:t>525,000</w:t>
      </w:r>
      <w:r>
        <w:rPr>
          <w:rFonts w:ascii="Times New Roman" w:hAnsi="Times New Roman" w:cs="Times New Roman" w:eastAsia="Times New Roman" w:hint="default"/>
          <w:spacing w:val="2"/>
        </w:rPr>
        <w:t> </w:t>
      </w:r>
      <w:r>
        <w:rPr/>
        <w:t>股的授予登记，公司</w:t>
      </w:r>
    </w:p>
    <w:p>
      <w:pPr>
        <w:pStyle w:val="BodyText"/>
        <w:spacing w:line="240" w:lineRule="auto" w:before="69"/>
        <w:ind w:right="123"/>
        <w:jc w:val="left"/>
        <w:rPr>
          <w:rFonts w:ascii="Times New Roman" w:hAnsi="Times New Roman" w:cs="Times New Roman" w:eastAsia="Times New Roman" w:hint="default"/>
        </w:rPr>
      </w:pPr>
      <w:r>
        <w:rPr/>
        <w:t>总股本由</w:t>
      </w:r>
      <w:r>
        <w:rPr>
          <w:spacing w:val="-46"/>
        </w:rPr>
        <w:t> </w:t>
      </w:r>
      <w:r>
        <w:rPr>
          <w:rFonts w:ascii="Times New Roman" w:hAnsi="Times New Roman" w:cs="Times New Roman" w:eastAsia="Times New Roman" w:hint="default"/>
        </w:rPr>
        <w:t>406,831,520</w:t>
      </w:r>
      <w:r>
        <w:rPr>
          <w:rFonts w:ascii="Times New Roman" w:hAnsi="Times New Roman" w:cs="Times New Roman" w:eastAsia="Times New Roman" w:hint="default"/>
          <w:spacing w:val="7"/>
        </w:rPr>
        <w:t> </w:t>
      </w:r>
      <w:r>
        <w:rPr/>
        <w:t>股变更为</w:t>
      </w:r>
      <w:r>
        <w:rPr>
          <w:spacing w:val="-45"/>
        </w:rPr>
        <w:t> </w:t>
      </w:r>
      <w:r>
        <w:rPr>
          <w:rFonts w:ascii="Times New Roman" w:hAnsi="Times New Roman" w:cs="Times New Roman" w:eastAsia="Times New Roman" w:hint="default"/>
        </w:rPr>
        <w:t>407,356,520</w:t>
      </w:r>
      <w:r>
        <w:rPr>
          <w:rFonts w:ascii="Times New Roman" w:hAnsi="Times New Roman" w:cs="Times New Roman" w:eastAsia="Times New Roman" w:hint="default"/>
          <w:spacing w:val="7"/>
        </w:rPr>
        <w:t> </w:t>
      </w:r>
      <w:r>
        <w:rPr>
          <w:spacing w:val="-4"/>
        </w:rPr>
        <w:t>股。本次激励对象获授予的限制性股票自授予日起</w:t>
      </w:r>
      <w:r>
        <w:rPr>
          <w:spacing w:val="-45"/>
        </w:rPr>
        <w:t> </w:t>
      </w:r>
      <w:r>
        <w:rPr>
          <w:rFonts w:ascii="Times New Roman" w:hAnsi="Times New Roman" w:cs="Times New Roman" w:eastAsia="Times New Roman" w:hint="default"/>
        </w:rPr>
        <w:t>12</w:t>
      </w:r>
    </w:p>
    <w:p>
      <w:pPr>
        <w:pStyle w:val="BodyText"/>
        <w:spacing w:line="240" w:lineRule="auto" w:before="69"/>
        <w:ind w:right="2513"/>
        <w:jc w:val="left"/>
      </w:pPr>
      <w:r>
        <w:rPr/>
        <w:t>个月内为锁定期，锁定期满后根据业绩承诺完成情况分</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期解锁。</w:t>
      </w:r>
    </w:p>
    <w:p>
      <w:pPr>
        <w:spacing w:line="240" w:lineRule="auto" w:before="7"/>
        <w:rPr>
          <w:rFonts w:ascii="宋体" w:hAnsi="宋体" w:cs="宋体" w:eastAsia="宋体" w:hint="default"/>
          <w:sz w:val="29"/>
          <w:szCs w:val="29"/>
        </w:rPr>
      </w:pPr>
    </w:p>
    <w:p>
      <w:pPr>
        <w:pStyle w:val="Heading3"/>
        <w:spacing w:line="240" w:lineRule="auto"/>
        <w:ind w:right="123"/>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163" w:val="left" w:leader="none"/>
        </w:tabs>
        <w:spacing w:line="240" w:lineRule="auto" w:before="97"/>
        <w:ind w:right="2513"/>
        <w:jc w:val="left"/>
      </w:pPr>
      <w:r>
        <w:rPr/>
        <w:t>√适用</w:t>
        <w:tab/>
        <w:t>□不适用</w:t>
      </w:r>
    </w:p>
    <w:p>
      <w:pPr>
        <w:pStyle w:val="BodyText"/>
        <w:spacing w:line="240" w:lineRule="auto" w:before="92"/>
        <w:ind w:left="638" w:right="123"/>
        <w:jc w:val="left"/>
      </w:pPr>
      <w:r>
        <w:rPr/>
        <w:t>经公司第二届董事会第二十七次会议审议通过并经公司 </w:t>
      </w:r>
      <w:r>
        <w:rPr>
          <w:rFonts w:ascii="Times New Roman" w:hAnsi="Times New Roman" w:cs="Times New Roman" w:eastAsia="Times New Roman" w:hint="default"/>
        </w:rPr>
        <w:t>2016 </w:t>
      </w:r>
      <w:r>
        <w:rPr>
          <w:rFonts w:ascii="Times New Roman" w:hAnsi="Times New Roman" w:cs="Times New Roman" w:eastAsia="Times New Roman" w:hint="default"/>
          <w:spacing w:val="5"/>
        </w:rPr>
        <w:t> </w:t>
      </w:r>
      <w:r>
        <w:rPr/>
        <w:t>年第二次临时股东大会审议批</w:t>
      </w:r>
    </w:p>
    <w:p>
      <w:pPr>
        <w:pStyle w:val="BodyText"/>
        <w:spacing w:line="240" w:lineRule="auto" w:before="69"/>
        <w:ind w:right="123"/>
        <w:jc w:val="left"/>
      </w:pPr>
      <w:r>
        <w:rPr/>
        <w:t>准，公司实施了</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年限制性股票激励计划。</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日，公司利润分配及资本公积转增</w:t>
      </w:r>
    </w:p>
    <w:p>
      <w:pPr>
        <w:pStyle w:val="BodyText"/>
        <w:spacing w:line="240" w:lineRule="auto" w:before="69"/>
        <w:ind w:right="123"/>
        <w:jc w:val="left"/>
      </w:pPr>
      <w:r>
        <w:rPr>
          <w:spacing w:val="-3"/>
        </w:rPr>
        <w:t>股本方案实施完毕，公司总股本由</w:t>
      </w:r>
      <w:r>
        <w:rPr>
          <w:spacing w:val="-48"/>
        </w:rPr>
        <w:t> </w:t>
      </w:r>
      <w:r>
        <w:rPr>
          <w:rFonts w:ascii="Times New Roman" w:hAnsi="Times New Roman" w:cs="Times New Roman" w:eastAsia="Times New Roman" w:hint="default"/>
        </w:rPr>
        <w:t>101,707,880</w:t>
      </w:r>
      <w:r>
        <w:rPr>
          <w:rFonts w:ascii="Times New Roman" w:hAnsi="Times New Roman" w:cs="Times New Roman" w:eastAsia="Times New Roman" w:hint="default"/>
          <w:spacing w:val="5"/>
        </w:rPr>
        <w:t> </w:t>
      </w:r>
      <w:r>
        <w:rPr/>
        <w:t>股变更为</w:t>
      </w:r>
      <w:r>
        <w:rPr>
          <w:spacing w:val="-47"/>
        </w:rPr>
        <w:t> </w:t>
      </w:r>
      <w:r>
        <w:rPr>
          <w:rFonts w:ascii="Times New Roman" w:hAnsi="Times New Roman" w:cs="Times New Roman" w:eastAsia="Times New Roman" w:hint="default"/>
        </w:rPr>
        <w:t>406,831,520</w:t>
      </w:r>
      <w:r>
        <w:rPr>
          <w:rFonts w:ascii="Times New Roman" w:hAnsi="Times New Roman" w:cs="Times New Roman" w:eastAsia="Times New Roman" w:hint="default"/>
          <w:spacing w:val="5"/>
        </w:rPr>
        <w:t> </w:t>
      </w:r>
      <w:r>
        <w:rPr>
          <w:spacing w:val="-4"/>
        </w:rPr>
        <w:t>股。</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5"/>
        </w:rPr>
        <w:t>日，公</w:t>
      </w:r>
    </w:p>
    <w:p>
      <w:pPr>
        <w:pStyle w:val="BodyText"/>
        <w:spacing w:line="240" w:lineRule="auto" w:before="69"/>
        <w:ind w:right="123"/>
        <w:jc w:val="left"/>
      </w:pPr>
      <w:r>
        <w:rPr/>
        <w:t>司完成了限制性股票激励计划预留部分</w:t>
      </w:r>
      <w:r>
        <w:rPr>
          <w:spacing w:val="-48"/>
        </w:rPr>
        <w:t> </w:t>
      </w:r>
      <w:r>
        <w:rPr>
          <w:rFonts w:ascii="Times New Roman" w:hAnsi="Times New Roman" w:cs="Times New Roman" w:eastAsia="Times New Roman" w:hint="default"/>
        </w:rPr>
        <w:t>525,000</w:t>
      </w:r>
      <w:r>
        <w:rPr>
          <w:rFonts w:ascii="Times New Roman" w:hAnsi="Times New Roman" w:cs="Times New Roman" w:eastAsia="Times New Roman" w:hint="default"/>
          <w:spacing w:val="5"/>
        </w:rPr>
        <w:t> </w:t>
      </w:r>
      <w:r>
        <w:rPr>
          <w:spacing w:val="-5"/>
        </w:rPr>
        <w:t>股的授予登记，公司总股本由</w:t>
      </w:r>
      <w:r>
        <w:rPr>
          <w:spacing w:val="-48"/>
        </w:rPr>
        <w:t> </w:t>
      </w:r>
      <w:r>
        <w:rPr>
          <w:rFonts w:ascii="Times New Roman" w:hAnsi="Times New Roman" w:cs="Times New Roman" w:eastAsia="Times New Roman" w:hint="default"/>
        </w:rPr>
        <w:t>406,831,520</w:t>
      </w:r>
      <w:r>
        <w:rPr>
          <w:rFonts w:ascii="Times New Roman" w:hAnsi="Times New Roman" w:cs="Times New Roman" w:eastAsia="Times New Roman" w:hint="default"/>
          <w:spacing w:val="1"/>
        </w:rPr>
        <w:t> </w:t>
      </w:r>
      <w:r>
        <w:rPr/>
        <w:t>股变更</w:t>
      </w:r>
    </w:p>
    <w:p>
      <w:pPr>
        <w:pStyle w:val="BodyText"/>
        <w:spacing w:line="240" w:lineRule="auto" w:before="69"/>
        <w:ind w:right="123"/>
        <w:jc w:val="left"/>
      </w:pPr>
      <w:r>
        <w:rPr/>
        <w:t>为</w:t>
      </w:r>
      <w:r>
        <w:rPr>
          <w:spacing w:val="-45"/>
        </w:rPr>
        <w:t> </w:t>
      </w:r>
      <w:r>
        <w:rPr>
          <w:rFonts w:ascii="Times New Roman" w:hAnsi="Times New Roman" w:cs="Times New Roman" w:eastAsia="Times New Roman" w:hint="default"/>
        </w:rPr>
        <w:t>407,356,520</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日，公司完成了限制性股票激励计划首次授予的</w:t>
      </w:r>
      <w:r>
        <w:rPr>
          <w:spacing w:val="-44"/>
        </w:rPr>
        <w:t> </w:t>
      </w:r>
      <w:r>
        <w:rPr>
          <w:rFonts w:ascii="Times New Roman" w:hAnsi="Times New Roman" w:cs="Times New Roman" w:eastAsia="Times New Roman" w:hint="default"/>
        </w:rPr>
        <w:t>168</w:t>
      </w:r>
      <w:r>
        <w:rPr>
          <w:rFonts w:ascii="Times New Roman" w:hAnsi="Times New Roman" w:cs="Times New Roman" w:eastAsia="Times New Roman" w:hint="default"/>
          <w:spacing w:val="6"/>
        </w:rPr>
        <w:t> </w:t>
      </w:r>
      <w:r>
        <w:rPr/>
        <w:t>位激励</w:t>
      </w:r>
    </w:p>
    <w:p>
      <w:pPr>
        <w:pStyle w:val="BodyText"/>
        <w:spacing w:line="240" w:lineRule="auto" w:before="69"/>
        <w:ind w:right="123"/>
        <w:jc w:val="left"/>
      </w:pPr>
      <w:r>
        <w:rPr>
          <w:spacing w:val="-4"/>
        </w:rPr>
        <w:t>对象中，不符合第一个解锁期解锁条件的</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名激励对象合计持有的</w:t>
      </w:r>
      <w:r>
        <w:rPr>
          <w:spacing w:val="-46"/>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4"/>
        </w:rPr>
        <w:t> </w:t>
      </w:r>
      <w:r>
        <w:rPr/>
        <w:t>股限制性股票的回购</w:t>
      </w:r>
    </w:p>
    <w:p>
      <w:pPr>
        <w:pStyle w:val="BodyText"/>
        <w:spacing w:line="240" w:lineRule="auto" w:before="69"/>
        <w:ind w:right="2513"/>
        <w:jc w:val="left"/>
      </w:pPr>
      <w:r>
        <w:rPr/>
        <w:t>注销，公司总股本由</w:t>
      </w:r>
      <w:r>
        <w:rPr>
          <w:spacing w:val="-55"/>
        </w:rPr>
        <w:t> </w:t>
      </w:r>
      <w:r>
        <w:rPr>
          <w:rFonts w:ascii="Times New Roman" w:hAnsi="Times New Roman" w:cs="Times New Roman" w:eastAsia="Times New Roman" w:hint="default"/>
        </w:rPr>
        <w:t>407,356,520</w:t>
      </w:r>
      <w:r>
        <w:rPr>
          <w:rFonts w:ascii="Times New Roman" w:hAnsi="Times New Roman" w:cs="Times New Roman" w:eastAsia="Times New Roman" w:hint="default"/>
          <w:spacing w:val="-4"/>
        </w:rPr>
        <w:t> </w:t>
      </w:r>
      <w:r>
        <w:rPr/>
        <w:t>股变更为</w:t>
      </w:r>
      <w:r>
        <w:rPr>
          <w:spacing w:val="-55"/>
        </w:rPr>
        <w:t> </w:t>
      </w:r>
      <w:r>
        <w:rPr>
          <w:rFonts w:ascii="Times New Roman" w:hAnsi="Times New Roman" w:cs="Times New Roman" w:eastAsia="Times New Roman" w:hint="default"/>
        </w:rPr>
        <w:t>407,097,800</w:t>
      </w:r>
      <w:r>
        <w:rPr>
          <w:rFonts w:ascii="Times New Roman" w:hAnsi="Times New Roman" w:cs="Times New Roman" w:eastAsia="Times New Roman" w:hint="default"/>
          <w:spacing w:val="-2"/>
        </w:rPr>
        <w:t> </w:t>
      </w:r>
      <w:r>
        <w:rPr/>
        <w:t>股。</w:t>
      </w:r>
    </w:p>
    <w:p>
      <w:pPr>
        <w:spacing w:line="240" w:lineRule="auto" w:before="7"/>
        <w:rPr>
          <w:rFonts w:ascii="宋体" w:hAnsi="宋体" w:cs="宋体" w:eastAsia="宋体" w:hint="default"/>
          <w:sz w:val="29"/>
          <w:szCs w:val="29"/>
        </w:rPr>
      </w:pPr>
    </w:p>
    <w:p>
      <w:pPr>
        <w:pStyle w:val="Heading3"/>
        <w:spacing w:line="240" w:lineRule="auto"/>
        <w:ind w:right="2513"/>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tabs>
          <w:tab w:pos="1060" w:val="left" w:leader="none"/>
        </w:tabs>
        <w:spacing w:line="240" w:lineRule="auto" w:before="97"/>
        <w:ind w:right="2513"/>
        <w:jc w:val="left"/>
      </w:pPr>
      <w:r>
        <w:rPr/>
        <w:t>□适用</w:t>
        <w:tab/>
      </w:r>
      <w:r>
        <w:rPr>
          <w:rFonts w:ascii="Calibri" w:hAnsi="Calibri" w:cs="Calibri" w:eastAsia="Calibri" w:hint="default"/>
        </w:rPr>
        <w:t>√</w:t>
      </w:r>
      <w:r>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ind w:right="2513"/>
        <w:jc w:val="left"/>
        <w:rPr>
          <w:b w:val="0"/>
          <w:bCs w:val="0"/>
        </w:rPr>
      </w:pPr>
      <w:r>
        <w:rPr/>
        <w:t>三、</w:t>
      </w:r>
      <w:r>
        <w:rPr>
          <w:spacing w:val="-80"/>
        </w:rPr>
        <w:t> </w:t>
      </w:r>
      <w:r>
        <w:rPr/>
        <w:t>股东和实际控制人情况</w:t>
      </w:r>
      <w:r>
        <w:rPr>
          <w:b w:val="0"/>
          <w:bCs w:val="0"/>
        </w:rPr>
      </w:r>
    </w:p>
    <w:p>
      <w:pPr>
        <w:pStyle w:val="Heading3"/>
        <w:spacing w:line="240" w:lineRule="auto" w:before="97"/>
        <w:ind w:right="25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截止报告期末普通股股东总数</w:t>
            </w: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29,012</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40" w:lineRule="auto" w:before="37"/>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28,181</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b/>
          <w:bCs/>
          <w:sz w:val="24"/>
          <w:szCs w:val="24"/>
        </w:rPr>
      </w:pPr>
    </w:p>
    <w:p>
      <w:pPr>
        <w:pStyle w:val="Heading3"/>
        <w:spacing w:line="240" w:lineRule="auto" w:before="36"/>
        <w:ind w:right="12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70"/>
        <w:ind w:left="0" w:right="230"/>
        <w:jc w:val="right"/>
      </w:pPr>
      <w:r>
        <w:rPr>
          <w:spacing w:val="-1"/>
        </w:rPr>
        <w:t>单位</w:t>
      </w:r>
      <w:r>
        <w:rPr>
          <w:rFonts w:ascii="Calibri" w:hAnsi="Calibri" w:cs="Calibri" w:eastAsia="Calibri"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759"/>
        <w:gridCol w:w="1265"/>
        <w:gridCol w:w="1267"/>
        <w:gridCol w:w="732"/>
        <w:gridCol w:w="1265"/>
        <w:gridCol w:w="629"/>
        <w:gridCol w:w="1265"/>
        <w:gridCol w:w="866"/>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4" w:hRule="exact"/>
        </w:trPr>
        <w:tc>
          <w:tcPr>
            <w:tcW w:w="17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45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521" w:right="99"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7"/>
              <w:ind w:left="218" w:right="0"/>
              <w:jc w:val="left"/>
              <w:rPr>
                <w:rFonts w:ascii="Calibri" w:hAnsi="Calibri" w:cs="Calibri" w:eastAsia="Calibri" w:hint="default"/>
                <w:sz w:val="21"/>
                <w:szCs w:val="21"/>
              </w:rPr>
            </w:pPr>
            <w:r>
              <w:rPr>
                <w:rFonts w:ascii="Calibri"/>
                <w:sz w:val="21"/>
              </w:rPr>
              <w:t>(%)</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100" w:right="98"/>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218" w:right="215"/>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258" w:hRule="exact"/>
        </w:trPr>
        <w:tc>
          <w:tcPr>
            <w:tcW w:w="1759"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3"/>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66" w:type="dxa"/>
            <w:vMerge/>
            <w:tcBorders>
              <w:left w:val="single" w:sz="4" w:space="0" w:color="000000"/>
              <w:bottom w:val="single" w:sz="4" w:space="0" w:color="000000"/>
              <w:right w:val="single" w:sz="4" w:space="0" w:color="000000"/>
            </w:tcBorders>
          </w:tcPr>
          <w:p>
            <w:pPr/>
          </w:p>
        </w:tc>
      </w:tr>
      <w:tr>
        <w:trPr>
          <w:trHeight w:val="63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172,512,750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230,017,000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56.50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230,017,000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137,521,302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1258"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8"/>
                <w:sz w:val="21"/>
                <w:szCs w:val="21"/>
              </w:rPr>
              <w:t>天津市凯信金鹏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股权投资基金合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伙企业（有限合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伙）</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11,727,150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16,941,400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08"/>
              <w:jc w:val="center"/>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w w:val="100"/>
                <w:sz w:val="21"/>
                <w:szCs w:val="21"/>
              </w:rPr>
              <w:t> </w:t>
            </w:r>
            <w:r>
              <w:rPr>
                <w:rFonts w:ascii="宋体" w:hAnsi="宋体" w:cs="宋体" w:eastAsia="宋体" w:hint="default"/>
                <w:sz w:val="21"/>
                <w:szCs w:val="21"/>
              </w:rPr>
              <w:t>国有法</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157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9"/>
              <w:jc w:val="both"/>
              <w:rPr>
                <w:rFonts w:ascii="宋体" w:hAnsi="宋体" w:cs="宋体" w:eastAsia="宋体" w:hint="default"/>
                <w:sz w:val="21"/>
                <w:szCs w:val="21"/>
              </w:rPr>
            </w:pPr>
            <w:r>
              <w:rPr>
                <w:rFonts w:ascii="宋体" w:hAnsi="宋体" w:cs="宋体" w:eastAsia="宋体" w:hint="default"/>
                <w:spacing w:val="8"/>
                <w:sz w:val="21"/>
                <w:szCs w:val="21"/>
              </w:rPr>
              <w:t>华鑫国际信托有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限公司－华鑫信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托</w:t>
            </w:r>
            <w:r>
              <w:rPr>
                <w:rFonts w:ascii="Times New Roman" w:hAnsi="Times New Roman" w:cs="Times New Roman" w:eastAsia="Times New Roman" w:hint="default"/>
                <w:sz w:val="21"/>
                <w:szCs w:val="21"/>
              </w:rPr>
              <w:t>·</w:t>
            </w:r>
            <w:r>
              <w:rPr>
                <w:rFonts w:ascii="宋体" w:hAnsi="宋体" w:cs="宋体" w:eastAsia="宋体" w:hint="default"/>
                <w:sz w:val="21"/>
                <w:szCs w:val="21"/>
              </w:rPr>
              <w:t>银华冠恒华威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pacing w:val="7"/>
                <w:sz w:val="21"/>
                <w:szCs w:val="21"/>
              </w:rPr>
              <w:t>号集合资金信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托计划</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3,284,855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3,284,855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sz w:val="21"/>
              </w:rPr>
              <w:t>0.81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57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8"/>
                <w:sz w:val="21"/>
                <w:szCs w:val="21"/>
              </w:rPr>
              <w:t>国投安信期货有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限公司－冠恒资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本控股有限公司</w:t>
            </w:r>
          </w:p>
          <w:p>
            <w:pPr>
              <w:pStyle w:val="TableParagraph"/>
              <w:spacing w:line="273" w:lineRule="auto" w:before="7"/>
              <w:ind w:left="103" w:right="100"/>
              <w:jc w:val="both"/>
              <w:rPr>
                <w:rFonts w:ascii="宋体" w:hAnsi="宋体" w:cs="宋体" w:eastAsia="宋体" w:hint="default"/>
                <w:sz w:val="21"/>
                <w:szCs w:val="21"/>
              </w:rPr>
            </w:pPr>
            <w:r>
              <w:rPr>
                <w:rFonts w:ascii="宋体" w:hAnsi="宋体" w:cs="宋体" w:eastAsia="宋体" w:hint="default"/>
                <w:spacing w:val="8"/>
                <w:sz w:val="21"/>
                <w:szCs w:val="21"/>
              </w:rPr>
              <w:t>－冠恒华威多策</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号私募基金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3,251,200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3,251,200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sz w:val="21"/>
              </w:rPr>
              <w:t>0.80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36"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祝群华</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1,909,106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1,909,106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157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8"/>
              <w:jc w:val="both"/>
              <w:rPr>
                <w:rFonts w:ascii="宋体" w:hAnsi="宋体" w:cs="宋体" w:eastAsia="宋体" w:hint="default"/>
                <w:sz w:val="21"/>
                <w:szCs w:val="21"/>
              </w:rPr>
            </w:pPr>
            <w:r>
              <w:rPr>
                <w:rFonts w:ascii="宋体" w:hAnsi="宋体" w:cs="宋体" w:eastAsia="宋体" w:hint="default"/>
                <w:spacing w:val="8"/>
                <w:sz w:val="21"/>
                <w:szCs w:val="21"/>
              </w:rPr>
              <w:t>华鑫国际信托有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限公司－华鑫信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2"/>
                <w:sz w:val="21"/>
                <w:szCs w:val="21"/>
              </w:rPr>
              <w:t>托</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价值回报</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71</w:t>
            </w:r>
            <w:r>
              <w:rPr>
                <w:rFonts w:ascii="Times New Roman" w:hAnsi="Times New Roman" w:cs="Times New Roman" w:eastAsia="Times New Roman" w:hint="default"/>
                <w:w w:val="100"/>
                <w:sz w:val="21"/>
                <w:szCs w:val="21"/>
              </w:rPr>
              <w:t> </w:t>
            </w:r>
            <w:r>
              <w:rPr>
                <w:rFonts w:ascii="宋体" w:hAnsi="宋体" w:cs="宋体" w:eastAsia="宋体" w:hint="default"/>
                <w:spacing w:val="8"/>
                <w:sz w:val="21"/>
                <w:szCs w:val="21"/>
              </w:rPr>
              <w:t>号证券投资集合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资金信托计划</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1,500,600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1,500,600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sz w:val="21"/>
              </w:rPr>
              <w:t>0.37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center"/>
        <w:rPr>
          <w:rFonts w:ascii="宋体" w:hAnsi="宋体" w:cs="宋体" w:eastAsia="宋体" w:hint="default"/>
          <w:sz w:val="21"/>
          <w:szCs w:val="21"/>
        </w:rPr>
        <w:sectPr>
          <w:pgSz w:w="11910" w:h="16840"/>
          <w:pgMar w:header="0" w:footer="979" w:top="1140" w:bottom="1160" w:left="1580" w:right="1040"/>
        </w:sectPr>
      </w:pPr>
    </w:p>
    <w:p>
      <w:pPr>
        <w:spacing w:line="240" w:lineRule="auto" w:before="10"/>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759"/>
        <w:gridCol w:w="1265"/>
        <w:gridCol w:w="1267"/>
        <w:gridCol w:w="732"/>
        <w:gridCol w:w="1265"/>
        <w:gridCol w:w="629"/>
        <w:gridCol w:w="519"/>
        <w:gridCol w:w="746"/>
        <w:gridCol w:w="866"/>
      </w:tblGrid>
      <w:tr>
        <w:trPr>
          <w:trHeight w:val="636"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刘妍婧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1,292,600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1,292,600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廖长宝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1,250,200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1,250,200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刘志强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潘新瑾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1,210,600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1,210,600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08"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025"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64"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26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5" w:hRule="exact"/>
        </w:trPr>
        <w:tc>
          <w:tcPr>
            <w:tcW w:w="3025" w:type="dxa"/>
            <w:gridSpan w:val="2"/>
            <w:vMerge/>
            <w:tcBorders>
              <w:left w:val="single" w:sz="4" w:space="0" w:color="000000"/>
              <w:bottom w:val="single" w:sz="4" w:space="0" w:color="000000"/>
              <w:right w:val="single" w:sz="4" w:space="0" w:color="000000"/>
            </w:tcBorders>
          </w:tcPr>
          <w:p>
            <w:pPr/>
          </w:p>
        </w:tc>
        <w:tc>
          <w:tcPr>
            <w:tcW w:w="3264" w:type="dxa"/>
            <w:gridSpan w:val="3"/>
            <w:vMerge/>
            <w:tcBorders>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4"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天津市凯信金鹏股权投资基金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合伙企业（有限合伙）</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16,941,400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4" w:right="0"/>
              <w:jc w:val="left"/>
              <w:rPr>
                <w:rFonts w:ascii="Times New Roman" w:hAnsi="Times New Roman" w:cs="Times New Roman" w:eastAsia="Times New Roman" w:hint="default"/>
                <w:sz w:val="21"/>
                <w:szCs w:val="21"/>
              </w:rPr>
            </w:pPr>
            <w:r>
              <w:rPr>
                <w:rFonts w:ascii="Times New Roman"/>
                <w:sz w:val="21"/>
              </w:rPr>
              <w:t>16,941,400</w:t>
            </w:r>
          </w:p>
        </w:tc>
      </w:tr>
      <w:tr>
        <w:trPr>
          <w:trHeight w:val="946"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华鑫国际信托有限公司－华鑫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4"/>
                <w:sz w:val="21"/>
                <w:szCs w:val="21"/>
              </w:rPr>
              <w:t>信托</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银华冠恒华威</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号集合资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金信托计划</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3,284,855</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3,284,855</w:t>
            </w:r>
          </w:p>
        </w:tc>
      </w:tr>
      <w:tr>
        <w:trPr>
          <w:trHeight w:val="946"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3"/>
                <w:sz w:val="21"/>
                <w:szCs w:val="21"/>
              </w:rPr>
              <w:t>国投安信期货有限公司－冠恒</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资本控股有限公司－冠恒华威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多策略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号私募基金</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3,251,200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3,251,200</w:t>
            </w:r>
          </w:p>
        </w:tc>
      </w:tr>
      <w:tr>
        <w:trPr>
          <w:trHeight w:val="634"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祝群华</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1,909,106</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1,909,106</w:t>
            </w:r>
          </w:p>
        </w:tc>
      </w:tr>
      <w:tr>
        <w:trPr>
          <w:trHeight w:val="946"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华鑫国际信托有限公司－华鑫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信托</w:t>
            </w:r>
            <w:r>
              <w:rPr>
                <w:rFonts w:ascii="Times New Roman" w:hAnsi="Times New Roman" w:cs="Times New Roman" w:eastAsia="Times New Roman" w:hint="default"/>
                <w:sz w:val="21"/>
                <w:szCs w:val="21"/>
              </w:rPr>
              <w:t>·</w:t>
            </w:r>
            <w:r>
              <w:rPr>
                <w:rFonts w:ascii="宋体" w:hAnsi="宋体" w:cs="宋体" w:eastAsia="宋体" w:hint="default"/>
                <w:sz w:val="21"/>
                <w:szCs w:val="21"/>
              </w:rPr>
              <w:t>价值回报 </w:t>
            </w:r>
            <w:r>
              <w:rPr>
                <w:rFonts w:ascii="Times New Roman" w:hAnsi="Times New Roman" w:cs="Times New Roman" w:eastAsia="Times New Roman" w:hint="default"/>
                <w:sz w:val="21"/>
                <w:szCs w:val="21"/>
              </w:rPr>
              <w:t>71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号证券投资</w:t>
            </w:r>
            <w:r>
              <w:rPr>
                <w:rFonts w:ascii="宋体" w:hAnsi="宋体" w:cs="宋体" w:eastAsia="宋体" w:hint="default"/>
                <w:w w:val="100"/>
                <w:sz w:val="21"/>
                <w:szCs w:val="21"/>
              </w:rPr>
              <w:t> </w:t>
            </w:r>
            <w:r>
              <w:rPr>
                <w:rFonts w:ascii="宋体" w:hAnsi="宋体" w:cs="宋体" w:eastAsia="宋体" w:hint="default"/>
                <w:sz w:val="21"/>
                <w:szCs w:val="21"/>
              </w:rPr>
              <w:t>集合资金信托计划</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1,500,600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1,500,600</w:t>
            </w:r>
          </w:p>
        </w:tc>
      </w:tr>
      <w:tr>
        <w:trPr>
          <w:trHeight w:val="636"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刘妍婧</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1,292,600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1,292,600</w:t>
            </w:r>
          </w:p>
        </w:tc>
      </w:tr>
      <w:tr>
        <w:trPr>
          <w:trHeight w:val="634"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刘志强</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1,230,000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1,230,000</w:t>
            </w:r>
          </w:p>
        </w:tc>
      </w:tr>
      <w:tr>
        <w:trPr>
          <w:trHeight w:val="634"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潘新瑾</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1,210,600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1,210,600</w:t>
            </w:r>
          </w:p>
        </w:tc>
      </w:tr>
      <w:tr>
        <w:trPr>
          <w:trHeight w:val="946"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华鑫国际信托有限公司－华鑫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信托</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昊睿 </w:t>
            </w:r>
            <w:r>
              <w:rPr>
                <w:rFonts w:ascii="Times New Roman" w:hAnsi="Times New Roman" w:cs="Times New Roman" w:eastAsia="Times New Roman" w:hint="default"/>
                <w:sz w:val="21"/>
                <w:szCs w:val="21"/>
              </w:rPr>
              <w:t>67</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号证券投资集合</w:t>
            </w:r>
            <w:r>
              <w:rPr>
                <w:rFonts w:ascii="宋体" w:hAnsi="宋体" w:cs="宋体" w:eastAsia="宋体" w:hint="default"/>
                <w:w w:val="100"/>
                <w:sz w:val="21"/>
                <w:szCs w:val="21"/>
              </w:rPr>
              <w:t> </w:t>
            </w:r>
            <w:r>
              <w:rPr>
                <w:rFonts w:ascii="宋体" w:hAnsi="宋体" w:cs="宋体" w:eastAsia="宋体" w:hint="default"/>
                <w:sz w:val="21"/>
                <w:szCs w:val="21"/>
              </w:rPr>
              <w:t>资金信托计划</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1,200,000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1,200,000</w:t>
            </w:r>
          </w:p>
        </w:tc>
      </w:tr>
      <w:tr>
        <w:trPr>
          <w:trHeight w:val="634"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廖长宝</w:t>
            </w:r>
          </w:p>
        </w:tc>
        <w:tc>
          <w:tcPr>
            <w:tcW w:w="3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1,178,200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7" w:right="144"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0" w:right="0"/>
              <w:jc w:val="left"/>
              <w:rPr>
                <w:rFonts w:ascii="Times New Roman" w:hAnsi="Times New Roman" w:cs="Times New Roman" w:eastAsia="Times New Roman" w:hint="default"/>
                <w:sz w:val="21"/>
                <w:szCs w:val="21"/>
              </w:rPr>
            </w:pPr>
            <w:r>
              <w:rPr>
                <w:rFonts w:ascii="Times New Roman"/>
                <w:sz w:val="21"/>
              </w:rPr>
              <w:t>1,178,200</w:t>
            </w:r>
          </w:p>
        </w:tc>
      </w:tr>
      <w:tr>
        <w:trPr>
          <w:trHeight w:val="634"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上述股东关联关系或一致行动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的说明</w:t>
            </w:r>
          </w:p>
        </w:tc>
        <w:tc>
          <w:tcPr>
            <w:tcW w:w="60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2"/>
                <w:sz w:val="21"/>
                <w:szCs w:val="21"/>
              </w:rPr>
              <w:t>公司未知前十名无限售条件股东是否存在关联关系或一致行动</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情况。</w:t>
            </w:r>
          </w:p>
        </w:tc>
      </w:tr>
      <w:tr>
        <w:trPr>
          <w:trHeight w:val="636" w:hRule="exact"/>
        </w:trPr>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表决权恢复的优先股股东及持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股数量的说明</w:t>
            </w:r>
          </w:p>
        </w:tc>
        <w:tc>
          <w:tcPr>
            <w:tcW w:w="60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公司无优先股。</w:t>
            </w:r>
          </w:p>
        </w:tc>
      </w:tr>
    </w:tbl>
    <w:p>
      <w:pPr>
        <w:pStyle w:val="BodyText"/>
        <w:spacing w:line="278" w:lineRule="exact"/>
        <w:ind w:right="123"/>
        <w:jc w:val="left"/>
      </w:pPr>
      <w:r>
        <w:rPr/>
        <w:t>注：</w:t>
      </w:r>
      <w:r>
        <w:rPr>
          <w:rFonts w:ascii="Times New Roman" w:hAnsi="Times New Roman" w:cs="Times New Roman" w:eastAsia="Times New Roman" w:hint="default"/>
        </w:rPr>
        <w:t>1</w:t>
      </w:r>
      <w:r>
        <w:rPr/>
        <w:t>、吴志雄先生持股数量增加系因公司实施</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年度利润分配及资本公积转增股本预案。</w:t>
      </w:r>
    </w:p>
    <w:p>
      <w:pPr>
        <w:pStyle w:val="BodyText"/>
        <w:spacing w:line="256" w:lineRule="auto" w:before="21"/>
        <w:ind w:right="224"/>
        <w:jc w:val="left"/>
      </w:pPr>
      <w:r>
        <w:rPr>
          <w:rFonts w:ascii="Times New Roman" w:hAnsi="Times New Roman" w:cs="Times New Roman" w:eastAsia="Times New Roman" w:hint="default"/>
        </w:rPr>
        <w:t>2</w:t>
      </w:r>
      <w:r>
        <w:rPr/>
        <w:t>、天津市凯信金鹏股权投资基金合伙企业（有限合伙）持股数量变动系公司实施</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年度利润</w:t>
      </w:r>
      <w:r>
        <w:rPr>
          <w:w w:val="100"/>
        </w:rPr>
        <w:t> </w:t>
      </w:r>
      <w:r>
        <w:rPr>
          <w:spacing w:val="-2"/>
          <w:w w:val="100"/>
        </w:rPr>
        <w:t>分配方案及其于报告期内减持公司股份所致（公告编号</w:t>
      </w:r>
      <w:r>
        <w:rPr>
          <w:spacing w:val="-36"/>
          <w:w w:val="100"/>
        </w:rPr>
        <w:t> </w:t>
      </w:r>
      <w:r>
        <w:rPr>
          <w:rFonts w:ascii="Times New Roman" w:hAnsi="Times New Roman" w:cs="Times New Roman" w:eastAsia="Times New Roman" w:hint="default"/>
          <w:spacing w:val="-22"/>
          <w:w w:val="100"/>
        </w:rPr>
        <w:t>2017-081</w:t>
      </w:r>
      <w:r>
        <w:rPr>
          <w:spacing w:val="-22"/>
          <w:w w:val="100"/>
        </w:rPr>
        <w:t>）。</w:t>
      </w:r>
      <w:r>
        <w:rPr>
          <w:w w:val="100"/>
        </w:rPr>
      </w:r>
    </w:p>
    <w:p>
      <w:pPr>
        <w:spacing w:after="0" w:line="256" w:lineRule="auto"/>
        <w:jc w:val="left"/>
        <w:sectPr>
          <w:pgSz w:w="11910" w:h="16840"/>
          <w:pgMar w:header="0" w:footer="979" w:top="114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9" w:top="1140" w:bottom="1160" w:left="1580" w:right="1040"/>
        </w:sectPr>
      </w:pPr>
    </w:p>
    <w:p>
      <w:pPr>
        <w:pStyle w:val="BodyText"/>
        <w:spacing w:line="240" w:lineRule="auto" w:before="36"/>
        <w:ind w:right="0"/>
        <w:jc w:val="left"/>
      </w:pPr>
      <w:r>
        <w:rPr>
          <w:spacing w:val="-2"/>
        </w:rPr>
        <w:t>前十名有限售条件股东持股数量及限售条件</w:t>
      </w:r>
    </w:p>
    <w:p>
      <w:pPr>
        <w:pStyle w:val="BodyText"/>
        <w:tabs>
          <w:tab w:pos="954" w:val="left" w:leader="none"/>
        </w:tabs>
        <w:spacing w:line="240" w:lineRule="auto" w:before="37"/>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单位：股</w:t>
      </w:r>
    </w:p>
    <w:p>
      <w:pPr>
        <w:spacing w:after="0" w:line="240" w:lineRule="auto"/>
        <w:jc w:val="left"/>
        <w:sectPr>
          <w:type w:val="continuous"/>
          <w:pgSz w:w="11910" w:h="16840"/>
          <w:pgMar w:top="1580" w:bottom="280" w:left="1580" w:right="1040"/>
          <w:cols w:num="2" w:equalWidth="0">
            <w:col w:w="4213" w:space="3781"/>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3"/>
        <w:gridCol w:w="1157"/>
        <w:gridCol w:w="1136"/>
        <w:gridCol w:w="1130"/>
        <w:gridCol w:w="1563"/>
        <w:gridCol w:w="3411"/>
      </w:tblGrid>
      <w:tr>
        <w:trPr>
          <w:trHeight w:val="636"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157" w:type="dxa"/>
            <w:vMerge w:val="restart"/>
            <w:tcBorders>
              <w:top w:val="single" w:sz="4" w:space="0" w:color="000000"/>
              <w:left w:val="single" w:sz="4" w:space="0" w:color="000000"/>
              <w:right w:val="single" w:sz="4" w:space="0" w:color="000000"/>
            </w:tcBorders>
          </w:tcPr>
          <w:p>
            <w:pPr>
              <w:pStyle w:val="TableParagraph"/>
              <w:spacing w:line="273" w:lineRule="auto" w:before="150"/>
              <w:ind w:left="151" w:right="151"/>
              <w:jc w:val="center"/>
              <w:rPr>
                <w:rFonts w:ascii="宋体" w:hAnsi="宋体" w:cs="宋体" w:eastAsia="宋体" w:hint="default"/>
                <w:sz w:val="21"/>
                <w:szCs w:val="21"/>
              </w:rPr>
            </w:pPr>
            <w:r>
              <w:rPr>
                <w:rFonts w:ascii="宋体" w:hAnsi="宋体" w:cs="宋体" w:eastAsia="宋体" w:hint="default"/>
                <w:sz w:val="21"/>
                <w:szCs w:val="21"/>
              </w:rPr>
              <w:t>有限售条</w:t>
            </w:r>
            <w:r>
              <w:rPr>
                <w:rFonts w:ascii="宋体" w:hAnsi="宋体" w:cs="宋体" w:eastAsia="宋体" w:hint="default"/>
                <w:w w:val="100"/>
                <w:sz w:val="21"/>
                <w:szCs w:val="21"/>
              </w:rPr>
              <w:t> </w:t>
            </w:r>
            <w:r>
              <w:rPr>
                <w:rFonts w:ascii="宋体" w:hAnsi="宋体" w:cs="宋体" w:eastAsia="宋体" w:hint="default"/>
                <w:sz w:val="21"/>
                <w:szCs w:val="21"/>
              </w:rPr>
              <w:t>件股东名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136" w:type="dxa"/>
            <w:vMerge w:val="restart"/>
            <w:tcBorders>
              <w:top w:val="single" w:sz="4" w:space="0" w:color="000000"/>
              <w:left w:val="single" w:sz="4" w:space="0" w:color="000000"/>
              <w:right w:val="single" w:sz="4" w:space="0" w:color="000000"/>
            </w:tcBorders>
          </w:tcPr>
          <w:p>
            <w:pPr>
              <w:pStyle w:val="TableParagraph"/>
              <w:spacing w:line="273" w:lineRule="auto" w:before="150"/>
              <w:ind w:left="141" w:right="140"/>
              <w:jc w:val="both"/>
              <w:rPr>
                <w:rFonts w:ascii="宋体" w:hAnsi="宋体" w:cs="宋体" w:eastAsia="宋体" w:hint="default"/>
                <w:sz w:val="21"/>
                <w:szCs w:val="21"/>
              </w:rPr>
            </w:pPr>
            <w:r>
              <w:rPr>
                <w:rFonts w:ascii="宋体" w:hAnsi="宋体" w:cs="宋体" w:eastAsia="宋体" w:hint="default"/>
                <w:sz w:val="21"/>
                <w:szCs w:val="21"/>
              </w:rPr>
              <w:t>持有的有</w:t>
            </w:r>
            <w:r>
              <w:rPr>
                <w:rFonts w:ascii="宋体" w:hAnsi="宋体" w:cs="宋体" w:eastAsia="宋体" w:hint="default"/>
                <w:w w:val="100"/>
                <w:sz w:val="21"/>
                <w:szCs w:val="21"/>
              </w:rPr>
              <w:t> </w:t>
            </w:r>
            <w:r>
              <w:rPr>
                <w:rFonts w:ascii="宋体" w:hAnsi="宋体" w:cs="宋体" w:eastAsia="宋体" w:hint="default"/>
                <w:sz w:val="21"/>
                <w:szCs w:val="21"/>
              </w:rPr>
              <w:t>限售条件</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24" w:right="182" w:hanging="840"/>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易情况</w:t>
            </w:r>
          </w:p>
        </w:tc>
        <w:tc>
          <w:tcPr>
            <w:tcW w:w="34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4" w:hRule="exact"/>
        </w:trPr>
        <w:tc>
          <w:tcPr>
            <w:tcW w:w="653"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4" w:right="137" w:hanging="106"/>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42" w:hanging="104"/>
              <w:jc w:val="left"/>
              <w:rPr>
                <w:rFonts w:ascii="宋体" w:hAnsi="宋体" w:cs="宋体" w:eastAsia="宋体" w:hint="default"/>
                <w:sz w:val="21"/>
                <w:szCs w:val="21"/>
              </w:rPr>
            </w:pPr>
            <w:r>
              <w:rPr>
                <w:rFonts w:ascii="宋体" w:hAnsi="宋体" w:cs="宋体" w:eastAsia="宋体" w:hint="default"/>
                <w:sz w:val="21"/>
                <w:szCs w:val="21"/>
              </w:rPr>
              <w:t>新增可上市交</w:t>
            </w:r>
            <w:r>
              <w:rPr>
                <w:rFonts w:ascii="宋体" w:hAnsi="宋体" w:cs="宋体" w:eastAsia="宋体" w:hint="default"/>
                <w:w w:val="100"/>
                <w:sz w:val="21"/>
                <w:szCs w:val="21"/>
              </w:rPr>
              <w:t> </w:t>
            </w:r>
            <w:r>
              <w:rPr>
                <w:rFonts w:ascii="宋体" w:hAnsi="宋体" w:cs="宋体" w:eastAsia="宋体" w:hint="default"/>
                <w:sz w:val="21"/>
                <w:szCs w:val="21"/>
              </w:rPr>
              <w:t>易股份数量</w:t>
            </w:r>
          </w:p>
        </w:tc>
        <w:tc>
          <w:tcPr>
            <w:tcW w:w="3411" w:type="dxa"/>
            <w:vMerge/>
            <w:tcBorders>
              <w:left w:val="single" w:sz="4" w:space="0" w:color="000000"/>
              <w:bottom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229,617,0</w:t>
            </w:r>
          </w:p>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首发股份</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杜认真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126,000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何飞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102,960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胡柏耀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糜威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81,120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黄金俊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80,760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72,000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72,000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72,000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按公司《</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划》有关规定锁定和解锁。</w:t>
            </w:r>
          </w:p>
        </w:tc>
      </w:tr>
      <w:tr>
        <w:trPr>
          <w:trHeight w:val="948" w:hRule="exact"/>
        </w:trPr>
        <w:tc>
          <w:tcPr>
            <w:tcW w:w="1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6"/>
              <w:jc w:val="both"/>
              <w:rPr>
                <w:rFonts w:ascii="宋体" w:hAnsi="宋体" w:cs="宋体" w:eastAsia="宋体" w:hint="default"/>
                <w:sz w:val="21"/>
                <w:szCs w:val="21"/>
              </w:rPr>
            </w:pPr>
            <w:r>
              <w:rPr>
                <w:rFonts w:ascii="宋体" w:hAnsi="宋体" w:cs="宋体" w:eastAsia="宋体" w:hint="default"/>
                <w:spacing w:val="2"/>
                <w:sz w:val="21"/>
                <w:szCs w:val="21"/>
              </w:rPr>
              <w:t>上述股东关联关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系或一致行动的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说明</w:t>
            </w: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92"/>
              <w:jc w:val="left"/>
              <w:rPr>
                <w:rFonts w:ascii="宋体" w:hAnsi="宋体" w:cs="宋体" w:eastAsia="宋体" w:hint="default"/>
                <w:sz w:val="21"/>
                <w:szCs w:val="21"/>
              </w:rPr>
            </w:pPr>
            <w:r>
              <w:rPr>
                <w:rFonts w:ascii="宋体" w:hAnsi="宋体" w:cs="宋体" w:eastAsia="宋体" w:hint="default"/>
                <w:spacing w:val="-2"/>
                <w:sz w:val="21"/>
                <w:szCs w:val="21"/>
              </w:rPr>
              <w:t>除吴志雄先生外，其他有限售条件股东均为公司股权激励对象。股权激励授</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予股份可上市交易日详见公司股权激励计划。</w:t>
            </w:r>
          </w:p>
        </w:tc>
      </w:tr>
    </w:tbl>
    <w:p>
      <w:pPr>
        <w:spacing w:line="240" w:lineRule="auto" w:before="10"/>
        <w:rPr>
          <w:rFonts w:ascii="宋体" w:hAnsi="宋体" w:cs="宋体" w:eastAsia="宋体" w:hint="default"/>
          <w:sz w:val="24"/>
          <w:szCs w:val="24"/>
        </w:rPr>
      </w:pPr>
    </w:p>
    <w:p>
      <w:pPr>
        <w:pStyle w:val="Heading3"/>
        <w:tabs>
          <w:tab w:pos="784" w:val="left" w:leader="none"/>
        </w:tabs>
        <w:spacing w:line="240" w:lineRule="auto" w:before="36"/>
        <w:ind w:right="2513"/>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tabs>
          <w:tab w:pos="1060" w:val="left" w:leader="none"/>
        </w:tabs>
        <w:spacing w:line="240" w:lineRule="auto" w:before="70"/>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2513"/>
        <w:jc w:val="left"/>
        <w:rPr>
          <w:b w:val="0"/>
          <w:bCs w:val="0"/>
        </w:rPr>
      </w:pPr>
      <w:r>
        <w:rPr/>
        <w:t>四、</w:t>
      </w:r>
      <w:r>
        <w:rPr>
          <w:spacing w:val="-79"/>
        </w:rPr>
        <w:t> </w:t>
      </w:r>
      <w:r>
        <w:rPr/>
        <w:t>控股股东及实际控制人情况</w:t>
      </w:r>
      <w:r>
        <w:rPr>
          <w:b w:val="0"/>
          <w:bCs w:val="0"/>
        </w:rPr>
      </w:r>
    </w:p>
    <w:p>
      <w:pPr>
        <w:pStyle w:val="Heading3"/>
        <w:spacing w:line="240" w:lineRule="auto" w:before="97"/>
        <w:ind w:right="25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b w:val="0"/>
          <w:bCs w:val="0"/>
        </w:rPr>
      </w:r>
    </w:p>
    <w:p>
      <w:pPr>
        <w:pStyle w:val="Heading3"/>
        <w:tabs>
          <w:tab w:pos="637" w:val="left" w:leader="none"/>
        </w:tabs>
        <w:spacing w:line="240" w:lineRule="auto" w:before="70"/>
        <w:ind w:right="2513"/>
        <w:jc w:val="left"/>
        <w:rPr>
          <w:b w:val="0"/>
          <w:bCs w:val="0"/>
        </w:rPr>
      </w:pPr>
      <w:r>
        <w:rPr>
          <w:rFonts w:ascii="Times New Roman" w:hAnsi="Times New Roman" w:cs="Times New Roman" w:eastAsia="Times New Roman" w:hint="default"/>
        </w:rPr>
        <w:t>1</w:t>
        <w:tab/>
      </w:r>
      <w:r>
        <w:rPr/>
        <w:t>法人</w:t>
      </w:r>
      <w:r>
        <w:rPr>
          <w:b w:val="0"/>
          <w:bCs w:val="0"/>
        </w:rPr>
      </w:r>
    </w:p>
    <w:p>
      <w:pPr>
        <w:pStyle w:val="BodyText"/>
        <w:tabs>
          <w:tab w:pos="1060" w:val="left" w:leader="none"/>
        </w:tabs>
        <w:spacing w:line="240" w:lineRule="auto" w:before="81"/>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637" w:val="left" w:leader="none"/>
        </w:tabs>
        <w:spacing w:line="240" w:lineRule="auto"/>
        <w:ind w:right="2513"/>
        <w:jc w:val="left"/>
        <w:rPr>
          <w:b w:val="0"/>
          <w:bCs w:val="0"/>
        </w:rPr>
      </w:pPr>
      <w:r>
        <w:rPr>
          <w:rFonts w:ascii="Times New Roman" w:hAnsi="Times New Roman" w:cs="Times New Roman" w:eastAsia="Times New Roman" w:hint="default"/>
        </w:rPr>
        <w:t>2</w:t>
        <w:tab/>
      </w:r>
      <w:r>
        <w:rPr/>
        <w:t>自然人</w:t>
      </w:r>
      <w:r>
        <w:rPr>
          <w:b w:val="0"/>
          <w:bCs w:val="0"/>
        </w:rPr>
      </w:r>
    </w:p>
    <w:p>
      <w:pPr>
        <w:pStyle w:val="BodyText"/>
        <w:tabs>
          <w:tab w:pos="1060" w:val="left" w:leader="none"/>
        </w:tabs>
        <w:spacing w:line="240" w:lineRule="auto" w:before="81"/>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r>
    </w:tbl>
    <w:p>
      <w:pPr>
        <w:spacing w:after="0" w:line="262"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公司董事长兼总经理；福建省万石控股集团有限公司执行董</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事、福建新微科技有限公司执行董事、泰宁万石旅游投资开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发有限公司执行董事、武夷山国际健康管理集团有限公司执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行董事、武夷山国际健康小镇有限公司执行董事、武夷山国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际转诊中心有限公司执行董事、武夷山国际抗衰老中心有限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公司执行董事、武夷山国际医疗旅游旅行社有限公司执行董</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事、武夷山国际康复疗养中心有限公司执行董事、武夷山国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际体检中心有限公司执行董事、武夷山国际健康论坛有限公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司执行董事、泉州匹兹堡健康中心有限公司执行董事。</w:t>
            </w:r>
          </w:p>
        </w:tc>
      </w:tr>
    </w:tbl>
    <w:p>
      <w:pPr>
        <w:spacing w:line="240" w:lineRule="auto" w:before="9"/>
        <w:rPr>
          <w:rFonts w:ascii="宋体" w:hAnsi="宋体" w:cs="宋体" w:eastAsia="宋体" w:hint="default"/>
          <w:sz w:val="24"/>
          <w:szCs w:val="24"/>
        </w:rPr>
      </w:pPr>
    </w:p>
    <w:p>
      <w:pPr>
        <w:pStyle w:val="Heading3"/>
        <w:tabs>
          <w:tab w:pos="637" w:val="left" w:leader="none"/>
        </w:tabs>
        <w:spacing w:line="240" w:lineRule="auto" w:before="36"/>
        <w:ind w:right="2513"/>
        <w:jc w:val="left"/>
        <w:rPr>
          <w:b w:val="0"/>
          <w:bCs w:val="0"/>
        </w:rPr>
      </w:pPr>
      <w:r>
        <w:rPr>
          <w:rFonts w:ascii="Times New Roman" w:hAnsi="Times New Roman" w:cs="Times New Roman" w:eastAsia="Times New Roman" w:hint="default"/>
        </w:rPr>
        <w:t>3</w:t>
        <w:tab/>
      </w:r>
      <w:r>
        <w:rPr/>
        <w:t>公司不存在控股股东情况的特别说明</w:t>
      </w:r>
      <w:r>
        <w:rPr>
          <w:b w:val="0"/>
          <w:bCs w:val="0"/>
        </w:rPr>
      </w:r>
    </w:p>
    <w:p>
      <w:pPr>
        <w:pStyle w:val="BodyText"/>
        <w:tabs>
          <w:tab w:pos="1163" w:val="left" w:leader="none"/>
        </w:tabs>
        <w:spacing w:line="240" w:lineRule="auto" w:before="81"/>
        <w:ind w:right="2513"/>
        <w:jc w:val="left"/>
      </w:pPr>
      <w:r>
        <w:rPr/>
        <w:t>□适用</w:t>
        <w:tab/>
        <w:t>√不适用</w:t>
      </w:r>
    </w:p>
    <w:p>
      <w:pPr>
        <w:spacing w:line="240" w:lineRule="auto" w:before="0"/>
        <w:rPr>
          <w:rFonts w:ascii="宋体" w:hAnsi="宋体" w:cs="宋体" w:eastAsia="宋体" w:hint="default"/>
          <w:sz w:val="20"/>
          <w:szCs w:val="20"/>
        </w:rPr>
      </w:pPr>
    </w:p>
    <w:p>
      <w:pPr>
        <w:pStyle w:val="Heading3"/>
        <w:tabs>
          <w:tab w:pos="637" w:val="left" w:leader="none"/>
        </w:tabs>
        <w:spacing w:line="240" w:lineRule="auto" w:before="147"/>
        <w:ind w:right="2513"/>
        <w:jc w:val="left"/>
        <w:rPr>
          <w:b w:val="0"/>
          <w:bCs w:val="0"/>
        </w:rPr>
      </w:pPr>
      <w:r>
        <w:rPr>
          <w:rFonts w:ascii="Times New Roman" w:hAnsi="Times New Roman" w:cs="Times New Roman" w:eastAsia="Times New Roman" w:hint="default"/>
        </w:rPr>
        <w:t>4</w:t>
        <w:tab/>
      </w:r>
      <w:r>
        <w:rPr/>
        <w:t>报告期内控股股东变更情况索引及日期</w:t>
      </w:r>
      <w:r>
        <w:rPr>
          <w:b w:val="0"/>
          <w:bCs w:val="0"/>
        </w:rPr>
      </w:r>
    </w:p>
    <w:p>
      <w:pPr>
        <w:pStyle w:val="BodyText"/>
        <w:tabs>
          <w:tab w:pos="1163" w:val="left" w:leader="none"/>
        </w:tabs>
        <w:spacing w:line="240" w:lineRule="auto" w:before="81"/>
        <w:ind w:right="2513"/>
        <w:jc w:val="left"/>
      </w:pPr>
      <w:r>
        <w:rPr/>
        <w:t>□适用</w:t>
        <w:tab/>
        <w:t>√不适用</w:t>
      </w:r>
    </w:p>
    <w:p>
      <w:pPr>
        <w:pStyle w:val="Heading3"/>
        <w:tabs>
          <w:tab w:pos="637" w:val="left" w:leader="none"/>
        </w:tabs>
        <w:spacing w:line="240" w:lineRule="auto" w:before="97"/>
        <w:ind w:right="2513"/>
        <w:jc w:val="left"/>
        <w:rPr>
          <w:b w:val="0"/>
          <w:bCs w:val="0"/>
        </w:rPr>
      </w:pPr>
      <w:r>
        <w:rPr>
          <w:rFonts w:ascii="Times New Roman" w:hAnsi="Times New Roman" w:cs="Times New Roman" w:eastAsia="Times New Roman" w:hint="default"/>
        </w:rPr>
        <w:t>5</w:t>
        <w:tab/>
      </w:r>
      <w:r>
        <w:rPr/>
        <w:t>公司与控股股东之间的产权及控制关系的方框图</w:t>
      </w:r>
      <w:r>
        <w:rPr>
          <w:b w:val="0"/>
          <w:bCs w:val="0"/>
        </w:rPr>
      </w:r>
    </w:p>
    <w:p>
      <w:pPr>
        <w:pStyle w:val="BodyText"/>
        <w:tabs>
          <w:tab w:pos="1163" w:val="left" w:leader="none"/>
        </w:tabs>
        <w:spacing w:line="240" w:lineRule="auto" w:before="81"/>
        <w:ind w:right="2513"/>
        <w:jc w:val="left"/>
      </w:pPr>
      <w:r>
        <w:rPr/>
        <w:t>√适用</w:t>
        <w:tab/>
        <w:t>□不适用</w:t>
      </w:r>
    </w:p>
    <w:p>
      <w:pPr>
        <w:spacing w:line="240" w:lineRule="auto" w:before="11"/>
        <w:rPr>
          <w:rFonts w:ascii="宋体" w:hAnsi="宋体" w:cs="宋体" w:eastAsia="宋体" w:hint="default"/>
          <w:sz w:val="9"/>
          <w:szCs w:val="9"/>
        </w:rPr>
      </w:pPr>
    </w:p>
    <w:p>
      <w:pPr>
        <w:spacing w:line="4195" w:lineRule="exact"/>
        <w:ind w:left="2030"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3296689" cy="2664237"/>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5" cstate="print"/>
                    <a:stretch>
                      <a:fillRect/>
                    </a:stretch>
                  </pic:blipFill>
                  <pic:spPr>
                    <a:xfrm>
                      <a:off x="0" y="0"/>
                      <a:ext cx="3296689" cy="2664237"/>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251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实际控制人情况</w:t>
      </w:r>
      <w:r>
        <w:rPr>
          <w:b w:val="0"/>
          <w:bCs w:val="0"/>
        </w:rPr>
      </w:r>
    </w:p>
    <w:p>
      <w:pPr>
        <w:pStyle w:val="Heading3"/>
        <w:tabs>
          <w:tab w:pos="642" w:val="left" w:leader="none"/>
        </w:tabs>
        <w:spacing w:line="240" w:lineRule="auto" w:before="70"/>
        <w:ind w:right="2513"/>
        <w:jc w:val="left"/>
        <w:rPr>
          <w:b w:val="0"/>
          <w:bCs w:val="0"/>
        </w:rPr>
      </w:pPr>
      <w:r>
        <w:rPr>
          <w:rFonts w:ascii="Times New Roman" w:hAnsi="Times New Roman" w:cs="Times New Roman" w:eastAsia="Times New Roman" w:hint="default"/>
        </w:rPr>
        <w:t>1</w:t>
        <w:tab/>
      </w:r>
      <w:r>
        <w:rPr/>
        <w:t>法人</w:t>
      </w:r>
      <w:r>
        <w:rPr>
          <w:b w:val="0"/>
          <w:bCs w:val="0"/>
        </w:rPr>
      </w:r>
    </w:p>
    <w:p>
      <w:pPr>
        <w:pStyle w:val="BodyText"/>
        <w:tabs>
          <w:tab w:pos="1060" w:val="left" w:leader="none"/>
        </w:tabs>
        <w:spacing w:line="240" w:lineRule="auto" w:before="81"/>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642" w:val="left" w:leader="none"/>
        </w:tabs>
        <w:spacing w:line="240" w:lineRule="auto"/>
        <w:ind w:right="2513"/>
        <w:jc w:val="left"/>
        <w:rPr>
          <w:b w:val="0"/>
          <w:bCs w:val="0"/>
        </w:rPr>
      </w:pPr>
      <w:r>
        <w:rPr>
          <w:rFonts w:ascii="Times New Roman" w:hAnsi="Times New Roman" w:cs="Times New Roman" w:eastAsia="Times New Roman" w:hint="default"/>
        </w:rPr>
        <w:t>2</w:t>
        <w:tab/>
      </w:r>
      <w:r>
        <w:rPr/>
        <w:t>自然人</w:t>
      </w:r>
      <w:r>
        <w:rPr>
          <w:b w:val="0"/>
          <w:bCs w:val="0"/>
        </w:rPr>
      </w:r>
    </w:p>
    <w:p>
      <w:pPr>
        <w:pStyle w:val="BodyText"/>
        <w:tabs>
          <w:tab w:pos="1060" w:val="left" w:leader="none"/>
        </w:tabs>
        <w:spacing w:line="240" w:lineRule="auto" w:before="81"/>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吴志雄</w:t>
            </w:r>
          </w:p>
        </w:tc>
      </w:tr>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bl>
    <w:p>
      <w:pPr>
        <w:spacing w:after="0" w:line="262" w:lineRule="exact"/>
        <w:jc w:val="left"/>
        <w:rPr>
          <w:rFonts w:ascii="宋体" w:hAnsi="宋体" w:cs="宋体" w:eastAsia="宋体" w:hint="default"/>
          <w:sz w:val="21"/>
          <w:szCs w:val="21"/>
        </w:rPr>
        <w:sectPr>
          <w:pgSz w:w="11910" w:h="16840"/>
          <w:pgMar w:header="0" w:footer="979" w:top="1140" w:bottom="1160" w:left="1580" w:right="1040"/>
        </w:sectPr>
      </w:pPr>
    </w:p>
    <w:p>
      <w:pPr>
        <w:spacing w:line="240" w:lineRule="auto" w:before="10"/>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8"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3"/>
                <w:sz w:val="21"/>
                <w:szCs w:val="21"/>
              </w:rPr>
              <w:t>公司董事长兼总经理；福建省万石控股集团有限公司执行董</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事、福建新微科技有限公司执行董事、泰宁万石旅游投资开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发有限公司执行董事、武夷山国际健康管理集团有限公司执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行董事、武夷山国际健康小镇有限公司执行董事、武夷山国</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际转诊中心有限公司执行董事、武夷山国际抗衰老中心有限</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公司执行董事、武夷山国际医疗旅游旅行社有限公司执行董</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事、武夷山国际康复疗养中心有限公司执行董事、武夷山国</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际体检中心有限公司执行董事、武夷山国际健康论坛有限公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司执行董事、泉州匹兹堡健康中心有限公司执行董事。</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1"/>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3"/>
        <w:tabs>
          <w:tab w:pos="642" w:val="left" w:leader="none"/>
        </w:tabs>
        <w:spacing w:line="240" w:lineRule="auto" w:before="36"/>
        <w:ind w:right="2513"/>
        <w:jc w:val="left"/>
        <w:rPr>
          <w:b w:val="0"/>
          <w:bCs w:val="0"/>
        </w:rPr>
      </w:pPr>
      <w:r>
        <w:rPr>
          <w:rFonts w:ascii="Times New Roman" w:hAnsi="Times New Roman" w:cs="Times New Roman" w:eastAsia="Times New Roman" w:hint="default"/>
        </w:rPr>
        <w:t>3</w:t>
        <w:tab/>
      </w:r>
      <w:r>
        <w:rPr/>
        <w:t>公司不存在实际控制人情况的特别说明</w:t>
      </w:r>
      <w:r>
        <w:rPr>
          <w:b w:val="0"/>
          <w:bCs w:val="0"/>
        </w:rPr>
      </w:r>
    </w:p>
    <w:p>
      <w:pPr>
        <w:pStyle w:val="BodyText"/>
        <w:tabs>
          <w:tab w:pos="1163" w:val="left" w:leader="none"/>
        </w:tabs>
        <w:spacing w:line="240" w:lineRule="auto" w:before="81"/>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642" w:val="left" w:leader="none"/>
        </w:tabs>
        <w:spacing w:line="240" w:lineRule="auto"/>
        <w:ind w:right="2513"/>
        <w:jc w:val="left"/>
        <w:rPr>
          <w:b w:val="0"/>
          <w:bCs w:val="0"/>
        </w:rPr>
      </w:pPr>
      <w:r>
        <w:rPr>
          <w:rFonts w:ascii="Times New Roman" w:hAnsi="Times New Roman" w:cs="Times New Roman" w:eastAsia="Times New Roman" w:hint="default"/>
        </w:rPr>
        <w:t>4</w:t>
        <w:tab/>
      </w:r>
      <w:r>
        <w:rPr/>
        <w:t>报告期内实际控制人变更情况索引及日期</w:t>
      </w:r>
      <w:r>
        <w:rPr>
          <w:b w:val="0"/>
          <w:bCs w:val="0"/>
        </w:rPr>
      </w:r>
    </w:p>
    <w:p>
      <w:pPr>
        <w:pStyle w:val="BodyText"/>
        <w:tabs>
          <w:tab w:pos="1163" w:val="left" w:leader="none"/>
        </w:tabs>
        <w:spacing w:line="240" w:lineRule="auto" w:before="81"/>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tabs>
          <w:tab w:pos="642" w:val="left" w:leader="none"/>
        </w:tabs>
        <w:spacing w:line="240" w:lineRule="auto"/>
        <w:ind w:right="2513"/>
        <w:jc w:val="left"/>
        <w:rPr>
          <w:b w:val="0"/>
          <w:bCs w:val="0"/>
        </w:rPr>
      </w:pPr>
      <w:r>
        <w:rPr>
          <w:rFonts w:ascii="Times New Roman" w:hAnsi="Times New Roman" w:cs="Times New Roman" w:eastAsia="Times New Roman" w:hint="default"/>
        </w:rPr>
        <w:t>5</w:t>
        <w:tab/>
      </w:r>
      <w:r>
        <w:rPr/>
        <w:t>公司与实际控制人之间的产权及控制关系的方框图</w:t>
      </w:r>
      <w:r>
        <w:rPr>
          <w:b w:val="0"/>
          <w:bCs w:val="0"/>
        </w:rPr>
      </w:r>
    </w:p>
    <w:p>
      <w:pPr>
        <w:pStyle w:val="BodyText"/>
        <w:tabs>
          <w:tab w:pos="1163" w:val="left" w:leader="none"/>
        </w:tabs>
        <w:spacing w:line="240" w:lineRule="auto" w:before="81"/>
        <w:ind w:right="2513"/>
        <w:jc w:val="left"/>
      </w:pPr>
      <w:r>
        <w:rPr/>
        <w:t>√适用</w:t>
        <w:tab/>
        <w:t>□不适用</w:t>
      </w:r>
    </w:p>
    <w:p>
      <w:pPr>
        <w:spacing w:line="240" w:lineRule="auto" w:before="1"/>
        <w:rPr>
          <w:rFonts w:ascii="宋体" w:hAnsi="宋体" w:cs="宋体" w:eastAsia="宋体" w:hint="default"/>
          <w:sz w:val="14"/>
          <w:szCs w:val="14"/>
        </w:rPr>
      </w:pPr>
    </w:p>
    <w:p>
      <w:pPr>
        <w:spacing w:line="4397" w:lineRule="exact"/>
        <w:ind w:left="1905"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3455501" cy="279263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5" cstate="print"/>
                    <a:stretch>
                      <a:fillRect/>
                    </a:stretch>
                  </pic:blipFill>
                  <pic:spPr>
                    <a:xfrm>
                      <a:off x="0" y="0"/>
                      <a:ext cx="3455501" cy="2792634"/>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tabs>
          <w:tab w:pos="642" w:val="left" w:leader="none"/>
        </w:tabs>
        <w:spacing w:line="240" w:lineRule="auto"/>
        <w:ind w:right="2513"/>
        <w:jc w:val="left"/>
        <w:rPr>
          <w:b w:val="0"/>
          <w:bCs w:val="0"/>
        </w:rPr>
      </w:pPr>
      <w:r>
        <w:rPr>
          <w:rFonts w:ascii="Times New Roman" w:hAnsi="Times New Roman" w:cs="Times New Roman" w:eastAsia="Times New Roman" w:hint="default"/>
        </w:rPr>
        <w:t>6</w:t>
        <w:tab/>
      </w:r>
      <w:r>
        <w:rPr/>
        <w:t>实际控制人通过信托或其他资产管理方式控制公司</w:t>
      </w:r>
      <w:r>
        <w:rPr>
          <w:b w:val="0"/>
          <w:bCs w:val="0"/>
        </w:rPr>
      </w:r>
    </w:p>
    <w:p>
      <w:pPr>
        <w:pStyle w:val="BodyText"/>
        <w:tabs>
          <w:tab w:pos="1163" w:val="left" w:leader="none"/>
        </w:tabs>
        <w:spacing w:line="240" w:lineRule="auto" w:before="81"/>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right="25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163" w:val="left" w:leader="none"/>
        </w:tabs>
        <w:spacing w:line="240" w:lineRule="auto" w:before="70"/>
        <w:ind w:right="2513"/>
        <w:jc w:val="left"/>
      </w:pPr>
      <w:r>
        <w:rPr/>
        <w:t>□适用</w:t>
        <w:tab/>
      </w:r>
      <w:r>
        <w:rPr>
          <w:rFonts w:ascii="Calibri" w:hAnsi="Calibri" w:cs="Calibri" w:eastAsia="Calibri" w:hint="default"/>
        </w:rPr>
        <w:t>√</w:t>
      </w:r>
      <w:r>
        <w:rPr/>
        <w:t>不适用</w:t>
      </w:r>
    </w:p>
    <w:p>
      <w:pPr>
        <w:spacing w:after="0" w:line="240" w:lineRule="auto"/>
        <w:jc w:val="left"/>
        <w:sectPr>
          <w:pgSz w:w="11910" w:h="16840"/>
          <w:pgMar w:header="0" w:footer="979" w:top="114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ind w:left="138" w:right="130"/>
        <w:jc w:val="left"/>
        <w:rPr>
          <w:b w:val="0"/>
          <w:bCs w:val="0"/>
        </w:rPr>
      </w:pPr>
      <w:r>
        <w:rPr/>
        <w:t>五、</w:t>
      </w:r>
      <w:r>
        <w:rPr>
          <w:spacing w:val="-78"/>
        </w:rPr>
        <w:t> </w:t>
      </w:r>
      <w:r>
        <w:rPr/>
        <w:t>其他持股在百分之十以上的法人股东</w:t>
      </w:r>
      <w:r>
        <w:rPr>
          <w:b w:val="0"/>
          <w:bCs w:val="0"/>
        </w:rPr>
      </w:r>
    </w:p>
    <w:p>
      <w:pPr>
        <w:pStyle w:val="BodyText"/>
        <w:tabs>
          <w:tab w:pos="980" w:val="left" w:leader="none"/>
        </w:tabs>
        <w:spacing w:line="240" w:lineRule="auto" w:before="97"/>
        <w:ind w:left="138" w:right="130"/>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29"/>
          <w:szCs w:val="29"/>
        </w:rPr>
      </w:pPr>
    </w:p>
    <w:p>
      <w:pPr>
        <w:pStyle w:val="Heading3"/>
        <w:spacing w:line="240" w:lineRule="auto"/>
        <w:ind w:left="138" w:right="130"/>
        <w:jc w:val="left"/>
        <w:rPr>
          <w:b w:val="0"/>
          <w:bCs w:val="0"/>
        </w:rPr>
      </w:pPr>
      <w:r>
        <w:rPr/>
        <w:t>六、</w:t>
      </w:r>
      <w:r>
        <w:rPr>
          <w:spacing w:val="-77"/>
        </w:rPr>
        <w:t> </w:t>
      </w:r>
      <w:r>
        <w:rPr/>
        <w:t>股份限制减持情况说明</w:t>
      </w:r>
      <w:r>
        <w:rPr>
          <w:b w:val="0"/>
          <w:bCs w:val="0"/>
        </w:rPr>
      </w:r>
    </w:p>
    <w:p>
      <w:pPr>
        <w:pStyle w:val="BodyText"/>
        <w:tabs>
          <w:tab w:pos="980" w:val="left" w:leader="none"/>
        </w:tabs>
        <w:spacing w:line="240" w:lineRule="auto" w:before="97"/>
        <w:ind w:left="138" w:right="13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Heading1"/>
        <w:spacing w:line="240" w:lineRule="auto" w:before="0"/>
        <w:ind w:left="2432" w:right="2432"/>
        <w:jc w:val="center"/>
        <w:rPr>
          <w:b w:val="0"/>
          <w:bCs w:val="0"/>
        </w:rPr>
      </w:pPr>
      <w:bookmarkStart w:name="_TOC_250005" w:id="7"/>
      <w:r>
        <w:rPr/>
        <w:t>第七节优先股相关情况</w:t>
      </w:r>
      <w:bookmarkEnd w:id="7"/>
      <w:r>
        <w:rPr>
          <w:b w:val="0"/>
          <w:bCs w:val="0"/>
        </w:rPr>
      </w:r>
    </w:p>
    <w:p>
      <w:pPr>
        <w:pStyle w:val="BodyText"/>
        <w:spacing w:line="240" w:lineRule="auto" w:before="219"/>
        <w:ind w:left="138" w:right="130"/>
        <w:jc w:val="left"/>
      </w:pPr>
      <w:r>
        <w:rPr>
          <w:rFonts w:ascii="Arial" w:hAnsi="Arial" w:cs="Arial" w:eastAsia="Arial" w:hint="default"/>
        </w:rPr>
        <w:t>□</w:t>
      </w:r>
      <w:r>
        <w:rPr>
          <w:rFonts w:ascii="Arial" w:hAnsi="Arial" w:cs="Arial" w:eastAsia="Arial" w:hint="default"/>
          <w:spacing w:val="26"/>
        </w:rPr>
        <w:t> </w:t>
      </w:r>
      <w:r>
        <w:rPr/>
        <w:t>适用</w:t>
      </w:r>
      <w:r>
        <w:rPr>
          <w:rFonts w:ascii="Calibri" w:hAnsi="Calibri" w:cs="Calibri" w:eastAsia="Calibri" w:hint="default"/>
        </w:rPr>
        <w:t>√</w:t>
      </w:r>
      <w:r>
        <w:rPr/>
        <w:t>不适用</w:t>
      </w:r>
    </w:p>
    <w:p>
      <w:pPr>
        <w:spacing w:after="0" w:line="240" w:lineRule="auto"/>
        <w:jc w:val="left"/>
        <w:sectPr>
          <w:pgSz w:w="11910" w:h="16840"/>
          <w:pgMar w:header="0" w:footer="979" w:top="1140" w:bottom="1160" w:left="1660" w:right="1140"/>
        </w:sectPr>
      </w:pPr>
    </w:p>
    <w:p>
      <w:pPr>
        <w:pStyle w:val="Heading1"/>
        <w:spacing w:line="240" w:lineRule="auto" w:before="81"/>
        <w:ind w:left="4350" w:right="0"/>
        <w:jc w:val="left"/>
        <w:rPr>
          <w:b w:val="0"/>
          <w:bCs w:val="0"/>
        </w:rPr>
      </w:pPr>
      <w:bookmarkStart w:name="_TOC_250004" w:id="8"/>
      <w:r>
        <w:rPr/>
        <w:t>第八节董事、监事、高级管理人员和员工情况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55" w:footer="980" w:top="1140" w:bottom="1160" w:left="1300" w:right="1200"/>
          <w:pgNumType w:start="62"/>
        </w:sectPr>
      </w:pPr>
    </w:p>
    <w:p>
      <w:pPr>
        <w:pStyle w:val="Heading3"/>
        <w:spacing w:line="240" w:lineRule="auto" w:before="36"/>
        <w:ind w:left="224" w:right="0"/>
        <w:jc w:val="left"/>
        <w:rPr>
          <w:b w:val="0"/>
          <w:bCs w:val="0"/>
        </w:rPr>
      </w:pPr>
      <w:r>
        <w:rPr/>
        <w:t>一、持股变动情况及报酬情况</w:t>
      </w:r>
      <w:r>
        <w:rPr>
          <w:b w:val="0"/>
          <w:bCs w:val="0"/>
        </w:rPr>
      </w:r>
    </w:p>
    <w:p>
      <w:pPr>
        <w:pStyle w:val="Heading3"/>
        <w:spacing w:line="240" w:lineRule="auto" w:before="56"/>
        <w:ind w:left="224" w:right="0"/>
        <w:jc w:val="left"/>
        <w:rPr>
          <w:b w:val="0"/>
          <w:bCs w:val="0"/>
        </w:rPr>
      </w:pPr>
      <w:r>
        <w:rPr>
          <w:rFonts w:ascii="Calibri" w:hAnsi="Calibri" w:cs="Calibri" w:eastAsia="Calibri" w:hint="default"/>
          <w:spacing w:val="-1"/>
        </w:rPr>
        <w:t>(</w:t>
      </w:r>
      <w:r>
        <w:rPr>
          <w:spacing w:val="-1"/>
        </w:rPr>
        <w:t>一</w:t>
      </w:r>
      <w:r>
        <w:rPr>
          <w:rFonts w:ascii="Calibri" w:hAnsi="Calibri" w:cs="Calibri" w:eastAsia="Calibri" w:hint="default"/>
          <w:spacing w:val="-1"/>
        </w:rPr>
        <w:t>)</w:t>
      </w:r>
      <w:r>
        <w:rPr>
          <w:spacing w:val="-1"/>
        </w:rPr>
        <w:t>现任及报告期内离任董事、监事和高级管理人员持股变动及报酬情况</w:t>
      </w:r>
      <w:r>
        <w:rPr>
          <w:b w:val="0"/>
          <w:bCs w:val="0"/>
          <w:spacing w:val="-1"/>
        </w:rPr>
      </w:r>
    </w:p>
    <w:p>
      <w:pPr>
        <w:pStyle w:val="BodyText"/>
        <w:tabs>
          <w:tab w:pos="1066" w:val="left" w:leader="none"/>
        </w:tabs>
        <w:spacing w:line="240" w:lineRule="auto" w:before="32"/>
        <w:ind w:left="224" w:right="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580" w:bottom="280" w:left="1300" w:right="1200"/>
          <w:cols w:num="2" w:equalWidth="0">
            <w:col w:w="6892" w:space="614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44"/>
        <w:gridCol w:w="1747"/>
        <w:gridCol w:w="427"/>
        <w:gridCol w:w="661"/>
        <w:gridCol w:w="1217"/>
        <w:gridCol w:w="1217"/>
        <w:gridCol w:w="1174"/>
        <w:gridCol w:w="1279"/>
        <w:gridCol w:w="1359"/>
        <w:gridCol w:w="1162"/>
        <w:gridCol w:w="1394"/>
        <w:gridCol w:w="1416"/>
      </w:tblGrid>
      <w:tr>
        <w:trPr>
          <w:trHeight w:val="1100"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Calibri" w:hAnsi="Calibri" w:cs="Calibri" w:eastAsia="Calibri" w:hint="default"/>
                <w:sz w:val="21"/>
                <w:szCs w:val="21"/>
              </w:rPr>
            </w:pPr>
            <w:r>
              <w:rPr>
                <w:rFonts w:ascii="宋体" w:hAnsi="宋体" w:cs="宋体" w:eastAsia="宋体" w:hint="default"/>
                <w:sz w:val="21"/>
                <w:szCs w:val="21"/>
              </w:rPr>
              <w:t>职务</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77"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77"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5" w:right="15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144"/>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15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8" w:right="16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94" w:right="173"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57,504,250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230,017,000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172,512,750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分红送转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62.25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分红送转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39.26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312,550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1,250,200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937,650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分红送转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135,250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405,800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270,550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08"/>
              <w:jc w:val="left"/>
              <w:rPr>
                <w:rFonts w:ascii="宋体" w:hAnsi="宋体" w:cs="宋体" w:eastAsia="宋体" w:hint="default"/>
                <w:sz w:val="21"/>
                <w:szCs w:val="21"/>
              </w:rPr>
            </w:pPr>
            <w:r>
              <w:rPr>
                <w:rFonts w:ascii="宋体" w:hAnsi="宋体" w:cs="宋体" w:eastAsia="宋体" w:hint="default"/>
                <w:sz w:val="21"/>
                <w:szCs w:val="21"/>
              </w:rPr>
              <w:t>分红送</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转、二级</w:t>
            </w:r>
            <w:r>
              <w:rPr>
                <w:rFonts w:ascii="宋体" w:hAnsi="宋体" w:cs="宋体" w:eastAsia="宋体" w:hint="default"/>
                <w:w w:val="100"/>
                <w:sz w:val="21"/>
                <w:szCs w:val="21"/>
              </w:rPr>
              <w:t> </w:t>
            </w:r>
            <w:r>
              <w:rPr>
                <w:rFonts w:ascii="宋体" w:hAnsi="宋体" w:cs="宋体" w:eastAsia="宋体" w:hint="default"/>
                <w:sz w:val="21"/>
                <w:szCs w:val="21"/>
              </w:rPr>
              <w:t>市场减持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39.48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董事会秘书、副</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245,000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980,000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735,000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1"/>
                <w:sz w:val="21"/>
                <w:szCs w:val="21"/>
              </w:rPr>
              <w:t>分红送转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2017/7/31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120,000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股权激励</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曾志勇</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分红送转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陈周明</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12,500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37,500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分红送转</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18.73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40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2017/3/22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6"/>
              <w:jc w:val="right"/>
              <w:rPr>
                <w:rFonts w:ascii="Calibri" w:hAnsi="Calibri" w:cs="Calibri" w:eastAsia="Calibri" w:hint="default"/>
                <w:sz w:val="21"/>
                <w:szCs w:val="21"/>
              </w:rPr>
            </w:pPr>
            <w:r>
              <w:rPr>
                <w:rFonts w:ascii="Calibri"/>
                <w:spacing w:val="-2"/>
                <w:sz w:val="21"/>
              </w:rPr>
              <w:t>2020/3/22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28.24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黄文峰</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41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2014/3/10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8"/>
              <w:jc w:val="right"/>
              <w:rPr>
                <w:rFonts w:ascii="Calibri" w:hAnsi="Calibri" w:cs="Calibri" w:eastAsia="Calibri" w:hint="default"/>
                <w:sz w:val="21"/>
                <w:szCs w:val="21"/>
              </w:rPr>
            </w:pPr>
            <w:r>
              <w:rPr>
                <w:rFonts w:ascii="Calibri"/>
                <w:spacing w:val="-2"/>
                <w:sz w:val="21"/>
              </w:rPr>
              <w:t>2017/3/9</w:t>
            </w:r>
            <w:r>
              <w:rPr>
                <w:rFonts w:ascii="Calibri"/>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140,550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422,200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281,650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3"/>
              <w:jc w:val="left"/>
              <w:rPr>
                <w:rFonts w:ascii="宋体" w:hAnsi="宋体" w:cs="宋体" w:eastAsia="宋体" w:hint="default"/>
                <w:sz w:val="21"/>
                <w:szCs w:val="21"/>
              </w:rPr>
            </w:pPr>
            <w:r>
              <w:rPr>
                <w:rFonts w:ascii="宋体" w:hAnsi="宋体" w:cs="宋体" w:eastAsia="宋体" w:hint="default"/>
                <w:sz w:val="21"/>
                <w:szCs w:val="21"/>
              </w:rPr>
              <w:t>分红送转、</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1"/>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减持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16.97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郑金聪</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Calibri" w:hAnsi="Calibri" w:cs="Calibri" w:eastAsia="Calibri" w:hint="default"/>
                <w:sz w:val="21"/>
                <w:szCs w:val="21"/>
              </w:rPr>
            </w:pPr>
            <w:r>
              <w:rPr>
                <w:rFonts w:ascii="Calibri"/>
                <w:sz w:val="21"/>
              </w:rPr>
              <w:t>2014/3/10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8"/>
              <w:jc w:val="right"/>
              <w:rPr>
                <w:rFonts w:ascii="Calibri" w:hAnsi="Calibri" w:cs="Calibri" w:eastAsia="Calibri" w:hint="default"/>
                <w:sz w:val="21"/>
                <w:szCs w:val="21"/>
              </w:rPr>
            </w:pPr>
            <w:r>
              <w:rPr>
                <w:rFonts w:ascii="Calibri"/>
                <w:spacing w:val="-2"/>
                <w:sz w:val="21"/>
              </w:rPr>
              <w:t>2017/3/9</w:t>
            </w:r>
            <w:r>
              <w:rPr>
                <w:rFonts w:ascii="Calibri"/>
                <w:sz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230,000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840,000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610,000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pacing w:val="-2"/>
                <w:sz w:val="21"/>
                <w:szCs w:val="21"/>
              </w:rPr>
              <w:t>分红送转、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71"/>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type w:val="continuous"/>
          <w:pgSz w:w="16840" w:h="11910" w:orient="landscape"/>
          <w:pgMar w:top="1580" w:bottom="280" w:left="1300" w:right="1200"/>
        </w:sectPr>
      </w:pPr>
    </w:p>
    <w:p>
      <w:pPr>
        <w:spacing w:line="240" w:lineRule="auto" w:before="4"/>
        <w:rPr>
          <w:rFonts w:ascii="Times New Roman" w:hAnsi="Times New Roman" w:cs="Times New Roman" w:eastAsia="Times New Roman"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44"/>
        <w:gridCol w:w="1747"/>
        <w:gridCol w:w="427"/>
        <w:gridCol w:w="661"/>
        <w:gridCol w:w="1217"/>
        <w:gridCol w:w="1217"/>
        <w:gridCol w:w="1174"/>
        <w:gridCol w:w="1279"/>
        <w:gridCol w:w="1359"/>
        <w:gridCol w:w="1162"/>
        <w:gridCol w:w="1394"/>
        <w:gridCol w:w="1416"/>
      </w:tblGrid>
      <w:tr>
        <w:trPr>
          <w:trHeight w:val="281" w:hRule="exact"/>
        </w:trPr>
        <w:tc>
          <w:tcPr>
            <w:tcW w:w="104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3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2014/3/10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2017/3/9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71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2014/3/10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2017/3/9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1.92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53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2014/3/10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2017/3/9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1"/>
                <w:sz w:val="21"/>
              </w:rPr>
              <w:t>1.92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Calibri" w:hAnsi="Calibri" w:cs="Calibri" w:eastAsia="Calibri" w:hint="default"/>
                <w:sz w:val="21"/>
                <w:szCs w:val="21"/>
              </w:rPr>
            </w:pPr>
            <w:r>
              <w:rPr>
                <w:rFonts w:ascii="Calibri"/>
                <w:w w:val="100"/>
                <w:sz w:val="21"/>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58,592,100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234,133,200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175,541,100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373.08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8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2"/>
              <w:ind w:left="103" w:right="93"/>
              <w:jc w:val="both"/>
              <w:rPr>
                <w:rFonts w:ascii="宋体" w:hAnsi="宋体" w:cs="宋体" w:eastAsia="宋体" w:hint="default"/>
                <w:sz w:val="21"/>
                <w:szCs w:val="21"/>
              </w:rPr>
            </w:pPr>
            <w:r>
              <w:rPr>
                <w:rFonts w:ascii="宋体" w:hAnsi="宋体" w:cs="宋体" w:eastAsia="宋体" w:hint="default"/>
                <w:sz w:val="21"/>
                <w:szCs w:val="21"/>
              </w:rPr>
              <w:t>吴志雄，男，</w:t>
            </w:r>
            <w:r>
              <w:rPr>
                <w:rFonts w:ascii="Times New Roman" w:hAnsi="Times New Roman" w:cs="Times New Roman" w:eastAsia="Times New Roman" w:hint="default"/>
                <w:sz w:val="21"/>
                <w:szCs w:val="21"/>
              </w:rPr>
              <w:t>1972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月出生，中国国籍，无永久境外居留权，硕士。自公司成立至今任董事长兼总经理、万石控股集团有限公司执行</w:t>
            </w:r>
            <w:r>
              <w:rPr>
                <w:rFonts w:ascii="宋体" w:hAnsi="宋体" w:cs="宋体" w:eastAsia="宋体" w:hint="default"/>
                <w:w w:val="100"/>
                <w:sz w:val="21"/>
                <w:szCs w:val="21"/>
              </w:rPr>
              <w:t> </w:t>
            </w:r>
            <w:r>
              <w:rPr>
                <w:rFonts w:ascii="宋体" w:hAnsi="宋体" w:cs="宋体" w:eastAsia="宋体" w:hint="default"/>
                <w:sz w:val="21"/>
                <w:szCs w:val="21"/>
              </w:rPr>
              <w:t>董事、福建新微科技有限公司执行董事、泰宁万石旅游投资开发有限公司执行董事、武夷山国际健康管理集团有限公司执行董事、武夷</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山国际健康小镇有限公司执行董事、武夷山国际转诊中心有限公司执行董事、武夷山国际抗衰老中心有限公司执行董事、武夷山国际医</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疗旅游旅行社有限公司执行董事、武夷山国际康复疗养中心有限公司执行董事、武夷山国际体检中心有限公司执行董事、武夷山国际健</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康论坛有限公司执行董事、泉州匹兹堡健康中心有限公司执行董事。</w:t>
            </w:r>
          </w:p>
        </w:tc>
      </w:tr>
      <w:tr>
        <w:trPr>
          <w:trHeight w:val="7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93"/>
              <w:jc w:val="left"/>
              <w:rPr>
                <w:rFonts w:ascii="宋体" w:hAnsi="宋体" w:cs="宋体" w:eastAsia="宋体" w:hint="default"/>
                <w:sz w:val="21"/>
                <w:szCs w:val="21"/>
              </w:rPr>
            </w:pPr>
            <w:r>
              <w:rPr>
                <w:rFonts w:ascii="宋体" w:hAnsi="宋体" w:cs="宋体" w:eastAsia="宋体" w:hint="default"/>
                <w:sz w:val="21"/>
                <w:szCs w:val="21"/>
              </w:rPr>
              <w:t>徐春梅，女，</w:t>
            </w:r>
            <w:r>
              <w:rPr>
                <w:rFonts w:ascii="Times New Roman" w:hAnsi="Times New Roman" w:cs="Times New Roman" w:eastAsia="Times New Roman" w:hint="default"/>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月出生，中国国籍，无永久境外居留权，硕士，历任福建榕基软件股份有限公司售前支持部售前工程师，公司售</w:t>
            </w:r>
            <w:r>
              <w:rPr>
                <w:rFonts w:ascii="宋体" w:hAnsi="宋体" w:cs="宋体" w:eastAsia="宋体" w:hint="default"/>
                <w:w w:val="100"/>
                <w:sz w:val="21"/>
                <w:szCs w:val="21"/>
              </w:rPr>
              <w:t> </w:t>
            </w:r>
            <w:r>
              <w:rPr>
                <w:rFonts w:ascii="宋体" w:hAnsi="宋体" w:cs="宋体" w:eastAsia="宋体" w:hint="default"/>
                <w:sz w:val="21"/>
                <w:szCs w:val="21"/>
              </w:rPr>
              <w:t>前支持部经理、项目总监；现任公司董事、副总经理。</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3"/>
              <w:jc w:val="left"/>
              <w:rPr>
                <w:rFonts w:ascii="宋体" w:hAnsi="宋体" w:cs="宋体" w:eastAsia="宋体" w:hint="default"/>
                <w:sz w:val="21"/>
                <w:szCs w:val="21"/>
              </w:rPr>
            </w:pPr>
            <w:r>
              <w:rPr>
                <w:rFonts w:ascii="宋体" w:hAnsi="宋体" w:cs="宋体" w:eastAsia="宋体" w:hint="default"/>
                <w:sz w:val="21"/>
                <w:szCs w:val="21"/>
              </w:rPr>
              <w:t>廖长宝，男，</w:t>
            </w:r>
            <w:r>
              <w:rPr>
                <w:rFonts w:ascii="Times New Roman" w:hAnsi="Times New Roman" w:cs="Times New Roman" w:eastAsia="Times New Roman" w:hint="default"/>
                <w:sz w:val="21"/>
                <w:szCs w:val="21"/>
              </w:rPr>
              <w:t>1971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月出生，中国国籍，无永久境外居留权，硕士。历任福州诺威亚网络有限公司工程师，福建榕基软件股份有限公</w:t>
            </w:r>
            <w:r>
              <w:rPr>
                <w:rFonts w:ascii="宋体" w:hAnsi="宋体" w:cs="宋体" w:eastAsia="宋体" w:hint="default"/>
                <w:w w:val="100"/>
                <w:sz w:val="21"/>
                <w:szCs w:val="21"/>
              </w:rPr>
              <w:t> </w:t>
            </w:r>
            <w:r>
              <w:rPr>
                <w:rFonts w:ascii="宋体" w:hAnsi="宋体" w:cs="宋体" w:eastAsia="宋体" w:hint="default"/>
                <w:sz w:val="21"/>
                <w:szCs w:val="21"/>
              </w:rPr>
              <w:t>司售前支持部经理，公司技术总监。现任公司董事、副总经理。</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6"/>
              <w:jc w:val="left"/>
              <w:rPr>
                <w:rFonts w:ascii="宋体" w:hAnsi="宋体" w:cs="宋体" w:eastAsia="宋体" w:hint="default"/>
                <w:sz w:val="21"/>
                <w:szCs w:val="21"/>
              </w:rPr>
            </w:pPr>
            <w:r>
              <w:rPr>
                <w:rFonts w:ascii="宋体" w:hAnsi="宋体" w:cs="宋体" w:eastAsia="宋体" w:hint="default"/>
                <w:spacing w:val="-3"/>
                <w:sz w:val="21"/>
                <w:szCs w:val="21"/>
              </w:rPr>
              <w:t>张鹏程，男，</w:t>
            </w:r>
            <w:r>
              <w:rPr>
                <w:rFonts w:ascii="Times New Roman" w:hAnsi="Times New Roman" w:cs="Times New Roman" w:eastAsia="Times New Roman" w:hint="default"/>
                <w:spacing w:val="-3"/>
                <w:sz w:val="21"/>
                <w:szCs w:val="21"/>
              </w:rPr>
              <w:t>1980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pacing w:val="-3"/>
                <w:sz w:val="21"/>
                <w:szCs w:val="21"/>
              </w:rPr>
              <w:t>月出生，中国国籍，无永久境外居留权，硕士，高级项目经理，国际项目管理师。历任公司工程部经理、项目管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理部经理、技术副总监、项目总监。现任公司董事、副总经理、福建南威软件有限公司总经理、浙江易政信息技术有限公司总经理。</w:t>
            </w:r>
          </w:p>
        </w:tc>
      </w:tr>
      <w:tr>
        <w:trPr>
          <w:trHeight w:val="10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93"/>
              <w:jc w:val="both"/>
              <w:rPr>
                <w:rFonts w:ascii="宋体" w:hAnsi="宋体" w:cs="宋体" w:eastAsia="宋体" w:hint="default"/>
                <w:sz w:val="21"/>
                <w:szCs w:val="21"/>
              </w:rPr>
            </w:pPr>
            <w:r>
              <w:rPr>
                <w:rFonts w:ascii="宋体" w:hAnsi="宋体" w:cs="宋体" w:eastAsia="宋体" w:hint="default"/>
                <w:sz w:val="21"/>
                <w:szCs w:val="21"/>
              </w:rPr>
              <w:t>赵小凡，男，</w:t>
            </w:r>
            <w:r>
              <w:rPr>
                <w:rFonts w:ascii="Times New Roman" w:hAnsi="Times New Roman" w:cs="Times New Roman" w:eastAsia="Times New Roman" w:hint="default"/>
                <w:sz w:val="21"/>
                <w:szCs w:val="21"/>
              </w:rPr>
              <w:t>1950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月出生，中国国籍，中共党员，无永久境外居留权。硕士，研究员。曾任国务院信息化工作办公室司长，工业和</w:t>
            </w:r>
            <w:r>
              <w:rPr>
                <w:rFonts w:ascii="宋体" w:hAnsi="宋体" w:cs="宋体" w:eastAsia="宋体" w:hint="default"/>
                <w:w w:val="100"/>
                <w:sz w:val="21"/>
                <w:szCs w:val="21"/>
              </w:rPr>
              <w:t> </w:t>
            </w:r>
            <w:r>
              <w:rPr>
                <w:rFonts w:ascii="宋体" w:hAnsi="宋体" w:cs="宋体" w:eastAsia="宋体" w:hint="default"/>
                <w:sz w:val="21"/>
                <w:szCs w:val="21"/>
              </w:rPr>
              <w:t>信息化部司长，中国软件行业协会理事长，北京东方通科技股份有限公司独立董事，北京华宇软件股份有限公司独立董事。报告期内担</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任京华信息科技股份有限公司董事，现任公司独立董事。</w:t>
            </w:r>
          </w:p>
        </w:tc>
      </w:tr>
      <w:tr>
        <w:trPr>
          <w:trHeight w:val="14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3"/>
              <w:ind w:left="103" w:right="93"/>
              <w:jc w:val="both"/>
              <w:rPr>
                <w:rFonts w:ascii="宋体" w:hAnsi="宋体" w:cs="宋体" w:eastAsia="宋体" w:hint="default"/>
                <w:sz w:val="21"/>
                <w:szCs w:val="21"/>
              </w:rPr>
            </w:pPr>
            <w:r>
              <w:rPr>
                <w:rFonts w:ascii="宋体" w:hAnsi="宋体" w:cs="宋体" w:eastAsia="宋体" w:hint="default"/>
                <w:sz w:val="21"/>
                <w:szCs w:val="21"/>
              </w:rPr>
              <w:t>吴怡，女，</w:t>
            </w:r>
            <w:r>
              <w:rPr>
                <w:rFonts w:ascii="Times New Roman" w:hAnsi="Times New Roman" w:cs="Times New Roman" w:eastAsia="Times New Roman" w:hint="default"/>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月出生，中国国籍，无永久境外居留权，东南大学信息与通信工程专业博士研究生，中国民主促进会会员。历任福</w:t>
            </w:r>
            <w:r>
              <w:rPr>
                <w:rFonts w:ascii="宋体" w:hAnsi="宋体" w:cs="宋体" w:eastAsia="宋体" w:hint="default"/>
                <w:w w:val="100"/>
                <w:sz w:val="21"/>
                <w:szCs w:val="21"/>
              </w:rPr>
              <w:t> </w:t>
            </w:r>
            <w:r>
              <w:rPr>
                <w:rFonts w:ascii="宋体" w:hAnsi="宋体" w:cs="宋体" w:eastAsia="宋体" w:hint="default"/>
                <w:spacing w:val="-2"/>
                <w:sz w:val="21"/>
                <w:szCs w:val="21"/>
              </w:rPr>
              <w:t>建师范大学物理与光电信息科技学院副教授，现任公司独立董事，福建师范大学光电与信息工程学院教授、博士生导师，</w:t>
            </w:r>
            <w:r>
              <w:rPr>
                <w:rFonts w:ascii="Times New Roman" w:hAnsi="Times New Roman" w:cs="Times New Roman" w:eastAsia="Times New Roman" w:hint="default"/>
                <w:spacing w:val="-2"/>
                <w:sz w:val="21"/>
                <w:szCs w:val="21"/>
              </w:rPr>
              <w:t>IEEE</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会员，中</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国电子学会高级会员，中国电子学会青年科学家俱乐部会员，福建省电子学会理事，福建省青年科学家协会理事，福建省女科学家协会</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理事，华映科技（集团）股份有限公司独立董事。</w:t>
            </w:r>
          </w:p>
        </w:tc>
      </w:tr>
    </w:tbl>
    <w:p>
      <w:pPr>
        <w:spacing w:after="0" w:line="302" w:lineRule="auto"/>
        <w:jc w:val="both"/>
        <w:rPr>
          <w:rFonts w:ascii="宋体" w:hAnsi="宋体" w:cs="宋体" w:eastAsia="宋体" w:hint="default"/>
          <w:sz w:val="21"/>
          <w:szCs w:val="21"/>
        </w:rPr>
        <w:sectPr>
          <w:pgSz w:w="16840" w:h="11910" w:orient="landscape"/>
          <w:pgMar w:header="855" w:footer="980" w:top="1140" w:bottom="1160" w:left="1300" w:right="1200"/>
        </w:sectPr>
      </w:pPr>
    </w:p>
    <w:p>
      <w:pPr>
        <w:spacing w:line="240" w:lineRule="auto" w:before="4"/>
        <w:rPr>
          <w:rFonts w:ascii="Times New Roman" w:hAnsi="Times New Roman" w:cs="Times New Roman" w:eastAsia="Times New Roman"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8"/>
              <w:jc w:val="left"/>
              <w:rPr>
                <w:rFonts w:ascii="宋体" w:hAnsi="宋体" w:cs="宋体" w:eastAsia="宋体" w:hint="default"/>
                <w:sz w:val="21"/>
                <w:szCs w:val="21"/>
              </w:rPr>
            </w:pPr>
            <w:r>
              <w:rPr>
                <w:rFonts w:ascii="宋体" w:hAnsi="宋体" w:cs="宋体" w:eastAsia="宋体" w:hint="default"/>
                <w:spacing w:val="-3"/>
                <w:sz w:val="21"/>
                <w:szCs w:val="21"/>
              </w:rPr>
              <w:t>刘润，男，</w:t>
            </w:r>
            <w:r>
              <w:rPr>
                <w:rFonts w:ascii="Times New Roman" w:hAnsi="Times New Roman" w:cs="Times New Roman" w:eastAsia="Times New Roman" w:hint="default"/>
                <w:spacing w:val="-3"/>
                <w:sz w:val="21"/>
                <w:szCs w:val="21"/>
              </w:rPr>
              <w:t>1978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pacing w:val="-3"/>
                <w:sz w:val="21"/>
                <w:szCs w:val="21"/>
              </w:rPr>
              <w:t>月出生，中国国籍，无永久境外居留权，本科，注册会计师。曾任福建华兴会计师事务所（特殊普通合伙）审计师、</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项目经理等职务，现任公司独立董事、致同会计师事务所（特殊普通合伙）总监。</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历任福建省范厝水电厂计财科会计，华侨大学教授；现任华侨大学会计系主任。</w:t>
            </w:r>
          </w:p>
        </w:tc>
      </w:tr>
      <w:tr>
        <w:trPr>
          <w:trHeight w:val="10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both"/>
              <w:rPr>
                <w:rFonts w:ascii="宋体" w:hAnsi="宋体" w:cs="宋体" w:eastAsia="宋体" w:hint="default"/>
                <w:sz w:val="21"/>
                <w:szCs w:val="21"/>
              </w:rPr>
            </w:pPr>
            <w:r>
              <w:rPr>
                <w:rFonts w:ascii="宋体" w:hAnsi="宋体" w:cs="宋体" w:eastAsia="宋体" w:hint="default"/>
                <w:sz w:val="21"/>
                <w:szCs w:val="21"/>
              </w:rPr>
              <w:t>历任电子工业部综合规划司副司长，信息产业部综合规划司副司长，信息产业部综合规划司司长，浙江水晶光电科技股份有限公司独立</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董事，北京歌华有线电视网络股份有限公司独立董事，恒宝股份有限公司独立董事；现任万达信息股份有限公司独立董事、彩虹显示器</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件股份有限公司独立董事，福建星网锐捷通讯股份有限公司独立董事。</w:t>
            </w:r>
          </w:p>
        </w:tc>
      </w:tr>
      <w:tr>
        <w:trPr>
          <w:trHeight w:val="10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both"/>
              <w:rPr>
                <w:rFonts w:ascii="宋体" w:hAnsi="宋体" w:cs="宋体" w:eastAsia="宋体" w:hint="default"/>
                <w:sz w:val="21"/>
                <w:szCs w:val="21"/>
              </w:rPr>
            </w:pPr>
            <w:r>
              <w:rPr>
                <w:rFonts w:ascii="宋体" w:hAnsi="宋体" w:cs="宋体" w:eastAsia="宋体" w:hint="default"/>
                <w:sz w:val="21"/>
                <w:szCs w:val="21"/>
              </w:rPr>
              <w:t>历任福州大学计算机系讲师、教授、系主任和副院长；现任福州大学数学与计算机科学学院教授、博士生导师，福建省信息产业专家委</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员会委员，福建省计算机学会副理事长，福建博思软件股份有限公司独立董事，福建星网锐捷通讯股份有限公司独立董事、福建顶点软</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件股份有限公司独立董事。</w:t>
            </w:r>
          </w:p>
        </w:tc>
      </w:tr>
      <w:tr>
        <w:trPr>
          <w:trHeight w:val="7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黄文峰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4"/>
              <w:jc w:val="left"/>
              <w:rPr>
                <w:rFonts w:ascii="宋体" w:hAnsi="宋体" w:cs="宋体" w:eastAsia="宋体" w:hint="default"/>
                <w:sz w:val="21"/>
                <w:szCs w:val="21"/>
              </w:rPr>
            </w:pPr>
            <w:r>
              <w:rPr>
                <w:rFonts w:ascii="宋体" w:hAnsi="宋体" w:cs="宋体" w:eastAsia="宋体" w:hint="default"/>
                <w:sz w:val="21"/>
                <w:szCs w:val="21"/>
              </w:rPr>
              <w:t>历任福建榕基软件股份有限公司研发工程师，南威软件政务事业部总经理，福建南威软件有限公司技术总监兼浙江技术事业部总经理、</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政务事业二部总经理；现任福建南威软件有限公司副总经理。</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陈周明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3"/>
              <w:jc w:val="left"/>
              <w:rPr>
                <w:rFonts w:ascii="宋体" w:hAnsi="宋体" w:cs="宋体" w:eastAsia="宋体" w:hint="default"/>
                <w:sz w:val="21"/>
                <w:szCs w:val="21"/>
              </w:rPr>
            </w:pPr>
            <w:r>
              <w:rPr>
                <w:rFonts w:ascii="宋体" w:hAnsi="宋体" w:cs="宋体" w:eastAsia="宋体" w:hint="default"/>
                <w:spacing w:val="-3"/>
                <w:sz w:val="21"/>
                <w:szCs w:val="21"/>
              </w:rPr>
              <w:t>陈周明，男，</w:t>
            </w:r>
            <w:r>
              <w:rPr>
                <w:rFonts w:ascii="Times New Roman" w:hAnsi="Times New Roman" w:cs="Times New Roman" w:eastAsia="Times New Roman" w:hint="default"/>
                <w:spacing w:val="-3"/>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pacing w:val="-3"/>
                <w:sz w:val="21"/>
                <w:szCs w:val="21"/>
              </w:rPr>
              <w:t>月出生，中国国籍，无永久境外居留权，本科。历任中国联通泉州市分公司集团客户部总经理、县分公司总经理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等职务。现任公司监事会主席、营销总监。</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3"/>
              <w:jc w:val="left"/>
              <w:rPr>
                <w:rFonts w:ascii="宋体" w:hAnsi="宋体" w:cs="宋体" w:eastAsia="宋体" w:hint="default"/>
                <w:sz w:val="21"/>
                <w:szCs w:val="21"/>
              </w:rPr>
            </w:pPr>
            <w:r>
              <w:rPr>
                <w:rFonts w:ascii="宋体" w:hAnsi="宋体" w:cs="宋体" w:eastAsia="宋体" w:hint="default"/>
                <w:spacing w:val="-3"/>
                <w:sz w:val="21"/>
                <w:szCs w:val="21"/>
              </w:rPr>
              <w:t>洪培琪，男，</w:t>
            </w:r>
            <w:r>
              <w:rPr>
                <w:rFonts w:ascii="Times New Roman" w:hAnsi="Times New Roman" w:cs="Times New Roman" w:eastAsia="Times New Roman" w:hint="default"/>
                <w:spacing w:val="-3"/>
                <w:sz w:val="21"/>
                <w:szCs w:val="21"/>
              </w:rPr>
              <w:t>1978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pacing w:val="-3"/>
                <w:sz w:val="21"/>
                <w:szCs w:val="21"/>
              </w:rPr>
              <w:t>月出生，中国国籍，无永久境外居留权，硕士。曾就职于中国平安保险厦门寿险分公司、东莞市石碣溢年塑胶五</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金制品厂，历任公司软件工程师、项目经理等职务。现任公司职工代表监事、运营监管部经理。</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8"/>
              <w:jc w:val="left"/>
              <w:rPr>
                <w:rFonts w:ascii="宋体" w:hAnsi="宋体" w:cs="宋体" w:eastAsia="宋体" w:hint="default"/>
                <w:sz w:val="21"/>
                <w:szCs w:val="21"/>
              </w:rPr>
            </w:pPr>
            <w:r>
              <w:rPr>
                <w:rFonts w:ascii="宋体" w:hAnsi="宋体" w:cs="宋体" w:eastAsia="宋体" w:hint="default"/>
                <w:spacing w:val="-3"/>
                <w:sz w:val="21"/>
                <w:szCs w:val="21"/>
              </w:rPr>
              <w:t>曾文语，男，</w:t>
            </w:r>
            <w:r>
              <w:rPr>
                <w:rFonts w:ascii="Times New Roman" w:hAnsi="Times New Roman" w:cs="Times New Roman" w:eastAsia="Times New Roman" w:hint="default"/>
                <w:spacing w:val="-3"/>
                <w:sz w:val="21"/>
                <w:szCs w:val="21"/>
              </w:rPr>
              <w:t>1981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pacing w:val="-3"/>
                <w:sz w:val="21"/>
                <w:szCs w:val="21"/>
              </w:rPr>
              <w:t>月出生，中国国籍，无永久境外居留权，本科。历任福州弘扬软件有限公司软件开发工程师、厦门西雅电子信息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技术有限公司软件开发工程师。</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月至今历任技术主管、部门经理、政务事业部副总经理。现任公司监事、政务事业一部总经理。</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3"/>
              <w:jc w:val="left"/>
              <w:rPr>
                <w:rFonts w:ascii="宋体" w:hAnsi="宋体" w:cs="宋体" w:eastAsia="宋体" w:hint="default"/>
                <w:sz w:val="21"/>
                <w:szCs w:val="21"/>
              </w:rPr>
            </w:pPr>
            <w:r>
              <w:rPr>
                <w:rFonts w:ascii="宋体" w:hAnsi="宋体" w:cs="宋体" w:eastAsia="宋体" w:hint="default"/>
                <w:sz w:val="21"/>
                <w:szCs w:val="21"/>
              </w:rPr>
              <w:t>吴丽卿，女，</w:t>
            </w:r>
            <w:r>
              <w:rPr>
                <w:rFonts w:ascii="Times New Roman" w:hAnsi="Times New Roman" w:cs="Times New Roman" w:eastAsia="Times New Roman" w:hint="default"/>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月出生，中国国籍，无永久境外居留权，本科。历任公司总经理助理、总经理办公室主任。现任公司副总经理兼</w:t>
            </w:r>
            <w:r>
              <w:rPr>
                <w:rFonts w:ascii="宋体" w:hAnsi="宋体" w:cs="宋体" w:eastAsia="宋体" w:hint="default"/>
                <w:w w:val="100"/>
                <w:sz w:val="21"/>
                <w:szCs w:val="21"/>
              </w:rPr>
              <w:t> </w:t>
            </w:r>
            <w:r>
              <w:rPr>
                <w:rFonts w:ascii="宋体" w:hAnsi="宋体" w:cs="宋体" w:eastAsia="宋体" w:hint="default"/>
                <w:sz w:val="21"/>
                <w:szCs w:val="21"/>
              </w:rPr>
              <w:t>董事会秘书。</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3"/>
              <w:jc w:val="left"/>
              <w:rPr>
                <w:rFonts w:ascii="宋体" w:hAnsi="宋体" w:cs="宋体" w:eastAsia="宋体" w:hint="default"/>
                <w:sz w:val="21"/>
                <w:szCs w:val="21"/>
              </w:rPr>
            </w:pPr>
            <w:r>
              <w:rPr>
                <w:rFonts w:ascii="宋体" w:hAnsi="宋体" w:cs="宋体" w:eastAsia="宋体" w:hint="default"/>
                <w:sz w:val="21"/>
                <w:szCs w:val="21"/>
              </w:rPr>
              <w:t>林立成，男，</w:t>
            </w:r>
            <w:r>
              <w:rPr>
                <w:rFonts w:ascii="Times New Roman" w:hAnsi="Times New Roman" w:cs="Times New Roman" w:eastAsia="Times New Roman" w:hint="default"/>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月出生，中国国籍，无永久境外居留权，本科。历任福建省公安厅政治部秘书科、警务科科员，人事处地方工作</w:t>
            </w:r>
            <w:r>
              <w:rPr>
                <w:rFonts w:ascii="宋体" w:hAnsi="宋体" w:cs="宋体" w:eastAsia="宋体" w:hint="default"/>
                <w:w w:val="100"/>
                <w:sz w:val="21"/>
                <w:szCs w:val="21"/>
              </w:rPr>
              <w:t> </w:t>
            </w:r>
            <w:r>
              <w:rPr>
                <w:rFonts w:ascii="宋体" w:hAnsi="宋体" w:cs="宋体" w:eastAsia="宋体" w:hint="default"/>
                <w:sz w:val="21"/>
                <w:szCs w:val="21"/>
              </w:rPr>
              <w:t>科科员，人事处机关干部科副科长、科长，经济犯罪侦查总队副总队长。现任公司副总经理。</w:t>
            </w:r>
          </w:p>
        </w:tc>
      </w:tr>
      <w:tr>
        <w:trPr>
          <w:trHeight w:val="7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曾志勇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93"/>
              <w:jc w:val="left"/>
              <w:rPr>
                <w:rFonts w:ascii="宋体" w:hAnsi="宋体" w:cs="宋体" w:eastAsia="宋体" w:hint="default"/>
                <w:sz w:val="21"/>
                <w:szCs w:val="21"/>
              </w:rPr>
            </w:pPr>
            <w:r>
              <w:rPr>
                <w:rFonts w:ascii="宋体" w:hAnsi="宋体" w:cs="宋体" w:eastAsia="宋体" w:hint="default"/>
                <w:sz w:val="21"/>
                <w:szCs w:val="21"/>
              </w:rPr>
              <w:t>曾志勇，男，</w:t>
            </w:r>
            <w:r>
              <w:rPr>
                <w:rFonts w:ascii="Times New Roman" w:hAnsi="Times New Roman" w:cs="Times New Roman" w:eastAsia="Times New Roman" w:hint="default"/>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月出生，中国国籍，无永久境外居留权，本科。历任中国绿色食品集团有限公司财务副总监、福建金山医药实业</w:t>
            </w:r>
            <w:r>
              <w:rPr>
                <w:rFonts w:ascii="宋体" w:hAnsi="宋体" w:cs="宋体" w:eastAsia="宋体" w:hint="default"/>
                <w:w w:val="100"/>
                <w:sz w:val="21"/>
                <w:szCs w:val="21"/>
              </w:rPr>
              <w:t> </w:t>
            </w:r>
            <w:r>
              <w:rPr>
                <w:rFonts w:ascii="宋体" w:hAnsi="宋体" w:cs="宋体" w:eastAsia="宋体" w:hint="default"/>
                <w:sz w:val="21"/>
                <w:szCs w:val="21"/>
              </w:rPr>
              <w:t>集团有限公司财务总监、公司财务中心总经理。现任公司财务总监。</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郑金聪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历任福建省石狮新发股份有限公司财务经理，福建阳光实业发展股份有限公司财务经理，福建阳光农业科技发展有限公司财务总监，福</w:t>
            </w:r>
          </w:p>
        </w:tc>
      </w:tr>
    </w:tbl>
    <w:p>
      <w:pPr>
        <w:spacing w:after="0" w:line="240" w:lineRule="auto"/>
        <w:jc w:val="left"/>
        <w:rPr>
          <w:rFonts w:ascii="宋体" w:hAnsi="宋体" w:cs="宋体" w:eastAsia="宋体" w:hint="default"/>
          <w:sz w:val="21"/>
          <w:szCs w:val="21"/>
        </w:rPr>
        <w:sectPr>
          <w:pgSz w:w="16840" w:h="11910" w:orient="landscape"/>
          <w:pgMar w:header="855" w:footer="980" w:top="1140" w:bottom="1160" w:left="1300" w:right="1220"/>
        </w:sectPr>
      </w:pPr>
    </w:p>
    <w:p>
      <w:pPr>
        <w:spacing w:line="240" w:lineRule="auto" w:before="10"/>
        <w:rPr>
          <w:rFonts w:ascii="Times New Roman" w:hAnsi="Times New Roman" w:cs="Times New Roman" w:eastAsia="Times New Roman" w:hint="default"/>
          <w:sz w:val="10"/>
          <w:szCs w:val="10"/>
        </w:rPr>
      </w:pPr>
    </w:p>
    <w:p>
      <w:pPr>
        <w:spacing w:line="388"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705pt;height:19.45pt;mso-position-horizontal-relative:char;mso-position-vertical-relative:line" coordorigin="0,0" coordsize="14100,389">
            <v:group style="position:absolute;left:10;top:10;width:1376;height:2" coordorigin="10,10" coordsize="1376,2">
              <v:shape style="position:absolute;left:10;top:10;width:1376;height:2" coordorigin="10,10" coordsize="1376,0" path="m10,10l1385,10e" filled="false" stroked="true" strokeweight=".48pt" strokecolor="#000000">
                <v:path arrowok="t"/>
              </v:shape>
            </v:group>
            <v:group style="position:absolute;left:1395;top:10;width:12696;height:2" coordorigin="1395,10" coordsize="12696,2">
              <v:shape style="position:absolute;left:1395;top:10;width:12696;height:2" coordorigin="1395,10" coordsize="12696,0" path="m1395,10l14090,10e" filled="false" stroked="true" strokeweight=".48pt" strokecolor="#000000">
                <v:path arrowok="t"/>
              </v:shape>
            </v:group>
            <v:group style="position:absolute;left:5;top:5;width:2;height:380" coordorigin="5,5" coordsize="2,380">
              <v:shape style="position:absolute;left:5;top:5;width:2;height:380" coordorigin="5,5" coordsize="0,380" path="m5,5l5,384e" filled="false" stroked="true" strokeweight=".48pt" strokecolor="#000000">
                <v:path arrowok="t"/>
              </v:shape>
            </v:group>
            <v:group style="position:absolute;left:10;top:379;width:1376;height:2" coordorigin="10,379" coordsize="1376,2">
              <v:shape style="position:absolute;left:10;top:379;width:1376;height:2" coordorigin="10,379" coordsize="1376,0" path="m10,379l1385,379e" filled="false" stroked="true" strokeweight=".48pt" strokecolor="#000000">
                <v:path arrowok="t"/>
              </v:shape>
            </v:group>
            <v:group style="position:absolute;left:1390;top:5;width:2;height:380" coordorigin="1390,5" coordsize="2,380">
              <v:shape style="position:absolute;left:1390;top:5;width:2;height:380" coordorigin="1390,5" coordsize="0,380" path="m1390,5l1390,384e" filled="false" stroked="true" strokeweight=".48pt" strokecolor="#000000">
                <v:path arrowok="t"/>
              </v:shape>
            </v:group>
            <v:group style="position:absolute;left:1395;top:379;width:12696;height:2" coordorigin="1395,379" coordsize="12696,2">
              <v:shape style="position:absolute;left:1395;top:379;width:12696;height:2" coordorigin="1395,379" coordsize="12696,0" path="m1395,379l14090,379e" filled="false" stroked="true" strokeweight=".48pt" strokecolor="#000000">
                <v:path arrowok="t"/>
              </v:shape>
            </v:group>
            <v:group style="position:absolute;left:14095;top:5;width:2;height:380" coordorigin="14095,5" coordsize="2,380">
              <v:shape style="position:absolute;left:14095;top:5;width:2;height:380" coordorigin="14095,5" coordsize="0,380" path="m14095,5l14095,384e" filled="false" stroked="true" strokeweight=".47998pt" strokecolor="#000000">
                <v:path arrowok="t"/>
              </v:shape>
              <v:shape style="position:absolute;left:1390;top:10;width:12706;height:370" type="#_x0000_t202" filled="false" stroked="false">
                <v:textbox inset="0,0,0,0">
                  <w:txbxContent>
                    <w:p>
                      <w:pPr>
                        <w:spacing w:before="47"/>
                        <w:ind w:left="108" w:right="0" w:firstLine="0"/>
                        <w:jc w:val="left"/>
                        <w:rPr>
                          <w:rFonts w:ascii="宋体" w:hAnsi="宋体" w:cs="宋体" w:eastAsia="宋体" w:hint="default"/>
                          <w:sz w:val="21"/>
                          <w:szCs w:val="21"/>
                        </w:rPr>
                      </w:pPr>
                      <w:r>
                        <w:rPr>
                          <w:rFonts w:ascii="宋体" w:hAnsi="宋体" w:cs="宋体" w:eastAsia="宋体" w:hint="default"/>
                          <w:sz w:val="21"/>
                          <w:szCs w:val="21"/>
                        </w:rPr>
                        <w:t>建匹克集团有限公司财务总监，凯鸿投资管理有限公司财务策划总监，南威软件财务总监。</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10"/>
        <w:rPr>
          <w:rFonts w:ascii="Times New Roman" w:hAnsi="Times New Roman" w:cs="Times New Roman" w:eastAsia="Times New Roman" w:hint="default"/>
          <w:sz w:val="15"/>
          <w:szCs w:val="15"/>
        </w:rPr>
      </w:pPr>
    </w:p>
    <w:p>
      <w:pPr>
        <w:pStyle w:val="BodyText"/>
        <w:spacing w:line="273" w:lineRule="exact" w:before="36"/>
        <w:ind w:left="224" w:right="0"/>
        <w:jc w:val="left"/>
      </w:pPr>
      <w:r>
        <w:rPr/>
        <w:t>其它情况说明</w:t>
      </w:r>
    </w:p>
    <w:p>
      <w:pPr>
        <w:pStyle w:val="BodyText"/>
        <w:tabs>
          <w:tab w:pos="961" w:val="left" w:leader="none"/>
        </w:tabs>
        <w:spacing w:line="300" w:lineRule="exact"/>
        <w:ind w:left="224"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300" w:lineRule="auto" w:before="48"/>
        <w:ind w:left="224" w:right="213" w:firstLine="420"/>
        <w:jc w:val="both"/>
      </w:pPr>
      <w:r>
        <w:rPr>
          <w:rFonts w:ascii="Calibri" w:hAnsi="Calibri" w:cs="Calibri" w:eastAsia="Calibri" w:hint="default"/>
        </w:rPr>
        <w:t>1</w:t>
      </w:r>
      <w:r>
        <w:rPr/>
        <w:t>、由于公司第二届董事会、监事会任期届满，根据《公司法》及相关法律法规和《公司章程》的有关规定，公司于</w:t>
      </w:r>
      <w:r>
        <w:rPr>
          <w:spacing w:val="-57"/>
        </w:rPr>
        <w:t> </w:t>
      </w:r>
      <w:r>
        <w:rPr>
          <w:rFonts w:ascii="Calibri" w:hAnsi="Calibri" w:cs="Calibri" w:eastAsia="Calibri" w:hint="default"/>
        </w:rPr>
        <w:t>2017</w:t>
      </w:r>
      <w:r>
        <w:rPr>
          <w:rFonts w:ascii="Calibri" w:hAnsi="Calibri" w:cs="Calibri" w:eastAsia="Calibri" w:hint="default"/>
          <w:spacing w:val="2"/>
        </w:rPr>
        <w:t> </w:t>
      </w:r>
      <w:r>
        <w:rPr/>
        <w:t>年</w:t>
      </w:r>
      <w:r>
        <w:rPr>
          <w:spacing w:val="-55"/>
        </w:rPr>
        <w:t> </w:t>
      </w:r>
      <w:r>
        <w:rPr>
          <w:rFonts w:ascii="Calibri" w:hAnsi="Calibri" w:cs="Calibri" w:eastAsia="Calibri" w:hint="default"/>
        </w:rPr>
        <w:t>3</w:t>
      </w:r>
      <w:r>
        <w:rPr>
          <w:rFonts w:ascii="Calibri" w:hAnsi="Calibri" w:cs="Calibri" w:eastAsia="Calibri" w:hint="default"/>
          <w:spacing w:val="1"/>
        </w:rPr>
        <w:t> </w:t>
      </w:r>
      <w:r>
        <w:rPr/>
        <w:t>月</w:t>
      </w:r>
      <w:r>
        <w:rPr>
          <w:spacing w:val="-55"/>
        </w:rPr>
        <w:t> </w:t>
      </w:r>
      <w:r>
        <w:rPr>
          <w:rFonts w:ascii="Calibri" w:hAnsi="Calibri" w:cs="Calibri" w:eastAsia="Calibri" w:hint="default"/>
        </w:rPr>
        <w:t>22</w:t>
      </w:r>
      <w:r>
        <w:rPr>
          <w:rFonts w:ascii="Calibri" w:hAnsi="Calibri" w:cs="Calibri" w:eastAsia="Calibri" w:hint="default"/>
          <w:spacing w:val="1"/>
        </w:rPr>
        <w:t> </w:t>
      </w:r>
      <w:r>
        <w:rPr/>
        <w:t>日召开</w:t>
      </w:r>
      <w:r>
        <w:rPr>
          <w:spacing w:val="-54"/>
        </w:rPr>
        <w:t> </w:t>
      </w:r>
      <w:r>
        <w:rPr>
          <w:rFonts w:ascii="Calibri" w:hAnsi="Calibri" w:cs="Calibri" w:eastAsia="Calibri" w:hint="default"/>
        </w:rPr>
        <w:t>2016</w:t>
      </w:r>
      <w:r>
        <w:rPr>
          <w:rFonts w:ascii="Calibri" w:hAnsi="Calibri" w:cs="Calibri" w:eastAsia="Calibri" w:hint="default"/>
          <w:spacing w:val="2"/>
        </w:rPr>
        <w:t> </w:t>
      </w:r>
      <w:r>
        <w:rPr/>
        <w:t>年</w:t>
      </w:r>
      <w:r>
        <w:rPr>
          <w:w w:val="100"/>
        </w:rPr>
        <w:t> </w:t>
      </w:r>
      <w:r>
        <w:rPr>
          <w:spacing w:val="-2"/>
        </w:rPr>
        <w:t>年度股东大会，选举产生了公司第三届董事会董事成员及第三届监事会非职工代表监事成员。公司第三届董事会由董事吴志雄先生、徐春梅女士、廖长</w:t>
      </w:r>
      <w:r>
        <w:rPr>
          <w:spacing w:val="22"/>
        </w:rPr>
        <w:t> </w:t>
      </w:r>
      <w:r>
        <w:rPr>
          <w:spacing w:val="22"/>
        </w:rPr>
      </w:r>
      <w:r>
        <w:rPr>
          <w:spacing w:val="-2"/>
        </w:rPr>
        <w:t>宝先生、张鹏程先生及独立董事赵小凡先生、吴怡女士、刘润先生组成，第三届监事会由陈周明先生、曾文语先生及洪培琪先生组成（其中洪培琪先生</w:t>
      </w:r>
      <w:r>
        <w:rPr>
          <w:spacing w:val="22"/>
        </w:rPr>
        <w:t> </w:t>
      </w:r>
      <w:r>
        <w:rPr>
          <w:spacing w:val="22"/>
        </w:rPr>
      </w:r>
      <w:r>
        <w:rPr>
          <w:spacing w:val="-1"/>
          <w:w w:val="100"/>
        </w:rPr>
        <w:t>为职工代表监事，由</w:t>
      </w:r>
      <w:r>
        <w:rPr>
          <w:spacing w:val="-52"/>
          <w:w w:val="100"/>
        </w:rPr>
        <w:t> </w:t>
      </w:r>
      <w:r>
        <w:rPr>
          <w:rFonts w:ascii="Calibri" w:hAnsi="Calibri" w:cs="Calibri" w:eastAsia="Calibri" w:hint="default"/>
          <w:spacing w:val="-1"/>
          <w:w w:val="100"/>
        </w:rPr>
        <w:t>2017</w:t>
      </w:r>
      <w:r>
        <w:rPr>
          <w:rFonts w:ascii="Calibri" w:hAnsi="Calibri" w:cs="Calibri" w:eastAsia="Calibri" w:hint="default"/>
          <w:spacing w:val="7"/>
          <w:w w:val="100"/>
        </w:rPr>
        <w:t> </w:t>
      </w:r>
      <w:r>
        <w:rPr>
          <w:w w:val="100"/>
        </w:rPr>
        <w:t>年</w:t>
      </w:r>
      <w:r>
        <w:rPr>
          <w:spacing w:val="-50"/>
          <w:w w:val="100"/>
        </w:rPr>
        <w:t> </w:t>
      </w:r>
      <w:r>
        <w:rPr>
          <w:rFonts w:ascii="Calibri" w:hAnsi="Calibri" w:cs="Calibri" w:eastAsia="Calibri" w:hint="default"/>
          <w:w w:val="100"/>
        </w:rPr>
        <w:t>3</w:t>
      </w:r>
      <w:r>
        <w:rPr>
          <w:rFonts w:ascii="Calibri" w:hAnsi="Calibri" w:cs="Calibri" w:eastAsia="Calibri" w:hint="default"/>
          <w:spacing w:val="9"/>
          <w:w w:val="100"/>
        </w:rPr>
        <w:t> </w:t>
      </w:r>
      <w:r>
        <w:rPr>
          <w:w w:val="100"/>
        </w:rPr>
        <w:t>月</w:t>
      </w:r>
      <w:r>
        <w:rPr>
          <w:spacing w:val="-52"/>
          <w:w w:val="100"/>
        </w:rPr>
        <w:t> </w:t>
      </w:r>
      <w:r>
        <w:rPr>
          <w:rFonts w:ascii="Calibri" w:hAnsi="Calibri" w:cs="Calibri" w:eastAsia="Calibri" w:hint="default"/>
          <w:w w:val="100"/>
        </w:rPr>
        <w:t>9</w:t>
      </w:r>
      <w:r>
        <w:rPr>
          <w:rFonts w:ascii="Calibri" w:hAnsi="Calibri" w:cs="Calibri" w:eastAsia="Calibri" w:hint="default"/>
          <w:spacing w:val="9"/>
          <w:w w:val="100"/>
        </w:rPr>
        <w:t> </w:t>
      </w:r>
      <w:r>
        <w:rPr>
          <w:spacing w:val="-4"/>
          <w:w w:val="100"/>
        </w:rPr>
        <w:t>日召开的职工代表大会选举产生）。原第二届董事会独立董事王建章先生、曾繁英女士及叶东毅先生由于第二届董事</w:t>
      </w:r>
      <w:r>
        <w:rPr>
          <w:spacing w:val="-104"/>
          <w:w w:val="100"/>
        </w:rPr>
        <w:t> </w:t>
      </w:r>
      <w:r>
        <w:rPr>
          <w:spacing w:val="-104"/>
          <w:w w:val="100"/>
        </w:rPr>
      </w:r>
      <w:r>
        <w:rPr/>
        <w:t>会任期届满自然离任。</w:t>
      </w:r>
    </w:p>
    <w:p>
      <w:pPr>
        <w:pStyle w:val="BodyText"/>
        <w:spacing w:line="300" w:lineRule="auto" w:before="32"/>
        <w:ind w:left="224" w:right="214" w:firstLine="420"/>
        <w:jc w:val="both"/>
      </w:pPr>
      <w:r>
        <w:rPr>
          <w:rFonts w:ascii="Calibri" w:hAnsi="Calibri" w:cs="Calibri" w:eastAsia="Calibri" w:hint="default"/>
          <w:spacing w:val="-3"/>
        </w:rPr>
        <w:t>2</w:t>
      </w:r>
      <w:r>
        <w:rPr>
          <w:spacing w:val="-3"/>
        </w:rPr>
        <w:t>、经公司第三届董事会第一次会议审议通过，选举吴志雄先生为公司第三届董事会董事长；聘任吴志雄先生为公司总经理；聘任徐春梅女士、廖长</w:t>
      </w:r>
      <w:r>
        <w:rPr>
          <w:w w:val="100"/>
        </w:rPr>
        <w:t> </w:t>
      </w:r>
      <w:r>
        <w:rPr>
          <w:spacing w:val="-2"/>
        </w:rPr>
        <w:t>宝先生、张鹏程先生为公司副总经理；聘任吴丽卿女士为公司副总经理兼董事会秘书，聘任曾志勇先生为公司财务总监。经公司第三届董事会第六次会</w:t>
      </w:r>
      <w:r>
        <w:rPr>
          <w:spacing w:val="22"/>
        </w:rPr>
        <w:t> </w:t>
      </w:r>
      <w:r>
        <w:rPr>
          <w:spacing w:val="22"/>
        </w:rPr>
      </w:r>
      <w:r>
        <w:rPr/>
        <w:t>议审议通过，聘任林立成先生为公司副总经理。以上人员任期至第三届董事会届满之日止。</w:t>
      </w:r>
    </w:p>
    <w:p>
      <w:pPr>
        <w:pStyle w:val="BodyText"/>
        <w:spacing w:line="285" w:lineRule="auto" w:before="32"/>
        <w:ind w:left="224" w:right="213" w:firstLine="420"/>
        <w:jc w:val="both"/>
      </w:pPr>
      <w:r>
        <w:rPr>
          <w:rFonts w:ascii="Calibri" w:hAnsi="Calibri" w:cs="Calibri" w:eastAsia="Calibri" w:hint="default"/>
          <w:spacing w:val="-3"/>
        </w:rPr>
        <w:t>3</w:t>
      </w:r>
      <w:r>
        <w:rPr>
          <w:spacing w:val="-3"/>
        </w:rPr>
        <w:t>、经公司第三届监事会第一次会议审议通过，选举陈周明先生为公司第三届监事会主席，任期至第三届监事会届满之日止。原第二届监事会主席黄</w:t>
      </w:r>
      <w:r>
        <w:rPr>
          <w:w w:val="100"/>
        </w:rPr>
        <w:t> </w:t>
      </w:r>
      <w:r>
        <w:rPr/>
        <w:t>文峰先生由于监事会换届自然离任，不再担任监事会主席一职。</w:t>
      </w:r>
    </w:p>
    <w:p>
      <w:pPr>
        <w:pStyle w:val="BodyText"/>
        <w:spacing w:line="285" w:lineRule="auto" w:before="45"/>
        <w:ind w:left="224" w:right="213" w:firstLine="420"/>
        <w:jc w:val="both"/>
      </w:pPr>
      <w:r>
        <w:rPr>
          <w:rFonts w:ascii="Calibri" w:hAnsi="Calibri" w:cs="Calibri" w:eastAsia="Calibri" w:hint="default"/>
          <w:spacing w:val="-7"/>
        </w:rPr>
        <w:t>4</w:t>
      </w:r>
      <w:r>
        <w:rPr>
          <w:spacing w:val="-7"/>
        </w:rPr>
        <w:t>、公司于</w:t>
      </w:r>
      <w:r>
        <w:rPr>
          <w:spacing w:val="-41"/>
        </w:rPr>
        <w:t> </w:t>
      </w:r>
      <w:r>
        <w:rPr>
          <w:rFonts w:ascii="Calibri" w:hAnsi="Calibri" w:cs="Calibri" w:eastAsia="Calibri" w:hint="default"/>
        </w:rPr>
        <w:t>2017</w:t>
      </w:r>
      <w:r>
        <w:rPr>
          <w:rFonts w:ascii="Calibri" w:hAnsi="Calibri" w:cs="Calibri" w:eastAsia="Calibri" w:hint="default"/>
          <w:spacing w:val="16"/>
        </w:rPr>
        <w:t> </w:t>
      </w:r>
      <w:r>
        <w:rPr/>
        <w:t>年</w:t>
      </w:r>
      <w:r>
        <w:rPr>
          <w:spacing w:val="-44"/>
        </w:rPr>
        <w:t> </w:t>
      </w:r>
      <w:r>
        <w:rPr>
          <w:rFonts w:ascii="Calibri" w:hAnsi="Calibri" w:cs="Calibri" w:eastAsia="Calibri" w:hint="default"/>
        </w:rPr>
        <w:t>3</w:t>
      </w:r>
      <w:r>
        <w:rPr>
          <w:rFonts w:ascii="Calibri" w:hAnsi="Calibri" w:cs="Calibri" w:eastAsia="Calibri" w:hint="default"/>
          <w:spacing w:val="18"/>
        </w:rPr>
        <w:t> </w:t>
      </w:r>
      <w:r>
        <w:rPr/>
        <w:t>月</w:t>
      </w:r>
      <w:r>
        <w:rPr>
          <w:spacing w:val="-44"/>
        </w:rPr>
        <w:t> </w:t>
      </w:r>
      <w:r>
        <w:rPr>
          <w:rFonts w:ascii="Calibri" w:hAnsi="Calibri" w:cs="Calibri" w:eastAsia="Calibri" w:hint="default"/>
        </w:rPr>
        <w:t>22</w:t>
      </w:r>
      <w:r>
        <w:rPr>
          <w:rFonts w:ascii="Calibri" w:hAnsi="Calibri" w:cs="Calibri" w:eastAsia="Calibri" w:hint="default"/>
          <w:spacing w:val="15"/>
        </w:rPr>
        <w:t> </w:t>
      </w:r>
      <w:r>
        <w:rPr>
          <w:spacing w:val="-3"/>
        </w:rPr>
        <w:t>日收到公司财务总监郑金聪先生的辞职报告。郑金聪先生因个人原因，向董事会请求辞去财务负责人的职务，其辞职函自</w:t>
      </w:r>
      <w:r>
        <w:rPr>
          <w:w w:val="100"/>
        </w:rPr>
        <w:t> </w:t>
      </w:r>
      <w:r>
        <w:rPr/>
        <w:t>送达公司董事会之日起生效。郑金聪先生辞职后在本公司不再担任其他职务。</w:t>
      </w:r>
    </w:p>
    <w:p>
      <w:pPr>
        <w:pStyle w:val="BodyText"/>
        <w:spacing w:line="285" w:lineRule="auto" w:before="45"/>
        <w:ind w:left="224" w:right="213" w:firstLine="420"/>
        <w:jc w:val="both"/>
      </w:pPr>
      <w:r>
        <w:rPr>
          <w:rFonts w:ascii="Calibri" w:hAnsi="Calibri" w:cs="Calibri" w:eastAsia="Calibri" w:hint="default"/>
          <w:spacing w:val="-1"/>
          <w:w w:val="100"/>
        </w:rPr>
        <w:t>5</w:t>
      </w:r>
      <w:r>
        <w:rPr>
          <w:spacing w:val="-1"/>
          <w:w w:val="100"/>
        </w:rPr>
        <w:t>、</w:t>
      </w:r>
      <w:r>
        <w:rPr>
          <w:rFonts w:ascii="Calibri" w:hAnsi="Calibri" w:cs="Calibri" w:eastAsia="Calibri" w:hint="default"/>
          <w:spacing w:val="-1"/>
          <w:w w:val="100"/>
        </w:rPr>
        <w:t>2017</w:t>
      </w:r>
      <w:r>
        <w:rPr>
          <w:rFonts w:ascii="Calibri" w:hAnsi="Calibri" w:cs="Calibri" w:eastAsia="Calibri" w:hint="default"/>
          <w:w w:val="100"/>
        </w:rPr>
        <w:t> </w:t>
      </w:r>
      <w:r>
        <w:rPr>
          <w:w w:val="100"/>
        </w:rPr>
        <w:t>年 </w:t>
      </w:r>
      <w:r>
        <w:rPr>
          <w:rFonts w:ascii="Calibri" w:hAnsi="Calibri" w:cs="Calibri" w:eastAsia="Calibri" w:hint="default"/>
          <w:w w:val="100"/>
        </w:rPr>
        <w:t>7 </w:t>
      </w:r>
      <w:r>
        <w:rPr>
          <w:w w:val="100"/>
        </w:rPr>
        <w:t>月 </w:t>
      </w:r>
      <w:r>
        <w:rPr>
          <w:rFonts w:ascii="Calibri" w:hAnsi="Calibri" w:cs="Calibri" w:eastAsia="Calibri" w:hint="default"/>
          <w:w w:val="100"/>
        </w:rPr>
        <w:t>31</w:t>
      </w:r>
      <w:r>
        <w:rPr>
          <w:rFonts w:ascii="Calibri" w:hAnsi="Calibri" w:cs="Calibri" w:eastAsia="Calibri" w:hint="default"/>
          <w:spacing w:val="-10"/>
          <w:w w:val="100"/>
        </w:rPr>
        <w:t> </w:t>
      </w:r>
      <w:r>
        <w:rPr>
          <w:spacing w:val="-4"/>
          <w:w w:val="100"/>
        </w:rPr>
        <w:t>日，公司召开第三届董事会第六次会议审议通过《关于聘任公司副总经理的议案》，经公司总经理吴志雄先生提名，提名委员会</w:t>
      </w:r>
      <w:r>
        <w:rPr>
          <w:w w:val="100"/>
        </w:rPr>
        <w:t> </w:t>
      </w:r>
      <w:r>
        <w:rPr/>
        <w:t>审核，同意聘任林立成先生为公司副总经理，任期至第三届董事会届满之日止。</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55" w:footer="980" w:top="1140" w:bottom="1160" w:left="1300" w:right="1220"/>
        </w:sectPr>
      </w:pPr>
    </w:p>
    <w:p>
      <w:pPr>
        <w:pStyle w:val="Heading3"/>
        <w:spacing w:line="240" w:lineRule="auto" w:before="36"/>
        <w:ind w:left="224" w:right="0"/>
        <w:jc w:val="left"/>
        <w:rPr>
          <w:b w:val="0"/>
          <w:bCs w:val="0"/>
        </w:rPr>
      </w:pPr>
      <w:r>
        <w:rPr>
          <w:rFonts w:ascii="Calibri" w:hAnsi="Calibri" w:cs="Calibri" w:eastAsia="Calibri" w:hint="default"/>
          <w:spacing w:val="-1"/>
        </w:rPr>
        <w:t>(</w:t>
      </w:r>
      <w:r>
        <w:rPr>
          <w:spacing w:val="-1"/>
        </w:rPr>
        <w:t>二</w:t>
      </w:r>
      <w:r>
        <w:rPr>
          <w:rFonts w:ascii="Calibri" w:hAnsi="Calibri" w:cs="Calibri" w:eastAsia="Calibri" w:hint="default"/>
          <w:spacing w:val="-1"/>
        </w:rPr>
        <w:t>)</w:t>
      </w:r>
      <w:r>
        <w:rPr>
          <w:spacing w:val="-1"/>
        </w:rPr>
        <w:t>董事、高级管理人员报告期内被授予的股权激励情况</w:t>
      </w:r>
      <w:r>
        <w:rPr>
          <w:b w:val="0"/>
          <w:bCs w:val="0"/>
          <w:spacing w:val="-1"/>
        </w:rPr>
      </w:r>
    </w:p>
    <w:p>
      <w:pPr>
        <w:pStyle w:val="BodyText"/>
        <w:spacing w:line="240" w:lineRule="auto" w:before="29"/>
        <w:ind w:left="224" w:right="0"/>
        <w:jc w:val="left"/>
      </w:pPr>
      <w:r>
        <w:rPr>
          <w:rFonts w:ascii="Calibri" w:hAnsi="Calibri" w:cs="Calibri" w:eastAsia="Calibri" w:hint="default"/>
        </w:rPr>
        <w:t>√</w:t>
      </w: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24" w:right="0"/>
        <w:jc w:val="left"/>
      </w:pPr>
      <w:r>
        <w:rPr/>
        <w:t>单位</w:t>
      </w:r>
      <w:r>
        <w:rPr>
          <w:rFonts w:ascii="Calibri" w:hAnsi="Calibri" w:cs="Calibri" w:eastAsia="Calibri" w:hint="default"/>
        </w:rPr>
        <w:t>:</w:t>
      </w:r>
      <w:r>
        <w:rPr/>
        <w:t>股</w:t>
      </w:r>
    </w:p>
    <w:p>
      <w:pPr>
        <w:spacing w:after="0" w:line="240" w:lineRule="auto"/>
        <w:jc w:val="left"/>
        <w:sectPr>
          <w:type w:val="continuous"/>
          <w:pgSz w:w="16840" w:h="11910" w:orient="landscape"/>
          <w:pgMar w:top="1580" w:bottom="280" w:left="1300" w:right="1220"/>
          <w:cols w:num="2" w:equalWidth="0">
            <w:col w:w="5414" w:space="7774"/>
            <w:col w:w="1132"/>
          </w:cols>
        </w:sect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82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7"/>
              <w:jc w:val="right"/>
              <w:rPr>
                <w:rFonts w:ascii="Times New Roman" w:hAnsi="Times New Roman" w:cs="Times New Roman" w:eastAsia="Times New Roman" w:hint="default"/>
                <w:sz w:val="21"/>
                <w:szCs w:val="21"/>
              </w:rPr>
            </w:pPr>
            <w:r>
              <w:rPr>
                <w:rFonts w:ascii="Times New Roman"/>
                <w:spacing w:val="-1"/>
                <w:sz w:val="21"/>
              </w:rPr>
              <w:t>120,000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7.14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10.10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7"/>
              <w:jc w:val="right"/>
              <w:rPr>
                <w:rFonts w:ascii="Times New Roman" w:hAnsi="Times New Roman" w:cs="Times New Roman" w:eastAsia="Times New Roman" w:hint="default"/>
                <w:sz w:val="21"/>
                <w:szCs w:val="21"/>
              </w:rPr>
            </w:pPr>
            <w:r>
              <w:rPr>
                <w:rFonts w:ascii="Times New Roman"/>
                <w:spacing w:val="-1"/>
                <w:sz w:val="21"/>
              </w:rPr>
              <w:t>120,000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6840" w:h="11910" w:orient="landscape"/>
          <w:pgMar w:top="1580" w:bottom="280" w:left="1300" w:right="12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left="224" w:right="0"/>
        <w:jc w:val="left"/>
        <w:rPr>
          <w:b w:val="0"/>
          <w:bCs w:val="0"/>
        </w:rPr>
      </w:pPr>
      <w:r>
        <w:rPr/>
        <w:t>二、现任及报告期内离任董事、监事和高级管理人员的任职情况</w:t>
      </w:r>
      <w:r>
        <w:rPr>
          <w:b w:val="0"/>
          <w:bCs w:val="0"/>
        </w:rPr>
      </w:r>
    </w:p>
    <w:p>
      <w:pPr>
        <w:pStyle w:val="Heading3"/>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tabs>
          <w:tab w:pos="1066" w:val="left" w:leader="none"/>
        </w:tabs>
        <w:spacing w:line="240" w:lineRule="auto" w:before="29"/>
        <w:ind w:left="224"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tabs>
          <w:tab w:pos="961" w:val="left" w:leader="none"/>
        </w:tabs>
        <w:spacing w:line="240" w:lineRule="auto" w:before="29"/>
        <w:ind w:left="224"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万石控股集团有限公司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2015/12/1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2016/1/1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泰宁万石旅游投资开发有限公司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2016/12/1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武夷山国际健康管理集团有限公司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2017/3/21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武夷山国际健康小镇有限公司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武夷山国际转诊中心有限公司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2017/4/19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武夷山国际抗衰老中心有限公司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武夷山国际医疗旅游旅行社有限公司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武夷山国际康复疗养中心有限公司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武夷山国际体检中心有限公司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武夷山国际健康论坛有限公司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2017/4/25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泉州匹兹堡健康中心有限公司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2017/9/13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京华信息科技股份有限公司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2016/9/2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福建师范大学光电与信息工程学院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教授、博士生导师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2015/9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福建省电子学会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福建省青年科学家协会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福建省女科学家协会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2012/5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华映科技（集团）股份有限公司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center"/>
              <w:rPr>
                <w:rFonts w:ascii="Times New Roman" w:hAnsi="Times New Roman" w:cs="Times New Roman" w:eastAsia="Times New Roman" w:hint="default"/>
                <w:sz w:val="21"/>
                <w:szCs w:val="21"/>
              </w:rPr>
            </w:pPr>
            <w:r>
              <w:rPr>
                <w:rFonts w:ascii="Times New Roman"/>
                <w:sz w:val="21"/>
              </w:rPr>
              <w:t>2017/4/11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万达信息股份有限公司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2013/12/1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2019/12/1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彩虹显示器件股份有限公司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2012/3/1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2018/3/1</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55" w:footer="980" w:top="1140" w:bottom="1160" w:left="1300" w:right="1220"/>
        </w:sectPr>
      </w:pP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福建星网锐捷通讯股份有限公司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2018/3/1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福州大学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1998/7/1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福建省信息产业专家委员会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2009/1/1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福建省计算机学会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2008/10/1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福建博思软件股份有限公司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2012/6/1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福建星网锐捷通讯股份有限公司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2018/3/1</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福建顶点软件股份有限公司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sz w:val="21"/>
              </w:rPr>
              <w:t>2015/1/1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华侨大学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1992/9/1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18"/>
          <w:szCs w:val="18"/>
        </w:rPr>
      </w:pPr>
    </w:p>
    <w:p>
      <w:pPr>
        <w:pStyle w:val="Heading3"/>
        <w:spacing w:line="240" w:lineRule="auto" w:before="36"/>
        <w:ind w:left="224" w:right="0"/>
        <w:jc w:val="left"/>
        <w:rPr>
          <w:b w:val="0"/>
          <w:bCs w:val="0"/>
        </w:rPr>
      </w:pPr>
      <w:r>
        <w:rPr/>
        <w:t>三、董事、监事、高级管理人员报酬情况</w:t>
      </w:r>
      <w:r>
        <w:rPr>
          <w:b w:val="0"/>
          <w:bCs w:val="0"/>
        </w:rPr>
      </w:r>
    </w:p>
    <w:p>
      <w:pPr>
        <w:pStyle w:val="BodyText"/>
        <w:tabs>
          <w:tab w:pos="1066" w:val="left" w:leader="none"/>
        </w:tabs>
        <w:spacing w:line="240" w:lineRule="auto" w:before="58"/>
        <w:ind w:left="224" w:right="0"/>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根据公司章程，董事、监事报酬由股东大会确定；高级管理人员报酬由董事会确定。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结合公司所处行业及地区的薪酬水平，根据公司《薪酬管理制度》确定。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373.08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373.08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pStyle w:val="Heading3"/>
        <w:spacing w:line="240" w:lineRule="auto" w:before="36"/>
        <w:ind w:left="224" w:right="0"/>
        <w:jc w:val="left"/>
        <w:rPr>
          <w:b w:val="0"/>
          <w:bCs w:val="0"/>
        </w:rPr>
      </w:pPr>
      <w:r>
        <w:rPr/>
        <w:t>四、公司董事、监事、高级管理人员变动情况</w:t>
      </w:r>
      <w:r>
        <w:rPr>
          <w:b w:val="0"/>
          <w:bCs w:val="0"/>
        </w:rPr>
      </w:r>
    </w:p>
    <w:p>
      <w:pPr>
        <w:pStyle w:val="BodyText"/>
        <w:tabs>
          <w:tab w:pos="1066" w:val="left" w:leader="none"/>
        </w:tabs>
        <w:spacing w:line="240" w:lineRule="auto" w:before="56"/>
        <w:ind w:left="224" w:right="0"/>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赵小凡</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吴怡</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陈周明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bl>
    <w:p>
      <w:pPr>
        <w:spacing w:after="0" w:line="241" w:lineRule="exact"/>
        <w:jc w:val="center"/>
        <w:rPr>
          <w:rFonts w:ascii="宋体" w:hAnsi="宋体" w:cs="宋体" w:eastAsia="宋体" w:hint="default"/>
          <w:sz w:val="21"/>
          <w:szCs w:val="21"/>
        </w:rPr>
        <w:sectPr>
          <w:pgSz w:w="16840" w:h="11910" w:orient="landscape"/>
          <w:pgMar w:header="855" w:footer="980" w:top="1140" w:bottom="1160" w:left="1300" w:right="1220"/>
        </w:sectPr>
      </w:pP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曾志勇</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黄文峰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郑金聪</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spacing w:line="240" w:lineRule="auto" w:before="36"/>
        <w:ind w:left="224" w:right="0"/>
        <w:jc w:val="left"/>
        <w:rPr>
          <w:b w:val="0"/>
          <w:bCs w:val="0"/>
        </w:rPr>
      </w:pPr>
      <w:r>
        <w:rPr/>
        <w:t>五、近三年受证券监管机构处罚的情况说明</w:t>
      </w:r>
      <w:r>
        <w:rPr>
          <w:b w:val="0"/>
          <w:bCs w:val="0"/>
        </w:rPr>
      </w:r>
    </w:p>
    <w:p>
      <w:pPr>
        <w:pStyle w:val="BodyText"/>
        <w:tabs>
          <w:tab w:pos="1066" w:val="left" w:leader="none"/>
        </w:tabs>
        <w:spacing w:line="240" w:lineRule="auto" w:before="59"/>
        <w:ind w:left="224"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40" w:lineRule="auto"/>
        <w:jc w:val="left"/>
        <w:sectPr>
          <w:pgSz w:w="16840" w:h="11910" w:orient="landscape"/>
          <w:pgMar w:header="855" w:footer="980" w:top="1140" w:bottom="1160" w:left="1300" w:right="12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36"/>
        <w:ind w:right="2513"/>
        <w:jc w:val="left"/>
        <w:rPr>
          <w:b w:val="0"/>
          <w:bCs w:val="0"/>
        </w:rPr>
      </w:pPr>
      <w:r>
        <w:rPr/>
        <w:t>六、母公司和主要子公司的员工情况</w:t>
      </w:r>
      <w:r>
        <w:rPr>
          <w:b w:val="0"/>
          <w:bCs w:val="0"/>
        </w:rPr>
      </w:r>
    </w:p>
    <w:p>
      <w:pPr>
        <w:pStyle w:val="Heading3"/>
        <w:spacing w:line="240" w:lineRule="auto" w:before="58"/>
        <w:ind w:right="25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719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1,216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88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1,216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1,216</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3"/>
        <w:spacing w:line="240" w:lineRule="auto" w:before="3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163" w:val="left" w:leader="none"/>
        </w:tabs>
        <w:spacing w:line="307" w:lineRule="auto" w:before="29"/>
        <w:ind w:left="638" w:right="230" w:hanging="420"/>
        <w:jc w:val="left"/>
      </w:pPr>
      <w:r>
        <w:rPr/>
        <w:t>√适用</w:t>
        <w:tab/>
        <w:t>□不适用</w:t>
      </w:r>
      <w:r>
        <w:rPr>
          <w:w w:val="100"/>
        </w:rPr>
        <w:t> </w:t>
      </w:r>
      <w:r>
        <w:rPr>
          <w:spacing w:val="-2"/>
        </w:rPr>
        <w:t>南威软件岗位职级薪酬体系采用国际通用的职级体系，以岗位价值作为职级评估基准确定薪</w:t>
      </w:r>
    </w:p>
    <w:p>
      <w:pPr>
        <w:pStyle w:val="BodyText"/>
        <w:spacing w:line="314" w:lineRule="auto" w:before="26"/>
        <w:ind w:right="228"/>
        <w:jc w:val="both"/>
      </w:pPr>
      <w:r>
        <w:rPr>
          <w:spacing w:val="-1"/>
        </w:rPr>
        <w:t>酬架构，综合考虑员工的岗位胜任能力使之与员工岗位相匹配，强调薪酬的外部市场的竞争性和</w:t>
      </w:r>
      <w:r>
        <w:rPr>
          <w:spacing w:val="-55"/>
        </w:rPr>
        <w:t> </w:t>
      </w:r>
      <w:r>
        <w:rPr>
          <w:spacing w:val="-55"/>
        </w:rPr>
      </w:r>
      <w:r>
        <w:rPr>
          <w:spacing w:val="-1"/>
        </w:rPr>
        <w:t>内部的公平性。根据集团各类人员绩效考核办法，考核员工的年度绩效完成情况，按绩效完成情</w:t>
      </w:r>
      <w:r>
        <w:rPr>
          <w:spacing w:val="-55"/>
        </w:rPr>
        <w:t> </w:t>
      </w:r>
      <w:r>
        <w:rPr>
          <w:spacing w:val="-55"/>
        </w:rPr>
      </w:r>
      <w:r>
        <w:rPr/>
        <w:t>况核算员工的年度绩效薪酬。</w:t>
      </w: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32"/>
        <w:ind w:right="0"/>
        <w:jc w:val="both"/>
      </w:pPr>
      <w:r>
        <w:rPr/>
        <w:t>√适用  </w:t>
      </w:r>
      <w:r>
        <w:rPr>
          <w:spacing w:val="1"/>
        </w:rPr>
        <w:t> </w:t>
      </w:r>
      <w:r>
        <w:rPr/>
        <w:t>□不适用</w:t>
      </w:r>
    </w:p>
    <w:p>
      <w:pPr>
        <w:pStyle w:val="BodyText"/>
        <w:spacing w:line="297" w:lineRule="auto" w:before="73"/>
        <w:ind w:right="2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spacing w:val="-3"/>
        </w:rPr>
        <w:t>年，培训工作紧密围绕公司人才战略开展，根据培训需求调查结果，制定年度培训计划</w:t>
      </w:r>
      <w:r>
        <w:rPr>
          <w:w w:val="100"/>
        </w:rPr>
        <w:t> </w:t>
      </w:r>
      <w:r>
        <w:rPr/>
        <w:t>并认真落实，培训教育工作取得了新的进展。</w:t>
      </w:r>
    </w:p>
    <w:p>
      <w:pPr>
        <w:pStyle w:val="BodyText"/>
        <w:spacing w:line="302" w:lineRule="auto" w:before="34"/>
        <w:ind w:right="228" w:firstLine="419"/>
        <w:jc w:val="both"/>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0"/>
          <w:w w:val="100"/>
        </w:rPr>
        <w:t> </w:t>
      </w:r>
      <w:r>
        <w:rPr>
          <w:spacing w:val="-8"/>
          <w:w w:val="100"/>
        </w:rPr>
        <w:t>年加强全员的培训工作，全年共开展</w:t>
      </w:r>
      <w:r>
        <w:rPr>
          <w:spacing w:val="-63"/>
          <w:w w:val="100"/>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10"/>
          <w:w w:val="100"/>
        </w:rPr>
        <w:t> </w:t>
      </w:r>
      <w:r>
        <w:rPr>
          <w:spacing w:val="-8"/>
          <w:w w:val="100"/>
        </w:rPr>
        <w:t>场公司级线上线下培训活动，参与人次达</w:t>
      </w:r>
      <w:r>
        <w:rPr>
          <w:spacing w:val="-60"/>
          <w:w w:val="100"/>
        </w:rPr>
        <w:t> </w:t>
      </w:r>
      <w:r>
        <w:rPr>
          <w:rFonts w:ascii="Times New Roman" w:hAnsi="Times New Roman" w:cs="Times New Roman" w:eastAsia="Times New Roman" w:hint="default"/>
          <w:spacing w:val="-1"/>
          <w:w w:val="100"/>
        </w:rPr>
        <w:t>2,773</w:t>
      </w:r>
      <w:r>
        <w:rPr>
          <w:spacing w:val="-1"/>
          <w:w w:val="100"/>
        </w:rPr>
        <w:t>，</w:t>
      </w:r>
      <w:r>
        <w:rPr>
          <w:w w:val="100"/>
        </w:rPr>
        <w:t> </w:t>
      </w:r>
      <w:r>
        <w:rPr/>
        <w:t>同比增长</w:t>
      </w:r>
      <w:r>
        <w:rPr>
          <w:spacing w:val="-41"/>
        </w:rPr>
        <w:t> </w:t>
      </w:r>
      <w:r>
        <w:rPr>
          <w:rFonts w:ascii="Times New Roman" w:hAnsi="Times New Roman" w:cs="Times New Roman" w:eastAsia="Times New Roman" w:hint="default"/>
          <w:spacing w:val="-4"/>
        </w:rPr>
        <w:t>101%</w:t>
      </w:r>
      <w:r>
        <w:rPr>
          <w:spacing w:val="-4"/>
        </w:rPr>
        <w:t>，总时长达</w:t>
      </w:r>
      <w:r>
        <w:rPr>
          <w:spacing w:val="-41"/>
        </w:rPr>
        <w:t> </w:t>
      </w:r>
      <w:r>
        <w:rPr>
          <w:rFonts w:ascii="Times New Roman" w:hAnsi="Times New Roman" w:cs="Times New Roman" w:eastAsia="Times New Roman" w:hint="default"/>
        </w:rPr>
        <w:t>11,161</w:t>
      </w:r>
      <w:r>
        <w:rPr>
          <w:rFonts w:ascii="Times New Roman" w:hAnsi="Times New Roman" w:cs="Times New Roman" w:eastAsia="Times New Roman" w:hint="default"/>
          <w:spacing w:val="8"/>
        </w:rPr>
        <w:t> </w:t>
      </w:r>
      <w:r>
        <w:rPr>
          <w:spacing w:val="-4"/>
        </w:rPr>
        <w:t>课时，同比增长</w:t>
      </w:r>
      <w:r>
        <w:rPr>
          <w:spacing w:val="-44"/>
        </w:rPr>
        <w:t> </w:t>
      </w:r>
      <w:r>
        <w:rPr>
          <w:rFonts w:ascii="Times New Roman" w:hAnsi="Times New Roman" w:cs="Times New Roman" w:eastAsia="Times New Roman" w:hint="default"/>
          <w:spacing w:val="-3"/>
        </w:rPr>
        <w:t>103%</w:t>
      </w:r>
      <w:r>
        <w:rPr>
          <w:spacing w:val="-3"/>
        </w:rPr>
        <w:t>。开创了线上培训学习平台，采用碎片化</w:t>
      </w:r>
      <w:r>
        <w:rPr>
          <w:spacing w:val="-101"/>
        </w:rPr>
        <w:t> </w:t>
      </w:r>
      <w:r>
        <w:rPr>
          <w:spacing w:val="-101"/>
        </w:rPr>
      </w:r>
      <w:r>
        <w:rPr>
          <w:spacing w:val="-1"/>
        </w:rPr>
        <w:t>学习的方式，获得了广大员工的认可。同时，进一步开展各类技术、质量管理体系培训、项目管</w:t>
      </w:r>
      <w:r>
        <w:rPr>
          <w:spacing w:val="-55"/>
        </w:rPr>
        <w:t> </w:t>
      </w:r>
      <w:r>
        <w:rPr>
          <w:spacing w:val="-55"/>
        </w:rPr>
      </w:r>
      <w:r>
        <w:rPr>
          <w:spacing w:val="-7"/>
          <w:w w:val="100"/>
        </w:rPr>
        <w:t>理等课程，进一步增强了公司各类人才的业务知识和岗位技能，保证了公司管理体系的有效运行。</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0"/>
        <w:jc w:val="both"/>
      </w:pPr>
      <w:r>
        <w:rPr/>
        <w:t>□适用  </w:t>
      </w:r>
      <w:r>
        <w:rPr>
          <w:rFonts w:ascii="Calibri" w:hAnsi="Calibri" w:cs="Calibri" w:eastAsia="Calibri" w:hint="default"/>
        </w:rPr>
        <w:t>√</w:t>
      </w:r>
      <w:r>
        <w:rPr/>
        <w:t>不适用</w:t>
      </w:r>
    </w:p>
    <w:p>
      <w:pPr>
        <w:spacing w:after="0" w:line="240" w:lineRule="auto"/>
        <w:jc w:val="both"/>
        <w:sectPr>
          <w:headerReference w:type="default" r:id="rId28"/>
          <w:footerReference w:type="default" r:id="rId29"/>
          <w:pgSz w:w="11910" w:h="16840"/>
          <w:pgMar w:header="852" w:footer="979" w:top="1140" w:bottom="1160" w:left="1580" w:right="1040"/>
          <w:pgNumType w:start="69"/>
        </w:sectPr>
      </w:pPr>
    </w:p>
    <w:p>
      <w:pPr>
        <w:spacing w:line="240" w:lineRule="auto" w:before="8"/>
        <w:rPr>
          <w:rFonts w:ascii="宋体" w:hAnsi="宋体" w:cs="宋体" w:eastAsia="宋体" w:hint="default"/>
          <w:sz w:val="23"/>
          <w:szCs w:val="23"/>
        </w:rPr>
      </w:pPr>
    </w:p>
    <w:p>
      <w:pPr>
        <w:pStyle w:val="Heading3"/>
        <w:spacing w:line="240" w:lineRule="auto" w:before="36"/>
        <w:ind w:left="138" w:right="130"/>
        <w:jc w:val="left"/>
        <w:rPr>
          <w:b w:val="0"/>
          <w:bCs w:val="0"/>
        </w:rPr>
      </w:pPr>
      <w:r>
        <w:rPr/>
        <w:t>七、其他</w:t>
      </w:r>
      <w:r>
        <w:rPr>
          <w:b w:val="0"/>
          <w:bCs w:val="0"/>
        </w:rPr>
      </w:r>
    </w:p>
    <w:p>
      <w:pPr>
        <w:pStyle w:val="BodyText"/>
        <w:tabs>
          <w:tab w:pos="1083" w:val="left" w:leader="none"/>
        </w:tabs>
        <w:spacing w:line="240" w:lineRule="auto" w:before="58"/>
        <w:ind w:left="138" w:right="130"/>
        <w:jc w:val="left"/>
      </w:pPr>
      <w:r>
        <w:rPr/>
        <w:t>□适用</w:t>
        <w:tab/>
        <w:t>√不适用</w:t>
      </w:r>
    </w:p>
    <w:p>
      <w:pPr>
        <w:spacing w:after="0" w:line="240" w:lineRule="auto"/>
        <w:jc w:val="left"/>
        <w:sectPr>
          <w:pgSz w:w="11910" w:h="16840"/>
          <w:pgMar w:header="852" w:footer="979" w:top="1140" w:bottom="116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1"/>
        <w:spacing w:line="240" w:lineRule="auto"/>
        <w:ind w:right="357"/>
        <w:jc w:val="center"/>
        <w:rPr>
          <w:b w:val="0"/>
          <w:bCs w:val="0"/>
        </w:rPr>
      </w:pPr>
      <w:bookmarkStart w:name="_TOC_250003" w:id="9"/>
      <w:r>
        <w:rPr/>
        <w:t>第九节公司治理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ind w:right="0"/>
        <w:jc w:val="both"/>
        <w:rPr>
          <w:b w:val="0"/>
          <w:bCs w:val="0"/>
        </w:rPr>
      </w:pPr>
      <w:r>
        <w:rPr/>
        <w:t>一、公司治理相关情况说明</w:t>
      </w:r>
      <w:r>
        <w:rPr>
          <w:b w:val="0"/>
          <w:bCs w:val="0"/>
        </w:rPr>
      </w:r>
    </w:p>
    <w:p>
      <w:pPr>
        <w:pStyle w:val="BodyText"/>
        <w:tabs>
          <w:tab w:pos="1163" w:val="left" w:leader="none"/>
        </w:tabs>
        <w:spacing w:line="304" w:lineRule="auto" w:before="58"/>
        <w:ind w:left="638" w:right="230" w:hanging="420"/>
        <w:jc w:val="left"/>
      </w:pPr>
      <w:r>
        <w:rPr/>
        <w:t>√适用</w:t>
        <w:tab/>
        <w:t>□不适用</w:t>
      </w:r>
      <w:r>
        <w:rPr>
          <w:w w:val="100"/>
        </w:rPr>
        <w:t> </w:t>
      </w:r>
      <w:r>
        <w:rPr>
          <w:spacing w:val="-11"/>
          <w:w w:val="100"/>
        </w:rPr>
        <w:t>报告期内，公司严格按照《公司法》、《证券法》、《上市公司治理准则》和《上海证券交易所</w:t>
      </w:r>
    </w:p>
    <w:p>
      <w:pPr>
        <w:pStyle w:val="BodyText"/>
        <w:spacing w:line="314" w:lineRule="auto" w:before="28"/>
        <w:ind w:right="228"/>
        <w:jc w:val="both"/>
      </w:pPr>
      <w:r>
        <w:rPr>
          <w:spacing w:val="-1"/>
        </w:rPr>
        <w:t>股票上市规则》等有关上市公司治理法律法规及《公司章程》的要求，结合公司实际情况，不断</w:t>
      </w:r>
      <w:r>
        <w:rPr>
          <w:spacing w:val="-55"/>
        </w:rPr>
        <w:t> </w:t>
      </w:r>
      <w:r>
        <w:rPr>
          <w:spacing w:val="-55"/>
        </w:rPr>
      </w:r>
      <w:r>
        <w:rPr>
          <w:spacing w:val="-1"/>
        </w:rPr>
        <w:t>完善公司各项规章制度，加强信息披露工作，不断完善公司的法人治理结构，持续推进公司规范</w:t>
      </w:r>
      <w:r>
        <w:rPr>
          <w:spacing w:val="-55"/>
        </w:rPr>
        <w:t> </w:t>
      </w:r>
      <w:r>
        <w:rPr>
          <w:spacing w:val="-55"/>
        </w:rPr>
      </w:r>
      <w:r>
        <w:rPr/>
        <w:t>化运作，提升公司治理水平，切实维护公司及全体股东的利益。</w:t>
      </w:r>
    </w:p>
    <w:p>
      <w:pPr>
        <w:pStyle w:val="BodyText"/>
        <w:spacing w:line="314" w:lineRule="auto" w:before="20"/>
        <w:ind w:right="228" w:firstLine="419"/>
        <w:jc w:val="both"/>
      </w:pPr>
      <w:r>
        <w:rPr>
          <w:spacing w:val="-2"/>
        </w:rPr>
        <w:t>公司股东大会、董事会、监事会、各经营管理层职责明确；董事、监事、高级管理人员勤勉</w:t>
      </w:r>
      <w:r>
        <w:rPr>
          <w:w w:val="100"/>
        </w:rPr>
        <w:t> </w:t>
      </w:r>
      <w:r>
        <w:rPr>
          <w:spacing w:val="-1"/>
        </w:rPr>
        <w:t>尽职，认真履行职责；关联董事能够主动回避相关关联交易事项的表决。公司信息披露真实、准</w:t>
      </w:r>
      <w:r>
        <w:rPr>
          <w:spacing w:val="-55"/>
        </w:rPr>
        <w:t> </w:t>
      </w:r>
      <w:r>
        <w:rPr>
          <w:spacing w:val="-55"/>
        </w:rPr>
      </w:r>
      <w:r>
        <w:rPr>
          <w:spacing w:val="-1"/>
        </w:rPr>
        <w:t>确、完整、及时，董事会各专业委员会有效发挥职能，对公司各项工作进行了有效决策和监督，</w:t>
      </w:r>
      <w:r>
        <w:rPr>
          <w:spacing w:val="-55"/>
        </w:rPr>
        <w:t> </w:t>
      </w:r>
      <w:r>
        <w:rPr>
          <w:spacing w:val="-55"/>
        </w:rPr>
      </w:r>
      <w:r>
        <w:rPr/>
        <w:t>内部控制体系水平得到了进一步提升，确保了公司合规、稳定发展。</w:t>
      </w:r>
    </w:p>
    <w:p>
      <w:pPr>
        <w:spacing w:line="240" w:lineRule="auto" w:before="4"/>
        <w:rPr>
          <w:rFonts w:ascii="宋体" w:hAnsi="宋体" w:cs="宋体" w:eastAsia="宋体" w:hint="default"/>
          <w:sz w:val="15"/>
          <w:szCs w:val="15"/>
        </w:rPr>
      </w:pPr>
    </w:p>
    <w:p>
      <w:pPr>
        <w:pStyle w:val="BodyText"/>
        <w:spacing w:line="273" w:lineRule="exact"/>
        <w:ind w:right="0"/>
        <w:jc w:val="both"/>
      </w:pPr>
      <w:r>
        <w:rPr/>
        <w:t>公司治理与中国证监会相关规定的要求是否存在重大差异；如有重大差异，应当说明原因</w:t>
      </w:r>
    </w:p>
    <w:p>
      <w:pPr>
        <w:tabs>
          <w:tab w:pos="1060" w:val="left" w:leader="none"/>
        </w:tabs>
        <w:spacing w:line="470" w:lineRule="auto" w:before="0"/>
        <w:ind w:left="218" w:right="6952" w:firstLine="0"/>
        <w:jc w:val="left"/>
        <w:rPr>
          <w:rFonts w:ascii="宋体" w:hAnsi="宋体" w:cs="宋体" w:eastAsia="宋体" w:hint="default"/>
          <w:sz w:val="21"/>
          <w:szCs w:val="21"/>
        </w:rPr>
      </w:pPr>
      <w:r>
        <w:rPr/>
        <w:pict>
          <v:shape style="position:absolute;margin-left:84.264pt;margin-top:47.783676pt;width:453.2pt;height:70.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2017-03-22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2017-03-23</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34"/>
                            <w:sz w:val="21"/>
                            <w:szCs w:val="21"/>
                          </w:rPr>
                          <w:t> </w:t>
                        </w:r>
                        <w:r>
                          <w:rPr>
                            <w:rFonts w:ascii="宋体" w:hAnsi="宋体" w:cs="宋体" w:eastAsia="宋体" w:hint="default"/>
                            <w:spacing w:val="9"/>
                            <w:sz w:val="21"/>
                            <w:szCs w:val="21"/>
                          </w:rPr>
                          <w:t>年第一次临时股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2017-08-23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hyperlink r:id="rId12">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2017-08-24</w:t>
                        </w:r>
                      </w:p>
                    </w:tc>
                  </w:tr>
                </w:tbl>
                <w:p>
                  <w:pPr/>
                </w:p>
              </w:txbxContent>
            </v:textbox>
            <w10:wrap type="none"/>
          </v:shape>
        </w:pict>
      </w:r>
      <w:r>
        <w:rPr>
          <w:rFonts w:ascii="Arial" w:hAnsi="Arial" w:cs="Arial" w:eastAsia="Arial" w:hint="default"/>
          <w:sz w:val="21"/>
          <w:szCs w:val="21"/>
        </w:rPr>
        <w:t>□</w:t>
      </w:r>
      <w:r>
        <w:rPr>
          <w:rFonts w:ascii="Arial" w:hAnsi="Arial" w:cs="Arial" w:eastAsia="Arial" w:hint="default"/>
          <w:spacing w:val="28"/>
          <w:sz w:val="21"/>
          <w:szCs w:val="21"/>
        </w:rPr>
        <w:t> </w:t>
      </w:r>
      <w:r>
        <w:rPr>
          <w:rFonts w:ascii="宋体" w:hAnsi="宋体" w:cs="宋体" w:eastAsia="宋体" w:hint="default"/>
          <w:sz w:val="21"/>
          <w:szCs w:val="21"/>
        </w:rPr>
        <w:t>适用</w:t>
        <w:tab/>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74" w:lineRule="exact"/>
        <w:ind w:right="2513"/>
        <w:jc w:val="left"/>
      </w:pPr>
      <w:r>
        <w:rPr/>
        <w:t>股东大会情况说明</w:t>
      </w:r>
    </w:p>
    <w:p>
      <w:pPr>
        <w:pStyle w:val="BodyText"/>
        <w:tabs>
          <w:tab w:pos="954" w:val="left" w:leader="none"/>
        </w:tabs>
        <w:spacing w:line="276" w:lineRule="auto"/>
        <w:ind w:left="638" w:right="3812" w:hanging="42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报告期内，公司股东大会审议的所有议案均获通过。</w:t>
      </w:r>
    </w:p>
    <w:p>
      <w:pPr>
        <w:spacing w:line="240" w:lineRule="auto" w:before="6"/>
        <w:rPr>
          <w:rFonts w:ascii="宋体" w:hAnsi="宋体" w:cs="宋体" w:eastAsia="宋体" w:hint="default"/>
          <w:sz w:val="22"/>
          <w:szCs w:val="22"/>
        </w:rPr>
      </w:pPr>
    </w:p>
    <w:p>
      <w:pPr>
        <w:pStyle w:val="Heading3"/>
        <w:spacing w:line="240" w:lineRule="auto"/>
        <w:ind w:right="2513"/>
        <w:jc w:val="left"/>
        <w:rPr>
          <w:b w:val="0"/>
          <w:bCs w:val="0"/>
        </w:rPr>
      </w:pPr>
      <w:r>
        <w:rPr/>
        <w:t>三、董事履行职责情况</w:t>
      </w:r>
      <w:r>
        <w:rPr>
          <w:b w:val="0"/>
          <w:bCs w:val="0"/>
        </w:rPr>
      </w:r>
    </w:p>
    <w:p>
      <w:pPr>
        <w:pStyle w:val="Heading3"/>
        <w:spacing w:line="240" w:lineRule="auto" w:before="56"/>
        <w:ind w:right="25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徐春梅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廖长宝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赵小凡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王建章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曾繁英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35" w:lineRule="exact"/>
        <w:jc w:val="right"/>
        <w:rPr>
          <w:rFonts w:ascii="Times New Roman" w:hAnsi="Times New Roman" w:cs="Times New Roman" w:eastAsia="Times New Roman" w:hint="default"/>
          <w:sz w:val="21"/>
          <w:szCs w:val="21"/>
        </w:rPr>
        <w:sectPr>
          <w:pgSz w:w="11910" w:h="16840"/>
          <w:pgMar w:header="852" w:footer="979" w:top="1140" w:bottom="1160" w:left="1580" w:right="1040"/>
        </w:sectPr>
      </w:pPr>
    </w:p>
    <w:p>
      <w:pPr>
        <w:spacing w:line="240" w:lineRule="auto" w:before="8"/>
        <w:rPr>
          <w:rFonts w:ascii="宋体" w:hAnsi="宋体" w:cs="宋体" w:eastAsia="宋体" w:hint="default"/>
          <w:b/>
          <w:bCs/>
          <w:sz w:val="23"/>
          <w:szCs w:val="23"/>
        </w:rPr>
      </w:pPr>
    </w:p>
    <w:p>
      <w:pPr>
        <w:pStyle w:val="BodyText"/>
        <w:spacing w:line="274" w:lineRule="exact" w:before="36"/>
        <w:ind w:right="2513"/>
        <w:jc w:val="left"/>
      </w:pPr>
      <w:r>
        <w:rPr/>
        <w:t>连续两次未亲自出席董事会会议的说明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15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tabs>
          <w:tab w:pos="1060" w:val="left" w:leader="none"/>
        </w:tabs>
        <w:spacing w:line="240" w:lineRule="auto" w:before="29"/>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163" w:val="left" w:leader="none"/>
        </w:tabs>
        <w:spacing w:line="240" w:lineRule="auto" w:before="32"/>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left="642" w:right="123"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163" w:val="left" w:leader="none"/>
        </w:tabs>
        <w:spacing w:line="307" w:lineRule="auto" w:before="56"/>
        <w:ind w:left="638" w:right="230" w:hanging="420"/>
        <w:jc w:val="left"/>
      </w:pPr>
      <w:r>
        <w:rPr/>
        <w:t>√适用</w:t>
        <w:tab/>
        <w:t>□不适用</w:t>
      </w:r>
      <w:r>
        <w:rPr>
          <w:w w:val="100"/>
        </w:rPr>
        <w:t> </w:t>
      </w:r>
      <w:r>
        <w:rPr>
          <w:spacing w:val="-2"/>
        </w:rPr>
        <w:t>报告期内，公司董事会下设的战略委员会、审计委员会、提名委员会、薪酬与考核委员会能</w:t>
      </w:r>
    </w:p>
    <w:p>
      <w:pPr>
        <w:pStyle w:val="BodyText"/>
        <w:spacing w:line="314" w:lineRule="auto" w:before="26"/>
        <w:ind w:right="123"/>
        <w:jc w:val="left"/>
      </w:pPr>
      <w:r>
        <w:rPr>
          <w:spacing w:val="-1"/>
        </w:rPr>
        <w:t>够按照各专门委员会工作细则认真履行职责，分别对公司募集资金、财务报告、内部控制等事项</w:t>
      </w:r>
      <w:r>
        <w:rPr>
          <w:spacing w:val="-55"/>
        </w:rPr>
        <w:t> </w:t>
      </w:r>
      <w:r>
        <w:rPr>
          <w:spacing w:val="-55"/>
        </w:rPr>
      </w:r>
      <w:r>
        <w:rPr/>
        <w:t>进行审查，均未对所审议案提出异议。</w:t>
      </w:r>
    </w:p>
    <w:p>
      <w:pPr>
        <w:spacing w:line="240" w:lineRule="auto" w:before="11"/>
        <w:rPr>
          <w:rFonts w:ascii="宋体" w:hAnsi="宋体" w:cs="宋体" w:eastAsia="宋体" w:hint="default"/>
          <w:sz w:val="19"/>
          <w:szCs w:val="19"/>
        </w:rPr>
      </w:pPr>
    </w:p>
    <w:p>
      <w:pPr>
        <w:pStyle w:val="Heading3"/>
        <w:spacing w:line="240" w:lineRule="auto"/>
        <w:ind w:right="2513"/>
        <w:jc w:val="left"/>
        <w:rPr>
          <w:b w:val="0"/>
          <w:bCs w:val="0"/>
        </w:rPr>
      </w:pPr>
      <w:r>
        <w:rPr/>
        <w:t>五、监事会发现公司存在风险的说明</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642" w:right="123"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7"/>
        <w:rPr>
          <w:rFonts w:ascii="宋体" w:hAnsi="宋体" w:cs="宋体" w:eastAsia="宋体" w:hint="default"/>
          <w:sz w:val="19"/>
          <w:szCs w:val="19"/>
        </w:rPr>
      </w:pPr>
    </w:p>
    <w:p>
      <w:pPr>
        <w:pStyle w:val="BodyText"/>
        <w:spacing w:line="273" w:lineRule="exact"/>
        <w:ind w:right="2513"/>
        <w:jc w:val="left"/>
      </w:pPr>
      <w:r>
        <w:rPr/>
        <w:t>存在同业竞争的，公司相应的解决措施、工作进度及后续工作计划</w:t>
      </w:r>
    </w:p>
    <w:p>
      <w:pPr>
        <w:pStyle w:val="BodyText"/>
        <w:tabs>
          <w:tab w:pos="1163" w:val="left" w:leader="none"/>
        </w:tabs>
        <w:spacing w:line="273" w:lineRule="exact"/>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123"/>
        <w:jc w:val="left"/>
        <w:rPr>
          <w:b w:val="0"/>
          <w:bCs w:val="0"/>
        </w:rPr>
      </w:pPr>
      <w:r>
        <w:rPr/>
        <w:t>七、报告期内对高级管理人员的考评机制，以及激励机制的建立、实施情况</w:t>
      </w:r>
      <w:r>
        <w:rPr>
          <w:b w:val="0"/>
          <w:bCs w:val="0"/>
        </w:rPr>
      </w:r>
    </w:p>
    <w:p>
      <w:pPr>
        <w:pStyle w:val="BodyText"/>
        <w:tabs>
          <w:tab w:pos="1163" w:val="left" w:leader="none"/>
        </w:tabs>
        <w:spacing w:line="304" w:lineRule="auto" w:before="58"/>
        <w:ind w:left="638" w:right="230" w:hanging="420"/>
        <w:jc w:val="left"/>
      </w:pPr>
      <w:r>
        <w:rPr/>
        <w:t>√适用</w:t>
        <w:tab/>
        <w:t>□不适用</w:t>
      </w:r>
      <w:r>
        <w:rPr>
          <w:w w:val="100"/>
        </w:rPr>
        <w:t> </w:t>
      </w:r>
      <w:r>
        <w:rPr>
          <w:spacing w:val="-2"/>
        </w:rPr>
        <w:t>报告期内，公司已建了较为完善的绩效管理体系，建立了高级管理人员的的考评机制。此外</w:t>
      </w:r>
    </w:p>
    <w:p>
      <w:pPr>
        <w:pStyle w:val="BodyText"/>
        <w:spacing w:line="304" w:lineRule="auto" w:before="28"/>
        <w:ind w:right="228"/>
        <w:jc w:val="both"/>
      </w:pPr>
      <w:r>
        <w:rPr>
          <w:spacing w:val="-1"/>
          <w:w w:val="100"/>
        </w:rPr>
        <w:t>公司实施了限制性股票激励计划，并制定了《</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14"/>
          <w:w w:val="100"/>
        </w:rPr>
        <w:t> </w:t>
      </w:r>
      <w:r>
        <w:rPr>
          <w:spacing w:val="-7"/>
          <w:w w:val="100"/>
        </w:rPr>
        <w:t>年限制性股票激励计划实施考核管理办法》。</w:t>
      </w:r>
      <w:r>
        <w:rPr>
          <w:spacing w:val="-104"/>
          <w:w w:val="100"/>
        </w:rPr>
        <w:t> </w:t>
      </w:r>
      <w:r>
        <w:rPr>
          <w:spacing w:val="-104"/>
          <w:w w:val="100"/>
        </w:rPr>
      </w:r>
      <w:r>
        <w:rPr>
          <w:spacing w:val="-1"/>
        </w:rPr>
        <w:t>公司高级管理人员属于激励对象，将结合年度绩效考核情况解锁高级管理人员所持有的限制性股</w:t>
      </w:r>
      <w:r>
        <w:rPr>
          <w:spacing w:val="-55"/>
        </w:rPr>
        <w:t> </w:t>
      </w:r>
      <w:r>
        <w:rPr>
          <w:spacing w:val="-55"/>
        </w:rPr>
      </w:r>
      <w:r>
        <w:rPr/>
        <w:t>票。</w:t>
      </w:r>
    </w:p>
    <w:p>
      <w:pPr>
        <w:spacing w:line="240" w:lineRule="auto" w:before="7"/>
        <w:rPr>
          <w:rFonts w:ascii="宋体" w:hAnsi="宋体" w:cs="宋体" w:eastAsia="宋体" w:hint="default"/>
          <w:sz w:val="20"/>
          <w:szCs w:val="20"/>
        </w:rPr>
      </w:pPr>
    </w:p>
    <w:p>
      <w:pPr>
        <w:pStyle w:val="Heading3"/>
        <w:spacing w:line="240" w:lineRule="auto"/>
        <w:ind w:right="2513"/>
        <w:jc w:val="left"/>
        <w:rPr>
          <w:b w:val="0"/>
          <w:bCs w:val="0"/>
        </w:rPr>
      </w:pPr>
      <w:r>
        <w:rPr/>
        <w:t>八、是否披露内部控制自我评价报告</w:t>
      </w:r>
      <w:r>
        <w:rPr>
          <w:b w:val="0"/>
          <w:bCs w:val="0"/>
        </w:rPr>
      </w:r>
    </w:p>
    <w:p>
      <w:pPr>
        <w:pStyle w:val="BodyText"/>
        <w:tabs>
          <w:tab w:pos="954" w:val="left" w:leader="none"/>
        </w:tabs>
        <w:spacing w:line="240" w:lineRule="auto" w:before="58"/>
        <w:ind w:right="25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97" w:lineRule="auto" w:before="46"/>
        <w:ind w:right="225" w:firstLine="419"/>
        <w:jc w:val="left"/>
      </w:pPr>
      <w:r>
        <w:rPr/>
        <w:t>内部控制自我评价报告请见</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日披露的《南威软件股份有限公司内部控制自我</w:t>
      </w:r>
      <w:r>
        <w:rPr>
          <w:w w:val="100"/>
        </w:rPr>
        <w:t> </w:t>
      </w:r>
      <w:r>
        <w:rPr>
          <w:spacing w:val="-19"/>
          <w:w w:val="100"/>
        </w:rPr>
        <w:t>评价报告》。</w:t>
      </w:r>
    </w:p>
    <w:p>
      <w:pPr>
        <w:spacing w:line="240" w:lineRule="auto" w:before="6"/>
        <w:rPr>
          <w:rFonts w:ascii="宋体" w:hAnsi="宋体" w:cs="宋体" w:eastAsia="宋体" w:hint="default"/>
          <w:sz w:val="16"/>
          <w:szCs w:val="16"/>
        </w:rPr>
      </w:pPr>
    </w:p>
    <w:p>
      <w:pPr>
        <w:pStyle w:val="BodyText"/>
        <w:spacing w:line="273" w:lineRule="exact"/>
        <w:ind w:right="2513"/>
        <w:jc w:val="left"/>
      </w:pPr>
      <w:r>
        <w:rPr/>
        <w:t>报告期内部控制存在重大缺陷情况的说明</w:t>
      </w:r>
    </w:p>
    <w:p>
      <w:pPr>
        <w:pStyle w:val="BodyText"/>
        <w:tabs>
          <w:tab w:pos="1060" w:val="left" w:leader="none"/>
        </w:tabs>
        <w:spacing w:line="300"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300" w:lineRule="exact"/>
        <w:jc w:val="left"/>
        <w:sectPr>
          <w:pgSz w:w="11910" w:h="16840"/>
          <w:pgMar w:header="852" w:footer="979" w:top="1140" w:bottom="116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36"/>
        <w:ind w:left="138" w:right="130"/>
        <w:jc w:val="left"/>
        <w:rPr>
          <w:b w:val="0"/>
          <w:bCs w:val="0"/>
        </w:rPr>
      </w:pPr>
      <w:r>
        <w:rPr/>
        <w:t>九、内部控制审计报告的相关情况说明</w:t>
      </w:r>
      <w:r>
        <w:rPr>
          <w:b w:val="0"/>
          <w:bCs w:val="0"/>
        </w:rPr>
      </w:r>
    </w:p>
    <w:p>
      <w:pPr>
        <w:pStyle w:val="BodyText"/>
        <w:tabs>
          <w:tab w:pos="1083" w:val="left" w:leader="none"/>
        </w:tabs>
        <w:spacing w:line="240" w:lineRule="auto" w:before="58"/>
        <w:ind w:left="138" w:right="130"/>
        <w:jc w:val="left"/>
      </w:pPr>
      <w:r>
        <w:rPr/>
        <w:t>√适用</w:t>
        <w:tab/>
        <w:t>□不适用</w:t>
      </w:r>
    </w:p>
    <w:p>
      <w:pPr>
        <w:pStyle w:val="BodyText"/>
        <w:spacing w:line="285" w:lineRule="auto" w:before="73"/>
        <w:ind w:left="138" w:right="0" w:firstLine="419"/>
        <w:jc w:val="left"/>
      </w:pPr>
      <w:r>
        <w:rPr>
          <w:spacing w:val="-6"/>
        </w:rPr>
        <w:t>福建华兴会计师事务所（特殊普通合伙）对公司 </w:t>
      </w:r>
      <w:r>
        <w:rPr>
          <w:rFonts w:ascii="Calibri" w:hAnsi="Calibri" w:cs="Calibri" w:eastAsia="Calibri" w:hint="default"/>
        </w:rPr>
        <w:t>2017</w:t>
      </w:r>
      <w:r>
        <w:rPr>
          <w:rFonts w:ascii="Calibri" w:hAnsi="Calibri" w:cs="Calibri" w:eastAsia="Calibri" w:hint="default"/>
          <w:spacing w:val="-27"/>
        </w:rPr>
        <w:t> </w:t>
      </w:r>
      <w:r>
        <w:rPr/>
        <w:t>年度财务报告内部控制的有效性进行了</w:t>
      </w:r>
      <w:r>
        <w:rPr>
          <w:w w:val="100"/>
        </w:rPr>
        <w:t> </w:t>
      </w:r>
      <w:r>
        <w:rPr/>
        <w:t>审计，并出具了标准无保留意见的审计报告。</w:t>
      </w:r>
    </w:p>
    <w:p>
      <w:pPr>
        <w:pStyle w:val="BodyText"/>
        <w:spacing w:line="297" w:lineRule="auto" w:before="45"/>
        <w:ind w:left="138" w:right="130" w:firstLine="419"/>
        <w:jc w:val="left"/>
      </w:pPr>
      <w:r>
        <w:rPr>
          <w:spacing w:val="-3"/>
        </w:rPr>
        <w:t>福建华兴会计师事务所（特殊普通合伙）出具的《</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spacing w:val="-3"/>
        </w:rPr>
        <w:t>年度内部控制审计报告》与本公司的</w:t>
      </w:r>
      <w:r>
        <w:rPr>
          <w:w w:val="100"/>
        </w:rPr>
        <w:t> </w:t>
      </w:r>
      <w:r>
        <w:rPr>
          <w:spacing w:val="-2"/>
        </w:rPr>
        <w:t>年度报告同时披露，具体内容详见上海证券交易所网站</w:t>
      </w:r>
      <w:r>
        <w:rPr>
          <w:spacing w:val="15"/>
        </w:rPr>
        <w:t> </w:t>
      </w:r>
      <w:hyperlink r:id="rId12">
        <w:r>
          <w:rPr>
            <w:rFonts w:ascii="Times New Roman" w:hAnsi="Times New Roman" w:cs="Times New Roman" w:eastAsia="Times New Roman" w:hint="default"/>
            <w:spacing w:val="-2"/>
          </w:rPr>
          <w:t>http://www.sse.com.cn</w:t>
        </w:r>
      </w:hyperlink>
      <w:r>
        <w:rPr>
          <w:spacing w:val="-2"/>
        </w:rPr>
        <w:t>。</w:t>
      </w:r>
    </w:p>
    <w:p>
      <w:pPr>
        <w:pStyle w:val="BodyText"/>
        <w:spacing w:line="240" w:lineRule="auto" w:before="13"/>
        <w:ind w:left="558" w:right="130"/>
        <w:jc w:val="left"/>
      </w:pPr>
      <w:r>
        <w:rPr/>
        <w:t>是否披露内部控制审计报告：是</w:t>
      </w:r>
    </w:p>
    <w:p>
      <w:pPr>
        <w:spacing w:line="240" w:lineRule="auto" w:before="11"/>
        <w:rPr>
          <w:rFonts w:ascii="宋体" w:hAnsi="宋体" w:cs="宋体" w:eastAsia="宋体" w:hint="default"/>
          <w:sz w:val="24"/>
          <w:szCs w:val="24"/>
        </w:rPr>
      </w:pPr>
    </w:p>
    <w:p>
      <w:pPr>
        <w:pStyle w:val="Heading3"/>
        <w:spacing w:line="240" w:lineRule="auto"/>
        <w:ind w:left="138" w:right="130"/>
        <w:jc w:val="left"/>
        <w:rPr>
          <w:b w:val="0"/>
          <w:bCs w:val="0"/>
        </w:rPr>
      </w:pPr>
      <w:r>
        <w:rPr/>
        <w:t>十、其他</w:t>
      </w:r>
      <w:r>
        <w:rPr>
          <w:b w:val="0"/>
          <w:bCs w:val="0"/>
        </w:rPr>
      </w:r>
    </w:p>
    <w:p>
      <w:pPr>
        <w:pStyle w:val="BodyText"/>
        <w:tabs>
          <w:tab w:pos="1083" w:val="left" w:leader="none"/>
        </w:tabs>
        <w:spacing w:line="240" w:lineRule="auto" w:before="57"/>
        <w:ind w:left="138" w:right="130"/>
        <w:jc w:val="left"/>
      </w:pPr>
      <w:r>
        <w:rPr/>
        <w:t>□适用</w:t>
        <w:tab/>
        <w:t>√不适用</w:t>
      </w:r>
    </w:p>
    <w:p>
      <w:pPr>
        <w:spacing w:line="240" w:lineRule="auto" w:before="0"/>
        <w:rPr>
          <w:rFonts w:ascii="宋体" w:hAnsi="宋体" w:cs="宋体" w:eastAsia="宋体" w:hint="default"/>
          <w:sz w:val="23"/>
          <w:szCs w:val="23"/>
        </w:rPr>
      </w:pPr>
    </w:p>
    <w:p>
      <w:pPr>
        <w:pStyle w:val="Heading1"/>
        <w:spacing w:line="240" w:lineRule="auto" w:before="0"/>
        <w:ind w:left="3009" w:right="130"/>
        <w:jc w:val="left"/>
        <w:rPr>
          <w:b w:val="0"/>
          <w:bCs w:val="0"/>
        </w:rPr>
      </w:pPr>
      <w:bookmarkStart w:name="_TOC_250002" w:id="10"/>
      <w:r>
        <w:rPr/>
        <w:t>第十节公司债券相关情况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130"/>
        <w:jc w:val="left"/>
      </w:pPr>
      <w:r>
        <w:rPr>
          <w:rFonts w:ascii="Arial" w:hAnsi="Arial" w:cs="Arial" w:eastAsia="Arial" w:hint="default"/>
        </w:rPr>
        <w:t>□</w:t>
      </w:r>
      <w:r>
        <w:rPr>
          <w:rFonts w:ascii="Arial" w:hAnsi="Arial" w:cs="Arial" w:eastAsia="Arial" w:hint="default"/>
          <w:spacing w:val="26"/>
        </w:rPr>
        <w:t> </w:t>
      </w:r>
      <w:r>
        <w:rPr/>
        <w:t>适用</w:t>
      </w:r>
      <w:r>
        <w:rPr>
          <w:rFonts w:ascii="Calibri" w:hAnsi="Calibri" w:cs="Calibri" w:eastAsia="Calibri" w:hint="default"/>
        </w:rPr>
        <w:t>√</w:t>
      </w:r>
      <w:r>
        <w:rPr/>
        <w:t>不适用</w:t>
      </w:r>
    </w:p>
    <w:p>
      <w:pPr>
        <w:spacing w:after="0" w:line="240" w:lineRule="auto"/>
        <w:jc w:val="left"/>
        <w:sectPr>
          <w:pgSz w:w="11910" w:h="16840"/>
          <w:pgMar w:header="852" w:footer="979" w:top="1140" w:bottom="1160" w:left="1660" w:right="1140"/>
        </w:sectPr>
      </w:pPr>
    </w:p>
    <w:p>
      <w:pPr>
        <w:spacing w:line="240" w:lineRule="auto" w:before="10"/>
        <w:rPr>
          <w:rFonts w:ascii="宋体" w:hAnsi="宋体" w:cs="宋体" w:eastAsia="宋体" w:hint="default"/>
          <w:sz w:val="28"/>
          <w:szCs w:val="28"/>
        </w:rPr>
      </w:pPr>
    </w:p>
    <w:p>
      <w:pPr>
        <w:pStyle w:val="Heading1"/>
        <w:spacing w:line="240" w:lineRule="auto"/>
        <w:ind w:right="359"/>
        <w:jc w:val="center"/>
        <w:rPr>
          <w:rFonts w:ascii="宋体" w:hAnsi="宋体" w:cs="宋体" w:eastAsia="宋体" w:hint="default"/>
          <w:b w:val="0"/>
          <w:bCs w:val="0"/>
        </w:rPr>
      </w:pPr>
      <w:bookmarkStart w:name="_TOC_250001" w:id="11"/>
      <w:r>
        <w:rPr>
          <w:rFonts w:ascii="宋体" w:hAnsi="宋体" w:cs="宋体" w:eastAsia="宋体" w:hint="default"/>
        </w:rPr>
        <w:t>第十一节财务报告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3"/>
        <w:spacing w:line="240" w:lineRule="auto" w:before="36"/>
        <w:ind w:right="2513"/>
        <w:jc w:val="left"/>
        <w:rPr>
          <w:b w:val="0"/>
          <w:bCs w:val="0"/>
        </w:rPr>
      </w:pPr>
      <w:r>
        <w:rPr/>
        <w:t>一、审计报告</w:t>
      </w:r>
      <w:r>
        <w:rPr>
          <w:b w:val="0"/>
          <w:bCs w:val="0"/>
        </w:rPr>
      </w:r>
    </w:p>
    <w:p>
      <w:pPr>
        <w:pStyle w:val="BodyText"/>
        <w:tabs>
          <w:tab w:pos="1060" w:val="left" w:leader="none"/>
        </w:tabs>
        <w:spacing w:line="240" w:lineRule="auto" w:before="58"/>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3"/>
        <w:rPr>
          <w:rFonts w:ascii="宋体" w:hAnsi="宋体" w:cs="宋体" w:eastAsia="宋体" w:hint="default"/>
          <w:sz w:val="15"/>
          <w:szCs w:val="15"/>
        </w:rPr>
      </w:pPr>
    </w:p>
    <w:p>
      <w:pPr>
        <w:pStyle w:val="Heading2"/>
        <w:spacing w:line="240" w:lineRule="auto"/>
        <w:ind w:left="342" w:right="357"/>
        <w:jc w:val="center"/>
        <w:rPr>
          <w:b w:val="0"/>
          <w:bCs w:val="0"/>
        </w:rPr>
      </w:pPr>
      <w:r>
        <w:rPr/>
        <w:t>审计报告</w:t>
      </w:r>
      <w:r>
        <w:rPr>
          <w:b w:val="0"/>
          <w:bCs w:val="0"/>
        </w:rPr>
      </w:r>
    </w:p>
    <w:p>
      <w:pPr>
        <w:spacing w:line="240" w:lineRule="auto" w:before="4"/>
        <w:rPr>
          <w:rFonts w:ascii="宋体" w:hAnsi="宋体" w:cs="宋体" w:eastAsia="宋体" w:hint="default"/>
          <w:b/>
          <w:bCs/>
          <w:sz w:val="22"/>
          <w:szCs w:val="22"/>
        </w:rPr>
      </w:pPr>
    </w:p>
    <w:p>
      <w:pPr>
        <w:pStyle w:val="Heading3"/>
        <w:spacing w:line="446" w:lineRule="auto"/>
        <w:ind w:right="3152" w:firstLine="2930"/>
        <w:jc w:val="left"/>
        <w:rPr>
          <w:b w:val="0"/>
          <w:bCs w:val="0"/>
        </w:rPr>
      </w:pPr>
      <w:r>
        <w:rPr/>
        <w:t>闽华兴所（</w:t>
      </w:r>
      <w:r>
        <w:rPr>
          <w:rFonts w:ascii="Times New Roman" w:hAnsi="Times New Roman" w:cs="Times New Roman" w:eastAsia="Times New Roman" w:hint="default"/>
        </w:rPr>
        <w:t>2018</w:t>
      </w:r>
      <w:r>
        <w:rPr/>
        <w:t>）审字</w:t>
      </w:r>
      <w:r>
        <w:rPr>
          <w:spacing w:val="-53"/>
        </w:rPr>
        <w:t> </w:t>
      </w:r>
      <w:r>
        <w:rPr>
          <w:rFonts w:ascii="Times New Roman" w:hAnsi="Times New Roman" w:cs="Times New Roman" w:eastAsia="Times New Roman" w:hint="default"/>
        </w:rPr>
        <w:t>H-015</w:t>
      </w:r>
      <w:r>
        <w:rPr>
          <w:rFonts w:ascii="Times New Roman" w:hAnsi="Times New Roman" w:cs="Times New Roman" w:eastAsia="Times New Roman" w:hint="default"/>
          <w:spacing w:val="-5"/>
        </w:rPr>
        <w:t> </w:t>
      </w:r>
      <w:r>
        <w:rPr/>
        <w:t>号</w:t>
      </w:r>
      <w:r>
        <w:rPr>
          <w:w w:val="100"/>
        </w:rPr>
        <w:t> </w:t>
      </w:r>
      <w:r>
        <w:rPr/>
        <w:t>南威软件股份有限公司全体股东：</w:t>
      </w:r>
      <w:r>
        <w:rPr>
          <w:b w:val="0"/>
          <w:bCs w:val="0"/>
        </w:rPr>
      </w:r>
    </w:p>
    <w:p>
      <w:pPr>
        <w:pStyle w:val="Heading3"/>
        <w:spacing w:line="240" w:lineRule="auto" w:before="123"/>
        <w:ind w:left="640" w:right="2513"/>
        <w:jc w:val="left"/>
        <w:rPr>
          <w:b w:val="0"/>
          <w:bCs w:val="0"/>
        </w:rPr>
      </w:pPr>
      <w:r>
        <w:rPr/>
        <w:t>一、审计意见</w:t>
      </w:r>
      <w:r>
        <w:rPr>
          <w:b w:val="0"/>
          <w:bCs w:val="0"/>
        </w:rPr>
      </w:r>
    </w:p>
    <w:p>
      <w:pPr>
        <w:pStyle w:val="BodyText"/>
        <w:spacing w:line="292" w:lineRule="auto" w:before="75"/>
        <w:ind w:right="245" w:firstLine="412"/>
        <w:jc w:val="both"/>
      </w:pPr>
      <w:r>
        <w:rPr>
          <w:spacing w:val="-7"/>
        </w:rPr>
        <w:t>我们审计了南威软件股份有限公司</w:t>
      </w:r>
      <w:r>
        <w:rPr>
          <w:rFonts w:ascii="Times New Roman" w:hAnsi="Times New Roman" w:cs="Times New Roman" w:eastAsia="Times New Roman" w:hint="default"/>
          <w:spacing w:val="-7"/>
        </w:rPr>
        <w:t>(</w:t>
      </w:r>
      <w:r>
        <w:rPr>
          <w:spacing w:val="-7"/>
        </w:rPr>
        <w:t>以下简称</w:t>
      </w:r>
      <w:r>
        <w:rPr>
          <w:rFonts w:ascii="Calibri" w:hAnsi="Calibri" w:cs="Calibri" w:eastAsia="Calibri" w:hint="default"/>
          <w:spacing w:val="-7"/>
        </w:rPr>
        <w:t>“</w:t>
      </w:r>
      <w:r>
        <w:rPr>
          <w:spacing w:val="-7"/>
        </w:rPr>
        <w:t>南威软件</w:t>
      </w:r>
      <w:r>
        <w:rPr>
          <w:rFonts w:ascii="Calibri" w:hAnsi="Calibri" w:cs="Calibri" w:eastAsia="Calibri" w:hint="default"/>
          <w:spacing w:val="-7"/>
        </w:rPr>
        <w:t>”</w:t>
      </w:r>
      <w:r>
        <w:rPr>
          <w:rFonts w:ascii="Times New Roman" w:hAnsi="Times New Roman" w:cs="Times New Roman" w:eastAsia="Times New Roman" w:hint="default"/>
          <w:spacing w:val="-7"/>
        </w:rPr>
        <w:t>)</w:t>
      </w:r>
      <w:r>
        <w:rPr>
          <w:spacing w:val="-7"/>
        </w:rPr>
        <w:t>财务报表，包括</w:t>
      </w:r>
      <w:r>
        <w:rPr>
          <w:spacing w:val="-50"/>
        </w:rPr>
        <w:t> </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7"/>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5"/>
        </w:rPr>
        <w:t>日的</w:t>
      </w:r>
      <w:r>
        <w:rPr>
          <w:spacing w:val="-5"/>
          <w:w w:val="100"/>
        </w:rPr>
        <w:t> </w:t>
      </w:r>
      <w:r>
        <w:rPr>
          <w:spacing w:val="-7"/>
        </w:rPr>
        <w:t>合并及母公司资产负债表，</w:t>
      </w:r>
      <w:r>
        <w:rPr>
          <w:rFonts w:ascii="Times New Roman" w:hAnsi="Times New Roman" w:cs="Times New Roman" w:eastAsia="Times New Roman" w:hint="default"/>
          <w:spacing w:val="-7"/>
        </w:rPr>
        <w:t>2017 </w:t>
      </w:r>
      <w:r>
        <w:rPr>
          <w:spacing w:val="-8"/>
        </w:rPr>
        <w:t>年度的合并及母公司利润表、合并及母公司现金流量表、合并及母</w:t>
      </w:r>
      <w:r>
        <w:rPr>
          <w:spacing w:val="-76"/>
        </w:rPr>
        <w:t> </w:t>
      </w:r>
      <w:r>
        <w:rPr>
          <w:spacing w:val="-76"/>
        </w:rPr>
      </w:r>
      <w:r>
        <w:rPr>
          <w:spacing w:val="-6"/>
        </w:rPr>
        <w:t>公司所有者权益变动表以及财务报表附注。</w:t>
      </w:r>
      <w:r>
        <w:rPr/>
      </w:r>
    </w:p>
    <w:p>
      <w:pPr>
        <w:pStyle w:val="BodyText"/>
        <w:spacing w:line="304" w:lineRule="auto" w:before="39"/>
        <w:ind w:right="244" w:firstLine="419"/>
        <w:jc w:val="both"/>
      </w:pPr>
      <w:r>
        <w:rPr>
          <w:spacing w:val="-2"/>
        </w:rPr>
        <w:t>我们认为，后附的财务报表在所有重大方面按照企业会计准则的规定编制，公允反映了南威</w:t>
      </w:r>
      <w:r>
        <w:rPr>
          <w:w w:val="100"/>
        </w:rPr>
        <w:t> </w:t>
      </w:r>
      <w:r>
        <w:rPr/>
        <w:t>软件</w:t>
      </w:r>
      <w:r>
        <w:rPr>
          <w:spacing w:val="-46"/>
        </w:rPr>
        <w:t> </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
        </w:rPr>
        <w:t> </w:t>
      </w:r>
      <w:r>
        <w:rPr/>
        <w:t>日的合并及母公司财务状况以及</w:t>
      </w:r>
      <w:r>
        <w:rPr>
          <w:spacing w:val="-46"/>
        </w:rPr>
        <w:t> </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年度的合并及母公司经营成果和现金</w:t>
      </w:r>
      <w:r>
        <w:rPr>
          <w:w w:val="100"/>
        </w:rPr>
        <w:t> </w:t>
      </w:r>
      <w:r>
        <w:rPr/>
        <w:t>流量。</w:t>
      </w:r>
    </w:p>
    <w:p>
      <w:pPr>
        <w:spacing w:line="240" w:lineRule="auto" w:before="10"/>
        <w:rPr>
          <w:rFonts w:ascii="宋体" w:hAnsi="宋体" w:cs="宋体" w:eastAsia="宋体" w:hint="default"/>
          <w:sz w:val="19"/>
          <w:szCs w:val="19"/>
        </w:rPr>
      </w:pPr>
    </w:p>
    <w:p>
      <w:pPr>
        <w:spacing w:line="304" w:lineRule="auto" w:before="0"/>
        <w:ind w:left="638" w:right="123"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spacing w:val="-104"/>
          <w:sz w:val="21"/>
          <w:szCs w:val="21"/>
        </w:rPr>
        <w:t> </w:t>
      </w:r>
      <w:r>
        <w:rPr>
          <w:rFonts w:ascii="宋体" w:hAnsi="宋体" w:cs="宋体" w:eastAsia="宋体" w:hint="default"/>
          <w:spacing w:val="-4"/>
          <w:w w:val="100"/>
          <w:sz w:val="21"/>
          <w:szCs w:val="21"/>
        </w:rPr>
        <w:t>我们按照中国注册会计师审计准则的规定执行了审计工作。审计报告的</w:t>
      </w:r>
      <w:r>
        <w:rPr>
          <w:rFonts w:ascii="Calibri" w:hAnsi="Calibri" w:cs="Calibri" w:eastAsia="Calibri" w:hint="default"/>
          <w:spacing w:val="-4"/>
          <w:w w:val="100"/>
          <w:sz w:val="21"/>
          <w:szCs w:val="21"/>
        </w:rPr>
        <w:t>“</w:t>
      </w:r>
      <w:r>
        <w:rPr>
          <w:rFonts w:ascii="宋体" w:hAnsi="宋体" w:cs="宋体" w:eastAsia="宋体" w:hint="default"/>
          <w:spacing w:val="-4"/>
          <w:w w:val="100"/>
          <w:sz w:val="21"/>
          <w:szCs w:val="21"/>
        </w:rPr>
        <w:t>注册会计师对财务报</w:t>
      </w:r>
    </w:p>
    <w:p>
      <w:pPr>
        <w:pStyle w:val="BodyText"/>
        <w:spacing w:line="300" w:lineRule="auto"/>
        <w:ind w:right="123"/>
        <w:jc w:val="left"/>
      </w:pPr>
      <w:r>
        <w:rPr>
          <w:spacing w:val="-1"/>
        </w:rPr>
        <w:t>表审计的责任</w:t>
      </w:r>
      <w:r>
        <w:rPr>
          <w:rFonts w:ascii="Calibri" w:hAnsi="Calibri" w:cs="Calibri" w:eastAsia="Calibri" w:hint="default"/>
          <w:spacing w:val="-1"/>
        </w:rPr>
        <w:t>”</w:t>
      </w:r>
      <w:r>
        <w:rPr>
          <w:spacing w:val="-1"/>
        </w:rPr>
        <w:t>部分进一步阐述了我们在这些准则下的责任。按照中国注册会计师职业道德守则，</w:t>
      </w:r>
      <w:r>
        <w:rPr>
          <w:spacing w:val="-54"/>
        </w:rPr>
        <w:t> </w:t>
      </w:r>
      <w:r>
        <w:rPr>
          <w:spacing w:val="-54"/>
        </w:rPr>
      </w:r>
      <w:r>
        <w:rPr/>
        <w:t>我们独立于南威软件，并履行了职业道德方面的其他责任。我们相信，我们获取的审计证据是充</w:t>
      </w:r>
      <w:r>
        <w:rPr>
          <w:w w:val="100"/>
        </w:rPr>
        <w:t> </w:t>
      </w:r>
      <w:r>
        <w:rPr/>
        <w:t>分、适当的，为发表审计意见提供了基础。</w:t>
      </w:r>
    </w:p>
    <w:p>
      <w:pPr>
        <w:spacing w:line="240" w:lineRule="auto" w:before="1"/>
        <w:rPr>
          <w:rFonts w:ascii="宋体" w:hAnsi="宋体" w:cs="宋体" w:eastAsia="宋体" w:hint="default"/>
          <w:sz w:val="20"/>
          <w:szCs w:val="20"/>
        </w:rPr>
      </w:pPr>
    </w:p>
    <w:p>
      <w:pPr>
        <w:pStyle w:val="BodyText"/>
        <w:spacing w:line="307" w:lineRule="auto"/>
        <w:ind w:left="638" w:right="123"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516" w:lineRule="auto" w:before="26"/>
        <w:ind w:left="638" w:right="123" w:hanging="420"/>
        <w:jc w:val="left"/>
      </w:pPr>
      <w:r>
        <w:rPr/>
        <w:pict>
          <v:shape style="position:absolute;margin-left:84.264pt;margin-top:46.203701pt;width:453.2pt;height:21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2"/>
                    <w:gridCol w:w="4647"/>
                  </w:tblGrid>
                  <w:tr>
                    <w:trPr>
                      <w:trHeight w:val="545"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b/>
                            <w:bCs/>
                            <w:sz w:val="21"/>
                            <w:szCs w:val="21"/>
                          </w:rPr>
                          <w:t>我们在审计中如何应对关键审计事项</w:t>
                        </w:r>
                        <w:r>
                          <w:rPr>
                            <w:rFonts w:ascii="宋体" w:hAnsi="宋体" w:cs="宋体" w:eastAsia="宋体" w:hint="default"/>
                            <w:sz w:val="21"/>
                            <w:szCs w:val="21"/>
                          </w:rPr>
                        </w:r>
                      </w:p>
                    </w:tc>
                  </w:tr>
                  <w:tr>
                    <w:trPr>
                      <w:trHeight w:val="46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b/>
                            <w:bCs/>
                            <w:sz w:val="21"/>
                            <w:szCs w:val="21"/>
                          </w:rPr>
                          <w:t>收入确认</w:t>
                        </w:r>
                        <w:r>
                          <w:rPr>
                            <w:rFonts w:ascii="宋体" w:hAnsi="宋体" w:cs="宋体" w:eastAsia="宋体" w:hint="default"/>
                            <w:sz w:val="21"/>
                            <w:szCs w:val="21"/>
                          </w:rPr>
                        </w:r>
                      </w:p>
                    </w:tc>
                  </w:tr>
                  <w:tr>
                    <w:trPr>
                      <w:trHeight w:val="3212"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95"/>
                          <w:ind w:left="103" w:right="9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）如财务报表附注五（三十六）所述，南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威软件</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年营业收入</w:t>
                        </w:r>
                        <w:r>
                          <w:rPr>
                            <w:rFonts w:ascii="Times New Roman" w:hAnsi="Times New Roman" w:cs="Times New Roman" w:eastAsia="Times New Roman" w:hint="default"/>
                            <w:spacing w:val="-2"/>
                            <w:sz w:val="21"/>
                            <w:szCs w:val="21"/>
                          </w:rPr>
                          <w:t>80,731.31</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宋体" w:hAnsi="宋体" w:cs="宋体" w:eastAsia="宋体" w:hint="default"/>
                            <w:spacing w:val="-66"/>
                            <w:sz w:val="21"/>
                            <w:szCs w:val="21"/>
                          </w:rPr>
                          <w:t> </w:t>
                        </w:r>
                        <w:r>
                          <w:rPr>
                            <w:rFonts w:ascii="宋体" w:hAnsi="宋体" w:cs="宋体" w:eastAsia="宋体" w:hint="default"/>
                            <w:spacing w:val="23"/>
                            <w:sz w:val="21"/>
                            <w:szCs w:val="21"/>
                          </w:rPr>
                          <w:t>度为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46,807.44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w:t>
                        </w:r>
                        <w:r>
                          <w:rPr>
                            <w:rFonts w:ascii="宋体" w:hAnsi="宋体" w:cs="宋体" w:eastAsia="宋体" w:hint="default"/>
                            <w:spacing w:val="-59"/>
                            <w:sz w:val="21"/>
                            <w:szCs w:val="21"/>
                          </w:rPr>
                          <w:t> </w:t>
                        </w:r>
                        <w:r>
                          <w:rPr>
                            <w:rFonts w:ascii="宋体" w:hAnsi="宋体" w:cs="宋体" w:eastAsia="宋体" w:hint="default"/>
                            <w:sz w:val="21"/>
                            <w:szCs w:val="21"/>
                          </w:rPr>
                          <w:t>元</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59"/>
                            <w:sz w:val="21"/>
                            <w:szCs w:val="21"/>
                          </w:rPr>
                          <w:t> </w:t>
                        </w: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比</w:t>
                        </w:r>
                        <w:r>
                          <w:rPr>
                            <w:rFonts w:ascii="宋体" w:hAnsi="宋体" w:cs="宋体" w:eastAsia="宋体" w:hint="default"/>
                            <w:spacing w:val="-57"/>
                            <w:sz w:val="21"/>
                            <w:szCs w:val="21"/>
                          </w:rPr>
                          <w:t> </w:t>
                        </w:r>
                        <w:r>
                          <w:rPr>
                            <w:rFonts w:ascii="宋体" w:hAnsi="宋体" w:cs="宋体" w:eastAsia="宋体" w:hint="default"/>
                            <w:sz w:val="21"/>
                            <w:szCs w:val="21"/>
                          </w:rPr>
                          <w:t>增</w:t>
                        </w:r>
                        <w:r>
                          <w:rPr>
                            <w:rFonts w:ascii="宋体" w:hAnsi="宋体" w:cs="宋体" w:eastAsia="宋体" w:hint="default"/>
                            <w:spacing w:val="-59"/>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72.48%</w:t>
                        </w:r>
                        <w:r>
                          <w:rPr>
                            <w:rFonts w:ascii="宋体" w:hAnsi="宋体" w:cs="宋体" w:eastAsia="宋体" w:hint="default"/>
                            <w:spacing w:val="-3"/>
                            <w:sz w:val="21"/>
                            <w:szCs w:val="21"/>
                          </w:rPr>
                          <w:t>。公司营业收入增长较大，对经营业绩</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影响重大；</w:t>
                        </w:r>
                      </w:p>
                      <w:p>
                        <w:pPr>
                          <w:pStyle w:val="TableParagraph"/>
                          <w:spacing w:line="240" w:lineRule="auto" w:before="48"/>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）应收账款期末余额为</w:t>
                        </w:r>
                        <w:r>
                          <w:rPr>
                            <w:rFonts w:ascii="Times New Roman" w:hAnsi="Times New Roman" w:cs="Times New Roman" w:eastAsia="Times New Roman" w:hint="default"/>
                            <w:sz w:val="21"/>
                            <w:szCs w:val="21"/>
                          </w:rPr>
                          <w:t>27,866.59</w:t>
                        </w:r>
                        <w:r>
                          <w:rPr>
                            <w:rFonts w:ascii="宋体" w:hAnsi="宋体" w:cs="宋体" w:eastAsia="宋体" w:hint="default"/>
                            <w:sz w:val="21"/>
                            <w:szCs w:val="21"/>
                          </w:rPr>
                          <w:t>万元，较</w:t>
                        </w:r>
                      </w:p>
                      <w:p>
                        <w:pPr>
                          <w:pStyle w:val="TableParagraph"/>
                          <w:spacing w:line="400" w:lineRule="atLeast" w:before="1"/>
                          <w:ind w:left="103" w:right="96"/>
                          <w:jc w:val="both"/>
                          <w:rPr>
                            <w:rFonts w:ascii="宋体" w:hAnsi="宋体" w:cs="宋体" w:eastAsia="宋体" w:hint="default"/>
                            <w:sz w:val="21"/>
                            <w:szCs w:val="21"/>
                          </w:rPr>
                        </w:pPr>
                        <w:r>
                          <w:rPr>
                            <w:rFonts w:ascii="宋体" w:hAnsi="宋体" w:cs="宋体" w:eastAsia="宋体" w:hint="default"/>
                            <w:spacing w:val="-3"/>
                            <w:sz w:val="21"/>
                            <w:szCs w:val="21"/>
                          </w:rPr>
                          <w:t>上年同期增长</w:t>
                        </w:r>
                        <w:r>
                          <w:rPr>
                            <w:rFonts w:ascii="Times New Roman" w:hAnsi="Times New Roman" w:cs="Times New Roman" w:eastAsia="Times New Roman" w:hint="default"/>
                            <w:spacing w:val="-3"/>
                            <w:sz w:val="21"/>
                            <w:szCs w:val="21"/>
                          </w:rPr>
                          <w:t>33.88%</w:t>
                        </w:r>
                        <w:r>
                          <w:rPr>
                            <w:rFonts w:ascii="宋体" w:hAnsi="宋体" w:cs="宋体" w:eastAsia="宋体" w:hint="default"/>
                            <w:spacing w:val="-3"/>
                            <w:sz w:val="21"/>
                            <w:szCs w:val="21"/>
                          </w:rPr>
                          <w:t>；长期应收款期末余额合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计</w:t>
                        </w:r>
                        <w:r>
                          <w:rPr>
                            <w:rFonts w:ascii="Times New Roman" w:hAnsi="Times New Roman" w:cs="Times New Roman" w:eastAsia="Times New Roman" w:hint="default"/>
                            <w:spacing w:val="-2"/>
                            <w:sz w:val="21"/>
                            <w:szCs w:val="21"/>
                          </w:rPr>
                          <w:t>20,705.01</w:t>
                        </w:r>
                        <w:r>
                          <w:rPr>
                            <w:rFonts w:ascii="宋体" w:hAnsi="宋体" w:cs="宋体" w:eastAsia="宋体" w:hint="default"/>
                            <w:spacing w:val="-2"/>
                            <w:sz w:val="21"/>
                            <w:szCs w:val="21"/>
                          </w:rPr>
                          <w:t>万元，较上年同期增加</w:t>
                        </w:r>
                        <w:r>
                          <w:rPr>
                            <w:rFonts w:ascii="Times New Roman" w:hAnsi="Times New Roman" w:cs="Times New Roman" w:eastAsia="Times New Roman" w:hint="default"/>
                            <w:spacing w:val="-2"/>
                            <w:sz w:val="21"/>
                            <w:szCs w:val="21"/>
                          </w:rPr>
                          <w:t>20,674.05</w:t>
                        </w:r>
                        <w:r>
                          <w:rPr>
                            <w:rFonts w:ascii="宋体" w:hAnsi="宋体" w:cs="宋体" w:eastAsia="宋体" w:hint="default"/>
                            <w:spacing w:val="-2"/>
                            <w:sz w:val="21"/>
                            <w:szCs w:val="21"/>
                          </w:rPr>
                          <w:t>万</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95"/>
                          <w:ind w:left="103" w:right="98"/>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）了解、测试与销售及收款相关的内部控制制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度；</w:t>
                        </w:r>
                      </w:p>
                      <w:p>
                        <w:pPr>
                          <w:pStyle w:val="TableParagraph"/>
                          <w:spacing w:line="331" w:lineRule="auto" w:before="48"/>
                          <w:ind w:left="103" w:right="98"/>
                          <w:jc w:val="both"/>
                          <w:rPr>
                            <w:rFonts w:ascii="宋体" w:hAnsi="宋体" w:cs="宋体" w:eastAsia="宋体"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）访谈了解业绩增长原因并与实际收入进行比</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较，检查主要项目的收入情况；</w:t>
                        </w:r>
                      </w:p>
                      <w:p>
                        <w:pPr>
                          <w:pStyle w:val="TableParagraph"/>
                          <w:spacing w:line="340" w:lineRule="auto" w:before="43"/>
                          <w:ind w:left="103" w:right="96"/>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）区别不同的业务类型，结合具体业务的实际</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情况，检查相关合同的约定，评价收入确认是否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符合企业会计准则的要求；</w:t>
                        </w:r>
                      </w:p>
                      <w:p>
                        <w:pPr>
                          <w:pStyle w:val="TableParagraph"/>
                          <w:spacing w:line="240" w:lineRule="auto" w:before="35"/>
                          <w:ind w:left="103" w:right="0"/>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）对不同类型收入选取样本进行测，试检查项</w:t>
                        </w:r>
                      </w:p>
                    </w:tc>
                  </w:tr>
                </w:tbl>
                <w:p>
                  <w:pPr/>
                </w:p>
              </w:txbxContent>
            </v:textbox>
            <w10:wrap type="none"/>
          </v:shape>
        </w:pict>
      </w:r>
      <w:r>
        <w:rPr>
          <w:spacing w:val="-2"/>
        </w:rPr>
        <w:t>应对以对财务报表整体进行审计并形成审计意见为背景，我们不对这些事项单独发表意见。</w:t>
      </w:r>
      <w:r>
        <w:rPr>
          <w:spacing w:val="-28"/>
        </w:rPr>
        <w:t> </w:t>
      </w:r>
      <w:r>
        <w:rPr>
          <w:spacing w:val="-28"/>
        </w:rPr>
      </w:r>
      <w:r>
        <w:rPr/>
        <w:t>我们在审计中识别出的关键审计事项如下：</w:t>
      </w:r>
    </w:p>
    <w:p>
      <w:pPr>
        <w:spacing w:after="0" w:line="516" w:lineRule="auto"/>
        <w:jc w:val="left"/>
        <w:sectPr>
          <w:pgSz w:w="11910" w:h="16840"/>
          <w:pgMar w:header="852" w:footer="979" w:top="1140" w:bottom="1160" w:left="1580" w:right="1040"/>
        </w:sectPr>
      </w:pPr>
    </w:p>
    <w:p>
      <w:pPr>
        <w:spacing w:line="240" w:lineRule="auto" w:before="13"/>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402"/>
        <w:gridCol w:w="4647"/>
      </w:tblGrid>
      <w:tr>
        <w:trPr>
          <w:trHeight w:val="548"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b/>
                <w:bCs/>
                <w:sz w:val="21"/>
                <w:szCs w:val="21"/>
              </w:rPr>
              <w:t>我们在审计中如何应对关键审计事项</w:t>
            </w:r>
            <w:r>
              <w:rPr>
                <w:rFonts w:ascii="宋体" w:hAnsi="宋体" w:cs="宋体" w:eastAsia="宋体" w:hint="default"/>
                <w:sz w:val="21"/>
                <w:szCs w:val="21"/>
              </w:rPr>
            </w:r>
          </w:p>
        </w:tc>
      </w:tr>
      <w:tr>
        <w:trPr>
          <w:trHeight w:val="2009"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338" w:lineRule="auto" w:before="110"/>
              <w:ind w:left="103" w:right="98"/>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）如附注三、</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二十六</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收入政策所表述</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南威</w:t>
            </w:r>
            <w:r>
              <w:rPr>
                <w:rFonts w:ascii="宋体" w:hAnsi="宋体" w:cs="宋体" w:eastAsia="宋体" w:hint="default"/>
                <w:spacing w:val="-75"/>
                <w:sz w:val="21"/>
                <w:szCs w:val="21"/>
              </w:rPr>
              <w:t> </w:t>
            </w:r>
            <w:r>
              <w:rPr>
                <w:rFonts w:ascii="宋体" w:hAnsi="宋体" w:cs="宋体" w:eastAsia="宋体" w:hint="default"/>
                <w:sz w:val="21"/>
                <w:szCs w:val="21"/>
              </w:rPr>
              <w:t>软件存在多种业务模式。</w:t>
            </w:r>
            <w:r>
              <w:rPr>
                <w:rFonts w:ascii="宋体" w:hAnsi="宋体" w:cs="宋体" w:eastAsia="宋体" w:hint="default"/>
                <w:w w:val="100"/>
                <w:sz w:val="21"/>
                <w:szCs w:val="21"/>
              </w:rPr>
              <w:t> </w:t>
            </w:r>
            <w:r>
              <w:rPr>
                <w:rFonts w:ascii="宋体" w:hAnsi="宋体" w:cs="宋体" w:eastAsia="宋体" w:hint="default"/>
                <w:sz w:val="21"/>
                <w:szCs w:val="21"/>
              </w:rPr>
              <w:t>综上，我们确定营业收入为关键审计事项。</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93"/>
              <w:ind w:left="103" w:right="99"/>
              <w:jc w:val="left"/>
              <w:rPr>
                <w:rFonts w:ascii="宋体" w:hAnsi="宋体" w:cs="宋体" w:eastAsia="宋体" w:hint="default"/>
                <w:sz w:val="21"/>
                <w:szCs w:val="21"/>
              </w:rPr>
            </w:pPr>
            <w:r>
              <w:rPr>
                <w:rFonts w:ascii="宋体" w:hAnsi="宋体" w:cs="宋体" w:eastAsia="宋体" w:hint="default"/>
                <w:sz w:val="21"/>
                <w:szCs w:val="21"/>
              </w:rPr>
              <w:t>目合同，将客户的验收报告与收入确认记录进行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核对；</w:t>
            </w:r>
          </w:p>
          <w:p>
            <w:pPr>
              <w:pStyle w:val="TableParagraph"/>
              <w:spacing w:line="331" w:lineRule="auto" w:before="27"/>
              <w:ind w:left="103" w:right="96"/>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）根据收入的发生额及应收款项的余额，挑选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样本执行函证程序以确认应收账款、长期应收款</w:t>
            </w:r>
          </w:p>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余额及营业收入金额的真实性及准确性。</w:t>
            </w:r>
          </w:p>
        </w:tc>
      </w:tr>
      <w:tr>
        <w:trPr>
          <w:trHeight w:val="466"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b/>
                <w:bCs/>
                <w:sz w:val="21"/>
                <w:szCs w:val="21"/>
              </w:rPr>
              <w:t>开发支出资本化</w:t>
            </w:r>
            <w:r>
              <w:rPr>
                <w:rFonts w:ascii="宋体" w:hAnsi="宋体" w:cs="宋体" w:eastAsia="宋体" w:hint="default"/>
                <w:sz w:val="21"/>
                <w:szCs w:val="21"/>
              </w:rPr>
            </w:r>
          </w:p>
        </w:tc>
      </w:tr>
      <w:tr>
        <w:trPr>
          <w:trHeight w:val="4011" w:hRule="exact"/>
        </w:trPr>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43" w:lineRule="auto" w:before="170"/>
              <w:ind w:left="103" w:right="96"/>
              <w:jc w:val="both"/>
              <w:rPr>
                <w:rFonts w:ascii="宋体" w:hAnsi="宋体" w:cs="宋体" w:eastAsia="宋体" w:hint="default"/>
                <w:sz w:val="21"/>
                <w:szCs w:val="21"/>
              </w:rPr>
            </w:pPr>
            <w:r>
              <w:rPr>
                <w:rFonts w:ascii="宋体" w:hAnsi="宋体" w:cs="宋体" w:eastAsia="宋体" w:hint="default"/>
                <w:sz w:val="21"/>
                <w:szCs w:val="21"/>
              </w:rPr>
              <w:t>如财务报表附注五</w:t>
            </w:r>
            <w:r>
              <w:rPr>
                <w:rFonts w:ascii="Times New Roman" w:hAnsi="Times New Roman" w:cs="Times New Roman" w:eastAsia="Times New Roman" w:hint="default"/>
                <w:sz w:val="21"/>
                <w:szCs w:val="21"/>
              </w:rPr>
              <w:t>(</w:t>
            </w:r>
            <w:r>
              <w:rPr>
                <w:rFonts w:ascii="宋体" w:hAnsi="宋体" w:cs="宋体" w:eastAsia="宋体" w:hint="default"/>
                <w:sz w:val="21"/>
                <w:szCs w:val="21"/>
              </w:rPr>
              <w:t>十七</w:t>
            </w:r>
            <w:r>
              <w:rPr>
                <w:rFonts w:ascii="Times New Roman" w:hAnsi="Times New Roman" w:cs="Times New Roman" w:eastAsia="Times New Roman" w:hint="default"/>
                <w:sz w:val="21"/>
                <w:szCs w:val="21"/>
              </w:rPr>
              <w:t>)</w:t>
            </w:r>
            <w:r>
              <w:rPr>
                <w:rFonts w:ascii="宋体" w:hAnsi="宋体" w:cs="宋体" w:eastAsia="宋体" w:hint="default"/>
                <w:sz w:val="21"/>
                <w:szCs w:val="21"/>
              </w:rPr>
              <w:t>所述，南威软件合并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财务报表开发支出资本化金额较大。开发支出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7"/>
                <w:w w:val="100"/>
                <w:sz w:val="21"/>
                <w:szCs w:val="21"/>
              </w:rPr>
              <w:t>应在同时满足财务报表附注三（十九）、</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中所</w:t>
            </w:r>
            <w:r>
              <w:rPr>
                <w:rFonts w:ascii="宋体" w:hAnsi="宋体" w:cs="宋体" w:eastAsia="宋体" w:hint="default"/>
                <w:w w:val="100"/>
                <w:sz w:val="21"/>
                <w:szCs w:val="21"/>
              </w:rPr>
              <w:t> </w:t>
            </w:r>
            <w:r>
              <w:rPr>
                <w:rFonts w:ascii="宋体" w:hAnsi="宋体" w:cs="宋体" w:eastAsia="宋体" w:hint="default"/>
                <w:spacing w:val="-2"/>
                <w:sz w:val="21"/>
                <w:szCs w:val="21"/>
              </w:rPr>
              <w:t>列的所有资本化条件。由于确定开发支出是否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满足所有资本化条件需要管理层进行重大会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计判断和估计，该事项对于我们的审计而言是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重要的。</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93"/>
              <w:ind w:left="103" w:right="-5"/>
              <w:jc w:val="left"/>
              <w:rPr>
                <w:rFonts w:ascii="宋体" w:hAnsi="宋体" w:cs="宋体" w:eastAsia="宋体" w:hint="default"/>
                <w:sz w:val="21"/>
                <w:szCs w:val="21"/>
              </w:rPr>
            </w:pP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1</w:t>
            </w:r>
            <w:r>
              <w:rPr>
                <w:rFonts w:ascii="宋体" w:hAnsi="宋体" w:cs="宋体" w:eastAsia="宋体" w:hint="default"/>
                <w:spacing w:val="-10"/>
                <w:w w:val="100"/>
                <w:sz w:val="21"/>
                <w:szCs w:val="21"/>
              </w:rPr>
              <w:t>）了解、测试与研发支出有关的内部控制制度、</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财务核算制度的设计和执行情况；</w:t>
            </w:r>
          </w:p>
          <w:p>
            <w:pPr>
              <w:pStyle w:val="TableParagraph"/>
              <w:spacing w:line="331" w:lineRule="auto" w:before="43"/>
              <w:ind w:left="103" w:right="96"/>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）检查经管理层的开发支出的立项文件、可行</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性研究报告；</w:t>
            </w:r>
          </w:p>
          <w:p>
            <w:pPr>
              <w:pStyle w:val="TableParagraph"/>
              <w:spacing w:line="328" w:lineRule="auto" w:before="46"/>
              <w:ind w:left="103" w:right="98"/>
              <w:jc w:val="both"/>
              <w:rPr>
                <w:rFonts w:ascii="宋体" w:hAnsi="宋体" w:cs="宋体" w:eastAsia="宋体"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）向南威软件的管理层和研发负责人进行了访</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谈以了解项目进展情况；</w:t>
            </w:r>
          </w:p>
          <w:p>
            <w:pPr>
              <w:pStyle w:val="TableParagraph"/>
              <w:spacing w:line="338" w:lineRule="auto" w:before="48"/>
              <w:ind w:left="103" w:right="96"/>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）获取了开发支出的辅助明细账，抽样测试了</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支出的真实性和相关性，并检查了其中资本化项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目是否满足资本化条件，资本化时点是否与其会</w:t>
            </w:r>
          </w:p>
          <w:p>
            <w:pPr>
              <w:pStyle w:val="TableParagraph"/>
              <w:spacing w:line="240" w:lineRule="auto" w:before="40"/>
              <w:ind w:left="103" w:right="0"/>
              <w:jc w:val="both"/>
              <w:rPr>
                <w:rFonts w:ascii="宋体" w:hAnsi="宋体" w:cs="宋体" w:eastAsia="宋体" w:hint="default"/>
                <w:sz w:val="21"/>
                <w:szCs w:val="21"/>
              </w:rPr>
            </w:pPr>
            <w:r>
              <w:rPr>
                <w:rFonts w:ascii="宋体" w:hAnsi="宋体" w:cs="宋体" w:eastAsia="宋体" w:hint="default"/>
                <w:sz w:val="21"/>
                <w:szCs w:val="21"/>
              </w:rPr>
              <w:t>计政策相符。</w:t>
            </w:r>
          </w:p>
        </w:tc>
      </w:tr>
    </w:tbl>
    <w:p>
      <w:pPr>
        <w:spacing w:line="240" w:lineRule="auto" w:before="8"/>
        <w:rPr>
          <w:rFonts w:ascii="宋体" w:hAnsi="宋体" w:cs="宋体" w:eastAsia="宋体" w:hint="default"/>
          <w:sz w:val="16"/>
          <w:szCs w:val="16"/>
        </w:rPr>
      </w:pPr>
    </w:p>
    <w:p>
      <w:pPr>
        <w:pStyle w:val="BodyText"/>
        <w:spacing w:line="304" w:lineRule="auto" w:before="36"/>
        <w:ind w:left="638" w:right="242"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4"/>
        </w:rPr>
        <w:t>南威软件管理层（以下简称</w:t>
      </w:r>
      <w:r>
        <w:rPr>
          <w:rFonts w:ascii="Times New Roman" w:hAnsi="Times New Roman" w:cs="Times New Roman" w:eastAsia="Times New Roman" w:hint="default"/>
          <w:spacing w:val="-4"/>
        </w:rPr>
        <w:t>“</w:t>
      </w:r>
      <w:r>
        <w:rPr>
          <w:spacing w:val="-4"/>
        </w:rPr>
        <w:t>管理层</w:t>
      </w:r>
      <w:r>
        <w:rPr>
          <w:rFonts w:ascii="Times New Roman" w:hAnsi="Times New Roman" w:cs="Times New Roman" w:eastAsia="Times New Roman" w:hint="default"/>
          <w:spacing w:val="-4"/>
        </w:rPr>
        <w:t>”</w:t>
      </w:r>
      <w:r>
        <w:rPr>
          <w:spacing w:val="-4"/>
        </w:rPr>
        <w:t>）对其他信息负责。其他信息包括南威软件 </w:t>
      </w:r>
      <w:r>
        <w:rPr>
          <w:rFonts w:ascii="Times New Roman" w:hAnsi="Times New Roman" w:cs="Times New Roman" w:eastAsia="Times New Roman" w:hint="default"/>
        </w:rPr>
        <w:t>2017 </w:t>
      </w:r>
      <w:r>
        <w:rPr/>
        <w:t>年年度</w:t>
      </w:r>
    </w:p>
    <w:p>
      <w:pPr>
        <w:pStyle w:val="BodyText"/>
        <w:spacing w:line="314" w:lineRule="auto" w:before="6"/>
        <w:ind w:left="638" w:right="123" w:hanging="420"/>
        <w:jc w:val="left"/>
      </w:pPr>
      <w:r>
        <w:rPr/>
        <w:t>报告中涵盖的信息，但不包括财务报表和我们的审计报告。</w:t>
      </w:r>
      <w:r>
        <w:rPr>
          <w:w w:val="100"/>
        </w:rPr>
        <w:t> </w:t>
      </w:r>
      <w:r>
        <w:rPr>
          <w:spacing w:val="-2"/>
        </w:rPr>
        <w:t>我们对财务报表发表的审计意见不涵盖其他信息，我们也不对其他信息发表任何形式的鉴证</w:t>
      </w:r>
    </w:p>
    <w:p>
      <w:pPr>
        <w:pStyle w:val="BodyText"/>
        <w:spacing w:line="240" w:lineRule="auto" w:before="20"/>
        <w:ind w:right="2513"/>
        <w:jc w:val="left"/>
      </w:pPr>
      <w:r>
        <w:rPr/>
        <w:t>结论。</w:t>
      </w:r>
    </w:p>
    <w:p>
      <w:pPr>
        <w:pStyle w:val="BodyText"/>
        <w:spacing w:line="314" w:lineRule="auto" w:before="85"/>
        <w:ind w:right="123"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14" w:lineRule="auto" w:before="20"/>
        <w:ind w:right="123"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9"/>
        <w:rPr>
          <w:rFonts w:ascii="宋体" w:hAnsi="宋体" w:cs="宋体" w:eastAsia="宋体" w:hint="default"/>
          <w:sz w:val="17"/>
          <w:szCs w:val="17"/>
        </w:rPr>
      </w:pPr>
    </w:p>
    <w:p>
      <w:pPr>
        <w:spacing w:line="304" w:lineRule="auto" w:before="0"/>
        <w:ind w:left="638" w:right="123"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14" w:lineRule="auto" w:before="28"/>
        <w:ind w:left="638" w:right="123" w:hanging="420"/>
        <w:jc w:val="left"/>
      </w:pPr>
      <w:r>
        <w:rPr/>
        <w:t>护必要的内部控制，以使财务报表不存在由于舞弊或错误导致的重大错报。</w:t>
      </w:r>
      <w:r>
        <w:rPr>
          <w:w w:val="100"/>
        </w:rPr>
        <w:t> </w:t>
      </w:r>
      <w:r>
        <w:rPr>
          <w:spacing w:val="-2"/>
        </w:rPr>
        <w:t>在编制财务报表时，管理层负责评估南威软件的持续经营能力，披露与持续经营相关的事项</w:t>
      </w:r>
    </w:p>
    <w:p>
      <w:pPr>
        <w:pStyle w:val="BodyText"/>
        <w:spacing w:line="314" w:lineRule="auto" w:before="20"/>
        <w:ind w:right="123"/>
        <w:jc w:val="left"/>
      </w:pPr>
      <w:r>
        <w:rPr>
          <w:spacing w:val="-2"/>
          <w:w w:val="100"/>
        </w:rPr>
        <w:t>（如适用），并运用持续经营假设，除非管理层计划清算南威软件、终止运营或别无其他现实的</w:t>
      </w:r>
      <w:r>
        <w:rPr>
          <w:spacing w:val="-82"/>
          <w:w w:val="100"/>
        </w:rPr>
        <w:t> </w:t>
      </w:r>
      <w:r>
        <w:rPr>
          <w:spacing w:val="-82"/>
          <w:w w:val="100"/>
        </w:rPr>
      </w:r>
      <w:r>
        <w:rPr/>
        <w:t>选择。</w:t>
      </w:r>
    </w:p>
    <w:p>
      <w:pPr>
        <w:spacing w:line="499" w:lineRule="auto" w:before="20"/>
        <w:ind w:left="640" w:right="2513"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治理层负责监督南威软件的财务报告过程。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spacing w:after="0" w:line="499" w:lineRule="auto"/>
        <w:jc w:val="left"/>
        <w:rPr>
          <w:rFonts w:ascii="宋体" w:hAnsi="宋体" w:cs="宋体" w:eastAsia="宋体" w:hint="default"/>
          <w:sz w:val="21"/>
          <w:szCs w:val="21"/>
        </w:rPr>
        <w:sectPr>
          <w:pgSz w:w="11910" w:h="16840"/>
          <w:pgMar w:header="852" w:footer="979" w:top="1140" w:bottom="1160" w:left="1580" w:right="1040"/>
        </w:sectPr>
      </w:pPr>
    </w:p>
    <w:p>
      <w:pPr>
        <w:spacing w:line="240" w:lineRule="auto" w:before="7"/>
        <w:rPr>
          <w:rFonts w:ascii="宋体" w:hAnsi="宋体" w:cs="宋体" w:eastAsia="宋体" w:hint="default"/>
          <w:b/>
          <w:bCs/>
          <w:sz w:val="29"/>
          <w:szCs w:val="29"/>
        </w:rPr>
      </w:pPr>
    </w:p>
    <w:p>
      <w:pPr>
        <w:pStyle w:val="BodyText"/>
        <w:spacing w:line="314" w:lineRule="auto" w:before="36"/>
        <w:ind w:left="138" w:right="144" w:firstLine="419"/>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33"/>
        </w:rPr>
        <w:t> </w:t>
      </w:r>
      <w:r>
        <w:rPr>
          <w:spacing w:val="-33"/>
        </w:rPr>
      </w:r>
      <w:r>
        <w:rPr>
          <w:spacing w:val="-2"/>
        </w:rPr>
        <w:t>计在某一重大错报存在时总能发现。错报可能由于舞弊或错误导致，如果合理预期错报单独或汇</w:t>
      </w:r>
      <w:r>
        <w:rPr>
          <w:spacing w:val="-33"/>
        </w:rPr>
        <w:t> </w:t>
      </w:r>
      <w:r>
        <w:rPr>
          <w:spacing w:val="-33"/>
        </w:rPr>
      </w:r>
      <w:r>
        <w:rPr/>
        <w:t>总起来可能影响财务报表使用者依据财务报表作出的经济决策，则通常认为错报是重大的。</w:t>
      </w:r>
    </w:p>
    <w:p>
      <w:pPr>
        <w:pStyle w:val="BodyText"/>
        <w:spacing w:line="314" w:lineRule="auto" w:before="20"/>
        <w:ind w:left="138" w:right="144"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09" w:lineRule="auto" w:before="20"/>
        <w:ind w:left="138" w:right="145" w:firstLine="419"/>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w:t>
      </w:r>
      <w:r>
        <w:rPr>
          <w:w w:val="100"/>
        </w:rPr>
        <w:t> </w:t>
      </w:r>
      <w:r>
        <w:rPr>
          <w:spacing w:val="-7"/>
        </w:rPr>
        <w:t>对这些风险，并获取充分、适当的审计证据，作为发表审计意见的基础。由于舞弊可能涉及串通、</w:t>
      </w:r>
      <w:r>
        <w:rPr>
          <w:spacing w:val="-31"/>
        </w:rPr>
        <w:t> </w:t>
      </w:r>
      <w:r>
        <w:rPr>
          <w:spacing w:val="-31"/>
        </w:rPr>
      </w:r>
      <w:r>
        <w:rPr>
          <w:spacing w:val="-2"/>
        </w:rPr>
        <w:t>伪造、故意遗漏、虚假陈述或凌驾于内部控制之上，未能发现由于舞弊导致的重大错报的风险高</w:t>
      </w:r>
      <w:r>
        <w:rPr>
          <w:spacing w:val="-32"/>
        </w:rPr>
        <w:t> </w:t>
      </w:r>
      <w:r>
        <w:rPr>
          <w:spacing w:val="-32"/>
        </w:rPr>
      </w:r>
      <w:r>
        <w:rPr/>
        <w:t>于未能发现由于错误导致的重大错报的风险。</w:t>
      </w:r>
    </w:p>
    <w:p>
      <w:pPr>
        <w:pStyle w:val="BodyText"/>
        <w:spacing w:line="240" w:lineRule="auto" w:before="24"/>
        <w:ind w:left="558" w:right="130"/>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9"/>
        <w:ind w:left="558" w:right="13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9" w:lineRule="auto" w:before="69"/>
        <w:ind w:left="138" w:right="144" w:firstLine="419"/>
        <w:jc w:val="both"/>
      </w:pPr>
      <w:r>
        <w:rPr/>
        <w:t>（</w:t>
      </w:r>
      <w:r>
        <w:rPr>
          <w:rFonts w:ascii="Times New Roman" w:hAnsi="Times New Roman" w:cs="Times New Roman" w:eastAsia="Times New Roman" w:hint="default"/>
        </w:rPr>
        <w:t>4</w:t>
      </w:r>
      <w:r>
        <w:rPr/>
        <w:t>）对管理层使用持续经营假设的恰当性得出结论。同时，根据获取的审计证据，就可能</w:t>
      </w:r>
      <w:r>
        <w:rPr>
          <w:w w:val="100"/>
        </w:rPr>
        <w:t> </w:t>
      </w:r>
      <w:r>
        <w:rPr>
          <w:spacing w:val="-2"/>
        </w:rPr>
        <w:t>导致对南威软件持续经营能力产生重大疑虑的事项或情况是否存在重大不确定性得出结论。如果</w:t>
      </w:r>
      <w:r>
        <w:rPr>
          <w:spacing w:val="-33"/>
        </w:rPr>
        <w:t> </w:t>
      </w:r>
      <w:r>
        <w:rPr>
          <w:spacing w:val="-33"/>
        </w:rPr>
      </w:r>
      <w:r>
        <w:rPr>
          <w:spacing w:val="-2"/>
        </w:rPr>
        <w:t>我们得出结论认为存在重大不确定性，审计准则要求我们在审计报告中提请报表使用者注意财务</w:t>
      </w:r>
      <w:r>
        <w:rPr>
          <w:spacing w:val="-33"/>
        </w:rPr>
        <w:t> </w:t>
      </w:r>
      <w:r>
        <w:rPr>
          <w:spacing w:val="-33"/>
        </w:rPr>
      </w:r>
      <w:r>
        <w:rPr>
          <w:spacing w:val="-2"/>
        </w:rPr>
        <w:t>报表中的相关披露；如果披露不充分，我们应当发表非无保留意见。我们的结论基于截至审计报</w:t>
      </w:r>
      <w:r>
        <w:rPr>
          <w:spacing w:val="-34"/>
        </w:rPr>
        <w:t> </w:t>
      </w:r>
      <w:r>
        <w:rPr>
          <w:spacing w:val="-34"/>
        </w:rPr>
      </w:r>
      <w:r>
        <w:rPr/>
        <w:t>告日可获得的信息。然而，未来的事项或情况可能导致南威软件不能持续经营。</w:t>
      </w:r>
    </w:p>
    <w:p>
      <w:pPr>
        <w:pStyle w:val="BodyText"/>
        <w:spacing w:line="297" w:lineRule="auto" w:before="24"/>
        <w:ind w:left="138" w:right="147" w:firstLine="419"/>
        <w:jc w:val="both"/>
      </w:pPr>
      <w:r>
        <w:rPr>
          <w:spacing w:val="-3"/>
        </w:rPr>
        <w:t>（</w:t>
      </w:r>
      <w:r>
        <w:rPr>
          <w:rFonts w:ascii="Times New Roman" w:hAnsi="Times New Roman" w:cs="Times New Roman" w:eastAsia="Times New Roman" w:hint="default"/>
          <w:spacing w:val="-3"/>
        </w:rPr>
        <w:t>5</w:t>
      </w:r>
      <w:r>
        <w:rPr>
          <w:spacing w:val="-3"/>
        </w:rPr>
        <w:t>）评价财务报表的总体列报、结构和内容</w:t>
      </w:r>
      <w:r>
        <w:rPr>
          <w:rFonts w:ascii="Times New Roman" w:hAnsi="Times New Roman" w:cs="Times New Roman" w:eastAsia="Times New Roman" w:hint="default"/>
          <w:spacing w:val="-3"/>
        </w:rPr>
        <w:t>(</w:t>
      </w:r>
      <w:r>
        <w:rPr>
          <w:spacing w:val="-3"/>
        </w:rPr>
        <w:t>包括披露</w:t>
      </w:r>
      <w:r>
        <w:rPr>
          <w:rFonts w:ascii="Times New Roman" w:hAnsi="Times New Roman" w:cs="Times New Roman" w:eastAsia="Times New Roman" w:hint="default"/>
          <w:spacing w:val="-3"/>
        </w:rPr>
        <w:t>)</w:t>
      </w:r>
      <w:r>
        <w:rPr>
          <w:spacing w:val="-3"/>
        </w:rPr>
        <w:t>，并评价财务报表是否公允反映相关</w:t>
      </w:r>
      <w:r>
        <w:rPr>
          <w:w w:val="100"/>
        </w:rPr>
        <w:t> </w:t>
      </w:r>
      <w:r>
        <w:rPr/>
        <w:t>交易和事项。</w:t>
      </w:r>
    </w:p>
    <w:p>
      <w:pPr>
        <w:pStyle w:val="BodyText"/>
        <w:spacing w:line="297" w:lineRule="auto" w:before="34"/>
        <w:ind w:left="138" w:right="156" w:firstLine="419"/>
        <w:jc w:val="both"/>
      </w:pPr>
      <w:r>
        <w:rPr/>
        <w:t>（</w:t>
      </w:r>
      <w:r>
        <w:rPr>
          <w:rFonts w:ascii="Times New Roman" w:hAnsi="Times New Roman" w:cs="Times New Roman" w:eastAsia="Times New Roman" w:hint="default"/>
        </w:rPr>
        <w:t>6</w:t>
      </w:r>
      <w:r>
        <w:rPr/>
        <w:t>）就南威软件中实体或业务活动的财务信息获取充分、适当的审计证据，以对财务报表</w:t>
      </w:r>
      <w:r>
        <w:rPr>
          <w:w w:val="100"/>
        </w:rPr>
        <w:t> </w:t>
      </w:r>
      <w:r>
        <w:rPr/>
        <w:t>发表审计意见。我们负责指导、监督和执行集团审计，并对审计意见承担全部责任。</w:t>
      </w:r>
    </w:p>
    <w:p>
      <w:pPr>
        <w:pStyle w:val="BodyText"/>
        <w:spacing w:line="314" w:lineRule="auto" w:before="34"/>
        <w:ind w:left="138" w:right="144"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14" w:lineRule="auto" w:before="20"/>
        <w:ind w:left="138" w:right="145" w:firstLine="419"/>
        <w:jc w:val="both"/>
      </w:pPr>
      <w:r>
        <w:rPr>
          <w:spacing w:val="-2"/>
        </w:rPr>
        <w:t>我们还就已遵守与独立性相关的职业道德要求向治理层提供声明，并与治理层沟通可能被合</w:t>
      </w:r>
      <w:r>
        <w:rPr>
          <w:w w:val="100"/>
        </w:rPr>
        <w:t> </w:t>
      </w:r>
      <w:r>
        <w:rPr>
          <w:spacing w:val="-5"/>
          <w:w w:val="100"/>
        </w:rPr>
        <w:t>理认为影响我们独立性的所有关系和其他事项，以及相关的防范措施（如适用）。</w:t>
      </w:r>
    </w:p>
    <w:p>
      <w:pPr>
        <w:pStyle w:val="BodyText"/>
        <w:spacing w:line="314" w:lineRule="auto" w:before="20"/>
        <w:ind w:left="138" w:right="144"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32"/>
        </w:rPr>
        <w:t> </w:t>
      </w:r>
      <w:r>
        <w:rPr>
          <w:spacing w:val="-32"/>
        </w:rPr>
      </w:r>
      <w:r>
        <w:rPr>
          <w:spacing w:val="-2"/>
        </w:rPr>
        <w:t>数情形下，如果合理预期在审计报告中沟通某事项造成的负面后果超过在公众利益方面产生的益</w:t>
      </w:r>
      <w:r>
        <w:rPr>
          <w:spacing w:val="-33"/>
        </w:rPr>
        <w:t> </w:t>
      </w:r>
      <w:r>
        <w:rPr>
          <w:spacing w:val="-33"/>
        </w:rPr>
      </w:r>
      <w:r>
        <w:rPr/>
        <w:t>处，我们确定不应在审计报告中沟通该事项。</w:t>
      </w:r>
    </w:p>
    <w:p>
      <w:pPr>
        <w:spacing w:line="240" w:lineRule="auto" w:before="1"/>
        <w:rPr>
          <w:rFonts w:ascii="宋体" w:hAnsi="宋体" w:cs="宋体" w:eastAsia="宋体" w:hint="default"/>
          <w:sz w:val="28"/>
          <w:szCs w:val="28"/>
        </w:rPr>
      </w:pPr>
    </w:p>
    <w:tbl>
      <w:tblPr>
        <w:tblW w:w="0" w:type="auto"/>
        <w:jc w:val="left"/>
        <w:tblInd w:w="461" w:type="dxa"/>
        <w:tblLayout w:type="fixed"/>
        <w:tblCellMar>
          <w:top w:w="0" w:type="dxa"/>
          <w:left w:w="0" w:type="dxa"/>
          <w:bottom w:w="0" w:type="dxa"/>
          <w:right w:w="0" w:type="dxa"/>
        </w:tblCellMar>
        <w:tblLook w:val="01E0"/>
      </w:tblPr>
      <w:tblGrid>
        <w:gridCol w:w="3387"/>
        <w:gridCol w:w="3598"/>
      </w:tblGrid>
      <w:tr>
        <w:trPr>
          <w:trHeight w:val="822" w:hRule="exact"/>
        </w:trPr>
        <w:tc>
          <w:tcPr>
            <w:tcW w:w="3387" w:type="dxa"/>
            <w:tcBorders>
              <w:top w:val="nil" w:sz="6" w:space="0" w:color="auto"/>
              <w:left w:val="nil" w:sz="6" w:space="0" w:color="auto"/>
              <w:bottom w:val="nil" w:sz="6" w:space="0" w:color="auto"/>
              <w:right w:val="nil" w:sz="6" w:space="0" w:color="auto"/>
            </w:tcBorders>
          </w:tcPr>
          <w:p>
            <w:pPr>
              <w:pStyle w:val="TableParagraph"/>
              <w:spacing w:line="210" w:lineRule="exact"/>
              <w:ind w:right="874"/>
              <w:jc w:val="center"/>
              <w:rPr>
                <w:rFonts w:ascii="宋体" w:hAnsi="宋体" w:cs="宋体" w:eastAsia="宋体" w:hint="default"/>
                <w:sz w:val="21"/>
                <w:szCs w:val="21"/>
              </w:rPr>
            </w:pPr>
            <w:r>
              <w:rPr>
                <w:rFonts w:ascii="宋体" w:hAnsi="宋体" w:cs="宋体" w:eastAsia="宋体" w:hint="default"/>
                <w:b/>
                <w:bCs/>
                <w:sz w:val="21"/>
                <w:szCs w:val="21"/>
              </w:rPr>
              <w:t>福建华兴会计师事务所</w:t>
            </w:r>
            <w:r>
              <w:rPr>
                <w:rFonts w:ascii="宋体" w:hAnsi="宋体" w:cs="宋体" w:eastAsia="宋体" w:hint="default"/>
                <w:sz w:val="21"/>
                <w:szCs w:val="21"/>
              </w:rPr>
            </w:r>
          </w:p>
          <w:p>
            <w:pPr>
              <w:pStyle w:val="TableParagraph"/>
              <w:spacing w:line="274" w:lineRule="exact"/>
              <w:ind w:right="877"/>
              <w:jc w:val="center"/>
              <w:rPr>
                <w:rFonts w:ascii="宋体" w:hAnsi="宋体" w:cs="宋体" w:eastAsia="宋体" w:hint="default"/>
                <w:sz w:val="21"/>
                <w:szCs w:val="21"/>
              </w:rPr>
            </w:pPr>
            <w:r>
              <w:rPr>
                <w:rFonts w:ascii="宋体" w:hAnsi="宋体" w:cs="宋体" w:eastAsia="宋体" w:hint="default"/>
                <w:b/>
                <w:bCs/>
                <w:sz w:val="21"/>
                <w:szCs w:val="21"/>
              </w:rPr>
              <w:t>（特殊普通合伙）</w:t>
            </w:r>
            <w:r>
              <w:rPr>
                <w:rFonts w:ascii="宋体" w:hAnsi="宋体" w:cs="宋体" w:eastAsia="宋体" w:hint="default"/>
                <w:sz w:val="21"/>
                <w:szCs w:val="21"/>
              </w:rPr>
            </w:r>
          </w:p>
        </w:tc>
        <w:tc>
          <w:tcPr>
            <w:tcW w:w="3598" w:type="dxa"/>
            <w:tcBorders>
              <w:top w:val="nil" w:sz="6" w:space="0" w:color="auto"/>
              <w:left w:val="nil" w:sz="6" w:space="0" w:color="auto"/>
              <w:bottom w:val="nil" w:sz="6" w:space="0" w:color="auto"/>
              <w:right w:val="nil" w:sz="6" w:space="0" w:color="auto"/>
            </w:tcBorders>
          </w:tcPr>
          <w:p>
            <w:pPr>
              <w:pStyle w:val="TableParagraph"/>
              <w:spacing w:line="211" w:lineRule="exact"/>
              <w:ind w:left="1076" w:right="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tc>
      </w:tr>
      <w:tr>
        <w:trPr>
          <w:trHeight w:val="898" w:hRule="exact"/>
        </w:trPr>
        <w:tc>
          <w:tcPr>
            <w:tcW w:w="3387" w:type="dxa"/>
            <w:tcBorders>
              <w:top w:val="nil" w:sz="6" w:space="0" w:color="auto"/>
              <w:left w:val="nil" w:sz="6" w:space="0" w:color="auto"/>
              <w:bottom w:val="nil" w:sz="6" w:space="0" w:color="auto"/>
              <w:right w:val="nil" w:sz="6" w:space="0" w:color="auto"/>
            </w:tcBorders>
          </w:tcPr>
          <w:p>
            <w:pPr/>
          </w:p>
        </w:tc>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76" w:right="0"/>
              <w:jc w:val="left"/>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tc>
      </w:tr>
      <w:tr>
        <w:trPr>
          <w:trHeight w:val="560" w:hRule="exact"/>
        </w:trPr>
        <w:tc>
          <w:tcPr>
            <w:tcW w:w="33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b/>
                <w:bCs/>
                <w:sz w:val="21"/>
                <w:szCs w:val="21"/>
              </w:rPr>
              <w:t>中国福州市</w:t>
            </w:r>
            <w:r>
              <w:rPr>
                <w:rFonts w:ascii="宋体" w:hAnsi="宋体" w:cs="宋体" w:eastAsia="宋体" w:hint="default"/>
                <w:sz w:val="21"/>
                <w:szCs w:val="21"/>
              </w:rPr>
            </w:r>
          </w:p>
        </w:tc>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76" w:right="0"/>
              <w:jc w:val="left"/>
              <w:rPr>
                <w:rFonts w:ascii="宋体" w:hAnsi="宋体" w:cs="宋体" w:eastAsia="宋体" w:hint="default"/>
                <w:sz w:val="21"/>
                <w:szCs w:val="21"/>
              </w:rPr>
            </w:pPr>
            <w:r>
              <w:rPr>
                <w:rFonts w:ascii="宋体" w:hAnsi="宋体" w:cs="宋体" w:eastAsia="宋体" w:hint="default"/>
                <w:b/>
                <w:bCs/>
                <w:sz w:val="21"/>
                <w:szCs w:val="21"/>
              </w:rPr>
              <w:t>二○一八年二月二十九日</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52" w:footer="979" w:top="1140" w:bottom="1160" w:left="1660" w:right="1140"/>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2" w:footer="979" w:top="1140" w:bottom="1160" w:left="1580" w:right="1040"/>
        </w:sectPr>
      </w:pPr>
    </w:p>
    <w:p>
      <w:pPr>
        <w:pStyle w:val="Heading3"/>
        <w:spacing w:line="240" w:lineRule="auto" w:before="36"/>
        <w:ind w:right="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0"/>
        <w:jc w:val="left"/>
      </w:pPr>
      <w:r>
        <w:rPr>
          <w:spacing w:val="-2"/>
        </w:rPr>
        <w:t>编制单位</w:t>
      </w:r>
      <w:r>
        <w:rPr>
          <w:rFonts w:ascii="Calibri" w:hAnsi="Calibri" w:cs="Calibri" w:eastAsia="Calibri" w:hint="default"/>
          <w:spacing w:val="-2"/>
        </w:rPr>
        <w:t>:</w:t>
      </w:r>
      <w:r>
        <w:rPr>
          <w:spacing w:val="-2"/>
        </w:rPr>
        <w:t>南威软件股份有限公司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3"/>
        <w:spacing w:line="273" w:lineRule="exact"/>
        <w:ind w:left="215" w:right="0"/>
        <w:jc w:val="center"/>
        <w:rPr>
          <w:b w:val="0"/>
          <w:bCs w:val="0"/>
        </w:rPr>
      </w:pPr>
      <w:r>
        <w:rPr/>
        <w:t>合并资产负债表</w:t>
      </w:r>
      <w:r>
        <w:rPr>
          <w:b w:val="0"/>
          <w:bCs w:val="0"/>
        </w:rPr>
      </w:r>
    </w:p>
    <w:p>
      <w:pPr>
        <w:pStyle w:val="BodyText"/>
        <w:spacing w:line="289" w:lineRule="exact"/>
        <w:ind w:right="0"/>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spacing w:line="240" w:lineRule="auto"/>
        <w:ind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3" w:equalWidth="0">
            <w:col w:w="3219" w:space="331"/>
            <w:col w:w="1954" w:space="1536"/>
            <w:col w:w="2250"/>
          </w:cols>
        </w:sect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288,368,442.20</w:t>
            </w:r>
          </w:p>
        </w:tc>
        <w:tc>
          <w:tcPr>
            <w:tcW w:w="22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338,106,001.94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113,710,759.27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1,321,283.18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278,665,932.12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208,143,006.12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12,602,685.07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8,664,335.32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43,081.63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49,211,259.64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37,044,088.25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291,707,639.74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232,441,581.77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91,480,843.82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160,774,308.86</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186,018,096.22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1,286,521,870.72</w:t>
            </w:r>
          </w:p>
        </w:tc>
        <w:tc>
          <w:tcPr>
            <w:tcW w:w="22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1,012,281,474.43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4" w:space="0" w:color="000000"/>
              <w:right w:val="single" w:sz="4" w:space="0" w:color="000000"/>
            </w:tcBorders>
          </w:tcPr>
          <w:p>
            <w:pPr/>
          </w:p>
        </w:tc>
        <w:tc>
          <w:tcPr>
            <w:tcW w:w="2209"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207,050,074.3</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309,620.00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89,199,109.24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154,576.56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31,072,448.99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33,563,520.10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161,404,754.24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115,951,543.32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2"/>
                <w:sz w:val="21"/>
              </w:rPr>
              <w:t>4,411,849.92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8,915,733.58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113,024,500.68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97,372,489.94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2"/>
                <w:sz w:val="21"/>
              </w:rPr>
              <w:t>29,798,901.11</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18,921,223.04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209,867.68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418,118.43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24,515,585.28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24,671,009.40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17,288,590.48</w:t>
            </w: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677,975,681.92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300,277,834.37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nil" w:sz="6" w:space="0" w:color="auto"/>
              <w:left w:val="single" w:sz="6" w:space="0" w:color="000000"/>
              <w:bottom w:val="single" w:sz="6"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1,964,497,552.64</w:t>
            </w:r>
          </w:p>
        </w:tc>
        <w:tc>
          <w:tcPr>
            <w:tcW w:w="2209"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1,312,559,308.80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2,773,660.90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238,486,982.59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10,032,833.34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286,895,744.76</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147,454,646.92</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149,141,964.89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144,933,979.10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27,130,109.42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22,197,602.93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56,972,058.15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9,683,268.17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50,885,054.47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70,899,860.56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62,378,883.93</w:t>
            </w: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871,890,798.21</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407,975,851.92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81,142,857.14</w:t>
            </w: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3,999,134.00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574,166.67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13,797.74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85,155,788.88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574,166.67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957,046,587.09</w:t>
            </w:r>
          </w:p>
        </w:tc>
        <w:tc>
          <w:tcPr>
            <w:tcW w:w="22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408,550,018.59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407,097,800.00</w:t>
            </w:r>
          </w:p>
        </w:tc>
        <w:tc>
          <w:tcPr>
            <w:tcW w:w="220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101,707,880.00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180,342,840.48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468,470,984.18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39,887,176.32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61,654,468.00</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4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nil" w:sz="6" w:space="0" w:color="auto"/>
              <w:left w:val="single" w:sz="6" w:space="0" w:color="000000"/>
              <w:bottom w:val="single" w:sz="4" w:space="0" w:color="000000"/>
              <w:right w:val="single" w:sz="4" w:space="0" w:color="000000"/>
            </w:tcBorders>
          </w:tcPr>
          <w:p>
            <w:pPr/>
          </w:p>
        </w:tc>
        <w:tc>
          <w:tcPr>
            <w:tcW w:w="2209" w:type="dxa"/>
            <w:tcBorders>
              <w:top w:val="nil" w:sz="6" w:space="0" w:color="auto"/>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53,401,869.29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46,146,960.05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408,127,113.68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328,619,427.96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1,009,082,447.13</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883,290,784.19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-1,631,481.58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20,718,506.02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1,007,450,965.55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904,009,290.21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1,964,497,552.64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1,312,559,308.80</w:t>
            </w:r>
          </w:p>
        </w:tc>
      </w:tr>
    </w:tbl>
    <w:p>
      <w:pPr>
        <w:pStyle w:val="BodyText"/>
        <w:spacing w:line="241" w:lineRule="exact"/>
        <w:ind w:right="123"/>
        <w:jc w:val="left"/>
      </w:pPr>
      <w:r>
        <w:rPr/>
        <w:t>法定代表人：吴志雄主管会计工作负责人：曾志勇会计机构负责人：黄芳</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2" w:footer="979" w:top="1140" w:bottom="116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南威软件股份有限公司</w:t>
      </w:r>
    </w:p>
    <w:p>
      <w:pPr>
        <w:pStyle w:val="Heading3"/>
        <w:spacing w:line="274" w:lineRule="exact" w:before="36"/>
        <w:ind w:left="239" w:right="-16"/>
        <w:jc w:val="left"/>
        <w:rPr>
          <w:b w:val="0"/>
          <w:bCs w:val="0"/>
        </w:rPr>
      </w:pPr>
      <w:r>
        <w:rPr>
          <w:b w:val="0"/>
          <w:bCs w:val="0"/>
        </w:rPr>
        <w:br w:type="column"/>
      </w:r>
      <w:r>
        <w:rPr/>
        <w:t>母公司资产负债表</w:t>
      </w:r>
      <w:r>
        <w:rPr>
          <w:b w:val="0"/>
          <w:bCs w:val="0"/>
        </w:rPr>
      </w:r>
    </w:p>
    <w:p>
      <w:pPr>
        <w:pStyle w:val="BodyText"/>
        <w:spacing w:line="290" w:lineRule="exact"/>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3" w:equalWidth="0">
            <w:col w:w="3221" w:space="329"/>
            <w:col w:w="1954" w:space="1536"/>
            <w:col w:w="2250"/>
          </w:cols>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246,954,534.05</w:t>
            </w:r>
          </w:p>
        </w:tc>
        <w:tc>
          <w:tcPr>
            <w:tcW w:w="22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263,178,402.61</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60,091,984.92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1,321,283.18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267,073,411.93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202,427,251.72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5,112,592.29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8,248,340.88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43,081.63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2"/>
                <w:sz w:val="21"/>
              </w:rPr>
              <w:t>64,029,113.11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41,552,631.26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230,957,289.56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172,997,213.28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41,375,000.00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88,196,356.36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146,911,549.79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1,003,790,282.22</w:t>
            </w:r>
          </w:p>
        </w:tc>
        <w:tc>
          <w:tcPr>
            <w:tcW w:w="22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837,179,754.35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4" w:space="0" w:color="000000"/>
              <w:right w:val="single" w:sz="4" w:space="0" w:color="000000"/>
            </w:tcBorders>
          </w:tcPr>
          <w:p>
            <w:pPr/>
          </w:p>
        </w:tc>
        <w:tc>
          <w:tcPr>
            <w:tcW w:w="2235"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148,217,863.04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309,620.00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470,996,787.38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255,356,243.56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31,072,448.99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33,563,520.10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87,057,825.09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81,514,202.25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913,218.88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6,465,268.45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79,425,947.65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92,427,097.12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18,616,838.97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580,806.33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78,962.29</w:t>
            </w:r>
          </w:p>
        </w:tc>
        <w:tc>
          <w:tcPr>
            <w:tcW w:w="2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10,022,610.65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6,544,133.02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17,288,590.48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863,691,093.42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476,760,890.83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1,867,481,375.64</w:t>
            </w:r>
          </w:p>
        </w:tc>
        <w:tc>
          <w:tcPr>
            <w:tcW w:w="22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1,313,940,645.18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194,671,351.12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10,032,833.34</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333,507,667.28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157,983,515.63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170,534,955.24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113,667,238.90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7,820,376.34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7,939,868.39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43,348,308.88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8,795,165.78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83,828,259.85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81,539,922.77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833,710,918.71</w:t>
            </w:r>
          </w:p>
        </w:tc>
        <w:tc>
          <w:tcPr>
            <w:tcW w:w="22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379,958,544.81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color w:val="333399"/>
                <w:w w:val="100"/>
                <w:sz w:val="21"/>
              </w:rPr>
              <w:t>-</w:t>
            </w:r>
            <w:r>
              <w:rPr>
                <w:rFonts w:ascii="Times New Roman"/>
                <w:w w:val="100"/>
                <w:sz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3,999,134.00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574,166.67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13,797.74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4,012,931.74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574,166.67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837,723,850.45</w:t>
            </w:r>
          </w:p>
        </w:tc>
        <w:tc>
          <w:tcPr>
            <w:tcW w:w="22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380,532,711.48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407,097,800.00</w:t>
            </w:r>
          </w:p>
        </w:tc>
        <w:tc>
          <w:tcPr>
            <w:tcW w:w="22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101,707,880.00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181,791,120.77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468,884,921.35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39,887,176.32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61,654,468.00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53,401,869.29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46,146,960.05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427,353,911.45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378,322,640.30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1,029,757,525.19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933,407,933.70</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4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8"/>
              <w:ind w:left="607" w:right="0"/>
              <w:jc w:val="left"/>
              <w:rPr>
                <w:rFonts w:ascii="Times New Roman" w:hAnsi="Times New Roman" w:cs="Times New Roman" w:eastAsia="Times New Roman" w:hint="default"/>
                <w:sz w:val="21"/>
                <w:szCs w:val="21"/>
              </w:rPr>
            </w:pPr>
            <w:r>
              <w:rPr>
                <w:rFonts w:ascii="Times New Roman"/>
                <w:sz w:val="21"/>
              </w:rPr>
              <w:t>1,867,481,375.64</w:t>
            </w:r>
          </w:p>
        </w:tc>
        <w:tc>
          <w:tcPr>
            <w:tcW w:w="2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650" w:right="0"/>
              <w:jc w:val="left"/>
              <w:rPr>
                <w:rFonts w:ascii="Times New Roman" w:hAnsi="Times New Roman" w:cs="Times New Roman" w:eastAsia="Times New Roman" w:hint="default"/>
                <w:sz w:val="21"/>
                <w:szCs w:val="21"/>
              </w:rPr>
            </w:pPr>
            <w:r>
              <w:rPr>
                <w:rFonts w:ascii="Times New Roman"/>
                <w:sz w:val="21"/>
              </w:rPr>
              <w:t>1,313,940,645.18</w:t>
            </w:r>
          </w:p>
        </w:tc>
      </w:tr>
    </w:tbl>
    <w:p>
      <w:pPr>
        <w:pStyle w:val="BodyText"/>
        <w:spacing w:line="241" w:lineRule="exact"/>
        <w:ind w:right="123"/>
        <w:jc w:val="left"/>
      </w:pPr>
      <w:r>
        <w:rPr/>
        <w:t>法定代表人：吴志雄主管会计工作负责人：曾志勇会计机构负责人：黄芳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2" w:footer="979" w:top="1140" w:bottom="1160" w:left="1580" w:right="1040"/>
        </w:sectPr>
      </w:pPr>
    </w:p>
    <w:p>
      <w:pPr>
        <w:pStyle w:val="Heading3"/>
        <w:spacing w:line="274" w:lineRule="exact" w:before="36"/>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819"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807,313,135.82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468,074,426.65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807,313,135.82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468,074,426.65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724,768,327.55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445,455,902.20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538,273,165.94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316,113,244.04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7,247,672.28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3,986,205.69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40,945,076.88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28,708,733.35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119,221,016.89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86,516,718.24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581,958.82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pacing w:val="-1"/>
                <w:sz w:val="21"/>
              </w:rPr>
              <w:t>-2,197,705.73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18,499,436.74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12,328,706.61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-5,610,523.91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pacing w:val="-1"/>
                <w:sz w:val="21"/>
              </w:rPr>
              <w:t>-1,604,359.29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17,599,746.69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4,440,593.96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-1,152,007.32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pacing w:val="-1"/>
                <w:sz w:val="21"/>
              </w:rPr>
              <w:t>-26,801.26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-100,256.61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99.25</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17,165,233.05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2"/>
                <w:sz w:val="21"/>
              </w:rPr>
              <w:t>111,599,007.49</w:t>
            </w:r>
          </w:p>
        </w:tc>
        <w:tc>
          <w:tcPr>
            <w:tcW w:w="198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25,454,858.37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1,573,087.19</w:t>
            </w:r>
          </w:p>
        </w:tc>
        <w:tc>
          <w:tcPr>
            <w:tcW w:w="198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2"/>
                <w:sz w:val="21"/>
              </w:rPr>
              <w:t>16,699,774.11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2,303,096.69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105,849.27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110,868,997.99</w:t>
            </w:r>
          </w:p>
        </w:tc>
        <w:tc>
          <w:tcPr>
            <w:tcW w:w="198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42,048,783.21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18,833,539.26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-1,181,423.77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92,035,458.73</w:t>
            </w:r>
          </w:p>
        </w:tc>
        <w:tc>
          <w:tcPr>
            <w:tcW w:w="198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43,230,206.98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一</w:t>
            </w:r>
            <w:r>
              <w:rPr>
                <w:rFonts w:ascii="Calibri" w:hAnsi="Calibri" w:cs="Calibri" w:eastAsia="Calibri"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8" w:firstLine="419"/>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持续经营净利润（净亏损以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3"/>
                <w:w w:val="100"/>
                <w:sz w:val="21"/>
                <w:szCs w:val="21"/>
              </w:rPr>
              <w:t> </w:t>
            </w: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92,035,458.73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43,230,206.98</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98" w:firstLine="419"/>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终止经营净利润（净亏损以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3"/>
                <w:w w:val="100"/>
                <w:sz w:val="21"/>
                <w:szCs w:val="21"/>
              </w:rPr>
              <w:t> </w:t>
            </w:r>
            <w:r>
              <w:rPr>
                <w:rFonts w:ascii="宋体" w:hAnsi="宋体" w:cs="宋体" w:eastAsia="宋体" w:hint="default"/>
                <w:sz w:val="21"/>
                <w:szCs w:val="21"/>
              </w:rPr>
              <w:t>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二</w:t>
            </w:r>
            <w:r>
              <w:rPr>
                <w:rFonts w:ascii="Calibri" w:hAnsi="Calibri" w:cs="Calibri" w:eastAsia="Calibri"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13"/>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-10,990,048.23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pacing w:val="-1"/>
                <w:sz w:val="21"/>
              </w:rPr>
              <w:t>-8,244,517.93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520"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103,025,506.96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51,474,724.91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归属母公司所有者的其他综合收益的税</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82" w:firstLine="631"/>
              <w:jc w:val="left"/>
              <w:rPr>
                <w:rFonts w:ascii="宋体" w:hAnsi="宋体" w:cs="宋体" w:eastAsia="宋体" w:hint="default"/>
                <w:sz w:val="21"/>
                <w:szCs w:val="21"/>
              </w:rPr>
            </w:pPr>
            <w:r>
              <w:rPr>
                <w:rFonts w:ascii="Calibri" w:hAnsi="Calibri" w:cs="Calibri" w:eastAsia="Calibri" w:hint="default"/>
                <w:spacing w:val="10"/>
                <w:sz w:val="21"/>
                <w:szCs w:val="21"/>
              </w:rPr>
              <w:t>1.</w:t>
            </w:r>
            <w:r>
              <w:rPr>
                <w:rFonts w:ascii="宋体" w:hAnsi="宋体" w:cs="宋体" w:eastAsia="宋体" w:hint="default"/>
                <w:spacing w:val="10"/>
                <w:sz w:val="21"/>
                <w:szCs w:val="21"/>
              </w:rPr>
              <w:t>重新计量设定受益计划净负债或</w:t>
            </w:r>
            <w:r>
              <w:rPr>
                <w:rFonts w:ascii="宋体" w:hAnsi="宋体" w:cs="宋体" w:eastAsia="宋体" w:hint="default"/>
                <w:spacing w:val="12"/>
                <w:w w:val="100"/>
                <w:sz w:val="21"/>
                <w:szCs w:val="21"/>
              </w:rPr>
              <w:t> </w:t>
            </w: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82" w:firstLine="631"/>
              <w:jc w:val="left"/>
              <w:rPr>
                <w:rFonts w:ascii="宋体" w:hAnsi="宋体" w:cs="宋体" w:eastAsia="宋体" w:hint="default"/>
                <w:sz w:val="21"/>
                <w:szCs w:val="21"/>
              </w:rPr>
            </w:pPr>
            <w:r>
              <w:rPr>
                <w:rFonts w:ascii="Calibri" w:hAnsi="Calibri" w:cs="Calibri" w:eastAsia="Calibri" w:hint="default"/>
                <w:spacing w:val="10"/>
                <w:sz w:val="21"/>
                <w:szCs w:val="21"/>
              </w:rPr>
              <w:t>2.</w:t>
            </w:r>
            <w:r>
              <w:rPr>
                <w:rFonts w:ascii="宋体" w:hAnsi="宋体" w:cs="宋体" w:eastAsia="宋体" w:hint="default"/>
                <w:spacing w:val="10"/>
                <w:sz w:val="21"/>
                <w:szCs w:val="21"/>
              </w:rPr>
              <w:t>权益法下在被投资单位不能重分</w:t>
            </w:r>
            <w:r>
              <w:rPr>
                <w:rFonts w:ascii="宋体" w:hAnsi="宋体" w:cs="宋体" w:eastAsia="宋体" w:hint="default"/>
                <w:spacing w:val="12"/>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82" w:firstLine="631"/>
              <w:jc w:val="left"/>
              <w:rPr>
                <w:rFonts w:ascii="宋体" w:hAnsi="宋体" w:cs="宋体" w:eastAsia="宋体" w:hint="default"/>
                <w:sz w:val="21"/>
                <w:szCs w:val="21"/>
              </w:rPr>
            </w:pPr>
            <w:r>
              <w:rPr>
                <w:rFonts w:ascii="Calibri" w:hAnsi="Calibri" w:cs="Calibri" w:eastAsia="Calibri" w:hint="default"/>
                <w:spacing w:val="10"/>
                <w:sz w:val="21"/>
                <w:szCs w:val="21"/>
              </w:rPr>
              <w:t>1.</w:t>
            </w:r>
            <w:r>
              <w:rPr>
                <w:rFonts w:ascii="宋体" w:hAnsi="宋体" w:cs="宋体" w:eastAsia="宋体" w:hint="default"/>
                <w:spacing w:val="10"/>
                <w:sz w:val="21"/>
                <w:szCs w:val="21"/>
              </w:rPr>
              <w:t>权益法下在被投资单位以后将重</w:t>
            </w:r>
            <w:r>
              <w:rPr>
                <w:rFonts w:ascii="宋体" w:hAnsi="宋体" w:cs="宋体" w:eastAsia="宋体" w:hint="default"/>
                <w:spacing w:val="12"/>
                <w:w w:val="100"/>
                <w:sz w:val="21"/>
                <w:szCs w:val="21"/>
              </w:rPr>
              <w:t> </w:t>
            </w: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731" w:right="0"/>
              <w:jc w:val="left"/>
              <w:rPr>
                <w:rFonts w:ascii="宋体" w:hAnsi="宋体" w:cs="宋体" w:eastAsia="宋体" w:hint="default"/>
                <w:sz w:val="21"/>
                <w:szCs w:val="21"/>
              </w:rPr>
            </w:pPr>
            <w:r>
              <w:rPr>
                <w:rFonts w:ascii="Calibri" w:hAnsi="Calibri" w:cs="Calibri" w:eastAsia="Calibri" w:hint="default"/>
                <w:spacing w:val="10"/>
                <w:sz w:val="21"/>
                <w:szCs w:val="21"/>
              </w:rPr>
              <w:t>2.</w:t>
            </w:r>
            <w:r>
              <w:rPr>
                <w:rFonts w:ascii="宋体" w:hAnsi="宋体" w:cs="宋体" w:eastAsia="宋体" w:hint="default"/>
                <w:spacing w:val="10"/>
                <w:sz w:val="21"/>
                <w:szCs w:val="21"/>
              </w:rPr>
              <w:t>可供出售金融资产公允价值变动</w:t>
            </w:r>
            <w:r>
              <w:rPr>
                <w:rFonts w:ascii="宋体" w:hAnsi="宋体" w:cs="宋体" w:eastAsia="宋体" w:hint="default"/>
                <w:sz w:val="21"/>
                <w:szCs w:val="21"/>
              </w:rPr>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82" w:firstLine="631"/>
              <w:jc w:val="left"/>
              <w:rPr>
                <w:rFonts w:ascii="宋体" w:hAnsi="宋体" w:cs="宋体" w:eastAsia="宋体" w:hint="default"/>
                <w:sz w:val="21"/>
                <w:szCs w:val="21"/>
              </w:rPr>
            </w:pPr>
            <w:r>
              <w:rPr>
                <w:rFonts w:ascii="Calibri" w:hAnsi="Calibri" w:cs="Calibri" w:eastAsia="Calibri" w:hint="default"/>
                <w:spacing w:val="10"/>
                <w:sz w:val="21"/>
                <w:szCs w:val="21"/>
              </w:rPr>
              <w:t>3.</w:t>
            </w:r>
            <w:r>
              <w:rPr>
                <w:rFonts w:ascii="宋体" w:hAnsi="宋体" w:cs="宋体" w:eastAsia="宋体" w:hint="default"/>
                <w:spacing w:val="10"/>
                <w:sz w:val="21"/>
                <w:szCs w:val="21"/>
              </w:rPr>
              <w:t>持有至到期投资重分类为可供出</w:t>
            </w:r>
            <w:r>
              <w:rPr>
                <w:rFonts w:ascii="宋体" w:hAnsi="宋体" w:cs="宋体" w:eastAsia="宋体" w:hint="default"/>
                <w:spacing w:val="12"/>
                <w:w w:val="100"/>
                <w:sz w:val="21"/>
                <w:szCs w:val="21"/>
              </w:rPr>
              <w:t> </w:t>
            </w: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483"/>
              <w:jc w:val="right"/>
              <w:rPr>
                <w:rFonts w:ascii="宋体" w:hAnsi="宋体" w:cs="宋体" w:eastAsia="宋体" w:hint="default"/>
                <w:sz w:val="21"/>
                <w:szCs w:val="21"/>
              </w:rPr>
            </w:pPr>
            <w:r>
              <w:rPr>
                <w:rFonts w:ascii="Calibri" w:hAnsi="Calibri" w:cs="Calibri" w:eastAsia="Calibri" w:hint="default"/>
                <w:spacing w:val="-2"/>
                <w:sz w:val="21"/>
                <w:szCs w:val="21"/>
              </w:rPr>
              <w:t>4.</w:t>
            </w:r>
            <w:r>
              <w:rPr>
                <w:rFonts w:ascii="宋体" w:hAnsi="宋体" w:cs="宋体" w:eastAsia="宋体" w:hint="default"/>
                <w:spacing w:val="-2"/>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731"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归属于少数股东的其他综合收益的税后</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92,035,458.73</w:t>
            </w:r>
          </w:p>
        </w:tc>
        <w:tc>
          <w:tcPr>
            <w:tcW w:w="198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43,230,206.98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103,025,506.96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51,474,724.91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-10,990,048.23</w:t>
            </w:r>
          </w:p>
        </w:tc>
        <w:tc>
          <w:tcPr>
            <w:tcW w:w="198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-8,244,517.93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0.127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11"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0.129</w:t>
            </w:r>
          </w:p>
        </w:tc>
      </w:tr>
    </w:tbl>
    <w:p>
      <w:pPr>
        <w:spacing w:line="240" w:lineRule="auto" w:before="3"/>
        <w:rPr>
          <w:rFonts w:ascii="宋体" w:hAnsi="宋体" w:cs="宋体" w:eastAsia="宋体" w:hint="default"/>
          <w:sz w:val="14"/>
          <w:szCs w:val="14"/>
        </w:rPr>
      </w:pPr>
    </w:p>
    <w:p>
      <w:pPr>
        <w:pStyle w:val="BodyText"/>
        <w:spacing w:line="274" w:lineRule="exact" w:before="62"/>
        <w:ind w:right="123"/>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t>0</w:t>
      </w:r>
      <w:r>
        <w:rPr>
          <w:rFonts w:ascii="Times New Roman" w:hAnsi="Times New Roman" w:cs="Times New Roman" w:eastAsia="Times New Roman" w:hint="default"/>
        </w:rPr>
        <w:t> </w:t>
      </w:r>
      <w:r>
        <w:rPr>
          <w:spacing w:val="-2"/>
        </w:rPr>
        <w:t>元</w:t>
      </w:r>
      <w:r>
        <w:rPr>
          <w:rFonts w:ascii="Calibri" w:hAnsi="Calibri" w:cs="Calibri" w:eastAsia="Calibri" w:hint="default"/>
          <w:spacing w:val="-2"/>
        </w:rPr>
        <w:t>,</w:t>
      </w:r>
      <w:r>
        <w:rPr>
          <w:spacing w:val="-2"/>
        </w:rPr>
        <w:t>上期被合并方实现的</w:t>
      </w:r>
      <w:r>
        <w:rPr>
          <w:spacing w:val="-68"/>
        </w:rPr>
        <w:t> </w:t>
      </w:r>
      <w:r>
        <w:rPr>
          <w:spacing w:val="-68"/>
        </w:rPr>
      </w:r>
      <w:r>
        <w:rPr/>
        <w:t>净利润为：</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46" w:lineRule="exact"/>
        <w:ind w:right="123"/>
        <w:jc w:val="left"/>
      </w:pPr>
      <w:r>
        <w:rPr/>
        <w:t>法定代表人：吴志雄主管会计工作负责人：曾志勇会计机构负责人：黄芳</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2" w:footer="979" w:top="1140" w:bottom="1160" w:left="1580" w:right="1040"/>
        </w:sectPr>
      </w:pPr>
    </w:p>
    <w:p>
      <w:pPr>
        <w:pStyle w:val="Heading3"/>
        <w:spacing w:line="274" w:lineRule="exact" w:before="36"/>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819"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782,342,632.34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463,775,645.52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634,756,427.69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335,737,797.47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5,151,352.24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3,630,140.15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15,325,294.02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12,144,808.42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56,735,770.50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44,151,599.61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-413,639.09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pacing w:val="-1"/>
                <w:sz w:val="21"/>
              </w:rPr>
              <w:t>-1,929,903.45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13,628,902.10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7,872,312.12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770,701.74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pacing w:val="-1"/>
                <w:sz w:val="21"/>
              </w:rPr>
              <w:t>-1,604,359.29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13"/>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9,898,391.76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3,352,543.28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pacing w:val="-1"/>
                <w:sz w:val="21"/>
              </w:rPr>
              <w:t>-26,801.26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-67,651.87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17,108,233.05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84,868,199.56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63,917,075.19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1,229,319.72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16,693,102.41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1,368,304.81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99,972.56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84,729,214.47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80,510,205.04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12,180,122.08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7,704,708.19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72,549,092.39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72,805,496.85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83" w:right="96" w:firstLine="419"/>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一</w:t>
            </w:r>
            <w:r>
              <w:rPr>
                <w:rFonts w:ascii="Calibri" w:hAnsi="Calibri" w:cs="Calibri" w:eastAsia="Calibri" w:hint="default"/>
                <w:sz w:val="21"/>
                <w:szCs w:val="21"/>
              </w:rPr>
              <w:t>)</w:t>
            </w:r>
            <w:r>
              <w:rPr>
                <w:rFonts w:ascii="宋体" w:hAnsi="宋体" w:cs="宋体" w:eastAsia="宋体" w:hint="default"/>
                <w:sz w:val="21"/>
                <w:szCs w:val="21"/>
              </w:rPr>
              <w:t>持续经营净利润（净亏损以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72,549,092.39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72,805,496.85</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5" w:firstLine="419"/>
              <w:jc w:val="left"/>
              <w:rPr>
                <w:rFonts w:ascii="宋体" w:hAnsi="宋体" w:cs="宋体" w:eastAsia="宋体" w:hint="default"/>
                <w:sz w:val="21"/>
                <w:szCs w:val="21"/>
              </w:rPr>
            </w:pPr>
            <w:r>
              <w:rPr>
                <w:rFonts w:ascii="Calibri" w:hAnsi="Calibri" w:cs="Calibri" w:eastAsia="Calibri" w:hint="default"/>
                <w:spacing w:val="8"/>
                <w:sz w:val="21"/>
                <w:szCs w:val="21"/>
              </w:rPr>
              <w:t>1.</w:t>
            </w:r>
            <w:r>
              <w:rPr>
                <w:rFonts w:ascii="宋体" w:hAnsi="宋体" w:cs="宋体" w:eastAsia="宋体" w:hint="default"/>
                <w:spacing w:val="8"/>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43" w:right="98" w:firstLine="419"/>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权益法下在被投资单位不能重分类进</w:t>
            </w:r>
            <w:r>
              <w:rPr>
                <w:rFonts w:ascii="宋体" w:hAnsi="宋体" w:cs="宋体" w:eastAsia="宋体" w:hint="default"/>
                <w:w w:val="100"/>
                <w:sz w:val="21"/>
                <w:szCs w:val="21"/>
              </w:rPr>
              <w:t> </w:t>
            </w: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100" w:right="97" w:firstLine="419"/>
              <w:jc w:val="left"/>
              <w:rPr>
                <w:rFonts w:ascii="宋体" w:hAnsi="宋体" w:cs="宋体" w:eastAsia="宋体" w:hint="default"/>
                <w:sz w:val="21"/>
                <w:szCs w:val="21"/>
              </w:rPr>
            </w:pPr>
            <w:r>
              <w:rPr>
                <w:rFonts w:ascii="Calibri" w:hAnsi="Calibri" w:cs="Calibri" w:eastAsia="Calibri" w:hint="default"/>
                <w:spacing w:val="8"/>
                <w:sz w:val="21"/>
                <w:szCs w:val="21"/>
              </w:rPr>
              <w:t>1.</w:t>
            </w:r>
            <w:r>
              <w:rPr>
                <w:rFonts w:ascii="宋体" w:hAnsi="宋体" w:cs="宋体" w:eastAsia="宋体" w:hint="default"/>
                <w:spacing w:val="8"/>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20" w:right="0"/>
              <w:jc w:val="left"/>
              <w:rPr>
                <w:rFonts w:ascii="宋体" w:hAnsi="宋体" w:cs="宋体" w:eastAsia="宋体" w:hint="default"/>
                <w:sz w:val="21"/>
                <w:szCs w:val="21"/>
              </w:rPr>
            </w:pPr>
            <w:r>
              <w:rPr>
                <w:rFonts w:ascii="Calibri" w:hAnsi="Calibri" w:cs="Calibri" w:eastAsia="Calibri" w:hint="default"/>
                <w:spacing w:val="8"/>
                <w:sz w:val="21"/>
                <w:szCs w:val="21"/>
              </w:rPr>
              <w:t>2.</w:t>
            </w:r>
            <w:r>
              <w:rPr>
                <w:rFonts w:ascii="宋体" w:hAnsi="宋体" w:cs="宋体" w:eastAsia="宋体" w:hint="default"/>
                <w:spacing w:val="8"/>
                <w:sz w:val="21"/>
                <w:szCs w:val="21"/>
              </w:rPr>
              <w:t>可供出售金融资产公允价值变动损</w:t>
            </w:r>
          </w:p>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7" w:firstLine="419"/>
              <w:jc w:val="left"/>
              <w:rPr>
                <w:rFonts w:ascii="宋体" w:hAnsi="宋体" w:cs="宋体" w:eastAsia="宋体" w:hint="default"/>
                <w:sz w:val="21"/>
                <w:szCs w:val="21"/>
              </w:rPr>
            </w:pPr>
            <w:r>
              <w:rPr>
                <w:rFonts w:ascii="Calibri" w:hAnsi="Calibri" w:cs="Calibri" w:eastAsia="Calibri" w:hint="default"/>
                <w:spacing w:val="8"/>
                <w:sz w:val="21"/>
                <w:szCs w:val="21"/>
              </w:rPr>
              <w:t>3.</w:t>
            </w:r>
            <w:r>
              <w:rPr>
                <w:rFonts w:ascii="宋体" w:hAnsi="宋体" w:cs="宋体" w:eastAsia="宋体" w:hint="default"/>
                <w:spacing w:val="8"/>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520"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520"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72,549,092.39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72,805,496.85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01"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501"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4"/>
          <w:szCs w:val="14"/>
        </w:rPr>
      </w:pPr>
    </w:p>
    <w:p>
      <w:pPr>
        <w:pStyle w:val="BodyText"/>
        <w:spacing w:line="240" w:lineRule="auto" w:before="36"/>
        <w:ind w:right="123"/>
        <w:jc w:val="left"/>
      </w:pPr>
      <w:r>
        <w:rPr/>
        <w:t>法定代表人：吴志雄主管会计工作负责人：曾志勇会计机构负责人：黄芳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2" w:footer="979" w:top="1140" w:bottom="1160" w:left="1580" w:right="1040"/>
        </w:sectPr>
      </w:pPr>
    </w:p>
    <w:p>
      <w:pPr>
        <w:pStyle w:val="Heading3"/>
        <w:spacing w:line="273" w:lineRule="exact" w:before="36"/>
        <w:ind w:left="0" w:right="22"/>
        <w:jc w:val="right"/>
        <w:rPr>
          <w:b w:val="0"/>
          <w:bCs w:val="0"/>
        </w:rPr>
      </w:pPr>
      <w:r>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4" w:space="0" w:color="000000"/>
              <w:right w:val="single" w:sz="4" w:space="0" w:color="000000"/>
            </w:tcBorders>
          </w:tcPr>
          <w:p>
            <w:pPr/>
          </w:p>
        </w:tc>
        <w:tc>
          <w:tcPr>
            <w:tcW w:w="2201"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787" w:right="0"/>
              <w:jc w:val="left"/>
              <w:rPr>
                <w:rFonts w:ascii="Times New Roman" w:hAnsi="Times New Roman" w:cs="Times New Roman" w:eastAsia="Times New Roman" w:hint="default"/>
                <w:sz w:val="21"/>
                <w:szCs w:val="21"/>
              </w:rPr>
            </w:pPr>
            <w:r>
              <w:rPr>
                <w:rFonts w:ascii="Times New Roman"/>
                <w:sz w:val="21"/>
              </w:rPr>
              <w:t>685,152,338.12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5" w:right="0"/>
              <w:jc w:val="left"/>
              <w:rPr>
                <w:rFonts w:ascii="Times New Roman" w:hAnsi="Times New Roman" w:cs="Times New Roman" w:eastAsia="Times New Roman" w:hint="default"/>
                <w:sz w:val="21"/>
                <w:szCs w:val="21"/>
              </w:rPr>
            </w:pPr>
            <w:r>
              <w:rPr>
                <w:rFonts w:ascii="Times New Roman"/>
                <w:sz w:val="21"/>
              </w:rPr>
              <w:t>415,312,953.88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nil" w:sz="6" w:space="0" w:color="auto"/>
              <w:left w:val="single" w:sz="6" w:space="0" w:color="000000"/>
              <w:bottom w:val="single" w:sz="4" w:space="0" w:color="000000"/>
              <w:right w:val="single" w:sz="4" w:space="0" w:color="000000"/>
            </w:tcBorders>
          </w:tcPr>
          <w:p>
            <w:pPr/>
          </w:p>
        </w:tc>
        <w:tc>
          <w:tcPr>
            <w:tcW w:w="2201" w:type="dxa"/>
            <w:tcBorders>
              <w:top w:val="nil" w:sz="6" w:space="0" w:color="auto"/>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9,569,200.38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12,379,290.81</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78,924,166.15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67,953,373.42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773,645,704.65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495,645,618.11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345,195,921.10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319,707,605.93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98,397,800.00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82,983,367.94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47,394,151.29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36,470,662.74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144,249,754.61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113,665,981.60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635,237,627.00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552,827,618.21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138,408,077.65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-57,182,000.10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1,763,762,328.89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542,909,273.08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128,553.71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3,071.29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4,244,416.60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66,000,000.00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1,834,135,299.20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542,912,344.37</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103,009,400.81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71,979,778.87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1,901,102,205.65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621,925,222.86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2"/>
                <w:sz w:val="21"/>
              </w:rPr>
              <w:t>2,034,111,606.46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729,905,001.73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-199,976,307.26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-186,992,657.36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5,510,100.00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67,364,468.00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1,761,600.00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5,710,000.00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4,070,184.35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10,316,185.87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14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84,990,536.06</w:t>
            </w: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32,018,926.02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94,570,820.41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109,699,579.89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6,843,845.25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7,542,524.97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16,454,603.15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19,228,110.19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110,293,177.71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1,035,875.97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133,591,626.11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27,806,511.13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-39,020,805.70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81,893,068.76</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-100,589,035.31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-162,281,588.70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289,022,580.77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451,304,169.47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188,433,545.46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289,022,580.77</w:t>
            </w:r>
          </w:p>
        </w:tc>
      </w:tr>
    </w:tbl>
    <w:p>
      <w:pPr>
        <w:pStyle w:val="BodyText"/>
        <w:spacing w:line="241" w:lineRule="exact"/>
        <w:ind w:right="123"/>
        <w:jc w:val="left"/>
      </w:pPr>
      <w:r>
        <w:rPr/>
        <w:t>法定代表人：吴志雄主管会计工作负责人：曾志勇会计机构负责人：黄芳</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2" w:footer="979" w:top="1140" w:bottom="1160" w:left="1580" w:right="1040"/>
        </w:sectPr>
      </w:pPr>
    </w:p>
    <w:p>
      <w:pPr>
        <w:pStyle w:val="Heading3"/>
        <w:spacing w:line="273" w:lineRule="exact" w:before="36"/>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738"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5480" w:space="40"/>
            <w:col w:w="3770"/>
          </w:cols>
        </w:sect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4" w:space="0" w:color="000000"/>
              <w:right w:val="single" w:sz="4" w:space="0" w:color="000000"/>
            </w:tcBorders>
          </w:tcPr>
          <w:p>
            <w:pPr/>
          </w:p>
        </w:tc>
        <w:tc>
          <w:tcPr>
            <w:tcW w:w="2194"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717,237,738.25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397,305,563.08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9,569,200.38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12,379,290.81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68,550,493.72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61,706,734.45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795,357,432.35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471,391,588.34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406,726,583.50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312,896,275.73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22,684,512.99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31,948,987.84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43,264,978.33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31,937,109.49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107,856,106.51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84,238,717.56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580,532,181.33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461,021,090.62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214,825,251.02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10,370,497.72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1,583,412,498.92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496,121,222.40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62,400.00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12,750,000.00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133,254,028.63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83,541,826.75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1,729,478,927.55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579,663,049.15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28,435,944.57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pacing w:val="-1"/>
                <w:sz w:val="21"/>
              </w:rPr>
              <w:t>47,770,575.75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1,805,366,305.53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631,860,222.86</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100"/>
                <w:sz w:val="21"/>
              </w:rPr>
              <w:t>-</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75,876,437.03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120,632,123.53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13"/>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1,909,678,687.13</w:t>
            </w:r>
          </w:p>
        </w:tc>
        <w:tc>
          <w:tcPr>
            <w:tcW w:w="21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800,262,922.14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-180,199,759.58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-220,599,872.99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3,748,500.00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61,654,468.00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19,425,792.72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3,748,500.00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81,080,260.72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16,273,260.80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19,000,000.00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74,798,038.91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91,071,299.71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19,000,000.00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-87,322,799.71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62,080,260.72</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-52,697,308.27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-148,149,114.55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217,274,484.07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365,423,598.62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164,577,175.80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217,274,484.07</w:t>
            </w:r>
          </w:p>
        </w:tc>
      </w:tr>
    </w:tbl>
    <w:p>
      <w:pPr>
        <w:pStyle w:val="BodyText"/>
        <w:spacing w:line="241" w:lineRule="exact"/>
        <w:ind w:right="123"/>
        <w:jc w:val="left"/>
      </w:pPr>
      <w:r>
        <w:rPr/>
        <w:t>法定代表人：吴志雄主管会计工作负责人：曾志勇会计机构负责人：黄芳</w:t>
      </w:r>
    </w:p>
    <w:p>
      <w:pPr>
        <w:spacing w:after="0" w:line="241" w:lineRule="exact"/>
        <w:jc w:val="left"/>
        <w:sectPr>
          <w:pgSz w:w="11910" w:h="16840"/>
          <w:pgMar w:header="852" w:footer="979" w:top="1140" w:bottom="1160" w:left="1580" w:right="1040"/>
        </w:sect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30"/>
          <w:footerReference w:type="default" r:id="rId31"/>
          <w:pgSz w:w="16840" w:h="11910" w:orient="landscape"/>
          <w:pgMar w:header="857" w:footer="980" w:top="1140" w:bottom="1160" w:left="1360" w:right="1220"/>
          <w:pgNumType w:start="87"/>
        </w:sectPr>
      </w:pPr>
    </w:p>
    <w:p>
      <w:pPr>
        <w:pStyle w:val="Heading3"/>
        <w:spacing w:line="274" w:lineRule="exact" w:before="36"/>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0" w:right="215"/>
        <w:jc w:val="right"/>
      </w:pPr>
      <w:r>
        <w:rPr>
          <w:spacing w:val="-1"/>
        </w:rPr>
        <w:t>单位</w:t>
      </w:r>
      <w:r>
        <w:rPr>
          <w:rFonts w:ascii="Calibri" w:hAnsi="Calibri" w:cs="Calibri" w:eastAsia="Calibri" w:hint="default"/>
          <w:spacing w:val="-1"/>
        </w:rPr>
        <w:t>:</w:t>
      </w:r>
      <w:r>
        <w:rPr>
          <w:spacing w:val="-1"/>
        </w:rPr>
        <w:t>元币种</w:t>
      </w:r>
      <w:r>
        <w:rPr>
          <w:rFonts w:ascii="Calibri" w:hAnsi="Calibri" w:cs="Calibri" w:eastAsia="Calibri" w:hint="default"/>
          <w:spacing w:val="-1"/>
        </w:rPr>
        <w:t>:</w:t>
      </w:r>
      <w:r>
        <w:rPr>
          <w:spacing w:val="-1"/>
        </w:rPr>
        <w:t>人民币</w:t>
      </w:r>
    </w:p>
    <w:p>
      <w:pPr>
        <w:spacing w:after="0" w:line="240" w:lineRule="auto"/>
        <w:jc w:val="right"/>
        <w:sectPr>
          <w:type w:val="continuous"/>
          <w:pgSz w:w="16840" w:h="11910" w:orient="landscape"/>
          <w:pgMar w:top="1580" w:bottom="280" w:left="1360" w:right="1220"/>
          <w:cols w:num="2" w:equalWidth="0">
            <w:col w:w="8146" w:space="40"/>
            <w:col w:w="6074"/>
          </w:cols>
        </w:sect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2"/>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92"/>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2"/>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6"/>
              <w:jc w:val="righ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101,70</w:t>
            </w:r>
          </w:p>
          <w:p>
            <w:pPr>
              <w:pStyle w:val="TableParagraph"/>
              <w:spacing w:line="241" w:lineRule="exact" w:before="1"/>
              <w:ind w:right="96"/>
              <w:jc w:val="right"/>
              <w:rPr>
                <w:rFonts w:ascii="Times New Roman" w:hAnsi="Times New Roman" w:cs="Times New Roman" w:eastAsia="Times New Roman" w:hint="default"/>
                <w:sz w:val="21"/>
                <w:szCs w:val="21"/>
              </w:rPr>
            </w:pPr>
            <w:r>
              <w:rPr>
                <w:rFonts w:ascii="Times New Roman"/>
                <w:sz w:val="21"/>
              </w:rPr>
              <w:t>7,880.0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468,47</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0,984.1</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7" w:right="0"/>
              <w:jc w:val="left"/>
              <w:rPr>
                <w:rFonts w:ascii="Times New Roman" w:hAnsi="Times New Roman" w:cs="Times New Roman" w:eastAsia="Times New Roman" w:hint="default"/>
                <w:sz w:val="21"/>
                <w:szCs w:val="21"/>
              </w:rPr>
            </w:pPr>
            <w:r>
              <w:rPr>
                <w:rFonts w:ascii="Times New Roman"/>
                <w:sz w:val="21"/>
              </w:rPr>
              <w:t>61,654,</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468.00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Times New Roman" w:hAnsi="Times New Roman" w:cs="Times New Roman" w:eastAsia="Times New Roman" w:hint="default"/>
                <w:sz w:val="21"/>
                <w:szCs w:val="21"/>
              </w:rPr>
            </w:pPr>
            <w:r>
              <w:rPr>
                <w:rFonts w:ascii="Times New Roman"/>
                <w:sz w:val="21"/>
              </w:rPr>
              <w:t>46,146,</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960.05</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328,61</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9,427.9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8" w:right="0"/>
              <w:jc w:val="left"/>
              <w:rPr>
                <w:rFonts w:ascii="Times New Roman" w:hAnsi="Times New Roman" w:cs="Times New Roman" w:eastAsia="Times New Roman" w:hint="default"/>
                <w:sz w:val="21"/>
                <w:szCs w:val="21"/>
              </w:rPr>
            </w:pPr>
            <w:r>
              <w:rPr>
                <w:rFonts w:ascii="Times New Roman"/>
                <w:sz w:val="21"/>
              </w:rPr>
              <w:t>20,718,50</w:t>
            </w:r>
          </w:p>
          <w:p>
            <w:pPr>
              <w:pStyle w:val="TableParagraph"/>
              <w:spacing w:line="240" w:lineRule="auto" w:before="1"/>
              <w:ind w:left="621" w:right="0"/>
              <w:jc w:val="left"/>
              <w:rPr>
                <w:rFonts w:ascii="Times New Roman" w:hAnsi="Times New Roman" w:cs="Times New Roman" w:eastAsia="Times New Roman" w:hint="default"/>
                <w:sz w:val="21"/>
                <w:szCs w:val="21"/>
              </w:rPr>
            </w:pPr>
            <w:r>
              <w:rPr>
                <w:rFonts w:ascii="Times New Roman"/>
                <w:sz w:val="21"/>
              </w:rPr>
              <w:t>6.02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1" w:right="0"/>
              <w:jc w:val="left"/>
              <w:rPr>
                <w:rFonts w:ascii="Times New Roman" w:hAnsi="Times New Roman" w:cs="Times New Roman" w:eastAsia="Times New Roman" w:hint="default"/>
                <w:sz w:val="21"/>
                <w:szCs w:val="21"/>
              </w:rPr>
            </w:pPr>
            <w:r>
              <w:rPr>
                <w:rFonts w:ascii="Times New Roman"/>
                <w:sz w:val="21"/>
              </w:rPr>
              <w:t>904,009,2</w:t>
            </w:r>
          </w:p>
          <w:p>
            <w:pPr>
              <w:pStyle w:val="TableParagraph"/>
              <w:spacing w:line="240" w:lineRule="auto" w:before="1"/>
              <w:ind w:left="509" w:right="0"/>
              <w:jc w:val="left"/>
              <w:rPr>
                <w:rFonts w:ascii="Times New Roman" w:hAnsi="Times New Roman" w:cs="Times New Roman" w:eastAsia="Times New Roman" w:hint="default"/>
                <w:sz w:val="21"/>
                <w:szCs w:val="21"/>
              </w:rPr>
            </w:pPr>
            <w:r>
              <w:rPr>
                <w:rFonts w:ascii="Times New Roman"/>
                <w:sz w:val="21"/>
              </w:rPr>
              <w:t>90.21</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101,70</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7,880.0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468,47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0,984.1</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7" w:right="0"/>
              <w:jc w:val="left"/>
              <w:rPr>
                <w:rFonts w:ascii="Times New Roman" w:hAnsi="Times New Roman" w:cs="Times New Roman" w:eastAsia="Times New Roman" w:hint="default"/>
                <w:sz w:val="21"/>
                <w:szCs w:val="21"/>
              </w:rPr>
            </w:pPr>
            <w:r>
              <w:rPr>
                <w:rFonts w:ascii="Times New Roman"/>
                <w:sz w:val="21"/>
              </w:rPr>
              <w:t>61,654,</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468.00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9" w:right="0"/>
              <w:jc w:val="left"/>
              <w:rPr>
                <w:rFonts w:ascii="Times New Roman" w:hAnsi="Times New Roman" w:cs="Times New Roman" w:eastAsia="Times New Roman" w:hint="default"/>
                <w:sz w:val="21"/>
                <w:szCs w:val="21"/>
              </w:rPr>
            </w:pPr>
            <w:r>
              <w:rPr>
                <w:rFonts w:ascii="Times New Roman"/>
                <w:sz w:val="21"/>
              </w:rPr>
              <w:t>46,146,</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960.05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328,61</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9,427.9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48" w:right="0"/>
              <w:jc w:val="left"/>
              <w:rPr>
                <w:rFonts w:ascii="Times New Roman" w:hAnsi="Times New Roman" w:cs="Times New Roman" w:eastAsia="Times New Roman" w:hint="default"/>
                <w:sz w:val="21"/>
                <w:szCs w:val="21"/>
              </w:rPr>
            </w:pPr>
            <w:r>
              <w:rPr>
                <w:rFonts w:ascii="Times New Roman"/>
                <w:sz w:val="21"/>
              </w:rPr>
              <w:t>20,718,50</w:t>
            </w:r>
          </w:p>
          <w:p>
            <w:pPr>
              <w:pStyle w:val="TableParagraph"/>
              <w:spacing w:line="241" w:lineRule="exact"/>
              <w:ind w:left="621" w:right="0"/>
              <w:jc w:val="left"/>
              <w:rPr>
                <w:rFonts w:ascii="Times New Roman" w:hAnsi="Times New Roman" w:cs="Times New Roman" w:eastAsia="Times New Roman" w:hint="default"/>
                <w:sz w:val="21"/>
                <w:szCs w:val="21"/>
              </w:rPr>
            </w:pPr>
            <w:r>
              <w:rPr>
                <w:rFonts w:ascii="Times New Roman"/>
                <w:sz w:val="21"/>
              </w:rPr>
              <w:t>6.02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41" w:right="0"/>
              <w:jc w:val="left"/>
              <w:rPr>
                <w:rFonts w:ascii="Times New Roman" w:hAnsi="Times New Roman" w:cs="Times New Roman" w:eastAsia="Times New Roman" w:hint="default"/>
                <w:sz w:val="21"/>
                <w:szCs w:val="21"/>
              </w:rPr>
            </w:pPr>
            <w:r>
              <w:rPr>
                <w:rFonts w:ascii="Times New Roman"/>
                <w:sz w:val="21"/>
              </w:rPr>
              <w:t>904,009,2</w:t>
            </w:r>
          </w:p>
          <w:p>
            <w:pPr>
              <w:pStyle w:val="TableParagraph"/>
              <w:spacing w:line="241" w:lineRule="exact"/>
              <w:ind w:left="509" w:right="0"/>
              <w:jc w:val="left"/>
              <w:rPr>
                <w:rFonts w:ascii="Times New Roman" w:hAnsi="Times New Roman" w:cs="Times New Roman" w:eastAsia="Times New Roman" w:hint="default"/>
                <w:sz w:val="21"/>
                <w:szCs w:val="21"/>
              </w:rPr>
            </w:pPr>
            <w:r>
              <w:rPr>
                <w:rFonts w:ascii="Times New Roman"/>
                <w:sz w:val="21"/>
              </w:rPr>
              <w:t>90.21</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305,38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9,920.0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-288,12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8,143.7</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10" w:right="0"/>
              <w:jc w:val="left"/>
              <w:rPr>
                <w:rFonts w:ascii="Times New Roman" w:hAnsi="Times New Roman" w:cs="Times New Roman" w:eastAsia="Times New Roman" w:hint="default"/>
                <w:sz w:val="21"/>
                <w:szCs w:val="21"/>
              </w:rPr>
            </w:pPr>
            <w:r>
              <w:rPr>
                <w:rFonts w:ascii="Times New Roman"/>
                <w:sz w:val="21"/>
              </w:rPr>
              <w:t>-21,767</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,291.68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28" w:right="0"/>
              <w:jc w:val="center"/>
              <w:rPr>
                <w:rFonts w:ascii="Times New Roman" w:hAnsi="Times New Roman" w:cs="Times New Roman" w:eastAsia="Times New Roman" w:hint="default"/>
                <w:sz w:val="21"/>
                <w:szCs w:val="21"/>
              </w:rPr>
            </w:pPr>
            <w:r>
              <w:rPr>
                <w:rFonts w:ascii="Times New Roman"/>
                <w:sz w:val="21"/>
              </w:rPr>
              <w:t>7,254,9</w:t>
            </w:r>
          </w:p>
          <w:p>
            <w:pPr>
              <w:pStyle w:val="TableParagraph"/>
              <w:spacing w:line="241" w:lineRule="exact"/>
              <w:ind w:left="186" w:right="0"/>
              <w:jc w:val="center"/>
              <w:rPr>
                <w:rFonts w:ascii="Times New Roman" w:hAnsi="Times New Roman" w:cs="Times New Roman" w:eastAsia="Times New Roman" w:hint="default"/>
                <w:sz w:val="21"/>
                <w:szCs w:val="21"/>
              </w:rPr>
            </w:pPr>
            <w:r>
              <w:rPr>
                <w:rFonts w:ascii="Times New Roman"/>
                <w:sz w:val="21"/>
              </w:rPr>
              <w:t>09.24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9" w:right="0"/>
              <w:jc w:val="left"/>
              <w:rPr>
                <w:rFonts w:ascii="Times New Roman" w:hAnsi="Times New Roman" w:cs="Times New Roman" w:eastAsia="Times New Roman" w:hint="default"/>
                <w:sz w:val="21"/>
                <w:szCs w:val="21"/>
              </w:rPr>
            </w:pPr>
            <w:r>
              <w:rPr>
                <w:rFonts w:ascii="Times New Roman"/>
                <w:sz w:val="21"/>
              </w:rPr>
              <w:t>79,507,</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685.72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84" w:right="0"/>
              <w:jc w:val="left"/>
              <w:rPr>
                <w:rFonts w:ascii="Times New Roman" w:hAnsi="Times New Roman" w:cs="Times New Roman" w:eastAsia="Times New Roman" w:hint="default"/>
                <w:sz w:val="21"/>
                <w:szCs w:val="21"/>
              </w:rPr>
            </w:pPr>
            <w:r>
              <w:rPr>
                <w:rFonts w:ascii="Times New Roman"/>
                <w:sz w:val="21"/>
              </w:rPr>
              <w:t>-22,349,9</w:t>
            </w:r>
          </w:p>
          <w:p>
            <w:pPr>
              <w:pStyle w:val="TableParagraph"/>
              <w:spacing w:line="241" w:lineRule="exact"/>
              <w:ind w:left="516" w:right="0"/>
              <w:jc w:val="left"/>
              <w:rPr>
                <w:rFonts w:ascii="Times New Roman" w:hAnsi="Times New Roman" w:cs="Times New Roman" w:eastAsia="Times New Roman" w:hint="default"/>
                <w:sz w:val="21"/>
                <w:szCs w:val="21"/>
              </w:rPr>
            </w:pPr>
            <w:r>
              <w:rPr>
                <w:rFonts w:ascii="Times New Roman"/>
                <w:sz w:val="21"/>
              </w:rPr>
              <w:t>87.60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41" w:right="0"/>
              <w:jc w:val="left"/>
              <w:rPr>
                <w:rFonts w:ascii="Times New Roman" w:hAnsi="Times New Roman" w:cs="Times New Roman" w:eastAsia="Times New Roman" w:hint="default"/>
                <w:sz w:val="21"/>
                <w:szCs w:val="21"/>
              </w:rPr>
            </w:pPr>
            <w:r>
              <w:rPr>
                <w:rFonts w:ascii="Times New Roman"/>
                <w:sz w:val="21"/>
              </w:rPr>
              <w:t>103,441,6</w:t>
            </w:r>
          </w:p>
          <w:p>
            <w:pPr>
              <w:pStyle w:val="TableParagraph"/>
              <w:spacing w:line="241" w:lineRule="exact"/>
              <w:ind w:left="509" w:right="0"/>
              <w:jc w:val="left"/>
              <w:rPr>
                <w:rFonts w:ascii="Times New Roman" w:hAnsi="Times New Roman" w:cs="Times New Roman" w:eastAsia="Times New Roman" w:hint="default"/>
                <w:sz w:val="21"/>
                <w:szCs w:val="21"/>
              </w:rPr>
            </w:pPr>
            <w:r>
              <w:rPr>
                <w:rFonts w:ascii="Times New Roman"/>
                <w:sz w:val="21"/>
              </w:rPr>
              <w:t>75.34</w:t>
            </w: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103,02</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5,506.9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84" w:right="0"/>
              <w:jc w:val="left"/>
              <w:rPr>
                <w:rFonts w:ascii="Times New Roman" w:hAnsi="Times New Roman" w:cs="Times New Roman" w:eastAsia="Times New Roman" w:hint="default"/>
                <w:sz w:val="21"/>
                <w:szCs w:val="21"/>
              </w:rPr>
            </w:pPr>
            <w:r>
              <w:rPr>
                <w:rFonts w:ascii="Times New Roman"/>
                <w:sz w:val="21"/>
              </w:rPr>
              <w:t>-10,990,0</w:t>
            </w:r>
          </w:p>
          <w:p>
            <w:pPr>
              <w:pStyle w:val="TableParagraph"/>
              <w:spacing w:line="241" w:lineRule="exact"/>
              <w:ind w:left="516" w:right="0"/>
              <w:jc w:val="left"/>
              <w:rPr>
                <w:rFonts w:ascii="Times New Roman" w:hAnsi="Times New Roman" w:cs="Times New Roman" w:eastAsia="Times New Roman" w:hint="default"/>
                <w:sz w:val="21"/>
                <w:szCs w:val="21"/>
              </w:rPr>
            </w:pPr>
            <w:r>
              <w:rPr>
                <w:rFonts w:ascii="Times New Roman"/>
                <w:sz w:val="21"/>
              </w:rPr>
              <w:t>48.23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41" w:right="0"/>
              <w:jc w:val="left"/>
              <w:rPr>
                <w:rFonts w:ascii="Times New Roman" w:hAnsi="Times New Roman" w:cs="Times New Roman" w:eastAsia="Times New Roman" w:hint="default"/>
                <w:sz w:val="21"/>
                <w:szCs w:val="21"/>
              </w:rPr>
            </w:pPr>
            <w:r>
              <w:rPr>
                <w:rFonts w:ascii="Times New Roman"/>
                <w:sz w:val="21"/>
              </w:rPr>
              <w:t>92,035,45</w:t>
            </w:r>
          </w:p>
          <w:p>
            <w:pPr>
              <w:pStyle w:val="TableParagraph"/>
              <w:spacing w:line="241" w:lineRule="exact"/>
              <w:ind w:left="614" w:right="0"/>
              <w:jc w:val="left"/>
              <w:rPr>
                <w:rFonts w:ascii="Times New Roman" w:hAnsi="Times New Roman" w:cs="Times New Roman" w:eastAsia="Times New Roman" w:hint="default"/>
                <w:sz w:val="21"/>
                <w:szCs w:val="21"/>
              </w:rPr>
            </w:pPr>
            <w:r>
              <w:rPr>
                <w:rFonts w:ascii="Times New Roman"/>
                <w:sz w:val="21"/>
              </w:rPr>
              <w:t>8.73</w:t>
            </w:r>
          </w:p>
        </w:tc>
      </w:tr>
      <w:tr>
        <w:trPr>
          <w:trHeight w:val="49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266,28</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16,995,</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496.30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-21,767</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,291.68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2" w:right="0"/>
              <w:jc w:val="left"/>
              <w:rPr>
                <w:rFonts w:ascii="Times New Roman" w:hAnsi="Times New Roman" w:cs="Times New Roman" w:eastAsia="Times New Roman" w:hint="default"/>
                <w:sz w:val="21"/>
                <w:szCs w:val="21"/>
              </w:rPr>
            </w:pPr>
            <w:r>
              <w:rPr>
                <w:rFonts w:ascii="Times New Roman"/>
                <w:sz w:val="21"/>
              </w:rPr>
              <w:t>-11,359,9</w:t>
            </w:r>
          </w:p>
          <w:p>
            <w:pPr>
              <w:pStyle w:val="TableParagraph"/>
              <w:spacing w:line="240" w:lineRule="auto" w:before="1"/>
              <w:ind w:left="516" w:right="0"/>
              <w:jc w:val="left"/>
              <w:rPr>
                <w:rFonts w:ascii="Times New Roman" w:hAnsi="Times New Roman" w:cs="Times New Roman" w:eastAsia="Times New Roman" w:hint="default"/>
                <w:sz w:val="21"/>
                <w:szCs w:val="21"/>
              </w:rPr>
            </w:pPr>
            <w:r>
              <w:rPr>
                <w:rFonts w:ascii="Times New Roman"/>
                <w:sz w:val="21"/>
              </w:rPr>
              <w:t>39.37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27,669,12</w:t>
            </w:r>
          </w:p>
          <w:p>
            <w:pPr>
              <w:pStyle w:val="TableParagraph"/>
              <w:spacing w:line="240" w:lineRule="auto" w:before="1"/>
              <w:ind w:left="614" w:right="0"/>
              <w:jc w:val="left"/>
              <w:rPr>
                <w:rFonts w:ascii="Times New Roman" w:hAnsi="Times New Roman" w:cs="Times New Roman" w:eastAsia="Times New Roman" w:hint="default"/>
                <w:sz w:val="21"/>
                <w:szCs w:val="21"/>
              </w:rPr>
            </w:pPr>
            <w:r>
              <w:rPr>
                <w:rFonts w:ascii="Times New Roman"/>
                <w:sz w:val="21"/>
              </w:rPr>
              <w:t>8.61</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8" w:right="0"/>
              <w:jc w:val="left"/>
              <w:rPr>
                <w:rFonts w:ascii="Times New Roman" w:hAnsi="Times New Roman" w:cs="Times New Roman" w:eastAsia="Times New Roman" w:hint="default"/>
                <w:sz w:val="21"/>
                <w:szCs w:val="21"/>
              </w:rPr>
            </w:pPr>
            <w:r>
              <w:rPr>
                <w:rFonts w:ascii="Times New Roman"/>
                <w:sz w:val="21"/>
              </w:rPr>
              <w:t>1,761,600</w:t>
            </w:r>
          </w:p>
          <w:p>
            <w:pPr>
              <w:pStyle w:val="TableParagraph"/>
              <w:spacing w:line="241" w:lineRule="exact"/>
              <w:ind w:left="727" w:right="0"/>
              <w:jc w:val="left"/>
              <w:rPr>
                <w:rFonts w:ascii="Times New Roman" w:hAnsi="Times New Roman" w:cs="Times New Roman" w:eastAsia="Times New Roman" w:hint="default"/>
                <w:sz w:val="21"/>
                <w:szCs w:val="21"/>
              </w:rPr>
            </w:pPr>
            <w:r>
              <w:rPr>
                <w:rFonts w:ascii="Times New Roman"/>
                <w:sz w:val="21"/>
              </w:rPr>
              <w:t>.00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1" w:right="0"/>
              <w:jc w:val="left"/>
              <w:rPr>
                <w:rFonts w:ascii="Times New Roman" w:hAnsi="Times New Roman" w:cs="Times New Roman" w:eastAsia="Times New Roman" w:hint="default"/>
                <w:sz w:val="21"/>
                <w:szCs w:val="21"/>
              </w:rPr>
            </w:pPr>
            <w:r>
              <w:rPr>
                <w:rFonts w:ascii="Times New Roman"/>
                <w:sz w:val="21"/>
              </w:rPr>
              <w:t>1,761,600</w:t>
            </w:r>
          </w:p>
          <w:p>
            <w:pPr>
              <w:pStyle w:val="TableParagraph"/>
              <w:spacing w:line="241" w:lineRule="exact"/>
              <w:ind w:left="720" w:right="0"/>
              <w:jc w:val="left"/>
              <w:rPr>
                <w:rFonts w:ascii="Times New Roman" w:hAnsi="Times New Roman" w:cs="Times New Roman" w:eastAsia="Times New Roman" w:hint="default"/>
                <w:sz w:val="21"/>
                <w:szCs w:val="21"/>
              </w:rPr>
            </w:pPr>
            <w:r>
              <w:rPr>
                <w:rFonts w:ascii="Times New Roman"/>
                <w:sz w:val="21"/>
              </w:rPr>
              <w:t>.00</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3"/>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．其他权益工具持有者投 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3"/>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．股份支付计入所有者权 益的金额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3" w:right="0"/>
              <w:jc w:val="left"/>
              <w:rPr>
                <w:rFonts w:ascii="Times New Roman" w:hAnsi="Times New Roman" w:cs="Times New Roman" w:eastAsia="Times New Roman" w:hint="default"/>
                <w:sz w:val="21"/>
                <w:szCs w:val="21"/>
              </w:rPr>
            </w:pPr>
            <w:r>
              <w:rPr>
                <w:rFonts w:ascii="Times New Roman"/>
                <w:sz w:val="21"/>
              </w:rPr>
              <w:t>266,28</w:t>
            </w:r>
          </w:p>
          <w:p>
            <w:pPr>
              <w:pStyle w:val="TableParagraph"/>
              <w:spacing w:line="241" w:lineRule="exact"/>
              <w:ind w:left="374" w:right="0"/>
              <w:jc w:val="left"/>
              <w:rPr>
                <w:rFonts w:ascii="Times New Roman" w:hAnsi="Times New Roman" w:cs="Times New Roman" w:eastAsia="Times New Roman" w:hint="default"/>
                <w:sz w:val="21"/>
                <w:szCs w:val="21"/>
              </w:rPr>
            </w:pPr>
            <w:r>
              <w:rPr>
                <w:rFonts w:ascii="Times New Roman"/>
                <w:sz w:val="21"/>
              </w:rPr>
              <w:t>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4" w:right="0"/>
              <w:jc w:val="left"/>
              <w:rPr>
                <w:rFonts w:ascii="Times New Roman" w:hAnsi="Times New Roman" w:cs="Times New Roman" w:eastAsia="Times New Roman" w:hint="default"/>
                <w:sz w:val="21"/>
                <w:szCs w:val="21"/>
              </w:rPr>
            </w:pPr>
            <w:r>
              <w:rPr>
                <w:rFonts w:ascii="Times New Roman"/>
                <w:sz w:val="21"/>
              </w:rPr>
              <w:t>17,613,</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438.99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0" w:right="0"/>
              <w:jc w:val="left"/>
              <w:rPr>
                <w:rFonts w:ascii="Times New Roman" w:hAnsi="Times New Roman" w:cs="Times New Roman" w:eastAsia="Times New Roman" w:hint="default"/>
                <w:sz w:val="21"/>
                <w:szCs w:val="21"/>
              </w:rPr>
            </w:pPr>
            <w:r>
              <w:rPr>
                <w:rFonts w:ascii="Times New Roman"/>
                <w:sz w:val="21"/>
              </w:rPr>
              <w:t>-21,767</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,291.68</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1" w:right="0"/>
              <w:jc w:val="left"/>
              <w:rPr>
                <w:rFonts w:ascii="Times New Roman" w:hAnsi="Times New Roman" w:cs="Times New Roman" w:eastAsia="Times New Roman" w:hint="default"/>
                <w:sz w:val="21"/>
                <w:szCs w:val="21"/>
              </w:rPr>
            </w:pPr>
            <w:r>
              <w:rPr>
                <w:rFonts w:ascii="Times New Roman"/>
                <w:sz w:val="21"/>
              </w:rPr>
              <w:t>39,647,01</w:t>
            </w:r>
          </w:p>
          <w:p>
            <w:pPr>
              <w:pStyle w:val="TableParagraph"/>
              <w:spacing w:line="241" w:lineRule="exact"/>
              <w:ind w:left="614" w:right="0"/>
              <w:jc w:val="left"/>
              <w:rPr>
                <w:rFonts w:ascii="Times New Roman" w:hAnsi="Times New Roman" w:cs="Times New Roman" w:eastAsia="Times New Roman" w:hint="default"/>
                <w:sz w:val="21"/>
                <w:szCs w:val="21"/>
              </w:rPr>
            </w:pPr>
            <w:r>
              <w:rPr>
                <w:rFonts w:ascii="Times New Roman"/>
                <w:sz w:val="21"/>
              </w:rPr>
              <w:t>0.67</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-617,94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-13,121,5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-13,739,4</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580" w:bottom="280" w:left="1360" w:right="1220"/>
        </w:sectPr>
      </w:pPr>
    </w:p>
    <w:p>
      <w:pPr>
        <w:spacing w:line="240" w:lineRule="auto" w:before="1"/>
        <w:rPr>
          <w:rFonts w:ascii="Times New Roman" w:hAnsi="Times New Roman" w:cs="Times New Roman" w:eastAsia="Times New Roman"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tcBorders>
              <w:top w:val="single" w:sz="4" w:space="0" w:color="000000"/>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5"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2.69</w:t>
            </w:r>
          </w:p>
        </w:tc>
        <w:tc>
          <w:tcPr>
            <w:tcW w:w="872"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39.37</w:t>
            </w:r>
          </w:p>
        </w:tc>
        <w:tc>
          <w:tcPr>
            <w:tcW w:w="1095"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82.06</w:t>
            </w:r>
          </w:p>
        </w:tc>
      </w:tr>
      <w:tr>
        <w:trPr>
          <w:trHeight w:val="49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8" w:right="0"/>
              <w:jc w:val="center"/>
              <w:rPr>
                <w:rFonts w:ascii="Times New Roman" w:hAnsi="Times New Roman" w:cs="Times New Roman" w:eastAsia="Times New Roman" w:hint="default"/>
                <w:sz w:val="21"/>
                <w:szCs w:val="21"/>
              </w:rPr>
            </w:pPr>
            <w:r>
              <w:rPr>
                <w:rFonts w:ascii="Times New Roman"/>
                <w:sz w:val="21"/>
              </w:rPr>
              <w:t>7,254,9</w:t>
            </w:r>
          </w:p>
          <w:p>
            <w:pPr>
              <w:pStyle w:val="TableParagraph"/>
              <w:spacing w:line="241" w:lineRule="exact"/>
              <w:ind w:left="186" w:right="0"/>
              <w:jc w:val="center"/>
              <w:rPr>
                <w:rFonts w:ascii="Times New Roman" w:hAnsi="Times New Roman" w:cs="Times New Roman" w:eastAsia="Times New Roman" w:hint="default"/>
                <w:sz w:val="21"/>
                <w:szCs w:val="21"/>
              </w:rPr>
            </w:pPr>
            <w:r>
              <w:rPr>
                <w:rFonts w:ascii="Times New Roman"/>
                <w:sz w:val="21"/>
              </w:rPr>
              <w:t>09.24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2" w:right="0"/>
              <w:jc w:val="left"/>
              <w:rPr>
                <w:rFonts w:ascii="Times New Roman" w:hAnsi="Times New Roman" w:cs="Times New Roman" w:eastAsia="Times New Roman" w:hint="default"/>
                <w:sz w:val="21"/>
                <w:szCs w:val="21"/>
              </w:rPr>
            </w:pPr>
            <w:r>
              <w:rPr>
                <w:rFonts w:ascii="Times New Roman"/>
                <w:sz w:val="21"/>
              </w:rPr>
              <w:t>-23,517</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,821.24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-16,262,9</w:t>
            </w:r>
          </w:p>
          <w:p>
            <w:pPr>
              <w:pStyle w:val="TableParagraph"/>
              <w:spacing w:line="241" w:lineRule="exact"/>
              <w:ind w:left="509" w:right="0"/>
              <w:jc w:val="left"/>
              <w:rPr>
                <w:rFonts w:ascii="Times New Roman" w:hAnsi="Times New Roman" w:cs="Times New Roman" w:eastAsia="Times New Roman" w:hint="default"/>
                <w:sz w:val="21"/>
                <w:szCs w:val="21"/>
              </w:rPr>
            </w:pPr>
            <w:r>
              <w:rPr>
                <w:rFonts w:ascii="Times New Roman"/>
                <w:sz w:val="21"/>
              </w:rPr>
              <w:t>12.00</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7,254,9</w:t>
            </w:r>
          </w:p>
          <w:p>
            <w:pPr>
              <w:pStyle w:val="TableParagraph"/>
              <w:spacing w:line="240" w:lineRule="auto" w:before="1"/>
              <w:ind w:left="186" w:right="0"/>
              <w:jc w:val="center"/>
              <w:rPr>
                <w:rFonts w:ascii="Times New Roman" w:hAnsi="Times New Roman" w:cs="Times New Roman" w:eastAsia="Times New Roman" w:hint="default"/>
                <w:sz w:val="21"/>
                <w:szCs w:val="21"/>
              </w:rPr>
            </w:pPr>
            <w:r>
              <w:rPr>
                <w:rFonts w:ascii="Times New Roman"/>
                <w:sz w:val="21"/>
              </w:rPr>
              <w:t>09.24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-7,254,</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909.24</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3"/>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 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-16,262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,912.00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-16,262,9</w:t>
            </w:r>
          </w:p>
          <w:p>
            <w:pPr>
              <w:pStyle w:val="TableParagraph"/>
              <w:spacing w:line="240" w:lineRule="auto" w:before="1"/>
              <w:ind w:left="509" w:right="0"/>
              <w:jc w:val="left"/>
              <w:rPr>
                <w:rFonts w:ascii="Times New Roman" w:hAnsi="Times New Roman" w:cs="Times New Roman" w:eastAsia="Times New Roman" w:hint="default"/>
                <w:sz w:val="21"/>
                <w:szCs w:val="21"/>
              </w:rPr>
            </w:pPr>
            <w:r>
              <w:rPr>
                <w:rFonts w:ascii="Times New Roman"/>
                <w:sz w:val="21"/>
              </w:rPr>
              <w:t>12.00</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305,12</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3,640.0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-305,12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3,640.0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305,12</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3,640.0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-305,12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3,640.0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z w:val="21"/>
              </w:rPr>
              <w:t>407,09</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7,800.0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180,34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2,840.4</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7" w:right="0"/>
              <w:jc w:val="left"/>
              <w:rPr>
                <w:rFonts w:ascii="Times New Roman" w:hAnsi="Times New Roman" w:cs="Times New Roman" w:eastAsia="Times New Roman" w:hint="default"/>
                <w:sz w:val="21"/>
                <w:szCs w:val="21"/>
              </w:rPr>
            </w:pPr>
            <w:r>
              <w:rPr>
                <w:rFonts w:ascii="Times New Roman"/>
                <w:sz w:val="21"/>
              </w:rPr>
              <w:t>39,887,</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176.32</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9" w:right="0"/>
              <w:jc w:val="left"/>
              <w:rPr>
                <w:rFonts w:ascii="Times New Roman" w:hAnsi="Times New Roman" w:cs="Times New Roman" w:eastAsia="Times New Roman" w:hint="default"/>
                <w:sz w:val="21"/>
                <w:szCs w:val="21"/>
              </w:rPr>
            </w:pPr>
            <w:r>
              <w:rPr>
                <w:rFonts w:ascii="Times New Roman"/>
                <w:sz w:val="21"/>
              </w:rPr>
              <w:t>53,401,</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869.29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408,12</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
                <w:sz w:val="21"/>
              </w:rPr>
              <w:t>7,113.6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4" w:right="0"/>
              <w:jc w:val="left"/>
              <w:rPr>
                <w:rFonts w:ascii="Times New Roman" w:hAnsi="Times New Roman" w:cs="Times New Roman" w:eastAsia="Times New Roman" w:hint="default"/>
                <w:sz w:val="21"/>
                <w:szCs w:val="21"/>
              </w:rPr>
            </w:pPr>
            <w:r>
              <w:rPr>
                <w:rFonts w:ascii="Times New Roman"/>
                <w:sz w:val="21"/>
              </w:rPr>
              <w:t>-1,631,48</w:t>
            </w:r>
          </w:p>
          <w:p>
            <w:pPr>
              <w:pStyle w:val="TableParagraph"/>
              <w:spacing w:line="240" w:lineRule="auto" w:before="1"/>
              <w:ind w:left="621" w:right="0"/>
              <w:jc w:val="left"/>
              <w:rPr>
                <w:rFonts w:ascii="Times New Roman" w:hAnsi="Times New Roman" w:cs="Times New Roman" w:eastAsia="Times New Roman" w:hint="default"/>
                <w:sz w:val="21"/>
                <w:szCs w:val="21"/>
              </w:rPr>
            </w:pPr>
            <w:r>
              <w:rPr>
                <w:rFonts w:ascii="Times New Roman"/>
                <w:sz w:val="21"/>
              </w:rPr>
              <w:t>1.58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1" w:right="0"/>
              <w:jc w:val="left"/>
              <w:rPr>
                <w:rFonts w:ascii="Times New Roman" w:hAnsi="Times New Roman" w:cs="Times New Roman" w:eastAsia="Times New Roman" w:hint="default"/>
                <w:sz w:val="21"/>
                <w:szCs w:val="21"/>
              </w:rPr>
            </w:pPr>
            <w:r>
              <w:rPr>
                <w:rFonts w:ascii="Times New Roman"/>
                <w:sz w:val="21"/>
              </w:rPr>
              <w:t>1,007,450</w:t>
            </w:r>
          </w:p>
          <w:p>
            <w:pPr>
              <w:pStyle w:val="TableParagraph"/>
              <w:spacing w:line="240" w:lineRule="auto" w:before="1"/>
              <w:ind w:left="350" w:right="0"/>
              <w:jc w:val="left"/>
              <w:rPr>
                <w:rFonts w:ascii="Times New Roman" w:hAnsi="Times New Roman" w:cs="Times New Roman" w:eastAsia="Times New Roman" w:hint="default"/>
                <w:sz w:val="21"/>
                <w:szCs w:val="21"/>
              </w:rPr>
            </w:pPr>
            <w:r>
              <w:rPr>
                <w:rFonts w:ascii="Times New Roman"/>
                <w:sz w:val="21"/>
              </w:rPr>
              <w:t>,965.55</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2"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3"/>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3"/>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9" w:right="0"/>
              <w:jc w:val="left"/>
              <w:rPr>
                <w:rFonts w:ascii="Times New Roman" w:hAnsi="Times New Roman" w:cs="Times New Roman" w:eastAsia="Times New Roman" w:hint="default"/>
                <w:sz w:val="21"/>
                <w:szCs w:val="21"/>
              </w:rPr>
            </w:pPr>
            <w:r>
              <w:rPr>
                <w:rFonts w:ascii="Times New Roman"/>
                <w:sz w:val="21"/>
              </w:rPr>
              <w:t>406,82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38,866,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303,42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23,214,08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872,329,1</w:t>
            </w:r>
          </w:p>
        </w:tc>
      </w:tr>
    </w:tbl>
    <w:p>
      <w:pPr>
        <w:spacing w:after="0" w:line="235" w:lineRule="exact"/>
        <w:jc w:val="left"/>
        <w:rPr>
          <w:rFonts w:ascii="Times New Roman" w:hAnsi="Times New Roman" w:cs="Times New Roman" w:eastAsia="Times New Roman" w:hint="default"/>
          <w:sz w:val="21"/>
          <w:szCs w:val="21"/>
        </w:rPr>
        <w:sectPr>
          <w:pgSz w:w="16840" w:h="11910" w:orient="landscape"/>
          <w:pgMar w:header="857" w:footer="980" w:top="1140" w:bottom="1160" w:left="1340" w:right="1220"/>
        </w:sectPr>
      </w:pPr>
    </w:p>
    <w:p>
      <w:pPr>
        <w:spacing w:line="240" w:lineRule="auto" w:before="1"/>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3,402.4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410.36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z w:val="21"/>
              </w:rPr>
              <w:t>5,252.7</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52.29</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406,82</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3,402.4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7" w:right="0"/>
              <w:jc w:val="left"/>
              <w:rPr>
                <w:rFonts w:ascii="Times New Roman" w:hAnsi="Times New Roman" w:cs="Times New Roman" w:eastAsia="Times New Roman" w:hint="default"/>
                <w:sz w:val="21"/>
                <w:szCs w:val="21"/>
              </w:rPr>
            </w:pPr>
            <w:r>
              <w:rPr>
                <w:rFonts w:ascii="Times New Roman"/>
                <w:sz w:val="21"/>
              </w:rPr>
              <w:t>38,866,</w:t>
            </w:r>
          </w:p>
          <w:p>
            <w:pPr>
              <w:pStyle w:val="TableParagraph"/>
              <w:spacing w:line="241" w:lineRule="exact"/>
              <w:ind w:left="179" w:right="0"/>
              <w:jc w:val="left"/>
              <w:rPr>
                <w:rFonts w:ascii="Times New Roman" w:hAnsi="Times New Roman" w:cs="Times New Roman" w:eastAsia="Times New Roman" w:hint="default"/>
                <w:sz w:val="21"/>
                <w:szCs w:val="21"/>
              </w:rPr>
            </w:pPr>
            <w:r>
              <w:rPr>
                <w:rFonts w:ascii="Times New Roman"/>
                <w:sz w:val="21"/>
              </w:rPr>
              <w:t>410.36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303,42</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5,252.7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9" w:right="0"/>
              <w:jc w:val="left"/>
              <w:rPr>
                <w:rFonts w:ascii="Times New Roman" w:hAnsi="Times New Roman" w:cs="Times New Roman" w:eastAsia="Times New Roman" w:hint="default"/>
                <w:sz w:val="21"/>
                <w:szCs w:val="21"/>
              </w:rPr>
            </w:pPr>
            <w:r>
              <w:rPr>
                <w:rFonts w:ascii="Times New Roman"/>
                <w:sz w:val="21"/>
              </w:rPr>
              <w:t>23,214,08</w:t>
            </w:r>
          </w:p>
          <w:p>
            <w:pPr>
              <w:pStyle w:val="TableParagraph"/>
              <w:spacing w:line="241" w:lineRule="exact"/>
              <w:ind w:left="602" w:right="0"/>
              <w:jc w:val="left"/>
              <w:rPr>
                <w:rFonts w:ascii="Times New Roman" w:hAnsi="Times New Roman" w:cs="Times New Roman" w:eastAsia="Times New Roman" w:hint="default"/>
                <w:sz w:val="21"/>
                <w:szCs w:val="21"/>
              </w:rPr>
            </w:pPr>
            <w:r>
              <w:rPr>
                <w:rFonts w:ascii="Times New Roman"/>
                <w:sz w:val="21"/>
              </w:rPr>
              <w:t>6.79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55" w:right="0"/>
              <w:jc w:val="left"/>
              <w:rPr>
                <w:rFonts w:ascii="Times New Roman" w:hAnsi="Times New Roman" w:cs="Times New Roman" w:eastAsia="Times New Roman" w:hint="default"/>
                <w:sz w:val="21"/>
                <w:szCs w:val="21"/>
              </w:rPr>
            </w:pPr>
            <w:r>
              <w:rPr>
                <w:rFonts w:ascii="Times New Roman"/>
                <w:sz w:val="21"/>
              </w:rPr>
              <w:t>872,329,1</w:t>
            </w:r>
          </w:p>
          <w:p>
            <w:pPr>
              <w:pStyle w:val="TableParagraph"/>
              <w:spacing w:line="241" w:lineRule="exact"/>
              <w:ind w:left="523" w:right="0"/>
              <w:jc w:val="left"/>
              <w:rPr>
                <w:rFonts w:ascii="Times New Roman" w:hAnsi="Times New Roman" w:cs="Times New Roman" w:eastAsia="Times New Roman" w:hint="default"/>
                <w:sz w:val="21"/>
                <w:szCs w:val="21"/>
              </w:rPr>
            </w:pPr>
            <w:r>
              <w:rPr>
                <w:rFonts w:ascii="Times New Roman"/>
                <w:sz w:val="21"/>
              </w:rPr>
              <w:t>52.29</w:t>
            </w:r>
          </w:p>
        </w:tc>
      </w:tr>
      <w:tr>
        <w:trPr>
          <w:trHeight w:val="49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center"/>
              <w:rPr>
                <w:rFonts w:ascii="Times New Roman" w:hAnsi="Times New Roman" w:cs="Times New Roman" w:eastAsia="Times New Roman" w:hint="default"/>
                <w:sz w:val="21"/>
                <w:szCs w:val="21"/>
              </w:rPr>
            </w:pPr>
            <w:r>
              <w:rPr>
                <w:rFonts w:ascii="Times New Roman"/>
                <w:sz w:val="21"/>
              </w:rPr>
              <w:t>1,707,8</w:t>
            </w:r>
          </w:p>
          <w:p>
            <w:pPr>
              <w:pStyle w:val="TableParagraph"/>
              <w:spacing w:line="240" w:lineRule="auto" w:before="1"/>
              <w:ind w:left="182" w:right="0"/>
              <w:jc w:val="center"/>
              <w:rPr>
                <w:rFonts w:ascii="Times New Roman" w:hAnsi="Times New Roman" w:cs="Times New Roman" w:eastAsia="Times New Roman" w:hint="default"/>
                <w:sz w:val="21"/>
                <w:szCs w:val="21"/>
              </w:rPr>
            </w:pPr>
            <w:r>
              <w:rPr>
                <w:rFonts w:ascii="Times New Roman"/>
                <w:sz w:val="21"/>
              </w:rPr>
              <w:t>80.00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61,647,</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581.78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 w:right="0"/>
              <w:jc w:val="left"/>
              <w:rPr>
                <w:rFonts w:ascii="Times New Roman" w:hAnsi="Times New Roman" w:cs="Times New Roman" w:eastAsia="Times New Roman" w:hint="default"/>
                <w:sz w:val="21"/>
                <w:szCs w:val="21"/>
              </w:rPr>
            </w:pPr>
            <w:r>
              <w:rPr>
                <w:rFonts w:ascii="Times New Roman"/>
                <w:sz w:val="21"/>
              </w:rPr>
              <w:t>61,654,</w:t>
            </w:r>
          </w:p>
          <w:p>
            <w:pPr>
              <w:pStyle w:val="TableParagraph"/>
              <w:spacing w:line="240" w:lineRule="auto" w:before="1"/>
              <w:ind w:left="165" w:right="0"/>
              <w:jc w:val="left"/>
              <w:rPr>
                <w:rFonts w:ascii="Times New Roman" w:hAnsi="Times New Roman" w:cs="Times New Roman" w:eastAsia="Times New Roman" w:hint="default"/>
                <w:sz w:val="21"/>
                <w:szCs w:val="21"/>
              </w:rPr>
            </w:pPr>
            <w:r>
              <w:rPr>
                <w:rFonts w:ascii="Times New Roman"/>
                <w:sz w:val="21"/>
              </w:rPr>
              <w:t>468.00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 w:right="0"/>
              <w:jc w:val="center"/>
              <w:rPr>
                <w:rFonts w:ascii="Times New Roman" w:hAnsi="Times New Roman" w:cs="Times New Roman" w:eastAsia="Times New Roman" w:hint="default"/>
                <w:sz w:val="21"/>
                <w:szCs w:val="21"/>
              </w:rPr>
            </w:pPr>
            <w:r>
              <w:rPr>
                <w:rFonts w:ascii="Times New Roman"/>
                <w:sz w:val="21"/>
              </w:rPr>
              <w:t>7,280,5</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49.69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25,194,</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175.22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-2,495,58</w:t>
            </w:r>
          </w:p>
          <w:p>
            <w:pPr>
              <w:pStyle w:val="TableParagraph"/>
              <w:spacing w:line="240" w:lineRule="auto" w:before="1"/>
              <w:ind w:left="602" w:right="0"/>
              <w:jc w:val="left"/>
              <w:rPr>
                <w:rFonts w:ascii="Times New Roman" w:hAnsi="Times New Roman" w:cs="Times New Roman" w:eastAsia="Times New Roman" w:hint="default"/>
                <w:sz w:val="21"/>
                <w:szCs w:val="21"/>
              </w:rPr>
            </w:pPr>
            <w:r>
              <w:rPr>
                <w:rFonts w:ascii="Times New Roman"/>
                <w:sz w:val="21"/>
              </w:rPr>
              <w:t>0.77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31,680,13</w:t>
            </w:r>
          </w:p>
          <w:p>
            <w:pPr>
              <w:pStyle w:val="TableParagraph"/>
              <w:spacing w:line="240" w:lineRule="auto" w:before="1"/>
              <w:ind w:left="629" w:right="0"/>
              <w:jc w:val="left"/>
              <w:rPr>
                <w:rFonts w:ascii="Times New Roman" w:hAnsi="Times New Roman" w:cs="Times New Roman" w:eastAsia="Times New Roman" w:hint="default"/>
                <w:sz w:val="21"/>
                <w:szCs w:val="21"/>
              </w:rPr>
            </w:pPr>
            <w:r>
              <w:rPr>
                <w:rFonts w:ascii="Times New Roman"/>
                <w:sz w:val="21"/>
              </w:rPr>
              <w:t>7.92</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51,474,</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724.91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5" w:right="0"/>
              <w:jc w:val="left"/>
              <w:rPr>
                <w:rFonts w:ascii="Times New Roman" w:hAnsi="Times New Roman" w:cs="Times New Roman" w:eastAsia="Times New Roman" w:hint="default"/>
                <w:sz w:val="21"/>
                <w:szCs w:val="21"/>
              </w:rPr>
            </w:pPr>
            <w:r>
              <w:rPr>
                <w:rFonts w:ascii="Times New Roman"/>
                <w:sz w:val="21"/>
              </w:rPr>
              <w:t>-8,244,51</w:t>
            </w:r>
          </w:p>
          <w:p>
            <w:pPr>
              <w:pStyle w:val="TableParagraph"/>
              <w:spacing w:line="241" w:lineRule="exact"/>
              <w:ind w:left="602" w:right="0"/>
              <w:jc w:val="left"/>
              <w:rPr>
                <w:rFonts w:ascii="Times New Roman" w:hAnsi="Times New Roman" w:cs="Times New Roman" w:eastAsia="Times New Roman" w:hint="default"/>
                <w:sz w:val="21"/>
                <w:szCs w:val="21"/>
              </w:rPr>
            </w:pPr>
            <w:r>
              <w:rPr>
                <w:rFonts w:ascii="Times New Roman"/>
                <w:sz w:val="21"/>
              </w:rPr>
              <w:t>7.93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55" w:right="0"/>
              <w:jc w:val="left"/>
              <w:rPr>
                <w:rFonts w:ascii="Times New Roman" w:hAnsi="Times New Roman" w:cs="Times New Roman" w:eastAsia="Times New Roman" w:hint="default"/>
                <w:sz w:val="21"/>
                <w:szCs w:val="21"/>
              </w:rPr>
            </w:pPr>
            <w:r>
              <w:rPr>
                <w:rFonts w:ascii="Times New Roman"/>
                <w:sz w:val="21"/>
              </w:rPr>
              <w:t>43,230,20</w:t>
            </w:r>
          </w:p>
          <w:p>
            <w:pPr>
              <w:pStyle w:val="TableParagraph"/>
              <w:spacing w:line="241" w:lineRule="exact"/>
              <w:ind w:left="629" w:right="0"/>
              <w:jc w:val="left"/>
              <w:rPr>
                <w:rFonts w:ascii="Times New Roman" w:hAnsi="Times New Roman" w:cs="Times New Roman" w:eastAsia="Times New Roman" w:hint="default"/>
                <w:sz w:val="21"/>
                <w:szCs w:val="21"/>
              </w:rPr>
            </w:pPr>
            <w:r>
              <w:rPr>
                <w:rFonts w:ascii="Times New Roman"/>
                <w:sz w:val="21"/>
              </w:rPr>
              <w:t>6.98</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center"/>
              <w:rPr>
                <w:rFonts w:ascii="Times New Roman" w:hAnsi="Times New Roman" w:cs="Times New Roman" w:eastAsia="Times New Roman" w:hint="default"/>
                <w:sz w:val="21"/>
                <w:szCs w:val="21"/>
              </w:rPr>
            </w:pPr>
            <w:r>
              <w:rPr>
                <w:rFonts w:ascii="Times New Roman"/>
                <w:sz w:val="21"/>
              </w:rPr>
              <w:t>1,707,8</w:t>
            </w:r>
          </w:p>
          <w:p>
            <w:pPr>
              <w:pStyle w:val="TableParagraph"/>
              <w:spacing w:line="240" w:lineRule="auto" w:before="1"/>
              <w:ind w:left="182" w:right="0"/>
              <w:jc w:val="center"/>
              <w:rPr>
                <w:rFonts w:ascii="Times New Roman" w:hAnsi="Times New Roman" w:cs="Times New Roman" w:eastAsia="Times New Roman" w:hint="default"/>
                <w:sz w:val="21"/>
                <w:szCs w:val="21"/>
              </w:rPr>
            </w:pPr>
            <w:r>
              <w:rPr>
                <w:rFonts w:ascii="Times New Roman"/>
                <w:sz w:val="21"/>
              </w:rPr>
              <w:t>80.00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61,647,</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581.78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 w:right="0"/>
              <w:jc w:val="left"/>
              <w:rPr>
                <w:rFonts w:ascii="Times New Roman" w:hAnsi="Times New Roman" w:cs="Times New Roman" w:eastAsia="Times New Roman" w:hint="default"/>
                <w:sz w:val="21"/>
                <w:szCs w:val="21"/>
              </w:rPr>
            </w:pPr>
            <w:r>
              <w:rPr>
                <w:rFonts w:ascii="Times New Roman"/>
                <w:sz w:val="21"/>
              </w:rPr>
              <w:t>61,654,</w:t>
            </w:r>
          </w:p>
          <w:p>
            <w:pPr>
              <w:pStyle w:val="TableParagraph"/>
              <w:spacing w:line="240" w:lineRule="auto" w:before="1"/>
              <w:ind w:left="165" w:right="0"/>
              <w:jc w:val="left"/>
              <w:rPr>
                <w:rFonts w:ascii="Times New Roman" w:hAnsi="Times New Roman" w:cs="Times New Roman" w:eastAsia="Times New Roman" w:hint="default"/>
                <w:sz w:val="21"/>
                <w:szCs w:val="21"/>
              </w:rPr>
            </w:pPr>
            <w:r>
              <w:rPr>
                <w:rFonts w:ascii="Times New Roman"/>
                <w:sz w:val="21"/>
              </w:rPr>
              <w:t>468.00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5,748,937</w:t>
            </w:r>
          </w:p>
          <w:p>
            <w:pPr>
              <w:pStyle w:val="TableParagraph"/>
              <w:spacing w:line="240" w:lineRule="auto" w:before="1"/>
              <w:ind w:left="707" w:right="0"/>
              <w:jc w:val="left"/>
              <w:rPr>
                <w:rFonts w:ascii="Times New Roman" w:hAnsi="Times New Roman" w:cs="Times New Roman" w:eastAsia="Times New Roman" w:hint="default"/>
                <w:sz w:val="21"/>
                <w:szCs w:val="21"/>
              </w:rPr>
            </w:pPr>
            <w:r>
              <w:rPr>
                <w:rFonts w:ascii="Times New Roman"/>
                <w:sz w:val="21"/>
              </w:rPr>
              <w:t>.16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7,449,930.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94</w:t>
            </w:r>
          </w:p>
        </w:tc>
      </w:tr>
      <w:tr>
        <w:trPr>
          <w:trHeight w:val="49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59,946,</w:t>
            </w:r>
          </w:p>
          <w:p>
            <w:pPr>
              <w:pStyle w:val="TableParagraph"/>
              <w:spacing w:line="241" w:lineRule="exact"/>
              <w:ind w:left="179" w:right="0"/>
              <w:jc w:val="left"/>
              <w:rPr>
                <w:rFonts w:ascii="Times New Roman" w:hAnsi="Times New Roman" w:cs="Times New Roman" w:eastAsia="Times New Roman" w:hint="default"/>
                <w:sz w:val="21"/>
                <w:szCs w:val="21"/>
              </w:rPr>
            </w:pPr>
            <w:r>
              <w:rPr>
                <w:rFonts w:ascii="Times New Roman"/>
                <w:sz w:val="21"/>
              </w:rPr>
              <w:t>588.00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5,710,000</w:t>
            </w:r>
          </w:p>
          <w:p>
            <w:pPr>
              <w:pStyle w:val="TableParagraph"/>
              <w:spacing w:line="241" w:lineRule="exact"/>
              <w:ind w:left="707" w:right="0"/>
              <w:jc w:val="left"/>
              <w:rPr>
                <w:rFonts w:ascii="Times New Roman" w:hAnsi="Times New Roman" w:cs="Times New Roman" w:eastAsia="Times New Roman" w:hint="default"/>
                <w:sz w:val="21"/>
                <w:szCs w:val="21"/>
              </w:rPr>
            </w:pPr>
            <w:r>
              <w:rPr>
                <w:rFonts w:ascii="Times New Roman"/>
                <w:sz w:val="21"/>
              </w:rPr>
              <w:t>.00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5" w:right="0"/>
              <w:jc w:val="left"/>
              <w:rPr>
                <w:rFonts w:ascii="Times New Roman" w:hAnsi="Times New Roman" w:cs="Times New Roman" w:eastAsia="Times New Roman" w:hint="default"/>
                <w:sz w:val="21"/>
                <w:szCs w:val="21"/>
              </w:rPr>
            </w:pPr>
            <w:r>
              <w:rPr>
                <w:rFonts w:ascii="Times New Roman"/>
                <w:sz w:val="21"/>
              </w:rPr>
              <w:t>65,656,58</w:t>
            </w:r>
          </w:p>
          <w:p>
            <w:pPr>
              <w:pStyle w:val="TableParagraph"/>
              <w:spacing w:line="241" w:lineRule="exact"/>
              <w:ind w:left="629" w:right="0"/>
              <w:jc w:val="left"/>
              <w:rPr>
                <w:rFonts w:ascii="Times New Roman" w:hAnsi="Times New Roman" w:cs="Times New Roman" w:eastAsia="Times New Roman" w:hint="default"/>
                <w:sz w:val="21"/>
                <w:szCs w:val="21"/>
              </w:rPr>
            </w:pPr>
            <w:r>
              <w:rPr>
                <w:rFonts w:ascii="Times New Roman"/>
                <w:sz w:val="21"/>
              </w:rPr>
              <w:t>8.00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．其他权益工具持有者投 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．股份支付计入所有者权 益的金额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center"/>
              <w:rPr>
                <w:rFonts w:ascii="Times New Roman" w:hAnsi="Times New Roman" w:cs="Times New Roman" w:eastAsia="Times New Roman" w:hint="default"/>
                <w:sz w:val="21"/>
                <w:szCs w:val="21"/>
              </w:rPr>
            </w:pPr>
            <w:r>
              <w:rPr>
                <w:rFonts w:ascii="Times New Roman"/>
                <w:sz w:val="21"/>
              </w:rPr>
              <w:t>1,707,8</w:t>
            </w:r>
          </w:p>
          <w:p>
            <w:pPr>
              <w:pStyle w:val="TableParagraph"/>
              <w:spacing w:line="241" w:lineRule="exact"/>
              <w:ind w:left="182" w:right="0"/>
              <w:jc w:val="center"/>
              <w:rPr>
                <w:rFonts w:ascii="Times New Roman" w:hAnsi="Times New Roman" w:cs="Times New Roman" w:eastAsia="Times New Roman" w:hint="default"/>
                <w:sz w:val="21"/>
                <w:szCs w:val="21"/>
              </w:rPr>
            </w:pPr>
            <w:r>
              <w:rPr>
                <w:rFonts w:ascii="Times New Roman"/>
                <w:sz w:val="21"/>
              </w:rPr>
              <w:t>80.00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 w:right="0"/>
              <w:jc w:val="center"/>
              <w:rPr>
                <w:rFonts w:ascii="Times New Roman" w:hAnsi="Times New Roman" w:cs="Times New Roman" w:eastAsia="Times New Roman" w:hint="default"/>
                <w:sz w:val="21"/>
                <w:szCs w:val="21"/>
              </w:rPr>
            </w:pPr>
            <w:r>
              <w:rPr>
                <w:rFonts w:ascii="Times New Roman"/>
                <w:sz w:val="21"/>
              </w:rPr>
              <w:t>2,114,9</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30.94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3" w:right="0"/>
              <w:jc w:val="left"/>
              <w:rPr>
                <w:rFonts w:ascii="Times New Roman" w:hAnsi="Times New Roman" w:cs="Times New Roman" w:eastAsia="Times New Roman" w:hint="default"/>
                <w:sz w:val="21"/>
                <w:szCs w:val="21"/>
              </w:rPr>
            </w:pPr>
            <w:r>
              <w:rPr>
                <w:rFonts w:ascii="Times New Roman"/>
                <w:sz w:val="21"/>
              </w:rPr>
              <w:t>61,654,</w:t>
            </w: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468.00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91" w:right="0"/>
              <w:jc w:val="left"/>
              <w:rPr>
                <w:rFonts w:ascii="Times New Roman" w:hAnsi="Times New Roman" w:cs="Times New Roman" w:eastAsia="Times New Roman" w:hint="default"/>
                <w:sz w:val="21"/>
                <w:szCs w:val="21"/>
              </w:rPr>
            </w:pPr>
            <w:r>
              <w:rPr>
                <w:rFonts w:ascii="Times New Roman"/>
                <w:sz w:val="21"/>
              </w:rPr>
              <w:t>-57,831,6</w:t>
            </w:r>
          </w:p>
          <w:p>
            <w:pPr>
              <w:pStyle w:val="TableParagraph"/>
              <w:spacing w:line="241" w:lineRule="exact"/>
              <w:ind w:left="523" w:right="0"/>
              <w:jc w:val="left"/>
              <w:rPr>
                <w:rFonts w:ascii="Times New Roman" w:hAnsi="Times New Roman" w:cs="Times New Roman" w:eastAsia="Times New Roman" w:hint="default"/>
                <w:sz w:val="21"/>
                <w:szCs w:val="21"/>
              </w:rPr>
            </w:pPr>
            <w:r>
              <w:rPr>
                <w:rFonts w:ascii="Times New Roman"/>
                <w:sz w:val="21"/>
              </w:rPr>
              <w:t>57.06</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-413,93</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sz w:val="21"/>
              </w:rPr>
              <w:t>7.16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38,937.16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-375,000.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00</w:t>
            </w:r>
          </w:p>
        </w:tc>
      </w:tr>
      <w:tr>
        <w:trPr>
          <w:trHeight w:val="49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 w:right="0"/>
              <w:jc w:val="center"/>
              <w:rPr>
                <w:rFonts w:ascii="Times New Roman" w:hAnsi="Times New Roman" w:cs="Times New Roman" w:eastAsia="Times New Roman" w:hint="default"/>
                <w:sz w:val="21"/>
                <w:szCs w:val="21"/>
              </w:rPr>
            </w:pPr>
            <w:r>
              <w:rPr>
                <w:rFonts w:ascii="Times New Roman"/>
                <w:sz w:val="21"/>
              </w:rPr>
              <w:t>7,280,5</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49.69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-26,280</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,549.69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-19,000,0</w:t>
            </w:r>
          </w:p>
          <w:p>
            <w:pPr>
              <w:pStyle w:val="TableParagraph"/>
              <w:spacing w:line="240" w:lineRule="auto" w:before="1"/>
              <w:ind w:left="523" w:right="0"/>
              <w:jc w:val="left"/>
              <w:rPr>
                <w:rFonts w:ascii="Times New Roman" w:hAnsi="Times New Roman" w:cs="Times New Roman" w:eastAsia="Times New Roman" w:hint="default"/>
                <w:sz w:val="21"/>
                <w:szCs w:val="21"/>
              </w:rPr>
            </w:pPr>
            <w:r>
              <w:rPr>
                <w:rFonts w:ascii="Times New Roman"/>
                <w:sz w:val="21"/>
              </w:rPr>
              <w:t>00.00</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5" w:right="0"/>
              <w:jc w:val="center"/>
              <w:rPr>
                <w:rFonts w:ascii="Times New Roman" w:hAnsi="Times New Roman" w:cs="Times New Roman" w:eastAsia="Times New Roman" w:hint="default"/>
                <w:sz w:val="21"/>
                <w:szCs w:val="21"/>
              </w:rPr>
            </w:pPr>
            <w:r>
              <w:rPr>
                <w:rFonts w:ascii="Times New Roman"/>
                <w:sz w:val="21"/>
              </w:rPr>
              <w:t>7,280,5</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49.69</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5" w:right="0"/>
              <w:jc w:val="left"/>
              <w:rPr>
                <w:rFonts w:ascii="Times New Roman" w:hAnsi="Times New Roman" w:cs="Times New Roman" w:eastAsia="Times New Roman" w:hint="default"/>
                <w:sz w:val="21"/>
                <w:szCs w:val="21"/>
              </w:rPr>
            </w:pPr>
            <w:r>
              <w:rPr>
                <w:rFonts w:ascii="Times New Roman"/>
                <w:sz w:val="21"/>
              </w:rPr>
              <w:t>-7,280,</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549.69</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 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-19,000</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,000.00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-19,000,0</w:t>
            </w:r>
          </w:p>
          <w:p>
            <w:pPr>
              <w:pStyle w:val="TableParagraph"/>
              <w:spacing w:line="240" w:lineRule="auto" w:before="1"/>
              <w:ind w:left="523" w:right="0"/>
              <w:jc w:val="left"/>
              <w:rPr>
                <w:rFonts w:ascii="Times New Roman" w:hAnsi="Times New Roman" w:cs="Times New Roman" w:eastAsia="Times New Roman" w:hint="default"/>
                <w:sz w:val="21"/>
                <w:szCs w:val="21"/>
              </w:rPr>
            </w:pPr>
            <w:r>
              <w:rPr>
                <w:rFonts w:ascii="Times New Roman"/>
                <w:sz w:val="21"/>
              </w:rPr>
              <w:t>00.00</w:t>
            </w:r>
          </w:p>
        </w:tc>
      </w:tr>
      <w:tr>
        <w:trPr>
          <w:trHeight w:val="25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 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57" w:footer="980" w:top="1140" w:bottom="1160" w:left="1340" w:right="1220"/>
        </w:sectPr>
      </w:pPr>
    </w:p>
    <w:p>
      <w:pPr>
        <w:spacing w:line="240" w:lineRule="auto" w:before="1"/>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 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101,70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7,880.0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468,47</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0,984.1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13" w:right="0"/>
              <w:jc w:val="left"/>
              <w:rPr>
                <w:rFonts w:ascii="Times New Roman" w:hAnsi="Times New Roman" w:cs="Times New Roman" w:eastAsia="Times New Roman" w:hint="default"/>
                <w:sz w:val="21"/>
                <w:szCs w:val="21"/>
              </w:rPr>
            </w:pPr>
            <w:r>
              <w:rPr>
                <w:rFonts w:ascii="Times New Roman"/>
                <w:sz w:val="21"/>
              </w:rPr>
              <w:t>61,654,</w:t>
            </w: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468.00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7" w:right="0"/>
              <w:jc w:val="left"/>
              <w:rPr>
                <w:rFonts w:ascii="Times New Roman" w:hAnsi="Times New Roman" w:cs="Times New Roman" w:eastAsia="Times New Roman" w:hint="default"/>
                <w:sz w:val="21"/>
                <w:szCs w:val="21"/>
              </w:rPr>
            </w:pPr>
            <w:r>
              <w:rPr>
                <w:rFonts w:ascii="Times New Roman"/>
                <w:sz w:val="21"/>
              </w:rPr>
              <w:t>46,146,</w:t>
            </w:r>
          </w:p>
          <w:p>
            <w:pPr>
              <w:pStyle w:val="TableParagraph"/>
              <w:spacing w:line="241" w:lineRule="exact"/>
              <w:ind w:left="179" w:right="0"/>
              <w:jc w:val="left"/>
              <w:rPr>
                <w:rFonts w:ascii="Times New Roman" w:hAnsi="Times New Roman" w:cs="Times New Roman" w:eastAsia="Times New Roman" w:hint="default"/>
                <w:sz w:val="21"/>
                <w:szCs w:val="21"/>
              </w:rPr>
            </w:pPr>
            <w:r>
              <w:rPr>
                <w:rFonts w:ascii="Times New Roman"/>
                <w:sz w:val="21"/>
              </w:rPr>
              <w:t>960.05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328,61</w:t>
            </w:r>
          </w:p>
          <w:p>
            <w:pPr>
              <w:pStyle w:val="TableParagraph"/>
              <w:spacing w:line="241" w:lineRule="exact" w:before="1"/>
              <w:ind w:right="96"/>
              <w:jc w:val="right"/>
              <w:rPr>
                <w:rFonts w:ascii="Times New Roman" w:hAnsi="Times New Roman" w:cs="Times New Roman" w:eastAsia="Times New Roman" w:hint="default"/>
                <w:sz w:val="21"/>
                <w:szCs w:val="21"/>
              </w:rPr>
            </w:pPr>
            <w:r>
              <w:rPr>
                <w:rFonts w:ascii="Times New Roman"/>
                <w:sz w:val="21"/>
              </w:rPr>
              <w:t>9,427.9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9" w:right="0"/>
              <w:jc w:val="left"/>
              <w:rPr>
                <w:rFonts w:ascii="Times New Roman" w:hAnsi="Times New Roman" w:cs="Times New Roman" w:eastAsia="Times New Roman" w:hint="default"/>
                <w:sz w:val="21"/>
                <w:szCs w:val="21"/>
              </w:rPr>
            </w:pPr>
            <w:r>
              <w:rPr>
                <w:rFonts w:ascii="Times New Roman"/>
                <w:sz w:val="21"/>
              </w:rPr>
              <w:t>20,718,50</w:t>
            </w:r>
          </w:p>
          <w:p>
            <w:pPr>
              <w:pStyle w:val="TableParagraph"/>
              <w:spacing w:line="241" w:lineRule="exact"/>
              <w:ind w:left="602" w:right="0"/>
              <w:jc w:val="left"/>
              <w:rPr>
                <w:rFonts w:ascii="Times New Roman" w:hAnsi="Times New Roman" w:cs="Times New Roman" w:eastAsia="Times New Roman" w:hint="default"/>
                <w:sz w:val="21"/>
                <w:szCs w:val="21"/>
              </w:rPr>
            </w:pPr>
            <w:r>
              <w:rPr>
                <w:rFonts w:ascii="Times New Roman"/>
                <w:sz w:val="21"/>
              </w:rPr>
              <w:t>6.02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55" w:right="0"/>
              <w:jc w:val="left"/>
              <w:rPr>
                <w:rFonts w:ascii="Times New Roman" w:hAnsi="Times New Roman" w:cs="Times New Roman" w:eastAsia="Times New Roman" w:hint="default"/>
                <w:sz w:val="21"/>
                <w:szCs w:val="21"/>
              </w:rPr>
            </w:pPr>
            <w:r>
              <w:rPr>
                <w:rFonts w:ascii="Times New Roman"/>
                <w:sz w:val="21"/>
              </w:rPr>
              <w:t>904,009,2</w:t>
            </w:r>
          </w:p>
          <w:p>
            <w:pPr>
              <w:pStyle w:val="TableParagraph"/>
              <w:spacing w:line="241" w:lineRule="exact"/>
              <w:ind w:left="523" w:right="0"/>
              <w:jc w:val="left"/>
              <w:rPr>
                <w:rFonts w:ascii="Times New Roman" w:hAnsi="Times New Roman" w:cs="Times New Roman" w:eastAsia="Times New Roman" w:hint="default"/>
                <w:sz w:val="21"/>
                <w:szCs w:val="21"/>
              </w:rPr>
            </w:pPr>
            <w:r>
              <w:rPr>
                <w:rFonts w:ascii="Times New Roman"/>
                <w:sz w:val="21"/>
              </w:rPr>
              <w:t>90.21</w:t>
            </w:r>
          </w:p>
        </w:tc>
      </w:tr>
    </w:tbl>
    <w:p>
      <w:pPr>
        <w:pStyle w:val="BodyText"/>
        <w:spacing w:line="241" w:lineRule="exact"/>
        <w:ind w:left="184" w:right="0"/>
        <w:jc w:val="left"/>
      </w:pPr>
      <w:r>
        <w:rPr/>
        <w:t>法定代表人：吴志雄主管会计工作负责人：曾志勇会计机构负责人：黄芳</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57" w:footer="980" w:top="1140" w:bottom="1160" w:left="1340" w:right="1220"/>
        </w:sectPr>
      </w:pPr>
    </w:p>
    <w:p>
      <w:pPr>
        <w:pStyle w:val="Heading3"/>
        <w:spacing w:line="274" w:lineRule="exact" w:before="36"/>
        <w:ind w:left="0" w:right="0"/>
        <w:jc w:val="right"/>
        <w:rPr>
          <w:b w:val="0"/>
          <w:bCs w:val="0"/>
        </w:rPr>
      </w:pPr>
      <w:r>
        <w:rPr>
          <w:spacing w:val="-1"/>
        </w:rPr>
        <w:t>母公司所有者权益变动表</w:t>
      </w:r>
      <w:r>
        <w:rPr>
          <w:b w:val="0"/>
          <w:bCs w:val="0"/>
          <w:spacing w:val="-1"/>
        </w:rPr>
      </w:r>
    </w:p>
    <w:p>
      <w:pPr>
        <w:pStyle w:val="BodyText"/>
        <w:spacing w:line="290" w:lineRule="exact"/>
        <w:ind w:left="0" w:right="396"/>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3954"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6840" w:h="11910" w:orient="landscape"/>
          <w:pgMar w:top="1580" w:bottom="280" w:left="1340" w:right="1220"/>
          <w:cols w:num="2" w:equalWidth="0">
            <w:col w:w="8271" w:space="40"/>
            <w:col w:w="5969"/>
          </w:cols>
        </w:sect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4" w:space="0" w:color="000000"/>
              <w:right w:val="single" w:sz="4" w:space="0" w:color="000000"/>
            </w:tcBorders>
          </w:tcPr>
          <w:p>
            <w:pPr>
              <w:pStyle w:val="TableParagraph"/>
              <w:spacing w:line="234" w:lineRule="exact"/>
              <w:ind w:left="122" w:right="0"/>
              <w:jc w:val="left"/>
              <w:rPr>
                <w:rFonts w:ascii="Times New Roman" w:hAnsi="Times New Roman" w:cs="Times New Roman" w:eastAsia="Times New Roman" w:hint="default"/>
                <w:sz w:val="21"/>
                <w:szCs w:val="21"/>
              </w:rPr>
            </w:pPr>
            <w:r>
              <w:rPr>
                <w:rFonts w:ascii="Times New Roman"/>
                <w:sz w:val="21"/>
              </w:rPr>
              <w:t>101,707,8</w:t>
            </w:r>
          </w:p>
          <w:p>
            <w:pPr>
              <w:pStyle w:val="TableParagraph"/>
              <w:spacing w:line="241" w:lineRule="exact"/>
              <w:ind w:left="489" w:right="0"/>
              <w:jc w:val="left"/>
              <w:rPr>
                <w:rFonts w:ascii="Times New Roman" w:hAnsi="Times New Roman" w:cs="Times New Roman" w:eastAsia="Times New Roman" w:hint="default"/>
                <w:sz w:val="21"/>
                <w:szCs w:val="21"/>
              </w:rPr>
            </w:pPr>
            <w:r>
              <w:rPr>
                <w:rFonts w:ascii="Times New Roman"/>
                <w:sz w:val="21"/>
              </w:rPr>
              <w:t>80.00</w:t>
            </w:r>
          </w:p>
        </w:tc>
        <w:tc>
          <w:tcPr>
            <w:tcW w:w="10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4" w:space="0" w:color="000000"/>
              <w:bottom w:val="single" w:sz="4" w:space="0" w:color="000000"/>
              <w:right w:val="single" w:sz="4" w:space="0" w:color="000000"/>
            </w:tcBorders>
          </w:tcPr>
          <w:p>
            <w:pPr>
              <w:pStyle w:val="TableParagraph"/>
              <w:spacing w:line="234" w:lineRule="exact"/>
              <w:ind w:left="88" w:right="0"/>
              <w:jc w:val="center"/>
              <w:rPr>
                <w:rFonts w:ascii="Times New Roman" w:hAnsi="Times New Roman" w:cs="Times New Roman" w:eastAsia="Times New Roman" w:hint="default"/>
                <w:sz w:val="21"/>
                <w:szCs w:val="21"/>
              </w:rPr>
            </w:pPr>
            <w:r>
              <w:rPr>
                <w:rFonts w:ascii="Times New Roman"/>
                <w:sz w:val="21"/>
              </w:rPr>
              <w:t>468,884,</w:t>
            </w:r>
          </w:p>
          <w:p>
            <w:pPr>
              <w:pStyle w:val="TableParagraph"/>
              <w:spacing w:line="241" w:lineRule="exact"/>
              <w:ind w:left="244" w:right="0"/>
              <w:jc w:val="center"/>
              <w:rPr>
                <w:rFonts w:ascii="Times New Roman" w:hAnsi="Times New Roman" w:cs="Times New Roman" w:eastAsia="Times New Roman" w:hint="default"/>
                <w:sz w:val="21"/>
                <w:szCs w:val="21"/>
              </w:rPr>
            </w:pPr>
            <w:r>
              <w:rPr>
                <w:rFonts w:ascii="Times New Roman"/>
                <w:sz w:val="21"/>
              </w:rPr>
              <w:t>921.35</w:t>
            </w:r>
          </w:p>
        </w:tc>
        <w:tc>
          <w:tcPr>
            <w:tcW w:w="1063" w:type="dxa"/>
            <w:tcBorders>
              <w:top w:val="single" w:sz="6" w:space="0" w:color="000000"/>
              <w:left w:val="single" w:sz="4" w:space="0" w:color="000000"/>
              <w:bottom w:val="single" w:sz="4" w:space="0" w:color="000000"/>
              <w:right w:val="single" w:sz="4" w:space="0" w:color="000000"/>
            </w:tcBorders>
          </w:tcPr>
          <w:p>
            <w:pPr>
              <w:pStyle w:val="TableParagraph"/>
              <w:spacing w:line="234" w:lineRule="exact"/>
              <w:ind w:left="110" w:right="0"/>
              <w:jc w:val="left"/>
              <w:rPr>
                <w:rFonts w:ascii="Times New Roman" w:hAnsi="Times New Roman" w:cs="Times New Roman" w:eastAsia="Times New Roman" w:hint="default"/>
                <w:sz w:val="21"/>
                <w:szCs w:val="21"/>
              </w:rPr>
            </w:pPr>
            <w:r>
              <w:rPr>
                <w:rFonts w:ascii="Times New Roman"/>
                <w:sz w:val="21"/>
              </w:rPr>
              <w:t>61,654,46</w:t>
            </w:r>
          </w:p>
          <w:p>
            <w:pPr>
              <w:pStyle w:val="TableParagraph"/>
              <w:spacing w:line="241" w:lineRule="exact"/>
              <w:ind w:left="583" w:right="0"/>
              <w:jc w:val="left"/>
              <w:rPr>
                <w:rFonts w:ascii="Times New Roman" w:hAnsi="Times New Roman" w:cs="Times New Roman" w:eastAsia="Times New Roman" w:hint="default"/>
                <w:sz w:val="21"/>
                <w:szCs w:val="21"/>
              </w:rPr>
            </w:pPr>
            <w:r>
              <w:rPr>
                <w:rFonts w:ascii="Times New Roman"/>
                <w:sz w:val="21"/>
              </w:rPr>
              <w:t>8.00</w:t>
            </w:r>
          </w:p>
        </w:tc>
        <w:tc>
          <w:tcPr>
            <w:tcW w:w="102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4" w:space="0" w:color="000000"/>
              <w:bottom w:val="single" w:sz="4" w:space="0" w:color="000000"/>
              <w:right w:val="single" w:sz="4" w:space="0" w:color="000000"/>
            </w:tcBorders>
          </w:tcPr>
          <w:p>
            <w:pPr>
              <w:pStyle w:val="TableParagraph"/>
              <w:spacing w:line="234" w:lineRule="exact"/>
              <w:ind w:left="175" w:right="0"/>
              <w:jc w:val="left"/>
              <w:rPr>
                <w:rFonts w:ascii="Times New Roman" w:hAnsi="Times New Roman" w:cs="Times New Roman" w:eastAsia="Times New Roman" w:hint="default"/>
                <w:sz w:val="21"/>
                <w:szCs w:val="21"/>
              </w:rPr>
            </w:pPr>
            <w:r>
              <w:rPr>
                <w:rFonts w:ascii="Times New Roman"/>
                <w:sz w:val="21"/>
              </w:rPr>
              <w:t>46,146,9</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60.05</w:t>
            </w:r>
          </w:p>
        </w:tc>
        <w:tc>
          <w:tcPr>
            <w:tcW w:w="1008" w:type="dxa"/>
            <w:tcBorders>
              <w:top w:val="single" w:sz="6" w:space="0" w:color="000000"/>
              <w:left w:val="single" w:sz="4" w:space="0" w:color="000000"/>
              <w:bottom w:val="single" w:sz="4" w:space="0" w:color="000000"/>
              <w:right w:val="single" w:sz="4" w:space="0" w:color="000000"/>
            </w:tcBorders>
          </w:tcPr>
          <w:p>
            <w:pPr>
              <w:pStyle w:val="TableParagraph"/>
              <w:spacing w:line="234" w:lineRule="exact"/>
              <w:ind w:left="60" w:right="0"/>
              <w:jc w:val="center"/>
              <w:rPr>
                <w:rFonts w:ascii="Times New Roman" w:hAnsi="Times New Roman" w:cs="Times New Roman" w:eastAsia="Times New Roman" w:hint="default"/>
                <w:sz w:val="21"/>
                <w:szCs w:val="21"/>
              </w:rPr>
            </w:pPr>
            <w:r>
              <w:rPr>
                <w:rFonts w:ascii="Times New Roman"/>
                <w:sz w:val="21"/>
              </w:rPr>
              <w:t>378,322,</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640.30</w:t>
            </w:r>
          </w:p>
        </w:tc>
        <w:tc>
          <w:tcPr>
            <w:tcW w:w="1025" w:type="dxa"/>
            <w:tcBorders>
              <w:top w:val="single" w:sz="6" w:space="0" w:color="000000"/>
              <w:left w:val="single" w:sz="4" w:space="0" w:color="000000"/>
              <w:bottom w:val="single" w:sz="4" w:space="0" w:color="000000"/>
              <w:right w:val="single" w:sz="4" w:space="0" w:color="000000"/>
            </w:tcBorders>
          </w:tcPr>
          <w:p>
            <w:pPr>
              <w:pStyle w:val="TableParagraph"/>
              <w:spacing w:line="234" w:lineRule="exact"/>
              <w:ind w:left="81" w:right="0"/>
              <w:jc w:val="center"/>
              <w:rPr>
                <w:rFonts w:ascii="Times New Roman" w:hAnsi="Times New Roman" w:cs="Times New Roman" w:eastAsia="Times New Roman" w:hint="default"/>
                <w:sz w:val="21"/>
                <w:szCs w:val="21"/>
              </w:rPr>
            </w:pPr>
            <w:r>
              <w:rPr>
                <w:rFonts w:ascii="Times New Roman"/>
                <w:sz w:val="21"/>
              </w:rPr>
              <w:t>933,407,</w:t>
            </w:r>
          </w:p>
          <w:p>
            <w:pPr>
              <w:pStyle w:val="TableParagraph"/>
              <w:spacing w:line="241" w:lineRule="exact"/>
              <w:ind w:left="238" w:right="0"/>
              <w:jc w:val="center"/>
              <w:rPr>
                <w:rFonts w:ascii="Times New Roman" w:hAnsi="Times New Roman" w:cs="Times New Roman" w:eastAsia="Times New Roman" w:hint="default"/>
                <w:sz w:val="21"/>
                <w:szCs w:val="21"/>
              </w:rPr>
            </w:pPr>
            <w:r>
              <w:rPr>
                <w:rFonts w:ascii="Times New Roman"/>
                <w:sz w:val="21"/>
              </w:rPr>
              <w:t>933.70</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101,707,8</w:t>
            </w:r>
          </w:p>
          <w:p>
            <w:pPr>
              <w:pStyle w:val="TableParagraph"/>
              <w:spacing w:line="241" w:lineRule="exact"/>
              <w:ind w:left="489" w:right="0"/>
              <w:jc w:val="left"/>
              <w:rPr>
                <w:rFonts w:ascii="Times New Roman" w:hAnsi="Times New Roman" w:cs="Times New Roman" w:eastAsia="Times New Roman" w:hint="default"/>
                <w:sz w:val="21"/>
                <w:szCs w:val="21"/>
              </w:rPr>
            </w:pPr>
            <w:r>
              <w:rPr>
                <w:rFonts w:ascii="Times New Roman"/>
                <w:sz w:val="21"/>
              </w:rPr>
              <w:t>80.00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8" w:right="0"/>
              <w:jc w:val="center"/>
              <w:rPr>
                <w:rFonts w:ascii="Times New Roman" w:hAnsi="Times New Roman" w:cs="Times New Roman" w:eastAsia="Times New Roman" w:hint="default"/>
                <w:sz w:val="21"/>
                <w:szCs w:val="21"/>
              </w:rPr>
            </w:pPr>
            <w:r>
              <w:rPr>
                <w:rFonts w:ascii="Times New Roman"/>
                <w:sz w:val="21"/>
              </w:rPr>
              <w:t>468,884,</w:t>
            </w:r>
          </w:p>
          <w:p>
            <w:pPr>
              <w:pStyle w:val="TableParagraph"/>
              <w:spacing w:line="241" w:lineRule="exact"/>
              <w:ind w:left="244" w:right="0"/>
              <w:jc w:val="center"/>
              <w:rPr>
                <w:rFonts w:ascii="Times New Roman" w:hAnsi="Times New Roman" w:cs="Times New Roman" w:eastAsia="Times New Roman" w:hint="default"/>
                <w:sz w:val="21"/>
                <w:szCs w:val="21"/>
              </w:rPr>
            </w:pPr>
            <w:r>
              <w:rPr>
                <w:rFonts w:ascii="Times New Roman"/>
                <w:sz w:val="21"/>
              </w:rPr>
              <w:t>921.35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jc w:val="left"/>
              <w:rPr>
                <w:rFonts w:ascii="Times New Roman" w:hAnsi="Times New Roman" w:cs="Times New Roman" w:eastAsia="Times New Roman" w:hint="default"/>
                <w:sz w:val="21"/>
                <w:szCs w:val="21"/>
              </w:rPr>
            </w:pPr>
            <w:r>
              <w:rPr>
                <w:rFonts w:ascii="Times New Roman"/>
                <w:sz w:val="21"/>
              </w:rPr>
              <w:t>61,654,46</w:t>
            </w:r>
          </w:p>
          <w:p>
            <w:pPr>
              <w:pStyle w:val="TableParagraph"/>
              <w:spacing w:line="241" w:lineRule="exact"/>
              <w:ind w:left="583" w:right="0"/>
              <w:jc w:val="left"/>
              <w:rPr>
                <w:rFonts w:ascii="Times New Roman" w:hAnsi="Times New Roman" w:cs="Times New Roman" w:eastAsia="Times New Roman" w:hint="default"/>
                <w:sz w:val="21"/>
                <w:szCs w:val="21"/>
              </w:rPr>
            </w:pPr>
            <w:r>
              <w:rPr>
                <w:rFonts w:ascii="Times New Roman"/>
                <w:sz w:val="21"/>
              </w:rPr>
              <w:t>8.00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5" w:right="0"/>
              <w:jc w:val="left"/>
              <w:rPr>
                <w:rFonts w:ascii="Times New Roman" w:hAnsi="Times New Roman" w:cs="Times New Roman" w:eastAsia="Times New Roman" w:hint="default"/>
                <w:sz w:val="21"/>
                <w:szCs w:val="21"/>
              </w:rPr>
            </w:pPr>
            <w:r>
              <w:rPr>
                <w:rFonts w:ascii="Times New Roman"/>
                <w:sz w:val="21"/>
              </w:rPr>
              <w:t>46,146,9</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60.05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 w:right="0"/>
              <w:jc w:val="center"/>
              <w:rPr>
                <w:rFonts w:ascii="Times New Roman" w:hAnsi="Times New Roman" w:cs="Times New Roman" w:eastAsia="Times New Roman" w:hint="default"/>
                <w:sz w:val="21"/>
                <w:szCs w:val="21"/>
              </w:rPr>
            </w:pPr>
            <w:r>
              <w:rPr>
                <w:rFonts w:ascii="Times New Roman"/>
                <w:sz w:val="21"/>
              </w:rPr>
              <w:t>378,322,</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640.30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933,407,</w:t>
            </w:r>
          </w:p>
          <w:p>
            <w:pPr>
              <w:pStyle w:val="TableParagraph"/>
              <w:spacing w:line="241" w:lineRule="exact"/>
              <w:ind w:left="238" w:right="0"/>
              <w:jc w:val="center"/>
              <w:rPr>
                <w:rFonts w:ascii="Times New Roman" w:hAnsi="Times New Roman" w:cs="Times New Roman" w:eastAsia="Times New Roman" w:hint="default"/>
                <w:sz w:val="21"/>
                <w:szCs w:val="21"/>
              </w:rPr>
            </w:pPr>
            <w:r>
              <w:rPr>
                <w:rFonts w:ascii="Times New Roman"/>
                <w:sz w:val="21"/>
              </w:rPr>
              <w:t>933.70</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305,389,9</w:t>
            </w:r>
          </w:p>
          <w:p>
            <w:pPr>
              <w:pStyle w:val="TableParagraph"/>
              <w:spacing w:line="240" w:lineRule="auto" w:before="1"/>
              <w:ind w:left="489" w:right="0"/>
              <w:jc w:val="left"/>
              <w:rPr>
                <w:rFonts w:ascii="Times New Roman" w:hAnsi="Times New Roman" w:cs="Times New Roman" w:eastAsia="Times New Roman" w:hint="default"/>
                <w:sz w:val="21"/>
                <w:szCs w:val="21"/>
              </w:rPr>
            </w:pPr>
            <w:r>
              <w:rPr>
                <w:rFonts w:ascii="Times New Roman"/>
                <w:sz w:val="21"/>
              </w:rPr>
              <w:t>20.00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0" w:right="0"/>
              <w:jc w:val="left"/>
              <w:rPr>
                <w:rFonts w:ascii="Times New Roman" w:hAnsi="Times New Roman" w:cs="Times New Roman" w:eastAsia="Times New Roman" w:hint="default"/>
                <w:sz w:val="21"/>
                <w:szCs w:val="21"/>
              </w:rPr>
            </w:pPr>
            <w:r>
              <w:rPr>
                <w:rFonts w:ascii="Times New Roman"/>
                <w:sz w:val="21"/>
              </w:rPr>
              <w:t>-287,093,</w:t>
            </w:r>
          </w:p>
          <w:p>
            <w:pPr>
              <w:pStyle w:val="TableParagraph"/>
              <w:spacing w:line="240" w:lineRule="auto" w:before="1"/>
              <w:ind w:left="345" w:right="0"/>
              <w:jc w:val="left"/>
              <w:rPr>
                <w:rFonts w:ascii="Times New Roman" w:hAnsi="Times New Roman" w:cs="Times New Roman" w:eastAsia="Times New Roman" w:hint="default"/>
                <w:sz w:val="21"/>
                <w:szCs w:val="21"/>
              </w:rPr>
            </w:pPr>
            <w:r>
              <w:rPr>
                <w:rFonts w:ascii="Times New Roman"/>
                <w:sz w:val="21"/>
              </w:rPr>
              <w:t>800.58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(21,767,2</w:t>
            </w:r>
          </w:p>
          <w:p>
            <w:pPr>
              <w:pStyle w:val="TableParagraph"/>
              <w:spacing w:line="240" w:lineRule="auto" w:before="1"/>
              <w:ind w:left="407" w:right="0"/>
              <w:jc w:val="left"/>
              <w:rPr>
                <w:rFonts w:ascii="Times New Roman" w:hAnsi="Times New Roman" w:cs="Times New Roman" w:eastAsia="Times New Roman" w:hint="default"/>
                <w:sz w:val="21"/>
                <w:szCs w:val="21"/>
              </w:rPr>
            </w:pPr>
            <w:r>
              <w:rPr>
                <w:rFonts w:ascii="Times New Roman"/>
                <w:sz w:val="21"/>
              </w:rPr>
              <w:t>91.68)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5" w:right="0"/>
              <w:jc w:val="left"/>
              <w:rPr>
                <w:rFonts w:ascii="Times New Roman" w:hAnsi="Times New Roman" w:cs="Times New Roman" w:eastAsia="Times New Roman" w:hint="default"/>
                <w:sz w:val="21"/>
                <w:szCs w:val="21"/>
              </w:rPr>
            </w:pPr>
            <w:r>
              <w:rPr>
                <w:rFonts w:ascii="Times New Roman"/>
                <w:sz w:val="21"/>
              </w:rPr>
              <w:t>7,254,90</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9.24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Times New Roman" w:hAnsi="Times New Roman" w:cs="Times New Roman" w:eastAsia="Times New Roman" w:hint="default"/>
                <w:sz w:val="21"/>
                <w:szCs w:val="21"/>
              </w:rPr>
            </w:pPr>
            <w:r>
              <w:rPr>
                <w:rFonts w:ascii="Times New Roman"/>
                <w:sz w:val="21"/>
              </w:rPr>
              <w:t>49,031,2</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71.15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0" w:right="0"/>
              <w:jc w:val="left"/>
              <w:rPr>
                <w:rFonts w:ascii="Times New Roman" w:hAnsi="Times New Roman" w:cs="Times New Roman" w:eastAsia="Times New Roman" w:hint="default"/>
                <w:sz w:val="21"/>
                <w:szCs w:val="21"/>
              </w:rPr>
            </w:pPr>
            <w:r>
              <w:rPr>
                <w:rFonts w:ascii="Times New Roman"/>
                <w:sz w:val="21"/>
              </w:rPr>
              <w:t>96,349,5</w:t>
            </w:r>
          </w:p>
          <w:p>
            <w:pPr>
              <w:pStyle w:val="TableParagraph"/>
              <w:spacing w:line="240" w:lineRule="auto" w:before="1"/>
              <w:ind w:left="442" w:right="0"/>
              <w:jc w:val="left"/>
              <w:rPr>
                <w:rFonts w:ascii="Times New Roman" w:hAnsi="Times New Roman" w:cs="Times New Roman" w:eastAsia="Times New Roman" w:hint="default"/>
                <w:sz w:val="21"/>
                <w:szCs w:val="21"/>
              </w:rPr>
            </w:pPr>
            <w:r>
              <w:rPr>
                <w:rFonts w:ascii="Times New Roman"/>
                <w:sz w:val="21"/>
              </w:rPr>
              <w:t>91.49</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Times New Roman" w:hAnsi="Times New Roman" w:cs="Times New Roman" w:eastAsia="Times New Roman" w:hint="default"/>
                <w:sz w:val="21"/>
                <w:szCs w:val="21"/>
              </w:rPr>
            </w:pPr>
            <w:r>
              <w:rPr>
                <w:rFonts w:ascii="Times New Roman"/>
                <w:sz w:val="21"/>
              </w:rPr>
              <w:t>72,549,0</w:t>
            </w:r>
          </w:p>
          <w:p>
            <w:pPr>
              <w:pStyle w:val="TableParagraph"/>
              <w:spacing w:line="241" w:lineRule="exact"/>
              <w:ind w:left="422" w:right="0"/>
              <w:jc w:val="left"/>
              <w:rPr>
                <w:rFonts w:ascii="Times New Roman" w:hAnsi="Times New Roman" w:cs="Times New Roman" w:eastAsia="Times New Roman" w:hint="default"/>
                <w:sz w:val="21"/>
                <w:szCs w:val="21"/>
              </w:rPr>
            </w:pPr>
            <w:r>
              <w:rPr>
                <w:rFonts w:ascii="Times New Roman"/>
                <w:sz w:val="21"/>
              </w:rPr>
              <w:t>92.39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0" w:right="0"/>
              <w:jc w:val="left"/>
              <w:rPr>
                <w:rFonts w:ascii="Times New Roman" w:hAnsi="Times New Roman" w:cs="Times New Roman" w:eastAsia="Times New Roman" w:hint="default"/>
                <w:sz w:val="21"/>
                <w:szCs w:val="21"/>
              </w:rPr>
            </w:pPr>
            <w:r>
              <w:rPr>
                <w:rFonts w:ascii="Times New Roman"/>
                <w:sz w:val="21"/>
              </w:rPr>
              <w:t>72,549,0</w:t>
            </w:r>
          </w:p>
          <w:p>
            <w:pPr>
              <w:pStyle w:val="TableParagraph"/>
              <w:spacing w:line="241" w:lineRule="exact"/>
              <w:ind w:left="442" w:right="0"/>
              <w:jc w:val="left"/>
              <w:rPr>
                <w:rFonts w:ascii="Times New Roman" w:hAnsi="Times New Roman" w:cs="Times New Roman" w:eastAsia="Times New Roman" w:hint="default"/>
                <w:sz w:val="21"/>
                <w:szCs w:val="21"/>
              </w:rPr>
            </w:pPr>
            <w:r>
              <w:rPr>
                <w:rFonts w:ascii="Times New Roman"/>
                <w:sz w:val="21"/>
              </w:rPr>
              <w:t>92.39</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266,280.0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9" w:right="0"/>
              <w:jc w:val="left"/>
              <w:rPr>
                <w:rFonts w:ascii="Times New Roman" w:hAnsi="Times New Roman" w:cs="Times New Roman" w:eastAsia="Times New Roman" w:hint="default"/>
                <w:sz w:val="21"/>
                <w:szCs w:val="21"/>
              </w:rPr>
            </w:pPr>
            <w:r>
              <w:rPr>
                <w:rFonts w:ascii="Times New Roman"/>
                <w:sz w:val="21"/>
              </w:rPr>
              <w:t>18,029,8</w:t>
            </w:r>
          </w:p>
          <w:p>
            <w:pPr>
              <w:pStyle w:val="TableParagraph"/>
              <w:spacing w:line="240" w:lineRule="auto" w:before="1"/>
              <w:ind w:left="451" w:right="0"/>
              <w:jc w:val="left"/>
              <w:rPr>
                <w:rFonts w:ascii="Times New Roman" w:hAnsi="Times New Roman" w:cs="Times New Roman" w:eastAsia="Times New Roman" w:hint="default"/>
                <w:sz w:val="21"/>
                <w:szCs w:val="21"/>
              </w:rPr>
            </w:pPr>
            <w:r>
              <w:rPr>
                <w:rFonts w:ascii="Times New Roman"/>
                <w:sz w:val="21"/>
              </w:rPr>
              <w:t>39.42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(21,767,2</w:t>
            </w:r>
          </w:p>
          <w:p>
            <w:pPr>
              <w:pStyle w:val="TableParagraph"/>
              <w:spacing w:line="240" w:lineRule="auto" w:before="1"/>
              <w:ind w:left="407" w:right="0"/>
              <w:jc w:val="left"/>
              <w:rPr>
                <w:rFonts w:ascii="Times New Roman" w:hAnsi="Times New Roman" w:cs="Times New Roman" w:eastAsia="Times New Roman" w:hint="default"/>
                <w:sz w:val="21"/>
                <w:szCs w:val="21"/>
              </w:rPr>
            </w:pPr>
            <w:r>
              <w:rPr>
                <w:rFonts w:ascii="Times New Roman"/>
                <w:sz w:val="21"/>
              </w:rPr>
              <w:t>91.68)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0" w:right="0"/>
              <w:jc w:val="left"/>
              <w:rPr>
                <w:rFonts w:ascii="Times New Roman" w:hAnsi="Times New Roman" w:cs="Times New Roman" w:eastAsia="Times New Roman" w:hint="default"/>
                <w:sz w:val="21"/>
                <w:szCs w:val="21"/>
              </w:rPr>
            </w:pPr>
            <w:r>
              <w:rPr>
                <w:rFonts w:ascii="Times New Roman"/>
                <w:sz w:val="21"/>
              </w:rPr>
              <w:t>40,063,4</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11.10</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7" w:lineRule="exact"/>
        <w:jc w:val="right"/>
        <w:rPr>
          <w:rFonts w:ascii="Times New Roman" w:hAnsi="Times New Roman" w:cs="Times New Roman" w:eastAsia="Times New Roman" w:hint="default"/>
          <w:sz w:val="21"/>
          <w:szCs w:val="21"/>
        </w:rPr>
        <w:sectPr>
          <w:type w:val="continuous"/>
          <w:pgSz w:w="16840" w:h="11910" w:orient="landscape"/>
          <w:pgMar w:top="1580" w:bottom="280" w:left="1340" w:right="1220"/>
        </w:sectPr>
      </w:pPr>
    </w:p>
    <w:p>
      <w:pPr>
        <w:spacing w:line="240" w:lineRule="auto" w:before="1"/>
        <w:rPr>
          <w:rFonts w:ascii="Times New Roman" w:hAnsi="Times New Roman" w:cs="Times New Roman" w:eastAsia="Times New Roman"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8"/>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．其他权益工具持有者投入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资本</w:t>
            </w:r>
          </w:p>
        </w:tc>
        <w:tc>
          <w:tcPr>
            <w:tcW w:w="1078" w:type="dxa"/>
            <w:tcBorders>
              <w:top w:val="nil" w:sz="6" w:space="0" w:color="auto"/>
              <w:left w:val="single" w:sz="6" w:space="0" w:color="000000"/>
              <w:bottom w:val="single" w:sz="4" w:space="0" w:color="000000"/>
              <w:right w:val="single" w:sz="4" w:space="0" w:color="000000"/>
            </w:tcBorders>
          </w:tcPr>
          <w:p>
            <w:pPr/>
          </w:p>
        </w:tc>
        <w:tc>
          <w:tcPr>
            <w:tcW w:w="104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037"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35"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8"/>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．股份支付计入所有者权益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9" w:lineRule="exact"/>
              <w:ind w:right="99"/>
              <w:jc w:val="right"/>
              <w:rPr>
                <w:rFonts w:ascii="Times New Roman" w:hAnsi="Times New Roman" w:cs="Times New Roman" w:eastAsia="Times New Roman" w:hint="default"/>
                <w:sz w:val="21"/>
                <w:szCs w:val="21"/>
              </w:rPr>
            </w:pPr>
            <w:r>
              <w:rPr>
                <w:rFonts w:ascii="Times New Roman"/>
                <w:spacing w:val="-1"/>
                <w:sz w:val="21"/>
              </w:rPr>
              <w:t>266,280.0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Times New Roman" w:hAnsi="Times New Roman" w:cs="Times New Roman" w:eastAsia="Times New Roman" w:hint="default"/>
                <w:sz w:val="21"/>
                <w:szCs w:val="21"/>
              </w:rPr>
            </w:pPr>
            <w:r>
              <w:rPr>
                <w:rFonts w:ascii="Times New Roman"/>
                <w:sz w:val="21"/>
              </w:rPr>
              <w:t>18,029,8</w:t>
            </w:r>
          </w:p>
          <w:p>
            <w:pPr>
              <w:pStyle w:val="TableParagraph"/>
              <w:spacing w:line="241" w:lineRule="exact"/>
              <w:ind w:left="451" w:right="0"/>
              <w:jc w:val="left"/>
              <w:rPr>
                <w:rFonts w:ascii="Times New Roman" w:hAnsi="Times New Roman" w:cs="Times New Roman" w:eastAsia="Times New Roman" w:hint="default"/>
                <w:sz w:val="21"/>
                <w:szCs w:val="21"/>
              </w:rPr>
            </w:pPr>
            <w:r>
              <w:rPr>
                <w:rFonts w:ascii="Times New Roman"/>
                <w:sz w:val="21"/>
              </w:rPr>
              <w:t>39.42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Times New Roman" w:hAnsi="Times New Roman" w:cs="Times New Roman" w:eastAsia="Times New Roman" w:hint="default"/>
                <w:sz w:val="21"/>
                <w:szCs w:val="21"/>
              </w:rPr>
            </w:pPr>
            <w:r>
              <w:rPr>
                <w:rFonts w:ascii="Times New Roman"/>
                <w:sz w:val="21"/>
              </w:rPr>
              <w:t>(21,767,2</w:t>
            </w:r>
          </w:p>
          <w:p>
            <w:pPr>
              <w:pStyle w:val="TableParagraph"/>
              <w:spacing w:line="241" w:lineRule="exact"/>
              <w:ind w:left="407" w:right="0"/>
              <w:jc w:val="left"/>
              <w:rPr>
                <w:rFonts w:ascii="Times New Roman" w:hAnsi="Times New Roman" w:cs="Times New Roman" w:eastAsia="Times New Roman" w:hint="default"/>
                <w:sz w:val="21"/>
                <w:szCs w:val="21"/>
              </w:rPr>
            </w:pPr>
            <w:r>
              <w:rPr>
                <w:rFonts w:ascii="Times New Roman"/>
                <w:sz w:val="21"/>
              </w:rPr>
              <w:t>91.68)</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Times New Roman" w:hAnsi="Times New Roman" w:cs="Times New Roman" w:eastAsia="Times New Roman" w:hint="default"/>
                <w:sz w:val="21"/>
                <w:szCs w:val="21"/>
              </w:rPr>
            </w:pPr>
            <w:r>
              <w:rPr>
                <w:rFonts w:ascii="Times New Roman"/>
                <w:sz w:val="21"/>
              </w:rPr>
              <w:t>40,063,4</w:t>
            </w:r>
          </w:p>
          <w:p>
            <w:pPr>
              <w:pStyle w:val="TableParagraph"/>
              <w:spacing w:line="241" w:lineRule="exact"/>
              <w:ind w:left="449" w:right="0"/>
              <w:jc w:val="left"/>
              <w:rPr>
                <w:rFonts w:ascii="Times New Roman" w:hAnsi="Times New Roman" w:cs="Times New Roman" w:eastAsia="Times New Roman" w:hint="default"/>
                <w:sz w:val="21"/>
                <w:szCs w:val="21"/>
              </w:rPr>
            </w:pPr>
            <w:r>
              <w:rPr>
                <w:rFonts w:ascii="Times New Roman"/>
                <w:sz w:val="21"/>
              </w:rPr>
              <w:t>11.10</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5" w:right="0"/>
              <w:jc w:val="left"/>
              <w:rPr>
                <w:rFonts w:ascii="Times New Roman" w:hAnsi="Times New Roman" w:cs="Times New Roman" w:eastAsia="Times New Roman" w:hint="default"/>
                <w:sz w:val="21"/>
                <w:szCs w:val="21"/>
              </w:rPr>
            </w:pPr>
            <w:r>
              <w:rPr>
                <w:rFonts w:ascii="Times New Roman"/>
                <w:sz w:val="21"/>
              </w:rPr>
              <w:t>7,254,90</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9.24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1" w:right="0"/>
              <w:jc w:val="center"/>
              <w:rPr>
                <w:rFonts w:ascii="Times New Roman" w:hAnsi="Times New Roman" w:cs="Times New Roman" w:eastAsia="Times New Roman" w:hint="default"/>
                <w:sz w:val="21"/>
                <w:szCs w:val="21"/>
              </w:rPr>
            </w:pPr>
            <w:r>
              <w:rPr>
                <w:rFonts w:ascii="Times New Roman"/>
                <w:sz w:val="21"/>
              </w:rPr>
              <w:t>-23,517,</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821.24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jc w:val="left"/>
              <w:rPr>
                <w:rFonts w:ascii="Times New Roman" w:hAnsi="Times New Roman" w:cs="Times New Roman" w:eastAsia="Times New Roman" w:hint="default"/>
                <w:sz w:val="21"/>
                <w:szCs w:val="21"/>
              </w:rPr>
            </w:pPr>
            <w:r>
              <w:rPr>
                <w:rFonts w:ascii="Times New Roman"/>
                <w:sz w:val="21"/>
              </w:rPr>
              <w:t>-16,262,9</w:t>
            </w:r>
          </w:p>
          <w:p>
            <w:pPr>
              <w:pStyle w:val="TableParagraph"/>
              <w:spacing w:line="240" w:lineRule="auto" w:before="1"/>
              <w:ind w:left="442" w:right="0"/>
              <w:jc w:val="left"/>
              <w:rPr>
                <w:rFonts w:ascii="Times New Roman" w:hAnsi="Times New Roman" w:cs="Times New Roman" w:eastAsia="Times New Roman" w:hint="default"/>
                <w:sz w:val="21"/>
                <w:szCs w:val="21"/>
              </w:rPr>
            </w:pPr>
            <w:r>
              <w:rPr>
                <w:rFonts w:ascii="Times New Roman"/>
                <w:sz w:val="21"/>
              </w:rPr>
              <w:t>12.00</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Times New Roman" w:hAnsi="Times New Roman" w:cs="Times New Roman" w:eastAsia="Times New Roman" w:hint="default"/>
                <w:sz w:val="21"/>
                <w:szCs w:val="21"/>
              </w:rPr>
            </w:pPr>
            <w:r>
              <w:rPr>
                <w:rFonts w:ascii="Times New Roman"/>
                <w:sz w:val="21"/>
              </w:rPr>
              <w:t>7,254,90</w:t>
            </w:r>
          </w:p>
          <w:p>
            <w:pPr>
              <w:pStyle w:val="TableParagraph"/>
              <w:spacing w:line="241" w:lineRule="exact"/>
              <w:ind w:left="542" w:right="0"/>
              <w:jc w:val="left"/>
              <w:rPr>
                <w:rFonts w:ascii="Times New Roman" w:hAnsi="Times New Roman" w:cs="Times New Roman" w:eastAsia="Times New Roman" w:hint="default"/>
                <w:sz w:val="21"/>
                <w:szCs w:val="21"/>
              </w:rPr>
            </w:pPr>
            <w:r>
              <w:rPr>
                <w:rFonts w:ascii="Times New Roman"/>
                <w:sz w:val="21"/>
              </w:rPr>
              <w:t>9.24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Times New Roman" w:hAnsi="Times New Roman" w:cs="Times New Roman" w:eastAsia="Times New Roman" w:hint="default"/>
                <w:sz w:val="21"/>
                <w:szCs w:val="21"/>
              </w:rPr>
            </w:pPr>
            <w:r>
              <w:rPr>
                <w:rFonts w:ascii="Times New Roman"/>
                <w:sz w:val="21"/>
              </w:rPr>
              <w:t>-7,254,9</w:t>
            </w:r>
          </w:p>
          <w:p>
            <w:pPr>
              <w:pStyle w:val="TableParagraph"/>
              <w:spacing w:line="241" w:lineRule="exact"/>
              <w:ind w:left="422" w:right="0"/>
              <w:jc w:val="left"/>
              <w:rPr>
                <w:rFonts w:ascii="Times New Roman" w:hAnsi="Times New Roman" w:cs="Times New Roman" w:eastAsia="Times New Roman" w:hint="default"/>
                <w:sz w:val="21"/>
                <w:szCs w:val="21"/>
              </w:rPr>
            </w:pPr>
            <w:r>
              <w:rPr>
                <w:rFonts w:ascii="Times New Roman"/>
                <w:sz w:val="21"/>
              </w:rPr>
              <w:t>09.24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6"/>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．对所有者（或股东）的分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配</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1" w:right="0"/>
              <w:jc w:val="center"/>
              <w:rPr>
                <w:rFonts w:ascii="Times New Roman" w:hAnsi="Times New Roman" w:cs="Times New Roman" w:eastAsia="Times New Roman" w:hint="default"/>
                <w:sz w:val="21"/>
                <w:szCs w:val="21"/>
              </w:rPr>
            </w:pPr>
            <w:r>
              <w:rPr>
                <w:rFonts w:ascii="Times New Roman"/>
                <w:sz w:val="21"/>
              </w:rPr>
              <w:t>-16,262,</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912.00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jc w:val="left"/>
              <w:rPr>
                <w:rFonts w:ascii="Times New Roman" w:hAnsi="Times New Roman" w:cs="Times New Roman" w:eastAsia="Times New Roman" w:hint="default"/>
                <w:sz w:val="21"/>
                <w:szCs w:val="21"/>
              </w:rPr>
            </w:pPr>
            <w:r>
              <w:rPr>
                <w:rFonts w:ascii="Times New Roman"/>
                <w:sz w:val="21"/>
              </w:rPr>
              <w:t>-16,262,9</w:t>
            </w:r>
          </w:p>
          <w:p>
            <w:pPr>
              <w:pStyle w:val="TableParagraph"/>
              <w:spacing w:line="240" w:lineRule="auto" w:before="1"/>
              <w:ind w:left="442" w:right="0"/>
              <w:jc w:val="left"/>
              <w:rPr>
                <w:rFonts w:ascii="Times New Roman" w:hAnsi="Times New Roman" w:cs="Times New Roman" w:eastAsia="Times New Roman" w:hint="default"/>
                <w:sz w:val="21"/>
                <w:szCs w:val="21"/>
              </w:rPr>
            </w:pPr>
            <w:r>
              <w:rPr>
                <w:rFonts w:ascii="Times New Roman"/>
                <w:sz w:val="21"/>
              </w:rPr>
              <w:t>12.00</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305,123,6</w:t>
            </w:r>
          </w:p>
          <w:p>
            <w:pPr>
              <w:pStyle w:val="TableParagraph"/>
              <w:spacing w:line="240" w:lineRule="auto" w:before="1"/>
              <w:ind w:left="489" w:right="0"/>
              <w:jc w:val="left"/>
              <w:rPr>
                <w:rFonts w:ascii="Times New Roman" w:hAnsi="Times New Roman" w:cs="Times New Roman" w:eastAsia="Times New Roman" w:hint="default"/>
                <w:sz w:val="21"/>
                <w:szCs w:val="21"/>
              </w:rPr>
            </w:pPr>
            <w:r>
              <w:rPr>
                <w:rFonts w:ascii="Times New Roman"/>
                <w:sz w:val="21"/>
              </w:rPr>
              <w:t>40.00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0" w:right="0"/>
              <w:jc w:val="left"/>
              <w:rPr>
                <w:rFonts w:ascii="Times New Roman" w:hAnsi="Times New Roman" w:cs="Times New Roman" w:eastAsia="Times New Roman" w:hint="default"/>
                <w:sz w:val="21"/>
                <w:szCs w:val="21"/>
              </w:rPr>
            </w:pPr>
            <w:r>
              <w:rPr>
                <w:rFonts w:ascii="Times New Roman"/>
                <w:sz w:val="21"/>
              </w:rPr>
              <w:t>-305,123,</w:t>
            </w:r>
          </w:p>
          <w:p>
            <w:pPr>
              <w:pStyle w:val="TableParagraph"/>
              <w:spacing w:line="240" w:lineRule="auto" w:before="1"/>
              <w:ind w:left="345" w:right="0"/>
              <w:jc w:val="left"/>
              <w:rPr>
                <w:rFonts w:ascii="Times New Roman" w:hAnsi="Times New Roman" w:cs="Times New Roman" w:eastAsia="Times New Roman" w:hint="default"/>
                <w:sz w:val="21"/>
                <w:szCs w:val="21"/>
              </w:rPr>
            </w:pPr>
            <w:r>
              <w:rPr>
                <w:rFonts w:ascii="Times New Roman"/>
                <w:sz w:val="21"/>
              </w:rPr>
              <w:t>640.00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102"/>
              <w:jc w:val="left"/>
              <w:rPr>
                <w:rFonts w:ascii="宋体" w:hAnsi="宋体" w:cs="宋体" w:eastAsia="宋体" w:hint="default"/>
                <w:sz w:val="18"/>
                <w:szCs w:val="18"/>
              </w:rPr>
            </w:pPr>
            <w:r>
              <w:rPr>
                <w:rFonts w:ascii="Calibri" w:hAnsi="Calibri" w:cs="Calibri" w:eastAsia="Calibri" w:hint="default"/>
                <w:spacing w:val="-2"/>
                <w:sz w:val="18"/>
                <w:szCs w:val="18"/>
              </w:rPr>
              <w:t>1</w:t>
            </w:r>
            <w:r>
              <w:rPr>
                <w:rFonts w:ascii="宋体" w:hAnsi="宋体" w:cs="宋体" w:eastAsia="宋体" w:hint="default"/>
                <w:spacing w:val="-2"/>
                <w:sz w:val="18"/>
                <w:szCs w:val="18"/>
              </w:rPr>
              <w:t>．资本公积转增资本（或股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305,123,6</w:t>
            </w:r>
          </w:p>
          <w:p>
            <w:pPr>
              <w:pStyle w:val="TableParagraph"/>
              <w:spacing w:line="241" w:lineRule="exact"/>
              <w:ind w:left="489" w:right="0"/>
              <w:jc w:val="left"/>
              <w:rPr>
                <w:rFonts w:ascii="Times New Roman" w:hAnsi="Times New Roman" w:cs="Times New Roman" w:eastAsia="Times New Roman" w:hint="default"/>
                <w:sz w:val="21"/>
                <w:szCs w:val="21"/>
              </w:rPr>
            </w:pPr>
            <w:r>
              <w:rPr>
                <w:rFonts w:ascii="Times New Roman"/>
                <w:sz w:val="21"/>
              </w:rPr>
              <w:t>40.00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0" w:right="0"/>
              <w:jc w:val="left"/>
              <w:rPr>
                <w:rFonts w:ascii="Times New Roman" w:hAnsi="Times New Roman" w:cs="Times New Roman" w:eastAsia="Times New Roman" w:hint="default"/>
                <w:sz w:val="21"/>
                <w:szCs w:val="21"/>
              </w:rPr>
            </w:pPr>
            <w:r>
              <w:rPr>
                <w:rFonts w:ascii="Times New Roman"/>
                <w:sz w:val="21"/>
              </w:rPr>
              <w:t>-305,123,</w:t>
            </w:r>
          </w:p>
          <w:p>
            <w:pPr>
              <w:pStyle w:val="TableParagraph"/>
              <w:spacing w:line="241" w:lineRule="exact"/>
              <w:ind w:left="345" w:right="0"/>
              <w:jc w:val="left"/>
              <w:rPr>
                <w:rFonts w:ascii="Times New Roman" w:hAnsi="Times New Roman" w:cs="Times New Roman" w:eastAsia="Times New Roman" w:hint="default"/>
                <w:sz w:val="21"/>
                <w:szCs w:val="21"/>
              </w:rPr>
            </w:pPr>
            <w:r>
              <w:rPr>
                <w:rFonts w:ascii="Times New Roman"/>
                <w:sz w:val="21"/>
              </w:rPr>
              <w:t>640.00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w:t>
            </w:r>
          </w:p>
          <w:p>
            <w:pPr>
              <w:pStyle w:val="TableParagraph"/>
              <w:spacing w:line="22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6"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407,097,8</w:t>
            </w:r>
          </w:p>
          <w:p>
            <w:pPr>
              <w:pStyle w:val="TableParagraph"/>
              <w:spacing w:line="240" w:lineRule="auto" w:before="1"/>
              <w:ind w:left="489"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z w:val="21"/>
              </w:rPr>
              <w:t>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8" w:right="0"/>
              <w:jc w:val="center"/>
              <w:rPr>
                <w:rFonts w:ascii="Times New Roman" w:hAnsi="Times New Roman" w:cs="Times New Roman" w:eastAsia="Times New Roman" w:hint="default"/>
                <w:sz w:val="21"/>
                <w:szCs w:val="21"/>
              </w:rPr>
            </w:pPr>
            <w:r>
              <w:rPr>
                <w:rFonts w:ascii="Times New Roman"/>
                <w:sz w:val="21"/>
              </w:rPr>
              <w:t>181,791,</w:t>
            </w:r>
          </w:p>
          <w:p>
            <w:pPr>
              <w:pStyle w:val="TableParagraph"/>
              <w:spacing w:line="240" w:lineRule="auto" w:before="1"/>
              <w:ind w:left="244" w:right="0"/>
              <w:jc w:val="center"/>
              <w:rPr>
                <w:rFonts w:ascii="Times New Roman" w:hAnsi="Times New Roman" w:cs="Times New Roman" w:eastAsia="Times New Roman" w:hint="default"/>
                <w:sz w:val="21"/>
                <w:szCs w:val="21"/>
              </w:rPr>
            </w:pPr>
            <w:r>
              <w:rPr>
                <w:rFonts w:ascii="Times New Roman"/>
                <w:sz w:val="21"/>
              </w:rPr>
              <w:t>120.77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jc w:val="left"/>
              <w:rPr>
                <w:rFonts w:ascii="Times New Roman" w:hAnsi="Times New Roman" w:cs="Times New Roman" w:eastAsia="Times New Roman" w:hint="default"/>
                <w:sz w:val="21"/>
                <w:szCs w:val="21"/>
              </w:rPr>
            </w:pPr>
            <w:r>
              <w:rPr>
                <w:rFonts w:ascii="Times New Roman"/>
                <w:sz w:val="21"/>
              </w:rPr>
              <w:t>39,887,17</w:t>
            </w:r>
          </w:p>
          <w:p>
            <w:pPr>
              <w:pStyle w:val="TableParagraph"/>
              <w:spacing w:line="240" w:lineRule="auto" w:before="1"/>
              <w:ind w:left="583" w:right="0"/>
              <w:jc w:val="left"/>
              <w:rPr>
                <w:rFonts w:ascii="Times New Roman" w:hAnsi="Times New Roman" w:cs="Times New Roman" w:eastAsia="Times New Roman" w:hint="default"/>
                <w:sz w:val="21"/>
                <w:szCs w:val="21"/>
              </w:rPr>
            </w:pPr>
            <w:r>
              <w:rPr>
                <w:rFonts w:ascii="Times New Roman"/>
                <w:sz w:val="21"/>
              </w:rPr>
              <w:t>6.32</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5" w:right="0"/>
              <w:jc w:val="left"/>
              <w:rPr>
                <w:rFonts w:ascii="Times New Roman" w:hAnsi="Times New Roman" w:cs="Times New Roman" w:eastAsia="Times New Roman" w:hint="default"/>
                <w:sz w:val="21"/>
                <w:szCs w:val="21"/>
              </w:rPr>
            </w:pPr>
            <w:r>
              <w:rPr>
                <w:rFonts w:ascii="Times New Roman"/>
                <w:sz w:val="21"/>
              </w:rPr>
              <w:t>53,401,8</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69.29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 w:right="0"/>
              <w:jc w:val="center"/>
              <w:rPr>
                <w:rFonts w:ascii="Times New Roman" w:hAnsi="Times New Roman" w:cs="Times New Roman" w:eastAsia="Times New Roman" w:hint="default"/>
                <w:sz w:val="21"/>
                <w:szCs w:val="21"/>
              </w:rPr>
            </w:pPr>
            <w:r>
              <w:rPr>
                <w:rFonts w:ascii="Times New Roman"/>
                <w:sz w:val="21"/>
              </w:rPr>
              <w:t>427,353,</w:t>
            </w:r>
          </w:p>
          <w:p>
            <w:pPr>
              <w:pStyle w:val="TableParagraph"/>
              <w:spacing w:line="240" w:lineRule="auto" w:before="1"/>
              <w:ind w:left="225" w:right="0"/>
              <w:jc w:val="center"/>
              <w:rPr>
                <w:rFonts w:ascii="Times New Roman" w:hAnsi="Times New Roman" w:cs="Times New Roman" w:eastAsia="Times New Roman" w:hint="default"/>
                <w:sz w:val="21"/>
                <w:szCs w:val="21"/>
              </w:rPr>
            </w:pPr>
            <w:r>
              <w:rPr>
                <w:rFonts w:ascii="Times New Roman"/>
                <w:sz w:val="21"/>
              </w:rPr>
              <w:t>911.45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0" w:right="0"/>
              <w:jc w:val="left"/>
              <w:rPr>
                <w:rFonts w:ascii="Times New Roman" w:hAnsi="Times New Roman" w:cs="Times New Roman" w:eastAsia="Times New Roman" w:hint="default"/>
                <w:sz w:val="21"/>
                <w:szCs w:val="21"/>
              </w:rPr>
            </w:pPr>
            <w:r>
              <w:rPr>
                <w:rFonts w:ascii="Times New Roman"/>
                <w:sz w:val="21"/>
              </w:rPr>
              <w:t>1,029,75</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7,525.19</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7"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4" w:lineRule="exact" w:before="72"/>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4" w:lineRule="exact" w:before="72"/>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4" w:lineRule="exact" w:before="72"/>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100,000,0</w:t>
            </w:r>
          </w:p>
          <w:p>
            <w:pPr>
              <w:pStyle w:val="TableParagraph"/>
              <w:spacing w:line="240" w:lineRule="auto" w:before="1"/>
              <w:ind w:left="489"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406,823,</w:t>
            </w:r>
          </w:p>
          <w:p>
            <w:pPr>
              <w:pStyle w:val="TableParagraph"/>
              <w:spacing w:line="240" w:lineRule="auto" w:before="1"/>
              <w:ind w:left="247" w:right="0"/>
              <w:jc w:val="center"/>
              <w:rPr>
                <w:rFonts w:ascii="Times New Roman" w:hAnsi="Times New Roman" w:cs="Times New Roman" w:eastAsia="Times New Roman" w:hint="default"/>
                <w:sz w:val="21"/>
                <w:szCs w:val="21"/>
              </w:rPr>
            </w:pPr>
            <w:r>
              <w:rPr>
                <w:rFonts w:ascii="Times New Roman"/>
                <w:sz w:val="21"/>
              </w:rPr>
              <w:t>402.40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38,866,4</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10.36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331,797,</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693.14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877,487,</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505.90</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pgSz w:w="16840" w:h="11910" w:orient="landscape"/>
          <w:pgMar w:header="857" w:footer="980" w:top="1140" w:bottom="1160" w:left="1360" w:right="1280"/>
        </w:sectPr>
      </w:pPr>
    </w:p>
    <w:p>
      <w:pPr>
        <w:spacing w:line="240" w:lineRule="auto" w:before="1"/>
        <w:rPr>
          <w:rFonts w:ascii="Times New Roman" w:hAnsi="Times New Roman" w:cs="Times New Roman" w:eastAsia="Times New Roman"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100,000,0</w:t>
            </w:r>
          </w:p>
          <w:p>
            <w:pPr>
              <w:pStyle w:val="TableParagraph"/>
              <w:spacing w:line="241" w:lineRule="exact"/>
              <w:ind w:left="489" w:right="0"/>
              <w:jc w:val="left"/>
              <w:rPr>
                <w:rFonts w:ascii="Times New Roman" w:hAnsi="Times New Roman" w:cs="Times New Roman" w:eastAsia="Times New Roman" w:hint="default"/>
                <w:sz w:val="21"/>
                <w:szCs w:val="21"/>
              </w:rPr>
            </w:pPr>
            <w:r>
              <w:rPr>
                <w:rFonts w:ascii="Times New Roman"/>
                <w:sz w:val="21"/>
              </w:rPr>
              <w:t>00.00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left="91" w:right="0"/>
              <w:jc w:val="center"/>
              <w:rPr>
                <w:rFonts w:ascii="Times New Roman" w:hAnsi="Times New Roman" w:cs="Times New Roman" w:eastAsia="Times New Roman" w:hint="default"/>
                <w:sz w:val="21"/>
                <w:szCs w:val="21"/>
              </w:rPr>
            </w:pPr>
            <w:r>
              <w:rPr>
                <w:rFonts w:ascii="Times New Roman"/>
                <w:sz w:val="21"/>
              </w:rPr>
              <w:t>406,823,</w:t>
            </w:r>
          </w:p>
          <w:p>
            <w:pPr>
              <w:pStyle w:val="TableParagraph"/>
              <w:spacing w:line="241" w:lineRule="exact"/>
              <w:ind w:left="247" w:right="0"/>
              <w:jc w:val="center"/>
              <w:rPr>
                <w:rFonts w:ascii="Times New Roman" w:hAnsi="Times New Roman" w:cs="Times New Roman" w:eastAsia="Times New Roman" w:hint="default"/>
                <w:sz w:val="21"/>
                <w:szCs w:val="21"/>
              </w:rPr>
            </w:pPr>
            <w:r>
              <w:rPr>
                <w:rFonts w:ascii="Times New Roman"/>
                <w:sz w:val="21"/>
              </w:rPr>
              <w:t>402.40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2" w:right="0"/>
              <w:jc w:val="left"/>
              <w:rPr>
                <w:rFonts w:ascii="Times New Roman" w:hAnsi="Times New Roman" w:cs="Times New Roman" w:eastAsia="Times New Roman" w:hint="default"/>
                <w:sz w:val="21"/>
                <w:szCs w:val="21"/>
              </w:rPr>
            </w:pPr>
            <w:r>
              <w:rPr>
                <w:rFonts w:ascii="Times New Roman"/>
                <w:sz w:val="21"/>
              </w:rPr>
              <w:t>38,866,4</w:t>
            </w:r>
          </w:p>
          <w:p>
            <w:pPr>
              <w:pStyle w:val="TableParagraph"/>
              <w:spacing w:line="241" w:lineRule="exact"/>
              <w:ind w:left="434" w:right="0"/>
              <w:jc w:val="left"/>
              <w:rPr>
                <w:rFonts w:ascii="Times New Roman" w:hAnsi="Times New Roman" w:cs="Times New Roman" w:eastAsia="Times New Roman" w:hint="default"/>
                <w:sz w:val="21"/>
                <w:szCs w:val="21"/>
              </w:rPr>
            </w:pPr>
            <w:r>
              <w:rPr>
                <w:rFonts w:ascii="Times New Roman"/>
                <w:sz w:val="21"/>
              </w:rPr>
              <w:t>10.36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60" w:right="0"/>
              <w:jc w:val="center"/>
              <w:rPr>
                <w:rFonts w:ascii="Times New Roman" w:hAnsi="Times New Roman" w:cs="Times New Roman" w:eastAsia="Times New Roman" w:hint="default"/>
                <w:sz w:val="21"/>
                <w:szCs w:val="21"/>
              </w:rPr>
            </w:pPr>
            <w:r>
              <w:rPr>
                <w:rFonts w:ascii="Times New Roman"/>
                <w:sz w:val="21"/>
              </w:rPr>
              <w:t>331,797,</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693.14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877,487,</w:t>
            </w:r>
          </w:p>
          <w:p>
            <w:pPr>
              <w:pStyle w:val="TableParagraph"/>
              <w:spacing w:line="241" w:lineRule="exact"/>
              <w:ind w:left="238" w:right="0"/>
              <w:jc w:val="center"/>
              <w:rPr>
                <w:rFonts w:ascii="Times New Roman" w:hAnsi="Times New Roman" w:cs="Times New Roman" w:eastAsia="Times New Roman" w:hint="default"/>
                <w:sz w:val="21"/>
                <w:szCs w:val="21"/>
              </w:rPr>
            </w:pPr>
            <w:r>
              <w:rPr>
                <w:rFonts w:ascii="Times New Roman"/>
                <w:sz w:val="21"/>
              </w:rPr>
              <w:t>505.90</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57"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1,707,880</w:t>
            </w:r>
          </w:p>
          <w:p>
            <w:pPr>
              <w:pStyle w:val="TableParagraph"/>
              <w:spacing w:line="240" w:lineRule="auto" w:before="1"/>
              <w:ind w:left="700" w:right="0"/>
              <w:jc w:val="left"/>
              <w:rPr>
                <w:rFonts w:ascii="Times New Roman" w:hAnsi="Times New Roman" w:cs="Times New Roman" w:eastAsia="Times New Roman" w:hint="default"/>
                <w:sz w:val="21"/>
                <w:szCs w:val="21"/>
              </w:rPr>
            </w:pPr>
            <w:r>
              <w:rPr>
                <w:rFonts w:ascii="Times New Roman"/>
                <w:sz w:val="21"/>
              </w:rPr>
              <w:t>.00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62,061,5</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18.95</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61,654,46</w:t>
            </w:r>
          </w:p>
          <w:p>
            <w:pPr>
              <w:pStyle w:val="TableParagraph"/>
              <w:spacing w:line="240" w:lineRule="auto" w:before="1"/>
              <w:ind w:left="580" w:right="0"/>
              <w:jc w:val="left"/>
              <w:rPr>
                <w:rFonts w:ascii="Times New Roman" w:hAnsi="Times New Roman" w:cs="Times New Roman" w:eastAsia="Times New Roman" w:hint="default"/>
                <w:sz w:val="21"/>
                <w:szCs w:val="21"/>
              </w:rPr>
            </w:pPr>
            <w:r>
              <w:rPr>
                <w:rFonts w:ascii="Times New Roman"/>
                <w:sz w:val="21"/>
              </w:rPr>
              <w:t>8.00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5"/>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7,280,54</w:t>
            </w:r>
          </w:p>
          <w:p>
            <w:pPr>
              <w:pStyle w:val="TableParagraph"/>
              <w:spacing w:line="240" w:lineRule="auto" w:before="1"/>
              <w:ind w:left="539" w:right="0"/>
              <w:jc w:val="left"/>
              <w:rPr>
                <w:rFonts w:ascii="Times New Roman" w:hAnsi="Times New Roman" w:cs="Times New Roman" w:eastAsia="Times New Roman" w:hint="default"/>
                <w:sz w:val="21"/>
                <w:szCs w:val="21"/>
              </w:rPr>
            </w:pPr>
            <w:r>
              <w:rPr>
                <w:rFonts w:ascii="Times New Roman"/>
                <w:sz w:val="21"/>
              </w:rPr>
              <w:t>9.69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46,524,9</w:t>
            </w:r>
          </w:p>
          <w:p>
            <w:pPr>
              <w:pStyle w:val="TableParagraph"/>
              <w:spacing w:line="240" w:lineRule="auto" w:before="1"/>
              <w:ind w:left="419" w:right="0"/>
              <w:jc w:val="left"/>
              <w:rPr>
                <w:rFonts w:ascii="Times New Roman" w:hAnsi="Times New Roman" w:cs="Times New Roman" w:eastAsia="Times New Roman" w:hint="default"/>
                <w:sz w:val="21"/>
                <w:szCs w:val="21"/>
              </w:rPr>
            </w:pPr>
            <w:r>
              <w:rPr>
                <w:rFonts w:ascii="Times New Roman"/>
                <w:sz w:val="21"/>
              </w:rPr>
              <w:t>47.16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55,920,4</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27.80</w:t>
            </w: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58" w:right="0"/>
              <w:jc w:val="left"/>
              <w:rPr>
                <w:rFonts w:ascii="Times New Roman" w:hAnsi="Times New Roman" w:cs="Times New Roman" w:eastAsia="Times New Roman" w:hint="default"/>
                <w:sz w:val="21"/>
                <w:szCs w:val="21"/>
              </w:rPr>
            </w:pPr>
            <w:r>
              <w:rPr>
                <w:rFonts w:ascii="Times New Roman"/>
                <w:sz w:val="21"/>
              </w:rPr>
              <w:t>72,805,4</w:t>
            </w:r>
          </w:p>
          <w:p>
            <w:pPr>
              <w:pStyle w:val="TableParagraph"/>
              <w:spacing w:line="241" w:lineRule="exact"/>
              <w:ind w:left="419" w:right="0"/>
              <w:jc w:val="left"/>
              <w:rPr>
                <w:rFonts w:ascii="Times New Roman" w:hAnsi="Times New Roman" w:cs="Times New Roman" w:eastAsia="Times New Roman" w:hint="default"/>
                <w:sz w:val="21"/>
                <w:szCs w:val="21"/>
              </w:rPr>
            </w:pPr>
            <w:r>
              <w:rPr>
                <w:rFonts w:ascii="Times New Roman"/>
                <w:sz w:val="21"/>
              </w:rPr>
              <w:t>96.85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72,805,4</w:t>
            </w:r>
          </w:p>
          <w:p>
            <w:pPr>
              <w:pStyle w:val="TableParagraph"/>
              <w:spacing w:line="241" w:lineRule="exact"/>
              <w:ind w:left="439" w:right="0"/>
              <w:jc w:val="left"/>
              <w:rPr>
                <w:rFonts w:ascii="Times New Roman" w:hAnsi="Times New Roman" w:cs="Times New Roman" w:eastAsia="Times New Roman" w:hint="default"/>
                <w:sz w:val="21"/>
                <w:szCs w:val="21"/>
              </w:rPr>
            </w:pPr>
            <w:r>
              <w:rPr>
                <w:rFonts w:ascii="Times New Roman"/>
                <w:sz w:val="21"/>
              </w:rPr>
              <w:t>96.85</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1,707,880</w:t>
            </w:r>
          </w:p>
          <w:p>
            <w:pPr>
              <w:pStyle w:val="TableParagraph"/>
              <w:spacing w:line="240" w:lineRule="auto" w:before="1"/>
              <w:ind w:left="700" w:right="0"/>
              <w:jc w:val="left"/>
              <w:rPr>
                <w:rFonts w:ascii="Times New Roman" w:hAnsi="Times New Roman" w:cs="Times New Roman" w:eastAsia="Times New Roman" w:hint="default"/>
                <w:sz w:val="21"/>
                <w:szCs w:val="21"/>
              </w:rPr>
            </w:pPr>
            <w:r>
              <w:rPr>
                <w:rFonts w:ascii="Times New Roman"/>
                <w:sz w:val="21"/>
              </w:rPr>
              <w:t>.00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62,061,5</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18.95</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61,654,46</w:t>
            </w:r>
          </w:p>
          <w:p>
            <w:pPr>
              <w:pStyle w:val="TableParagraph"/>
              <w:spacing w:line="240" w:lineRule="auto" w:before="1"/>
              <w:ind w:left="580" w:right="0"/>
              <w:jc w:val="left"/>
              <w:rPr>
                <w:rFonts w:ascii="Times New Roman" w:hAnsi="Times New Roman" w:cs="Times New Roman" w:eastAsia="Times New Roman" w:hint="default"/>
                <w:sz w:val="21"/>
                <w:szCs w:val="21"/>
              </w:rPr>
            </w:pPr>
            <w:r>
              <w:rPr>
                <w:rFonts w:ascii="Times New Roman"/>
                <w:sz w:val="21"/>
              </w:rPr>
              <w:t>8.00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5"/>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2,114,93</w:t>
            </w:r>
          </w:p>
          <w:p>
            <w:pPr>
              <w:pStyle w:val="TableParagraph"/>
              <w:spacing w:line="240" w:lineRule="auto" w:before="1"/>
              <w:ind w:left="545" w:right="0"/>
              <w:jc w:val="left"/>
              <w:rPr>
                <w:rFonts w:ascii="Times New Roman" w:hAnsi="Times New Roman" w:cs="Times New Roman" w:eastAsia="Times New Roman" w:hint="default"/>
                <w:sz w:val="21"/>
                <w:szCs w:val="21"/>
              </w:rPr>
            </w:pPr>
            <w:r>
              <w:rPr>
                <w:rFonts w:ascii="Times New Roman"/>
                <w:sz w:val="21"/>
              </w:rPr>
              <w:t>0.95</w:t>
            </w:r>
          </w:p>
        </w:tc>
      </w:tr>
      <w:tr>
        <w:trPr>
          <w:trHeight w:val="50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59,946,5</w:t>
            </w:r>
          </w:p>
          <w:p>
            <w:pPr>
              <w:pStyle w:val="TableParagraph"/>
              <w:spacing w:line="241" w:lineRule="exact"/>
              <w:ind w:left="448" w:right="0"/>
              <w:jc w:val="left"/>
              <w:rPr>
                <w:rFonts w:ascii="Times New Roman" w:hAnsi="Times New Roman" w:cs="Times New Roman" w:eastAsia="Times New Roman" w:hint="default"/>
                <w:sz w:val="21"/>
                <w:szCs w:val="21"/>
              </w:rPr>
            </w:pPr>
            <w:r>
              <w:rPr>
                <w:rFonts w:ascii="Times New Roman"/>
                <w:sz w:val="21"/>
              </w:rPr>
              <w:t>88.00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59,946,5</w:t>
            </w:r>
          </w:p>
          <w:p>
            <w:pPr>
              <w:pStyle w:val="TableParagraph"/>
              <w:spacing w:line="241" w:lineRule="exact"/>
              <w:ind w:left="439" w:right="0"/>
              <w:jc w:val="left"/>
              <w:rPr>
                <w:rFonts w:ascii="Times New Roman" w:hAnsi="Times New Roman" w:cs="Times New Roman" w:eastAsia="Times New Roman" w:hint="default"/>
                <w:sz w:val="21"/>
                <w:szCs w:val="21"/>
              </w:rPr>
            </w:pPr>
            <w:r>
              <w:rPr>
                <w:rFonts w:ascii="Times New Roman"/>
                <w:sz w:val="21"/>
              </w:rPr>
              <w:t>88.00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1" w:right="101"/>
              <w:jc w:val="left"/>
              <w:rPr>
                <w:rFonts w:ascii="宋体" w:hAnsi="宋体" w:cs="宋体" w:eastAsia="宋体" w:hint="default"/>
                <w:sz w:val="18"/>
                <w:szCs w:val="18"/>
              </w:rPr>
            </w:pPr>
            <w:r>
              <w:rPr>
                <w:rFonts w:ascii="Calibri" w:hAnsi="Calibri" w:cs="Calibri" w:eastAsia="Calibri" w:hint="default"/>
                <w:spacing w:val="-6"/>
                <w:sz w:val="18"/>
                <w:szCs w:val="18"/>
              </w:rPr>
              <w:t>2</w:t>
            </w:r>
            <w:r>
              <w:rPr>
                <w:rFonts w:ascii="宋体" w:hAnsi="宋体" w:cs="宋体" w:eastAsia="宋体" w:hint="default"/>
                <w:spacing w:val="-6"/>
                <w:sz w:val="18"/>
                <w:szCs w:val="18"/>
              </w:rPr>
              <w:t>．其他权益工具持有者投入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1" w:right="101"/>
              <w:jc w:val="left"/>
              <w:rPr>
                <w:rFonts w:ascii="宋体" w:hAnsi="宋体" w:cs="宋体" w:eastAsia="宋体" w:hint="default"/>
                <w:sz w:val="18"/>
                <w:szCs w:val="18"/>
              </w:rPr>
            </w:pPr>
            <w:r>
              <w:rPr>
                <w:rFonts w:ascii="Calibri" w:hAnsi="Calibri" w:cs="Calibri" w:eastAsia="Calibri" w:hint="default"/>
                <w:spacing w:val="-6"/>
                <w:sz w:val="18"/>
                <w:szCs w:val="18"/>
              </w:rPr>
              <w:t>3</w:t>
            </w:r>
            <w:r>
              <w:rPr>
                <w:rFonts w:ascii="宋体" w:hAnsi="宋体" w:cs="宋体" w:eastAsia="宋体" w:hint="default"/>
                <w:spacing w:val="-6"/>
                <w:sz w:val="18"/>
                <w:szCs w:val="18"/>
              </w:rPr>
              <w:t>．股份支付计入所有者权益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4" w:lineRule="exact"/>
              <w:ind w:left="122" w:right="0"/>
              <w:jc w:val="left"/>
              <w:rPr>
                <w:rFonts w:ascii="Times New Roman" w:hAnsi="Times New Roman" w:cs="Times New Roman" w:eastAsia="Times New Roman" w:hint="default"/>
                <w:sz w:val="21"/>
                <w:szCs w:val="21"/>
              </w:rPr>
            </w:pPr>
            <w:r>
              <w:rPr>
                <w:rFonts w:ascii="Times New Roman"/>
                <w:sz w:val="21"/>
              </w:rPr>
              <w:t>1,707,880</w:t>
            </w:r>
          </w:p>
          <w:p>
            <w:pPr>
              <w:pStyle w:val="TableParagraph"/>
              <w:spacing w:line="241" w:lineRule="exact"/>
              <w:ind w:left="700" w:right="0"/>
              <w:jc w:val="left"/>
              <w:rPr>
                <w:rFonts w:ascii="Times New Roman" w:hAnsi="Times New Roman" w:cs="Times New Roman" w:eastAsia="Times New Roman" w:hint="default"/>
                <w:sz w:val="21"/>
                <w:szCs w:val="21"/>
              </w:rPr>
            </w:pPr>
            <w:r>
              <w:rPr>
                <w:rFonts w:ascii="Times New Roman"/>
                <w:sz w:val="21"/>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94" w:right="0"/>
              <w:jc w:val="left"/>
              <w:rPr>
                <w:rFonts w:ascii="Times New Roman" w:hAnsi="Times New Roman" w:cs="Times New Roman" w:eastAsia="Times New Roman" w:hint="default"/>
                <w:sz w:val="21"/>
                <w:szCs w:val="21"/>
              </w:rPr>
            </w:pPr>
            <w:r>
              <w:rPr>
                <w:rFonts w:ascii="Times New Roman"/>
                <w:sz w:val="21"/>
              </w:rPr>
              <w:t>2,114,93</w:t>
            </w:r>
          </w:p>
          <w:p>
            <w:pPr>
              <w:pStyle w:val="TableParagraph"/>
              <w:spacing w:line="241" w:lineRule="exact"/>
              <w:ind w:left="554" w:right="0"/>
              <w:jc w:val="left"/>
              <w:rPr>
                <w:rFonts w:ascii="Times New Roman" w:hAnsi="Times New Roman" w:cs="Times New Roman" w:eastAsia="Times New Roman" w:hint="default"/>
                <w:sz w:val="21"/>
                <w:szCs w:val="21"/>
              </w:rPr>
            </w:pPr>
            <w:r>
              <w:rPr>
                <w:rFonts w:ascii="Times New Roman"/>
                <w:sz w:val="21"/>
              </w:rPr>
              <w:t>0.95</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7" w:right="0"/>
              <w:jc w:val="left"/>
              <w:rPr>
                <w:rFonts w:ascii="Times New Roman" w:hAnsi="Times New Roman" w:cs="Times New Roman" w:eastAsia="Times New Roman" w:hint="default"/>
                <w:sz w:val="21"/>
                <w:szCs w:val="21"/>
              </w:rPr>
            </w:pPr>
            <w:r>
              <w:rPr>
                <w:rFonts w:ascii="Times New Roman"/>
                <w:sz w:val="21"/>
              </w:rPr>
              <w:t>61,654,46</w:t>
            </w:r>
          </w:p>
          <w:p>
            <w:pPr>
              <w:pStyle w:val="TableParagraph"/>
              <w:spacing w:line="241" w:lineRule="exact"/>
              <w:ind w:left="580" w:right="0"/>
              <w:jc w:val="left"/>
              <w:rPr>
                <w:rFonts w:ascii="Times New Roman" w:hAnsi="Times New Roman" w:cs="Times New Roman" w:eastAsia="Times New Roman" w:hint="default"/>
                <w:sz w:val="21"/>
                <w:szCs w:val="21"/>
              </w:rPr>
            </w:pPr>
            <w:r>
              <w:rPr>
                <w:rFonts w:ascii="Times New Roman"/>
                <w:sz w:val="21"/>
              </w:rPr>
              <w:t>8.00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8" w:right="0"/>
              <w:jc w:val="left"/>
              <w:rPr>
                <w:rFonts w:ascii="Times New Roman" w:hAnsi="Times New Roman" w:cs="Times New Roman" w:eastAsia="Times New Roman" w:hint="default"/>
                <w:sz w:val="21"/>
                <w:szCs w:val="21"/>
              </w:rPr>
            </w:pPr>
            <w:r>
              <w:rPr>
                <w:rFonts w:ascii="Times New Roman"/>
                <w:sz w:val="21"/>
              </w:rPr>
              <w:t>(57,831,6</w:t>
            </w:r>
          </w:p>
          <w:p>
            <w:pPr>
              <w:pStyle w:val="TableParagraph"/>
              <w:spacing w:line="241" w:lineRule="exact"/>
              <w:ind w:left="370" w:right="0"/>
              <w:jc w:val="left"/>
              <w:rPr>
                <w:rFonts w:ascii="Times New Roman" w:hAnsi="Times New Roman" w:cs="Times New Roman" w:eastAsia="Times New Roman" w:hint="default"/>
                <w:sz w:val="21"/>
                <w:szCs w:val="21"/>
              </w:rPr>
            </w:pPr>
            <w:r>
              <w:rPr>
                <w:rFonts w:ascii="Times New Roman"/>
                <w:sz w:val="21"/>
              </w:rPr>
              <w:t>57.05)</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7,280,54</w:t>
            </w:r>
          </w:p>
          <w:p>
            <w:pPr>
              <w:pStyle w:val="TableParagraph"/>
              <w:spacing w:line="240" w:lineRule="auto" w:before="1"/>
              <w:ind w:left="539" w:right="0"/>
              <w:jc w:val="left"/>
              <w:rPr>
                <w:rFonts w:ascii="Times New Roman" w:hAnsi="Times New Roman" w:cs="Times New Roman" w:eastAsia="Times New Roman" w:hint="default"/>
                <w:sz w:val="21"/>
                <w:szCs w:val="21"/>
              </w:rPr>
            </w:pPr>
            <w:r>
              <w:rPr>
                <w:rFonts w:ascii="Times New Roman"/>
                <w:sz w:val="21"/>
              </w:rPr>
              <w:t>9.69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-26,280,</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549.69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-19,000,0</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00.00</w:t>
            </w:r>
          </w:p>
        </w:tc>
      </w:tr>
      <w:tr>
        <w:trPr>
          <w:trHeight w:val="50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2" w:right="0"/>
              <w:jc w:val="left"/>
              <w:rPr>
                <w:rFonts w:ascii="Times New Roman" w:hAnsi="Times New Roman" w:cs="Times New Roman" w:eastAsia="Times New Roman" w:hint="default"/>
                <w:sz w:val="21"/>
                <w:szCs w:val="21"/>
              </w:rPr>
            </w:pPr>
            <w:r>
              <w:rPr>
                <w:rFonts w:ascii="Times New Roman"/>
                <w:sz w:val="21"/>
              </w:rPr>
              <w:t>7,280,54</w:t>
            </w:r>
          </w:p>
          <w:p>
            <w:pPr>
              <w:pStyle w:val="TableParagraph"/>
              <w:spacing w:line="241" w:lineRule="exact"/>
              <w:ind w:left="539" w:right="0"/>
              <w:jc w:val="left"/>
              <w:rPr>
                <w:rFonts w:ascii="Times New Roman" w:hAnsi="Times New Roman" w:cs="Times New Roman" w:eastAsia="Times New Roman" w:hint="default"/>
                <w:sz w:val="21"/>
                <w:szCs w:val="21"/>
              </w:rPr>
            </w:pPr>
            <w:r>
              <w:rPr>
                <w:rFonts w:ascii="Times New Roman"/>
                <w:sz w:val="21"/>
              </w:rPr>
              <w:t>9.69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91" w:right="0"/>
              <w:jc w:val="left"/>
              <w:rPr>
                <w:rFonts w:ascii="Times New Roman" w:hAnsi="Times New Roman" w:cs="Times New Roman" w:eastAsia="Times New Roman" w:hint="default"/>
                <w:sz w:val="21"/>
                <w:szCs w:val="21"/>
              </w:rPr>
            </w:pPr>
            <w:r>
              <w:rPr>
                <w:rFonts w:ascii="Times New Roman"/>
                <w:sz w:val="21"/>
              </w:rPr>
              <w:t>-7,280,5</w:t>
            </w:r>
          </w:p>
          <w:p>
            <w:pPr>
              <w:pStyle w:val="TableParagraph"/>
              <w:spacing w:line="241" w:lineRule="exact"/>
              <w:ind w:left="419" w:right="0"/>
              <w:jc w:val="left"/>
              <w:rPr>
                <w:rFonts w:ascii="Times New Roman" w:hAnsi="Times New Roman" w:cs="Times New Roman" w:eastAsia="Times New Roman" w:hint="default"/>
                <w:sz w:val="21"/>
                <w:szCs w:val="21"/>
              </w:rPr>
            </w:pPr>
            <w:r>
              <w:rPr>
                <w:rFonts w:ascii="Times New Roman"/>
                <w:sz w:val="21"/>
              </w:rPr>
              <w:t>49.69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1" w:right="98"/>
              <w:jc w:val="left"/>
              <w:rPr>
                <w:rFonts w:ascii="宋体" w:hAnsi="宋体" w:cs="宋体" w:eastAsia="宋体" w:hint="default"/>
                <w:sz w:val="18"/>
                <w:szCs w:val="18"/>
              </w:rPr>
            </w:pPr>
            <w:r>
              <w:rPr>
                <w:rFonts w:ascii="Calibri" w:hAnsi="Calibri" w:cs="Calibri" w:eastAsia="Calibri" w:hint="default"/>
                <w:spacing w:val="-6"/>
                <w:sz w:val="18"/>
                <w:szCs w:val="18"/>
              </w:rPr>
              <w:t>2</w:t>
            </w:r>
            <w:r>
              <w:rPr>
                <w:rFonts w:ascii="宋体" w:hAnsi="宋体" w:cs="宋体" w:eastAsia="宋体" w:hint="default"/>
                <w:spacing w:val="-6"/>
                <w:sz w:val="18"/>
                <w:szCs w:val="18"/>
              </w:rPr>
              <w:t>．对所有者（或股东）的分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-19,000,</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-19,000,0</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00.00</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1" w:right="0"/>
              <w:jc w:val="left"/>
              <w:rPr>
                <w:rFonts w:ascii="宋体" w:hAnsi="宋体" w:cs="宋体" w:eastAsia="宋体" w:hint="default"/>
                <w:sz w:val="18"/>
                <w:szCs w:val="18"/>
              </w:rPr>
            </w:pPr>
            <w:r>
              <w:rPr>
                <w:rFonts w:ascii="Calibri" w:hAnsi="Calibri" w:cs="Calibri" w:eastAsia="Calibri"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1" w:right="98"/>
              <w:jc w:val="left"/>
              <w:rPr>
                <w:rFonts w:ascii="宋体" w:hAnsi="宋体" w:cs="宋体" w:eastAsia="宋体" w:hint="default"/>
                <w:sz w:val="18"/>
                <w:szCs w:val="18"/>
              </w:rPr>
            </w:pPr>
            <w:r>
              <w:rPr>
                <w:rFonts w:ascii="Calibri" w:hAnsi="Calibri" w:cs="Calibri" w:eastAsia="Calibri" w:hint="default"/>
                <w:spacing w:val="-6"/>
                <w:sz w:val="18"/>
                <w:szCs w:val="18"/>
              </w:rPr>
              <w:t>2</w:t>
            </w:r>
            <w:r>
              <w:rPr>
                <w:rFonts w:ascii="宋体" w:hAnsi="宋体" w:cs="宋体" w:eastAsia="宋体" w:hint="default"/>
                <w:spacing w:val="-6"/>
                <w:sz w:val="18"/>
                <w:szCs w:val="18"/>
              </w:rPr>
              <w:t>．盈余公积转增资本（或股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1"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1"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pgSz w:w="16840" w:h="11910" w:orient="landscape"/>
          <w:pgMar w:header="857" w:footer="980" w:top="1140" w:bottom="1160" w:left="1380" w:right="1280"/>
        </w:sectPr>
      </w:pPr>
    </w:p>
    <w:p>
      <w:pPr>
        <w:spacing w:line="240" w:lineRule="auto" w:before="1"/>
        <w:rPr>
          <w:rFonts w:ascii="Times New Roman" w:hAnsi="Times New Roman" w:cs="Times New Roman" w:eastAsia="Times New Roman"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101,707,8</w:t>
            </w:r>
          </w:p>
          <w:p>
            <w:pPr>
              <w:pStyle w:val="TableParagraph"/>
              <w:spacing w:line="240" w:lineRule="auto" w:before="1"/>
              <w:ind w:left="489" w:right="0"/>
              <w:jc w:val="left"/>
              <w:rPr>
                <w:rFonts w:ascii="Times New Roman" w:hAnsi="Times New Roman" w:cs="Times New Roman" w:eastAsia="Times New Roman" w:hint="default"/>
                <w:sz w:val="21"/>
                <w:szCs w:val="21"/>
              </w:rPr>
            </w:pPr>
            <w:r>
              <w:rPr>
                <w:rFonts w:ascii="Times New Roman"/>
                <w:sz w:val="21"/>
              </w:rPr>
              <w:t>80.00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w w:val="100"/>
                <w:sz w:val="21"/>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468,884,</w:t>
            </w:r>
          </w:p>
          <w:p>
            <w:pPr>
              <w:pStyle w:val="TableParagraph"/>
              <w:spacing w:line="240" w:lineRule="auto" w:before="1"/>
              <w:ind w:left="244" w:right="0"/>
              <w:jc w:val="center"/>
              <w:rPr>
                <w:rFonts w:ascii="Times New Roman" w:hAnsi="Times New Roman" w:cs="Times New Roman" w:eastAsia="Times New Roman" w:hint="default"/>
                <w:sz w:val="21"/>
                <w:szCs w:val="21"/>
              </w:rPr>
            </w:pPr>
            <w:r>
              <w:rPr>
                <w:rFonts w:ascii="Times New Roman"/>
                <w:sz w:val="21"/>
              </w:rPr>
              <w:t>921.35</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61,654,46</w:t>
            </w:r>
          </w:p>
          <w:p>
            <w:pPr>
              <w:pStyle w:val="TableParagraph"/>
              <w:spacing w:line="240" w:lineRule="auto" w:before="1"/>
              <w:ind w:left="580" w:right="0"/>
              <w:jc w:val="left"/>
              <w:rPr>
                <w:rFonts w:ascii="Times New Roman" w:hAnsi="Times New Roman" w:cs="Times New Roman" w:eastAsia="Times New Roman" w:hint="default"/>
                <w:sz w:val="21"/>
                <w:szCs w:val="21"/>
              </w:rPr>
            </w:pPr>
            <w:r>
              <w:rPr>
                <w:rFonts w:ascii="Times New Roman"/>
                <w:sz w:val="21"/>
              </w:rPr>
              <w:t>8.00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100"/>
                <w:sz w:val="21"/>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5"/>
              <w:jc w:val="right"/>
              <w:rPr>
                <w:rFonts w:ascii="Times New Roman" w:hAnsi="Times New Roman" w:cs="Times New Roman" w:eastAsia="Times New Roman" w:hint="default"/>
                <w:sz w:val="21"/>
                <w:szCs w:val="21"/>
              </w:rPr>
            </w:pPr>
            <w:r>
              <w:rPr>
                <w:rFonts w:ascii="Times New Roman"/>
                <w:w w:val="100"/>
                <w:sz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46,146,9</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60.05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378,322,</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640.30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933,407,</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933.70</w:t>
            </w:r>
          </w:p>
        </w:tc>
      </w:tr>
    </w:tbl>
    <w:p>
      <w:pPr>
        <w:pStyle w:val="BodyText"/>
        <w:spacing w:line="241" w:lineRule="exact"/>
        <w:ind w:left="144" w:right="0"/>
        <w:jc w:val="left"/>
      </w:pPr>
      <w:r>
        <w:rPr/>
        <w:t>法定代表人：吴志雄主管会计工作负责人：曾志勇会计机构负责人：黄芳</w:t>
      </w:r>
    </w:p>
    <w:p>
      <w:pPr>
        <w:spacing w:after="0" w:line="241" w:lineRule="exact"/>
        <w:jc w:val="left"/>
        <w:sectPr>
          <w:pgSz w:w="16840" w:h="11910" w:orient="landscape"/>
          <w:pgMar w:header="857" w:footer="980" w:top="1140" w:bottom="1160" w:left="1380" w:right="1280"/>
        </w:sectPr>
      </w:pPr>
    </w:p>
    <w:p>
      <w:pPr>
        <w:spacing w:line="240" w:lineRule="auto" w:before="11"/>
        <w:rPr>
          <w:rFonts w:ascii="宋体" w:hAnsi="宋体" w:cs="宋体" w:eastAsia="宋体" w:hint="default"/>
          <w:sz w:val="27"/>
          <w:szCs w:val="27"/>
        </w:rPr>
      </w:pPr>
    </w:p>
    <w:p>
      <w:pPr>
        <w:pStyle w:val="Heading3"/>
        <w:tabs>
          <w:tab w:pos="557" w:val="left" w:leader="none"/>
        </w:tabs>
        <w:spacing w:line="290" w:lineRule="auto" w:before="36"/>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12"/>
        <w:ind w:left="138" w:right="0"/>
        <w:jc w:val="both"/>
      </w:pPr>
      <w:r>
        <w:rPr/>
        <w:t>√适用  </w:t>
      </w:r>
      <w:r>
        <w:rPr>
          <w:spacing w:val="1"/>
        </w:rPr>
        <w:t> </w:t>
      </w:r>
      <w:r>
        <w:rPr/>
        <w:t>□不适用</w:t>
      </w:r>
    </w:p>
    <w:p>
      <w:pPr>
        <w:pStyle w:val="BodyText"/>
        <w:spacing w:line="240" w:lineRule="auto" w:before="75"/>
        <w:ind w:left="558" w:right="102"/>
        <w:jc w:val="left"/>
      </w:pPr>
      <w:r>
        <w:rPr>
          <w:w w:val="100"/>
        </w:rPr>
        <w:t>南威</w:t>
      </w:r>
      <w:r>
        <w:rPr>
          <w:spacing w:val="-3"/>
          <w:w w:val="100"/>
        </w:rPr>
        <w:t>软</w:t>
      </w:r>
      <w:r>
        <w:rPr>
          <w:w w:val="100"/>
        </w:rPr>
        <w:t>件</w:t>
      </w:r>
      <w:r>
        <w:rPr>
          <w:spacing w:val="-3"/>
          <w:w w:val="100"/>
        </w:rPr>
        <w:t>股</w:t>
      </w:r>
      <w:r>
        <w:rPr>
          <w:w w:val="100"/>
        </w:rPr>
        <w:t>份</w:t>
      </w:r>
      <w:r>
        <w:rPr>
          <w:spacing w:val="-3"/>
          <w:w w:val="100"/>
        </w:rPr>
        <w:t>有</w:t>
      </w:r>
      <w:r>
        <w:rPr>
          <w:w w:val="100"/>
        </w:rPr>
        <w:t>限</w:t>
      </w:r>
      <w:r>
        <w:rPr>
          <w:spacing w:val="-3"/>
          <w:w w:val="100"/>
        </w:rPr>
        <w:t>公</w:t>
      </w:r>
      <w:r>
        <w:rPr>
          <w:spacing w:val="-20"/>
          <w:w w:val="100"/>
        </w:rPr>
        <w:t>司</w:t>
      </w:r>
      <w:r>
        <w:rPr>
          <w:spacing w:val="-3"/>
          <w:w w:val="100"/>
        </w:rPr>
        <w:t>（</w:t>
      </w:r>
      <w:r>
        <w:rPr>
          <w:w w:val="100"/>
        </w:rPr>
        <w:t>以下</w:t>
      </w:r>
      <w:r>
        <w:rPr>
          <w:spacing w:val="-3"/>
          <w:w w:val="100"/>
        </w:rPr>
        <w:t>简</w:t>
      </w:r>
      <w:r>
        <w:rPr>
          <w:spacing w:val="-1"/>
          <w:w w:val="100"/>
        </w:rPr>
        <w:t>称</w:t>
      </w:r>
      <w:r>
        <w:rPr>
          <w:rFonts w:ascii="Times New Roman" w:hAnsi="Times New Roman" w:cs="Times New Roman" w:eastAsia="Times New Roman" w:hint="default"/>
          <w:spacing w:val="-3"/>
          <w:w w:val="100"/>
        </w:rPr>
        <w:t>“</w:t>
      </w:r>
      <w:r>
        <w:rPr>
          <w:w w:val="100"/>
        </w:rPr>
        <w:t>南</w:t>
      </w:r>
      <w:r>
        <w:rPr>
          <w:spacing w:val="-3"/>
          <w:w w:val="100"/>
        </w:rPr>
        <w:t>威</w:t>
      </w:r>
      <w:r>
        <w:rPr>
          <w:w w:val="100"/>
        </w:rPr>
        <w:t>软</w:t>
      </w:r>
      <w:r>
        <w:rPr>
          <w:spacing w:val="-1"/>
          <w:w w:val="100"/>
        </w:rPr>
        <w:t>件</w:t>
      </w:r>
      <w:r>
        <w:rPr>
          <w:rFonts w:ascii="Times New Roman" w:hAnsi="Times New Roman" w:cs="Times New Roman" w:eastAsia="Times New Roman" w:hint="default"/>
          <w:spacing w:val="-3"/>
          <w:w w:val="100"/>
        </w:rPr>
        <w:t>”</w:t>
      </w:r>
      <w:r>
        <w:rPr>
          <w:w w:val="100"/>
        </w:rPr>
        <w:t>或</w:t>
      </w:r>
      <w:r>
        <w:rPr>
          <w:rFonts w:ascii="Times New Roman" w:hAnsi="Times New Roman" w:cs="Times New Roman" w:eastAsia="Times New Roman" w:hint="default"/>
          <w:spacing w:val="-1"/>
          <w:w w:val="100"/>
        </w:rPr>
        <w:t>“</w:t>
      </w:r>
      <w:r>
        <w:rPr>
          <w:spacing w:val="-3"/>
          <w:w w:val="100"/>
        </w:rPr>
        <w:t>公</w:t>
      </w:r>
      <w:r>
        <w:rPr>
          <w:w w:val="100"/>
        </w:rPr>
        <w:t>司</w:t>
      </w:r>
      <w:r>
        <w:rPr>
          <w:rFonts w:ascii="Times New Roman" w:hAnsi="Times New Roman" w:cs="Times New Roman" w:eastAsia="Times New Roman" w:hint="default"/>
          <w:spacing w:val="-1"/>
          <w:w w:val="100"/>
        </w:rPr>
        <w:t>”</w:t>
      </w:r>
      <w:r>
        <w:rPr>
          <w:spacing w:val="-106"/>
          <w:w w:val="100"/>
        </w:rPr>
        <w:t>）</w:t>
      </w:r>
      <w:r>
        <w:rPr>
          <w:spacing w:val="-22"/>
          <w:w w:val="100"/>
        </w:rPr>
        <w:t>，</w:t>
      </w:r>
      <w:r>
        <w:rPr>
          <w:w w:val="100"/>
        </w:rPr>
        <w:t>于</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3"/>
          <w:w w:val="100"/>
        </w:rPr>
        <w:t>由吴</w:t>
      </w:r>
      <w:r>
        <w:rPr>
          <w:w w:val="100"/>
        </w:rPr>
        <w:t>志</w:t>
      </w:r>
      <w:r>
        <w:rPr>
          <w:spacing w:val="-3"/>
          <w:w w:val="100"/>
        </w:rPr>
        <w:t>雄</w:t>
      </w:r>
      <w:r>
        <w:rPr>
          <w:w w:val="100"/>
        </w:rPr>
        <w:t>等</w:t>
      </w:r>
      <w:r>
        <w:rPr>
          <w:spacing w:val="-52"/>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名自</w:t>
      </w:r>
    </w:p>
    <w:p>
      <w:pPr>
        <w:pStyle w:val="BodyText"/>
        <w:spacing w:line="240" w:lineRule="auto" w:before="69"/>
        <w:ind w:left="138" w:right="0"/>
        <w:jc w:val="both"/>
      </w:pPr>
      <w:r>
        <w:rPr/>
        <w:t>然人股东和天津市凯信金鹏股权投资基金合伙企业等</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名法人企业作为发起人，在福建南威软件</w:t>
      </w:r>
    </w:p>
    <w:p>
      <w:pPr>
        <w:pStyle w:val="BodyText"/>
        <w:spacing w:line="240" w:lineRule="auto" w:before="69"/>
        <w:ind w:left="138" w:right="0"/>
        <w:jc w:val="both"/>
      </w:pPr>
      <w:r>
        <w:rPr/>
        <w:t>工程发展有限公司基础上整体变更设立，股份有限公司设立时的股本总数</w:t>
      </w:r>
      <w:r>
        <w:rPr>
          <w:spacing w:val="-52"/>
        </w:rPr>
        <w:t> </w:t>
      </w:r>
      <w:r>
        <w:rPr>
          <w:rFonts w:ascii="Times New Roman" w:hAnsi="Times New Roman" w:cs="Times New Roman" w:eastAsia="Times New Roman" w:hint="default"/>
        </w:rPr>
        <w:t>7,500.00</w:t>
      </w:r>
      <w:r>
        <w:rPr>
          <w:rFonts w:ascii="Times New Roman" w:hAnsi="Times New Roman" w:cs="Times New Roman" w:eastAsia="Times New Roman" w:hint="default"/>
          <w:spacing w:val="3"/>
        </w:rPr>
        <w:t> </w:t>
      </w:r>
      <w:r>
        <w:rPr/>
        <w:t>万股（每股面</w:t>
      </w:r>
    </w:p>
    <w:p>
      <w:pPr>
        <w:pStyle w:val="BodyText"/>
        <w:spacing w:line="240" w:lineRule="auto" w:before="69"/>
        <w:ind w:left="138" w:right="0"/>
        <w:jc w:val="both"/>
      </w:pPr>
      <w:r>
        <w:rPr>
          <w:w w:val="100"/>
        </w:rPr>
        <w:t>值人</w:t>
      </w:r>
      <w:r>
        <w:rPr>
          <w:spacing w:val="-3"/>
          <w:w w:val="100"/>
        </w:rPr>
        <w:t>民</w:t>
      </w:r>
      <w:r>
        <w:rPr>
          <w:w w:val="100"/>
        </w:rPr>
        <w:t>币</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元</w:t>
      </w:r>
      <w:r>
        <w:rPr>
          <w:spacing w:val="-108"/>
          <w:w w:val="100"/>
        </w:rPr>
        <w:t>）</w:t>
      </w:r>
      <w:r>
        <w:rPr>
          <w:w w:val="100"/>
        </w:rPr>
        <w:t>，</w:t>
      </w:r>
      <w:r>
        <w:rPr>
          <w:spacing w:val="-3"/>
          <w:w w:val="100"/>
        </w:rPr>
        <w:t>公</w:t>
      </w:r>
      <w:r>
        <w:rPr>
          <w:w w:val="100"/>
        </w:rPr>
        <w:t>司</w:t>
      </w:r>
      <w:r>
        <w:rPr>
          <w:spacing w:val="-3"/>
          <w:w w:val="100"/>
        </w:rPr>
        <w:t>实际</w:t>
      </w:r>
      <w:r>
        <w:rPr>
          <w:w w:val="100"/>
        </w:rPr>
        <w:t>控制</w:t>
      </w:r>
      <w:r>
        <w:rPr>
          <w:spacing w:val="-3"/>
          <w:w w:val="100"/>
        </w:rPr>
        <w:t>人</w:t>
      </w:r>
      <w:r>
        <w:rPr>
          <w:w w:val="100"/>
        </w:rPr>
        <w:t>为</w:t>
      </w:r>
      <w:r>
        <w:rPr>
          <w:spacing w:val="-3"/>
          <w:w w:val="100"/>
        </w:rPr>
        <w:t>吴</w:t>
      </w:r>
      <w:r>
        <w:rPr>
          <w:w w:val="100"/>
        </w:rPr>
        <w:t>志</w:t>
      </w:r>
      <w:r>
        <w:rPr>
          <w:spacing w:val="-3"/>
          <w:w w:val="100"/>
        </w:rPr>
        <w:t>雄</w:t>
      </w:r>
      <w:r>
        <w:rPr>
          <w:w w:val="100"/>
        </w:rPr>
        <w:t>。</w:t>
      </w:r>
    </w:p>
    <w:p>
      <w:pPr>
        <w:pStyle w:val="BodyText"/>
        <w:spacing w:line="240" w:lineRule="auto" w:before="69"/>
        <w:ind w:left="558" w:right="102"/>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日经中国证券监督管理委员会证监许可</w:t>
      </w:r>
      <w:r>
        <w:rPr>
          <w:rFonts w:ascii="Times New Roman" w:hAnsi="Times New Roman" w:cs="Times New Roman" w:eastAsia="Times New Roman" w:hint="default"/>
        </w:rPr>
        <w:t>[2014]1332</w:t>
      </w:r>
      <w:r>
        <w:rPr>
          <w:rFonts w:ascii="Times New Roman" w:hAnsi="Times New Roman" w:cs="Times New Roman" w:eastAsia="Times New Roman" w:hint="default"/>
          <w:spacing w:val="1"/>
        </w:rPr>
        <w:t> </w:t>
      </w:r>
      <w:r>
        <w:rPr>
          <w:spacing w:val="-4"/>
        </w:rPr>
        <w:t>号文核准，公司公开发行</w:t>
      </w:r>
    </w:p>
    <w:p>
      <w:pPr>
        <w:pStyle w:val="BodyText"/>
        <w:spacing w:line="240" w:lineRule="auto" w:before="69"/>
        <w:ind w:left="138" w:right="0"/>
        <w:jc w:val="both"/>
      </w:pPr>
      <w:r>
        <w:rPr/>
        <w:t>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股）数量为</w:t>
      </w:r>
      <w:r>
        <w:rPr>
          <w:spacing w:val="-50"/>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2"/>
        </w:rPr>
        <w:t> </w:t>
      </w:r>
      <w:r>
        <w:rPr/>
        <w:t>万股，增加注册资本人民币</w:t>
      </w:r>
      <w:r>
        <w:rPr>
          <w:spacing w:val="-50"/>
        </w:rPr>
        <w:t> </w:t>
      </w:r>
      <w:r>
        <w:rPr>
          <w:rFonts w:ascii="Times New Roman" w:hAnsi="Times New Roman" w:cs="Times New Roman" w:eastAsia="Times New Roman" w:hint="default"/>
        </w:rPr>
        <w:t>2,500.00 </w:t>
      </w:r>
      <w:r>
        <w:rPr/>
        <w:t>万元，增加后的注册</w:t>
      </w:r>
    </w:p>
    <w:p>
      <w:pPr>
        <w:pStyle w:val="BodyText"/>
        <w:spacing w:line="240" w:lineRule="auto" w:before="70"/>
        <w:ind w:left="138" w:right="0"/>
        <w:jc w:val="both"/>
      </w:pPr>
      <w:r>
        <w:rPr/>
        <w:t>资本为人民币</w:t>
      </w:r>
      <w:r>
        <w:rPr>
          <w:spacing w:val="-53"/>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2"/>
        </w:rPr>
        <w:t> </w:t>
      </w:r>
      <w:r>
        <w:rPr/>
        <w:t>万元。</w:t>
      </w:r>
    </w:p>
    <w:p>
      <w:pPr>
        <w:pStyle w:val="BodyText"/>
        <w:spacing w:line="297" w:lineRule="auto" w:before="69"/>
        <w:ind w:left="138" w:right="102" w:firstLine="419"/>
        <w:jc w:val="left"/>
      </w:pPr>
      <w:r>
        <w:rPr/>
        <w:t>公司于</w:t>
      </w:r>
      <w:r>
        <w:rPr>
          <w:spacing w:val="-53"/>
        </w:rPr>
        <w:t> </w:t>
      </w: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30 </w:t>
      </w:r>
      <w:r>
        <w:rPr/>
        <w:t>日在上海证券交易所挂牌上市，</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股交易代码：</w:t>
      </w:r>
      <w:r>
        <w:rPr>
          <w:rFonts w:ascii="Times New Roman" w:hAnsi="Times New Roman" w:cs="Times New Roman" w:eastAsia="Times New Roman" w:hint="default"/>
        </w:rPr>
        <w:t>603636</w:t>
      </w:r>
      <w:r>
        <w:rPr/>
        <w:t>，股票简称：</w:t>
      </w:r>
      <w:r>
        <w:rPr>
          <w:w w:val="100"/>
        </w:rPr>
        <w:t> </w:t>
      </w:r>
      <w:r>
        <w:rPr/>
        <w:t>南威软件。</w:t>
      </w:r>
    </w:p>
    <w:p>
      <w:pPr>
        <w:pStyle w:val="BodyText"/>
        <w:spacing w:line="240" w:lineRule="auto" w:before="34"/>
        <w:ind w:left="558" w:right="102"/>
        <w:jc w:val="left"/>
      </w:pPr>
      <w:r>
        <w:rPr>
          <w:rFonts w:ascii="Times New Roman" w:hAnsi="Times New Roman" w:cs="Times New Roman" w:eastAsia="Times New Roman" w:hint="default"/>
        </w:rPr>
        <w:t>2016 </w:t>
      </w:r>
      <w:r>
        <w:rPr>
          <w:spacing w:val="-3"/>
        </w:rPr>
        <w:t>年，公司实施限制性股票激励计划，首次限制性股票激励计划向 </w:t>
      </w:r>
      <w:r>
        <w:rPr>
          <w:rFonts w:ascii="Times New Roman" w:hAnsi="Times New Roman" w:cs="Times New Roman" w:eastAsia="Times New Roman" w:hint="default"/>
        </w:rPr>
        <w:t>168</w:t>
      </w:r>
      <w:r>
        <w:rPr>
          <w:rFonts w:ascii="Times New Roman" w:hAnsi="Times New Roman" w:cs="Times New Roman" w:eastAsia="Times New Roman" w:hint="default"/>
          <w:spacing w:val="-15"/>
        </w:rPr>
        <w:t> </w:t>
      </w:r>
      <w:r>
        <w:rPr/>
        <w:t>名激励对象实际授</w:t>
      </w:r>
    </w:p>
    <w:p>
      <w:pPr>
        <w:pStyle w:val="BodyText"/>
        <w:spacing w:line="240" w:lineRule="auto" w:before="69"/>
        <w:ind w:left="138" w:right="0"/>
        <w:jc w:val="both"/>
      </w:pPr>
      <w:r>
        <w:rPr/>
        <w:t>予</w:t>
      </w:r>
      <w:r>
        <w:rPr>
          <w:spacing w:val="-51"/>
        </w:rPr>
        <w:t> </w:t>
      </w:r>
      <w:r>
        <w:rPr>
          <w:rFonts w:ascii="Times New Roman" w:hAnsi="Times New Roman" w:cs="Times New Roman" w:eastAsia="Times New Roman" w:hint="default"/>
        </w:rPr>
        <w:t>1,707,880</w:t>
      </w:r>
      <w:r>
        <w:rPr>
          <w:rFonts w:ascii="Times New Roman" w:hAnsi="Times New Roman" w:cs="Times New Roman" w:eastAsia="Times New Roman" w:hint="default"/>
          <w:spacing w:val="1"/>
        </w:rPr>
        <w:t> </w:t>
      </w:r>
      <w:r>
        <w:rPr/>
        <w:t>股限制性股票，日为</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授予价格为每股人民币</w:t>
      </w:r>
      <w:r>
        <w:rPr>
          <w:spacing w:val="-54"/>
        </w:rPr>
        <w:t> </w:t>
      </w:r>
      <w:r>
        <w:rPr>
          <w:rFonts w:ascii="Times New Roman" w:hAnsi="Times New Roman" w:cs="Times New Roman" w:eastAsia="Times New Roman" w:hint="default"/>
        </w:rPr>
        <w:t>36.10</w:t>
      </w:r>
      <w:r>
        <w:rPr>
          <w:rFonts w:ascii="Times New Roman" w:hAnsi="Times New Roman" w:cs="Times New Roman" w:eastAsia="Times New Roman" w:hint="default"/>
          <w:spacing w:val="2"/>
        </w:rPr>
        <w:t> </w:t>
      </w:r>
      <w:r>
        <w:rPr/>
        <w:t>元，授予日为</w:t>
      </w:r>
    </w:p>
    <w:p>
      <w:pPr>
        <w:pStyle w:val="BodyText"/>
        <w:spacing w:line="240" w:lineRule="auto" w:before="69"/>
        <w:ind w:left="138" w:right="0"/>
        <w:jc w:val="both"/>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日。限制性股票激励计划首次授予后，公司注册资本及股本均为</w:t>
      </w:r>
      <w:r>
        <w:rPr>
          <w:spacing w:val="-40"/>
        </w:rPr>
        <w:t> </w:t>
      </w:r>
      <w:r>
        <w:rPr>
          <w:rFonts w:ascii="Times New Roman" w:hAnsi="Times New Roman" w:cs="Times New Roman" w:eastAsia="Times New Roman" w:hint="default"/>
        </w:rPr>
        <w:t>101,707,880.00</w:t>
      </w:r>
    </w:p>
    <w:p>
      <w:pPr>
        <w:pStyle w:val="BodyText"/>
        <w:spacing w:line="240" w:lineRule="auto" w:before="69"/>
        <w:ind w:left="138" w:right="0"/>
        <w:jc w:val="both"/>
      </w:pPr>
      <w:r>
        <w:rPr/>
        <w:t>元。</w:t>
      </w:r>
    </w:p>
    <w:p>
      <w:pPr>
        <w:pStyle w:val="BodyText"/>
        <w:spacing w:line="240" w:lineRule="auto" w:before="85"/>
        <w:ind w:left="558" w:right="102"/>
        <w:jc w:val="left"/>
      </w:pPr>
      <w:r>
        <w:rPr/>
        <w:t>根据公司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日召开的</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年年度股东大会审议通过的《关于公司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w:t>
      </w:r>
    </w:p>
    <w:p>
      <w:pPr>
        <w:pStyle w:val="BodyText"/>
        <w:spacing w:line="240" w:lineRule="auto" w:before="69"/>
        <w:ind w:left="138" w:right="0"/>
        <w:jc w:val="both"/>
      </w:pPr>
      <w:r>
        <w:rPr>
          <w:spacing w:val="4"/>
          <w:w w:val="100"/>
        </w:rPr>
        <w:t>润</w:t>
      </w:r>
      <w:r>
        <w:rPr>
          <w:spacing w:val="6"/>
          <w:w w:val="100"/>
        </w:rPr>
        <w:t>分</w:t>
      </w:r>
      <w:r>
        <w:rPr>
          <w:spacing w:val="4"/>
          <w:w w:val="100"/>
        </w:rPr>
        <w:t>配及资</w:t>
      </w:r>
      <w:r>
        <w:rPr>
          <w:spacing w:val="6"/>
          <w:w w:val="100"/>
        </w:rPr>
        <w:t>本</w:t>
      </w:r>
      <w:r>
        <w:rPr>
          <w:spacing w:val="4"/>
          <w:w w:val="100"/>
        </w:rPr>
        <w:t>公积转</w:t>
      </w:r>
      <w:r>
        <w:rPr>
          <w:spacing w:val="6"/>
          <w:w w:val="100"/>
        </w:rPr>
        <w:t>增</w:t>
      </w:r>
      <w:r>
        <w:rPr>
          <w:spacing w:val="4"/>
          <w:w w:val="100"/>
        </w:rPr>
        <w:t>股本</w:t>
      </w:r>
      <w:r>
        <w:rPr>
          <w:spacing w:val="6"/>
          <w:w w:val="100"/>
        </w:rPr>
        <w:t>预</w:t>
      </w:r>
      <w:r>
        <w:rPr>
          <w:spacing w:val="4"/>
          <w:w w:val="100"/>
        </w:rPr>
        <w:t>案</w:t>
      </w:r>
      <w:r>
        <w:rPr>
          <w:spacing w:val="-101"/>
          <w:w w:val="100"/>
        </w:rPr>
        <w:t>》</w:t>
      </w:r>
      <w:r>
        <w:rPr>
          <w:spacing w:val="10"/>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w w:val="100"/>
        </w:rPr>
        <w:t>年</w:t>
      </w:r>
      <w:r>
        <w:rPr>
          <w:spacing w:val="5"/>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w w:val="100"/>
        </w:rPr>
        <w:t>月</w:t>
      </w:r>
      <w:r>
        <w:rPr>
          <w:spacing w:val="3"/>
        </w:rPr>
        <w:t> </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6"/>
          <w:w w:val="100"/>
        </w:rPr>
        <w:t>日</w:t>
      </w:r>
      <w:r>
        <w:rPr>
          <w:spacing w:val="4"/>
          <w:w w:val="100"/>
        </w:rPr>
        <w:t>，公</w:t>
      </w:r>
      <w:r>
        <w:rPr>
          <w:spacing w:val="6"/>
          <w:w w:val="100"/>
        </w:rPr>
        <w:t>司</w:t>
      </w:r>
      <w:r>
        <w:rPr>
          <w:w w:val="100"/>
        </w:rPr>
        <w:t>以</w:t>
      </w:r>
      <w:r>
        <w:rPr>
          <w:spacing w:val="6"/>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w w:val="100"/>
        </w:rPr>
        <w:t>年</w:t>
      </w:r>
      <w:r>
        <w:rPr>
          <w:spacing w:val="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w w:val="100"/>
        </w:rPr>
        <w:t>月</w:t>
      </w:r>
      <w:r>
        <w:rPr>
          <w:spacing w:val="5"/>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6"/>
          <w:w w:val="100"/>
        </w:rPr>
        <w:t>日</w:t>
      </w:r>
      <w:r>
        <w:rPr>
          <w:spacing w:val="4"/>
          <w:w w:val="100"/>
        </w:rPr>
        <w:t>总股</w:t>
      </w:r>
      <w:r>
        <w:rPr>
          <w:w w:val="100"/>
        </w:rPr>
        <w:t>本</w:t>
      </w:r>
    </w:p>
    <w:p>
      <w:pPr>
        <w:pStyle w:val="BodyText"/>
        <w:spacing w:line="240" w:lineRule="auto" w:before="69"/>
        <w:ind w:left="138" w:right="0"/>
        <w:jc w:val="both"/>
      </w:pPr>
      <w:r>
        <w:rPr>
          <w:rFonts w:ascii="Times New Roman" w:hAnsi="Times New Roman" w:cs="Times New Roman" w:eastAsia="Times New Roman" w:hint="default"/>
        </w:rPr>
        <w:t>101,707,880.00</w:t>
      </w:r>
      <w:r>
        <w:rPr>
          <w:rFonts w:ascii="Times New Roman" w:hAnsi="Times New Roman" w:cs="Times New Roman" w:eastAsia="Times New Roman" w:hint="default"/>
          <w:spacing w:val="8"/>
        </w:rPr>
        <w:t> </w:t>
      </w:r>
      <w:r>
        <w:rPr>
          <w:spacing w:val="-5"/>
        </w:rPr>
        <w:t>股为基数，向全体股东以资本公积金每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股转增</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5"/>
        </w:rPr>
        <w:t>股，转增后公司注册资本及股</w:t>
      </w:r>
    </w:p>
    <w:p>
      <w:pPr>
        <w:pStyle w:val="BodyText"/>
        <w:spacing w:line="240" w:lineRule="auto" w:before="69"/>
        <w:ind w:left="138" w:right="0"/>
        <w:jc w:val="both"/>
      </w:pPr>
      <w:r>
        <w:rPr/>
        <w:t>本均为</w:t>
      </w:r>
      <w:r>
        <w:rPr>
          <w:spacing w:val="-53"/>
        </w:rPr>
        <w:t> </w:t>
      </w:r>
      <w:r>
        <w:rPr>
          <w:rFonts w:ascii="Times New Roman" w:hAnsi="Times New Roman" w:cs="Times New Roman" w:eastAsia="Times New Roman" w:hint="default"/>
        </w:rPr>
        <w:t>406,831,520.00 </w:t>
      </w:r>
      <w:r>
        <w:rPr>
          <w:spacing w:val="-3"/>
        </w:rPr>
        <w:t>元。</w:t>
      </w:r>
      <w:r>
        <w:rPr/>
      </w:r>
    </w:p>
    <w:p>
      <w:pPr>
        <w:pStyle w:val="BodyText"/>
        <w:spacing w:line="240" w:lineRule="auto" w:before="69"/>
        <w:ind w:left="558" w:right="10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年，公司向符合激励条件的</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名激励对象授予</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年限制性股票激励计划预留部分的</w:t>
      </w:r>
    </w:p>
    <w:p>
      <w:pPr>
        <w:pStyle w:val="BodyText"/>
        <w:spacing w:line="240" w:lineRule="auto" w:before="69"/>
        <w:ind w:left="138" w:right="0"/>
        <w:jc w:val="both"/>
      </w:pPr>
      <w:r>
        <w:rPr/>
        <w:t>限制性股票</w:t>
      </w:r>
      <w:r>
        <w:rPr>
          <w:spacing w:val="-40"/>
        </w:rPr>
        <w:t> </w:t>
      </w:r>
      <w:r>
        <w:rPr>
          <w:rFonts w:ascii="Times New Roman" w:hAnsi="Times New Roman" w:cs="Times New Roman" w:eastAsia="Times New Roman" w:hint="default"/>
        </w:rPr>
        <w:t>525,000.00</w:t>
      </w:r>
      <w:r>
        <w:rPr>
          <w:rFonts w:ascii="Times New Roman" w:hAnsi="Times New Roman" w:cs="Times New Roman" w:eastAsia="Times New Roman" w:hint="default"/>
          <w:spacing w:val="13"/>
        </w:rPr>
        <w:t> </w:t>
      </w:r>
      <w:r>
        <w:rPr>
          <w:spacing w:val="-6"/>
        </w:rPr>
        <w:t>股，注册资本及股本均为，授予价格为</w:t>
      </w:r>
      <w:r>
        <w:rPr>
          <w:spacing w:val="-40"/>
        </w:rPr>
        <w:t> </w:t>
      </w:r>
      <w:r>
        <w:rPr>
          <w:rFonts w:ascii="Times New Roman" w:hAnsi="Times New Roman" w:cs="Times New Roman" w:eastAsia="Times New Roman" w:hint="default"/>
        </w:rPr>
        <w:t>7.14</w:t>
      </w:r>
      <w:r>
        <w:rPr>
          <w:rFonts w:ascii="Times New Roman" w:hAnsi="Times New Roman" w:cs="Times New Roman" w:eastAsia="Times New Roman" w:hint="default"/>
          <w:spacing w:val="9"/>
        </w:rPr>
        <w:t> </w:t>
      </w:r>
      <w:r>
        <w:rPr>
          <w:spacing w:val="-4"/>
        </w:rPr>
        <w:t>元</w:t>
      </w:r>
      <w:r>
        <w:rPr>
          <w:rFonts w:ascii="Times New Roman" w:hAnsi="Times New Roman" w:cs="Times New Roman" w:eastAsia="Times New Roman" w:hint="default"/>
          <w:spacing w:val="-4"/>
        </w:rPr>
        <w:t>/</w:t>
      </w:r>
      <w:r>
        <w:rPr>
          <w:spacing w:val="-4"/>
        </w:rPr>
        <w:t>股。本次预留部分的限制性</w:t>
      </w:r>
    </w:p>
    <w:p>
      <w:pPr>
        <w:pStyle w:val="BodyText"/>
        <w:spacing w:line="240" w:lineRule="auto" w:before="69"/>
        <w:ind w:left="138" w:right="0"/>
        <w:jc w:val="both"/>
      </w:pPr>
      <w:r>
        <w:rPr/>
        <w:t>股票授予后，公司注册资本及股本均为</w:t>
      </w:r>
      <w:r>
        <w:rPr>
          <w:spacing w:val="-54"/>
        </w:rPr>
        <w:t> </w:t>
      </w:r>
      <w:r>
        <w:rPr>
          <w:rFonts w:ascii="Times New Roman" w:hAnsi="Times New Roman" w:cs="Times New Roman" w:eastAsia="Times New Roman" w:hint="default"/>
        </w:rPr>
        <w:t>407,356,520</w:t>
      </w:r>
      <w:r>
        <w:rPr>
          <w:rFonts w:ascii="Times New Roman" w:hAnsi="Times New Roman" w:cs="Times New Roman" w:eastAsia="Times New Roman" w:hint="default"/>
          <w:spacing w:val="-3"/>
        </w:rPr>
        <w:t> </w:t>
      </w:r>
      <w:r>
        <w:rPr/>
        <w:t>元。</w:t>
      </w:r>
    </w:p>
    <w:p>
      <w:pPr>
        <w:pStyle w:val="BodyText"/>
        <w:spacing w:line="240" w:lineRule="auto" w:before="69"/>
        <w:ind w:left="558" w:right="10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spacing w:val="-3"/>
        </w:rPr>
        <w:t>日，公司完成股权激励计划首次授予的部分限制性股票回购注销工作，董事</w:t>
      </w:r>
    </w:p>
    <w:p>
      <w:pPr>
        <w:pStyle w:val="BodyText"/>
        <w:spacing w:line="240" w:lineRule="auto" w:before="69"/>
        <w:ind w:left="138" w:right="0"/>
        <w:jc w:val="both"/>
      </w:pPr>
      <w:r>
        <w:rPr/>
        <w:t>会根据股东大会的授权对不符合解锁条件的</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名激励对象合计持有的</w:t>
      </w:r>
      <w:r>
        <w:rPr>
          <w:spacing w:val="-64"/>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14"/>
        </w:rPr>
        <w:t> </w:t>
      </w:r>
      <w:r>
        <w:rPr/>
        <w:t>股已获授但尚未解</w:t>
      </w:r>
    </w:p>
    <w:p>
      <w:pPr>
        <w:pStyle w:val="BodyText"/>
        <w:spacing w:line="240" w:lineRule="auto" w:before="69"/>
        <w:ind w:left="138" w:right="0"/>
        <w:jc w:val="both"/>
        <w:rPr>
          <w:rFonts w:ascii="Times New Roman" w:hAnsi="Times New Roman" w:cs="Times New Roman" w:eastAsia="Times New Roman" w:hint="default"/>
        </w:rPr>
      </w:pPr>
      <w:r>
        <w:rPr/>
        <w:t>锁的限制性股票进行回购注销。本次回购注销完成后公司公司注册资本及股本均为 </w:t>
      </w:r>
      <w:r>
        <w:rPr>
          <w:spacing w:val="2"/>
        </w:rPr>
        <w:t> </w:t>
      </w:r>
      <w:r>
        <w:rPr>
          <w:rFonts w:ascii="Times New Roman" w:hAnsi="Times New Roman" w:cs="Times New Roman" w:eastAsia="Times New Roman" w:hint="default"/>
        </w:rPr>
        <w:t>407,097,800</w:t>
      </w:r>
    </w:p>
    <w:p>
      <w:pPr>
        <w:pStyle w:val="BodyText"/>
        <w:spacing w:line="240" w:lineRule="auto" w:before="69"/>
        <w:ind w:left="138" w:right="0"/>
        <w:jc w:val="both"/>
      </w:pPr>
      <w:r>
        <w:rPr/>
        <w:t>元。</w:t>
      </w:r>
    </w:p>
    <w:p>
      <w:pPr>
        <w:pStyle w:val="BodyText"/>
        <w:spacing w:line="297" w:lineRule="auto" w:before="85"/>
        <w:ind w:left="138" w:right="102" w:firstLine="419"/>
        <w:jc w:val="left"/>
      </w:pPr>
      <w:r>
        <w:rPr>
          <w:spacing w:val="-2"/>
        </w:rPr>
        <w:t>公司营业执照记载的统一社会信用代码为：</w:t>
      </w:r>
      <w:r>
        <w:rPr>
          <w:rFonts w:ascii="Times New Roman" w:hAnsi="Times New Roman" w:cs="Times New Roman" w:eastAsia="Times New Roman" w:hint="default"/>
          <w:spacing w:val="-2"/>
        </w:rPr>
        <w:t>91350000743817927G</w:t>
      </w:r>
      <w:r>
        <w:rPr>
          <w:spacing w:val="-2"/>
        </w:rPr>
        <w:t>，注册地址：福建省泉州市</w:t>
      </w:r>
      <w:r>
        <w:rPr>
          <w:w w:val="100"/>
        </w:rPr>
        <w:t> </w:t>
      </w:r>
      <w:r>
        <w:rPr/>
        <w:t>丰泽区丰海路南威大厦</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号楼，法定代表人：吴志雄。</w:t>
      </w:r>
    </w:p>
    <w:p>
      <w:pPr>
        <w:pStyle w:val="BodyText"/>
        <w:spacing w:line="314" w:lineRule="auto" w:before="13"/>
        <w:ind w:left="558" w:right="102"/>
        <w:jc w:val="left"/>
      </w:pPr>
      <w:r>
        <w:rPr/>
        <w:t>公司行业性质：计算机应用服务业。</w:t>
      </w:r>
      <w:r>
        <w:rPr>
          <w:w w:val="100"/>
        </w:rPr>
        <w:t> </w:t>
      </w:r>
      <w:r>
        <w:rPr>
          <w:spacing w:val="-2"/>
        </w:rPr>
        <w:t>公司经营范围：计算机软件开发服务；互联网技术开发与服务；网络安全产品开发与服务；</w:t>
      </w:r>
    </w:p>
    <w:p>
      <w:pPr>
        <w:pStyle w:val="BodyText"/>
        <w:spacing w:line="314" w:lineRule="auto" w:before="20"/>
        <w:ind w:left="138" w:right="112"/>
        <w:jc w:val="both"/>
      </w:pPr>
      <w:r>
        <w:rPr/>
        <w:t>计算机信息系统集成服务；智能化系统集成服务；安防工程的设计与施工服务；技术咨询与运维</w:t>
      </w:r>
      <w:r>
        <w:rPr>
          <w:spacing w:val="-97"/>
        </w:rPr>
        <w:t> </w:t>
      </w:r>
      <w:r>
        <w:rPr>
          <w:spacing w:val="-97"/>
        </w:rPr>
      </w:r>
      <w:r>
        <w:rPr/>
        <w:t>服务；经营本企业生产所需的机械设备、零配件、原辅材料及技术的进口业务；法律、法规及国</w:t>
      </w:r>
      <w:r>
        <w:rPr>
          <w:spacing w:val="-97"/>
        </w:rPr>
        <w:t> </w:t>
      </w:r>
      <w:r>
        <w:rPr>
          <w:spacing w:val="-97"/>
        </w:rPr>
      </w:r>
      <w:r>
        <w:rPr/>
        <w:t>务院决定未禁止且未规定许可的项目自主选择；应经许可的，凭有效许可证件或批准证书经营。</w:t>
      </w:r>
    </w:p>
    <w:p>
      <w:pPr>
        <w:pStyle w:val="BodyText"/>
        <w:spacing w:line="314" w:lineRule="auto" w:before="20"/>
        <w:ind w:left="558" w:right="3048" w:hanging="420"/>
        <w:jc w:val="left"/>
      </w:pPr>
      <w:r>
        <w:rPr>
          <w:spacing w:val="-5"/>
          <w:w w:val="100"/>
        </w:rPr>
        <w:t>（依法须经批准的项目，经相关部门批准后方可开展经营活动）。</w:t>
      </w:r>
      <w:r>
        <w:rPr>
          <w:spacing w:val="-103"/>
          <w:w w:val="100"/>
        </w:rPr>
        <w:t> </w:t>
      </w:r>
      <w:r>
        <w:rPr>
          <w:spacing w:val="-103"/>
          <w:w w:val="100"/>
        </w:rPr>
      </w:r>
      <w:r>
        <w:rPr/>
        <w:t>财务报告批准报出日：</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spacing w:line="240" w:lineRule="auto" w:before="11"/>
        <w:rPr>
          <w:rFonts w:ascii="宋体" w:hAnsi="宋体" w:cs="宋体" w:eastAsia="宋体" w:hint="default"/>
          <w:sz w:val="16"/>
          <w:szCs w:val="16"/>
        </w:rPr>
      </w:pPr>
    </w:p>
    <w:p>
      <w:pPr>
        <w:pStyle w:val="Heading3"/>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spacing w:line="240" w:lineRule="auto" w:before="58"/>
        <w:ind w:left="138" w:right="0"/>
        <w:jc w:val="both"/>
      </w:pPr>
      <w:r>
        <w:rPr/>
        <w:t>√适用  </w:t>
      </w:r>
      <w:r>
        <w:rPr>
          <w:spacing w:val="1"/>
        </w:rPr>
        <w:t> </w:t>
      </w:r>
      <w:r>
        <w:rPr/>
        <w:t>□不适用</w:t>
      </w:r>
    </w:p>
    <w:p>
      <w:pPr>
        <w:spacing w:after="0" w:line="240" w:lineRule="auto"/>
        <w:jc w:val="both"/>
        <w:sectPr>
          <w:headerReference w:type="default" r:id="rId32"/>
          <w:footerReference w:type="default" r:id="rId33"/>
          <w:pgSz w:w="11910" w:h="16840"/>
          <w:pgMar w:header="857" w:footer="979" w:top="1140" w:bottom="1160" w:left="1660" w:right="1060"/>
          <w:pgNumType w:start="94"/>
        </w:sectPr>
      </w:pPr>
    </w:p>
    <w:p>
      <w:pPr>
        <w:spacing w:line="240" w:lineRule="auto" w:before="2"/>
        <w:rPr>
          <w:rFonts w:ascii="宋体" w:hAnsi="宋体" w:cs="宋体" w:eastAsia="宋体" w:hint="default"/>
          <w:sz w:val="29"/>
          <w:szCs w:val="29"/>
        </w:rPr>
      </w:pPr>
    </w:p>
    <w:p>
      <w:pPr>
        <w:pStyle w:val="BodyText"/>
        <w:spacing w:line="309" w:lineRule="auto" w:before="36"/>
        <w:ind w:left="138" w:right="127" w:firstLine="419"/>
        <w:jc w:val="both"/>
      </w:pPr>
      <w:r>
        <w:rPr/>
        <w:t>截至</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日止，本公司合并财务报表范围内子公司共</w:t>
      </w:r>
      <w:r>
        <w:rPr>
          <w:spacing w:val="-53"/>
        </w:rPr>
        <w:t> </w:t>
      </w:r>
      <w:r>
        <w:rPr>
          <w:rFonts w:ascii="Calibri" w:hAnsi="Calibri" w:cs="Calibri" w:eastAsia="Calibri" w:hint="default"/>
        </w:rPr>
        <w:t>42</w:t>
      </w:r>
      <w:r>
        <w:rPr>
          <w:rFonts w:ascii="Calibri" w:hAnsi="Calibri" w:cs="Calibri" w:eastAsia="Calibri" w:hint="default"/>
          <w:spacing w:val="3"/>
        </w:rPr>
        <w:t> </w:t>
      </w:r>
      <w:r>
        <w:rPr/>
        <w:t>家，分别为北京南威科</w:t>
      </w:r>
      <w:r>
        <w:rPr>
          <w:w w:val="100"/>
        </w:rPr>
        <w:t> </w:t>
      </w:r>
      <w:r>
        <w:rPr>
          <w:spacing w:val="-1"/>
        </w:rPr>
        <w:t>技有限公司、宁德南威软件有限公司、厦门市南威软件科技有限公司、福建南威软件有限公司、</w:t>
      </w:r>
      <w:r>
        <w:rPr>
          <w:spacing w:val="-55"/>
        </w:rPr>
        <w:t> </w:t>
      </w:r>
      <w:r>
        <w:rPr>
          <w:spacing w:val="-55"/>
        </w:rPr>
      </w:r>
      <w:r>
        <w:rPr>
          <w:spacing w:val="-1"/>
        </w:rPr>
        <w:t>西安南威信息科技有限责任公司、成都南威软件有限公司、福建神威系统集成有限责任公司、昌</w:t>
      </w:r>
      <w:r>
        <w:rPr>
          <w:spacing w:val="-55"/>
        </w:rPr>
        <w:t> </w:t>
      </w:r>
      <w:r>
        <w:rPr>
          <w:spacing w:val="-55"/>
        </w:rPr>
      </w:r>
      <w:r>
        <w:rPr>
          <w:spacing w:val="-1"/>
        </w:rPr>
        <w:t>吉州南威软件有限公司、江西南威软件有限公司、南平南威软件有限公司、海南科特尔科技有限</w:t>
      </w:r>
      <w:r>
        <w:rPr>
          <w:spacing w:val="-55"/>
        </w:rPr>
        <w:t> </w:t>
      </w:r>
      <w:r>
        <w:rPr>
          <w:spacing w:val="-55"/>
        </w:rPr>
      </w:r>
      <w:r>
        <w:rPr>
          <w:spacing w:val="-1"/>
        </w:rPr>
        <w:t>公司、上海南信信息科技有限公司、重庆南威信息技术有限公司、北京万创聚力科技有限公司、</w:t>
      </w:r>
      <w:r>
        <w:rPr>
          <w:spacing w:val="-55"/>
        </w:rPr>
        <w:t> </w:t>
      </w:r>
      <w:r>
        <w:rPr>
          <w:spacing w:val="-55"/>
        </w:rPr>
      </w:r>
      <w:r>
        <w:rPr>
          <w:spacing w:val="-1"/>
        </w:rPr>
        <w:t>平潭力信软件有限公司、福建网链科技有限公司、安徽国正信息科技有限公司、浙江易政信息技</w:t>
      </w:r>
      <w:r>
        <w:rPr>
          <w:spacing w:val="-55"/>
        </w:rPr>
        <w:t> </w:t>
      </w:r>
      <w:r>
        <w:rPr>
          <w:spacing w:val="-55"/>
        </w:rPr>
      </w:r>
      <w:r>
        <w:rPr>
          <w:spacing w:val="-1"/>
        </w:rPr>
        <w:t>术有限公司、安溪县南威信息科技有限公司、北京南威水科技术有限公司、北京南威思明德大数</w:t>
      </w:r>
      <w:r>
        <w:rPr>
          <w:spacing w:val="-56"/>
        </w:rPr>
        <w:t> </w:t>
      </w:r>
      <w:r>
        <w:rPr>
          <w:spacing w:val="-56"/>
        </w:rPr>
      </w:r>
      <w:r>
        <w:rPr>
          <w:spacing w:val="-1"/>
        </w:rPr>
        <w:t>据科技有限公司、福建南威资产管理有限公司、甘肃南威信息技术有限公司、北京万创聚力资产</w:t>
      </w:r>
    </w:p>
    <w:p>
      <w:pPr>
        <w:pStyle w:val="BodyText"/>
        <w:spacing w:line="314" w:lineRule="auto" w:before="24"/>
        <w:ind w:left="138" w:right="128"/>
        <w:jc w:val="both"/>
      </w:pPr>
      <w:r>
        <w:rPr>
          <w:spacing w:val="-1"/>
        </w:rPr>
        <w:t>管理有限公司、南威软件（海南）有限公司、上海宜喆智能科技有限公司、安徽睿谷微云智慧科</w:t>
      </w:r>
      <w:r>
        <w:rPr>
          <w:spacing w:val="-55"/>
        </w:rPr>
        <w:t> </w:t>
      </w:r>
      <w:r>
        <w:rPr>
          <w:spacing w:val="-55"/>
        </w:rPr>
      </w:r>
      <w:r>
        <w:rPr>
          <w:spacing w:val="-1"/>
        </w:rPr>
        <w:t>技有限公司、福建宜喆智能科技有限公司、南京迅奇信信息技术有限公司、宁波宁威信息科技有</w:t>
      </w:r>
      <w:r>
        <w:rPr>
          <w:spacing w:val="-55"/>
        </w:rPr>
        <w:t> </w:t>
      </w:r>
      <w:r>
        <w:rPr>
          <w:spacing w:val="-55"/>
        </w:rPr>
      </w:r>
      <w:r>
        <w:rPr>
          <w:spacing w:val="-1"/>
        </w:rPr>
        <w:t>限公司、江苏南威汇鼎信息技术有限公司、智慧城市（泉州丰泽）运营管理有限公司、福建威盾</w:t>
      </w:r>
      <w:r>
        <w:rPr>
          <w:spacing w:val="-55"/>
        </w:rPr>
        <w:t> </w:t>
      </w:r>
      <w:r>
        <w:rPr>
          <w:spacing w:val="-55"/>
        </w:rPr>
      </w:r>
      <w:r>
        <w:rPr>
          <w:spacing w:val="-1"/>
        </w:rPr>
        <w:t>科技有限公司、泉州威盾智能交通系统有限公司、广西弘政软件有限公司、福建腾匠科技有限公</w:t>
      </w:r>
      <w:r>
        <w:rPr>
          <w:spacing w:val="-55"/>
        </w:rPr>
        <w:t> </w:t>
      </w:r>
      <w:r>
        <w:rPr>
          <w:spacing w:val="-55"/>
        </w:rPr>
      </w:r>
      <w:r>
        <w:rPr>
          <w:spacing w:val="-7"/>
        </w:rPr>
        <w:t>司、福建致远数据科技有限责任公司、福建众帮科技有限公司、泉州双创聚力科技有限责任公司、</w:t>
      </w:r>
      <w:r>
        <w:rPr>
          <w:spacing w:val="-14"/>
        </w:rPr>
        <w:t> </w:t>
      </w:r>
      <w:r>
        <w:rPr>
          <w:spacing w:val="-14"/>
        </w:rPr>
      </w:r>
      <w:r>
        <w:rPr>
          <w:spacing w:val="-1"/>
        </w:rPr>
        <w:t>前海昱虹南威信息科技（深圳）有限公司、河南联政创威信息技术有限公司、宿州国正信息科技</w:t>
      </w:r>
    </w:p>
    <w:p>
      <w:pPr>
        <w:spacing w:line="273" w:lineRule="auto" w:before="20"/>
        <w:ind w:left="138" w:right="1320" w:firstLine="0"/>
        <w:jc w:val="left"/>
        <w:rPr>
          <w:rFonts w:ascii="宋体" w:hAnsi="宋体" w:cs="宋体" w:eastAsia="宋体" w:hint="default"/>
          <w:sz w:val="21"/>
          <w:szCs w:val="21"/>
        </w:rPr>
      </w:pPr>
      <w:r>
        <w:rPr>
          <w:rFonts w:ascii="宋体" w:hAnsi="宋体" w:cs="宋体" w:eastAsia="宋体" w:hint="default"/>
          <w:sz w:val="21"/>
          <w:szCs w:val="21"/>
        </w:rPr>
        <w:t>有限公司；本年度合并范围比上年度增加</w:t>
      </w:r>
      <w:r>
        <w:rPr>
          <w:rFonts w:ascii="宋体" w:hAnsi="宋体" w:cs="宋体" w:eastAsia="宋体" w:hint="default"/>
          <w:spacing w:val="-56"/>
          <w:sz w:val="21"/>
          <w:szCs w:val="21"/>
        </w:rPr>
        <w:t> </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户，详见附注</w:t>
      </w:r>
      <w:r>
        <w:rPr>
          <w:rFonts w:ascii="Calibri" w:hAnsi="Calibri" w:cs="Calibri" w:eastAsia="Calibri" w:hint="default"/>
          <w:sz w:val="21"/>
          <w:szCs w:val="21"/>
        </w:rPr>
        <w:t>“</w:t>
      </w:r>
      <w:r>
        <w:rPr>
          <w:rFonts w:ascii="宋体" w:hAnsi="宋体" w:cs="宋体" w:eastAsia="宋体" w:hint="default"/>
          <w:sz w:val="21"/>
          <w:szCs w:val="21"/>
        </w:rPr>
        <w:t>六、合并范围的变更</w:t>
      </w:r>
      <w:r>
        <w:rPr>
          <w:rFonts w:ascii="Calibri" w:hAnsi="Calibri" w:cs="Calibri" w:eastAsia="Calibri"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四、财务报表的编制基础</w:t>
      </w:r>
      <w:r>
        <w:rPr>
          <w:rFonts w:ascii="宋体" w:hAnsi="宋体" w:cs="宋体" w:eastAsia="宋体" w:hint="default"/>
          <w:sz w:val="21"/>
          <w:szCs w:val="21"/>
        </w:rPr>
      </w:r>
    </w:p>
    <w:p>
      <w:pPr>
        <w:pStyle w:val="Heading3"/>
        <w:spacing w:line="240" w:lineRule="auto" w:before="29"/>
        <w:ind w:left="138" w:right="0"/>
        <w:jc w:val="both"/>
        <w:rPr>
          <w:b w:val="0"/>
          <w:bCs w:val="0"/>
        </w:rPr>
      </w:pPr>
      <w:r>
        <w:rPr>
          <w:rFonts w:ascii="宋体" w:hAnsi="宋体" w:cs="宋体" w:eastAsia="宋体" w:hint="default"/>
        </w:rPr>
        <w:t>1. </w:t>
      </w:r>
      <w:r>
        <w:rPr>
          <w:rFonts w:ascii="宋体" w:hAnsi="宋体" w:cs="宋体" w:eastAsia="宋体" w:hint="default"/>
          <w:spacing w:val="2"/>
        </w:rPr>
        <w:t> </w:t>
      </w:r>
      <w:r>
        <w:rPr/>
        <w:t>编制基础</w:t>
      </w:r>
      <w:r>
        <w:rPr>
          <w:b w:val="0"/>
          <w:bCs w:val="0"/>
        </w:rPr>
      </w:r>
    </w:p>
    <w:p>
      <w:pPr>
        <w:pStyle w:val="BodyText"/>
        <w:spacing w:line="314" w:lineRule="auto" w:before="133"/>
        <w:ind w:left="138" w:right="128" w:firstLine="419"/>
        <w:jc w:val="both"/>
      </w:pPr>
      <w:r>
        <w:rPr>
          <w:spacing w:val="-1"/>
        </w:rPr>
        <w:t>公司以持续经营为基础，根据实际发生的交易和事项，按照《企业会计准则——基本准则》</w:t>
      </w:r>
      <w:r>
        <w:rPr>
          <w:w w:val="100"/>
        </w:rPr>
        <w:t> </w:t>
      </w:r>
      <w:r>
        <w:rPr>
          <w:spacing w:val="-1"/>
        </w:rPr>
        <w:t>和其他各项具体会计准则、应用指南、准则解释及其他相关规定（以下合称企业会计准则）进行</w:t>
      </w:r>
      <w:r>
        <w:rPr>
          <w:spacing w:val="-55"/>
        </w:rPr>
        <w:t> </w:t>
      </w:r>
      <w:r>
        <w:rPr>
          <w:spacing w:val="-55"/>
        </w:rPr>
      </w:r>
      <w:r>
        <w:rPr>
          <w:spacing w:val="-1"/>
        </w:rPr>
        <w:t>确认和计量，在此基础上结合中国证券监督管理委员会《公开发行证券的公司信息披露编报规则</w:t>
      </w:r>
      <w:r>
        <w:rPr>
          <w:spacing w:val="-55"/>
        </w:rPr>
        <w:t> </w:t>
      </w:r>
      <w:r>
        <w:rPr>
          <w:spacing w:val="-55"/>
        </w:rPr>
      </w:r>
      <w:r>
        <w:rPr>
          <w:w w:val="100"/>
        </w:rPr>
        <w:t>第 </w:t>
      </w:r>
      <w:r>
        <w:rPr>
          <w:rFonts w:ascii="Calibri" w:hAnsi="Calibri" w:cs="Calibri" w:eastAsia="Calibri" w:hint="default"/>
          <w:spacing w:val="-1"/>
          <w:w w:val="100"/>
        </w:rPr>
        <w:t>15</w:t>
      </w:r>
      <w:r>
        <w:rPr>
          <w:rFonts w:ascii="Calibri" w:hAnsi="Calibri" w:cs="Calibri" w:eastAsia="Calibri" w:hint="default"/>
          <w:w w:val="100"/>
        </w:rPr>
        <w:t> </w:t>
      </w:r>
      <w:r>
        <w:rPr>
          <w:spacing w:val="-8"/>
          <w:w w:val="100"/>
        </w:rPr>
        <w:t>号</w:t>
      </w:r>
      <w:r>
        <w:rPr>
          <w:rFonts w:ascii="Calibri" w:hAnsi="Calibri" w:cs="Calibri" w:eastAsia="Calibri" w:hint="default"/>
          <w:spacing w:val="-8"/>
          <w:w w:val="100"/>
        </w:rPr>
        <w:t>——</w:t>
      </w:r>
      <w:r>
        <w:rPr>
          <w:spacing w:val="-8"/>
          <w:w w:val="100"/>
        </w:rPr>
        <w:t>财务报告的一般规定》（</w:t>
      </w:r>
      <w:r>
        <w:rPr>
          <w:rFonts w:ascii="Calibri" w:hAnsi="Calibri" w:cs="Calibri" w:eastAsia="Calibri" w:hint="default"/>
          <w:spacing w:val="-8"/>
          <w:w w:val="100"/>
        </w:rPr>
        <w:t>2014</w:t>
      </w:r>
      <w:r>
        <w:rPr>
          <w:rFonts w:ascii="Calibri" w:hAnsi="Calibri" w:cs="Calibri" w:eastAsia="Calibri" w:hint="default"/>
          <w:spacing w:val="-21"/>
          <w:w w:val="100"/>
        </w:rPr>
        <w:t> </w:t>
      </w:r>
      <w:r>
        <w:rPr>
          <w:spacing w:val="-2"/>
          <w:w w:val="100"/>
        </w:rPr>
        <w:t>年修订）的规定，编制财务报表。</w:t>
      </w:r>
    </w:p>
    <w:p>
      <w:pPr>
        <w:spacing w:line="240" w:lineRule="auto" w:before="9"/>
        <w:rPr>
          <w:rFonts w:ascii="宋体" w:hAnsi="宋体" w:cs="宋体" w:eastAsia="宋体" w:hint="default"/>
          <w:sz w:val="16"/>
          <w:szCs w:val="16"/>
        </w:rPr>
      </w:pPr>
    </w:p>
    <w:p>
      <w:pPr>
        <w:pStyle w:val="Heading3"/>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40" w:lineRule="auto" w:before="58"/>
        <w:ind w:left="138" w:right="0"/>
        <w:jc w:val="both"/>
      </w:pPr>
      <w:r>
        <w:rPr/>
        <w:t>√适用  </w:t>
      </w:r>
      <w:r>
        <w:rPr>
          <w:spacing w:val="1"/>
        </w:rPr>
        <w:t> </w:t>
      </w:r>
      <w:r>
        <w:rPr/>
        <w:t>□不适用</w:t>
      </w:r>
    </w:p>
    <w:p>
      <w:pPr>
        <w:pStyle w:val="BodyText"/>
        <w:spacing w:line="240" w:lineRule="auto" w:before="73"/>
        <w:ind w:left="558" w:right="130"/>
        <w:jc w:val="left"/>
      </w:pPr>
      <w:r>
        <w:rPr/>
        <w:t>公司自本报告期末起至少</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个月内具备持续经营能力，无影响持续经营能力的重大事项。</w:t>
      </w:r>
    </w:p>
    <w:p>
      <w:pPr>
        <w:spacing w:line="240" w:lineRule="auto" w:before="8"/>
        <w:rPr>
          <w:rFonts w:ascii="宋体" w:hAnsi="宋体" w:cs="宋体" w:eastAsia="宋体" w:hint="default"/>
          <w:sz w:val="23"/>
          <w:szCs w:val="23"/>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45" w:lineRule="exact"/>
        <w:ind w:left="138" w:right="0"/>
        <w:jc w:val="both"/>
      </w:pP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314" w:lineRule="auto" w:before="58"/>
        <w:ind w:left="138" w:right="130" w:firstLine="419"/>
        <w:jc w:val="both"/>
      </w:pPr>
      <w:r>
        <w:rPr>
          <w:spacing w:val="-2"/>
        </w:rPr>
        <w:t>具体会计政策和会计估计提示：以下披露内容已涵盖本公司实际生产经营特点制定的具体会</w:t>
      </w:r>
      <w:r>
        <w:rPr>
          <w:w w:val="100"/>
        </w:rPr>
        <w:t> </w:t>
      </w:r>
      <w:r>
        <w:rPr/>
        <w:t>计政策及会计估计。</w:t>
      </w:r>
    </w:p>
    <w:p>
      <w:pPr>
        <w:spacing w:line="240" w:lineRule="auto" w:before="11"/>
        <w:rPr>
          <w:rFonts w:ascii="宋体" w:hAnsi="宋体" w:cs="宋体" w:eastAsia="宋体" w:hint="default"/>
          <w:sz w:val="19"/>
          <w:szCs w:val="19"/>
        </w:rPr>
      </w:pPr>
    </w:p>
    <w:p>
      <w:pPr>
        <w:tabs>
          <w:tab w:pos="562" w:val="left" w:leader="none"/>
        </w:tabs>
        <w:spacing w:line="357" w:lineRule="auto" w:before="0"/>
        <w:ind w:left="558" w:right="130"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公司编制的财务报表符合企业会计准则的要求，真实、完整地反映了公司的财务状况、经营</w:t>
      </w:r>
    </w:p>
    <w:p>
      <w:pPr>
        <w:pStyle w:val="BodyText"/>
        <w:spacing w:line="257" w:lineRule="exact"/>
        <w:ind w:left="138" w:right="0"/>
        <w:jc w:val="both"/>
      </w:pPr>
      <w:r>
        <w:rPr/>
        <w:t>成果和现金流量等有关信息。</w:t>
      </w:r>
    </w:p>
    <w:p>
      <w:pPr>
        <w:spacing w:line="240" w:lineRule="auto" w:before="9"/>
        <w:rPr>
          <w:rFonts w:ascii="宋体" w:hAnsi="宋体" w:cs="宋体" w:eastAsia="宋体" w:hint="default"/>
          <w:sz w:val="24"/>
          <w:szCs w:val="24"/>
        </w:rPr>
      </w:pPr>
    </w:p>
    <w:p>
      <w:pPr>
        <w:pStyle w:val="Heading3"/>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left="138" w:right="0"/>
        <w:jc w:val="both"/>
      </w:pPr>
      <w:r>
        <w:rPr/>
        <w:t>公司会计年度自公历每年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after="0" w:line="240" w:lineRule="auto"/>
        <w:jc w:val="both"/>
        <w:sectPr>
          <w:pgSz w:w="11910" w:h="16840"/>
          <w:pgMar w:header="857" w:footer="979" w:top="1140" w:bottom="1160" w:left="1660" w:right="1140"/>
        </w:sectPr>
      </w:pPr>
    </w:p>
    <w:p>
      <w:pPr>
        <w:spacing w:line="240" w:lineRule="auto" w:before="4"/>
        <w:rPr>
          <w:rFonts w:ascii="宋体" w:hAnsi="宋体" w:cs="宋体" w:eastAsia="宋体" w:hint="default"/>
          <w:sz w:val="23"/>
          <w:szCs w:val="23"/>
        </w:rPr>
      </w:pPr>
    </w:p>
    <w:p>
      <w:pPr>
        <w:pStyle w:val="Heading3"/>
        <w:spacing w:line="240" w:lineRule="auto" w:before="36"/>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3" w:lineRule="exact" w:before="58"/>
        <w:ind w:left="138" w:right="0"/>
        <w:jc w:val="both"/>
      </w:pPr>
      <w:r>
        <w:rPr/>
        <w:t>√适用  </w:t>
      </w:r>
      <w:r>
        <w:rPr>
          <w:spacing w:val="1"/>
        </w:rPr>
        <w:t> </w:t>
      </w:r>
      <w:r>
        <w:rPr/>
        <w:t>□不适用</w:t>
      </w:r>
    </w:p>
    <w:p>
      <w:pPr>
        <w:pStyle w:val="BodyText"/>
        <w:spacing w:line="289" w:lineRule="exact"/>
        <w:ind w:left="138" w:right="0"/>
        <w:jc w:val="both"/>
      </w:pPr>
      <w:r>
        <w:rPr/>
        <w:t>公司以</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个月作为一个营业周期。</w:t>
      </w:r>
    </w:p>
    <w:p>
      <w:pPr>
        <w:spacing w:line="240" w:lineRule="auto" w:before="12"/>
        <w:rPr>
          <w:rFonts w:ascii="宋体" w:hAnsi="宋体" w:cs="宋体" w:eastAsia="宋体" w:hint="default"/>
          <w:sz w:val="22"/>
          <w:szCs w:val="22"/>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公司以人民币作为记账本位币。</w:t>
      </w:r>
    </w:p>
    <w:p>
      <w:pPr>
        <w:spacing w:line="240" w:lineRule="auto" w:before="7"/>
        <w:rPr>
          <w:rFonts w:ascii="宋体" w:hAnsi="宋体" w:cs="宋体" w:eastAsia="宋体" w:hint="default"/>
          <w:sz w:val="20"/>
          <w:szCs w:val="20"/>
        </w:rPr>
      </w:pPr>
    </w:p>
    <w:p>
      <w:pPr>
        <w:pStyle w:val="Heading3"/>
        <w:spacing w:line="240" w:lineRule="auto"/>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40" w:lineRule="auto" w:before="58"/>
        <w:ind w:left="138" w:right="0"/>
        <w:jc w:val="both"/>
      </w:pPr>
      <w:r>
        <w:rPr/>
        <w:t>√适用  </w:t>
      </w:r>
      <w:r>
        <w:rPr>
          <w:spacing w:val="1"/>
        </w:rPr>
        <w:t> </w:t>
      </w:r>
      <w:r>
        <w:rPr/>
        <w:t>□不适用</w:t>
      </w:r>
    </w:p>
    <w:p>
      <w:pPr>
        <w:pStyle w:val="BodyText"/>
        <w:spacing w:line="297" w:lineRule="auto" w:before="73"/>
        <w:ind w:left="558" w:right="102"/>
        <w:jc w:val="left"/>
      </w:pPr>
      <w:r>
        <w:rPr/>
        <w:t>（</w:t>
      </w:r>
      <w:r>
        <w:rPr>
          <w:rFonts w:ascii="Times New Roman" w:hAnsi="Times New Roman" w:cs="Times New Roman" w:eastAsia="Times New Roman" w:hint="default"/>
        </w:rPr>
        <w:t>1</w:t>
      </w:r>
      <w:r>
        <w:rPr/>
        <w:t>）同一控制下企业合并</w:t>
      </w:r>
      <w:r>
        <w:rPr>
          <w:w w:val="100"/>
        </w:rPr>
        <w:t> </w:t>
      </w:r>
      <w:r>
        <w:rPr>
          <w:spacing w:val="-2"/>
        </w:rPr>
        <w:t>本公司在企业合并中取得的资产和负债，按照合并日在被合并方的账面价值计量。在合并中</w:t>
      </w:r>
    </w:p>
    <w:p>
      <w:pPr>
        <w:pStyle w:val="BodyText"/>
        <w:spacing w:line="314" w:lineRule="auto" w:before="34"/>
        <w:ind w:left="138" w:right="208"/>
        <w:jc w:val="both"/>
      </w:pPr>
      <w:r>
        <w:rPr>
          <w:spacing w:val="-1"/>
        </w:rPr>
        <w:t>取得的净资产账面价值与支付的合并对价账面价值（或发行股份面值总额）的差额，调整资本公</w:t>
      </w:r>
      <w:r>
        <w:rPr>
          <w:spacing w:val="-55"/>
        </w:rPr>
        <w:t> </w:t>
      </w:r>
      <w:r>
        <w:rPr>
          <w:spacing w:val="-55"/>
        </w:rPr>
      </w:r>
      <w:r>
        <w:rPr/>
        <w:t>积中的股本溢价，资本公积中的股本溢价不足冲减的，调整留存收益。</w:t>
      </w:r>
    </w:p>
    <w:p>
      <w:pPr>
        <w:pStyle w:val="BodyText"/>
        <w:spacing w:line="297" w:lineRule="auto" w:before="20"/>
        <w:ind w:left="558" w:right="102"/>
        <w:jc w:val="left"/>
      </w:pPr>
      <w:r>
        <w:rPr/>
        <w:t>（</w:t>
      </w:r>
      <w:r>
        <w:rPr>
          <w:rFonts w:ascii="Times New Roman" w:hAnsi="Times New Roman" w:cs="Times New Roman" w:eastAsia="Times New Roman" w:hint="default"/>
        </w:rPr>
        <w:t>2</w:t>
      </w:r>
      <w:r>
        <w:rPr/>
        <w:t>）非同一控制下企业合并</w:t>
      </w:r>
      <w:r>
        <w:rPr>
          <w:w w:val="100"/>
        </w:rPr>
        <w:t> </w:t>
      </w:r>
      <w:r>
        <w:rPr>
          <w:spacing w:val="-2"/>
        </w:rPr>
        <w:t>本公司在购买日对作为企业合并对价付出的资产、发生或承担的负债以及发行的权益性证券</w:t>
      </w:r>
    </w:p>
    <w:p>
      <w:pPr>
        <w:pStyle w:val="BodyText"/>
        <w:spacing w:line="314" w:lineRule="auto" w:before="34"/>
        <w:ind w:left="138" w:right="208"/>
        <w:jc w:val="both"/>
      </w:pPr>
      <w:r>
        <w:rPr>
          <w:spacing w:val="-1"/>
        </w:rPr>
        <w:t>按照公允价值计量，公允价值与其账面价值的差额，计入当期损益。本公司对合并成本大于合并</w:t>
      </w:r>
      <w:r>
        <w:rPr>
          <w:spacing w:val="-55"/>
        </w:rPr>
        <w:t> </w:t>
      </w:r>
      <w:r>
        <w:rPr>
          <w:spacing w:val="-55"/>
        </w:rPr>
      </w:r>
      <w:r>
        <w:rPr>
          <w:spacing w:val="-1"/>
        </w:rPr>
        <w:t>中取得的被购买方可辨认净资产公允价值份额的差额，确认为商誉；如果合并成本小于合并中取</w:t>
      </w:r>
      <w:r>
        <w:rPr>
          <w:spacing w:val="-55"/>
        </w:rPr>
        <w:t> </w:t>
      </w:r>
      <w:r>
        <w:rPr>
          <w:spacing w:val="-55"/>
        </w:rPr>
      </w:r>
      <w:r>
        <w:rPr>
          <w:spacing w:val="-1"/>
        </w:rPr>
        <w:t>得的被购买方可辨认净资产公允价值份额的，本公司对合并中取得的资产、负债的公允价值、作</w:t>
      </w:r>
      <w:r>
        <w:rPr>
          <w:spacing w:val="-55"/>
        </w:rPr>
        <w:t> </w:t>
      </w:r>
      <w:r>
        <w:rPr>
          <w:spacing w:val="-55"/>
        </w:rPr>
      </w:r>
      <w:r>
        <w:rPr>
          <w:spacing w:val="-1"/>
        </w:rPr>
        <w:t>为合并对价的非现金资产或发行的权益性证券等的公允价值进行复核，复核结果表明所确定的被</w:t>
      </w:r>
      <w:r>
        <w:rPr>
          <w:spacing w:val="-55"/>
        </w:rPr>
        <w:t> </w:t>
      </w:r>
      <w:r>
        <w:rPr>
          <w:spacing w:val="-55"/>
        </w:rPr>
      </w:r>
      <w:r>
        <w:rPr>
          <w:spacing w:val="-1"/>
        </w:rPr>
        <w:t>购买方各项可辨认资产和负债的公允价值确定是恰当的，将企业合并成本低于取得的被购买方可</w:t>
      </w:r>
      <w:r>
        <w:rPr>
          <w:spacing w:val="-55"/>
        </w:rPr>
        <w:t> </w:t>
      </w:r>
      <w:r>
        <w:rPr>
          <w:spacing w:val="-55"/>
        </w:rPr>
      </w:r>
      <w:r>
        <w:rPr/>
        <w:t>辨认净资产公允价值份额之间的差额，计入合并当期的营业外收入。</w:t>
      </w:r>
    </w:p>
    <w:p>
      <w:pPr>
        <w:pStyle w:val="BodyText"/>
        <w:spacing w:line="312" w:lineRule="auto" w:before="20"/>
        <w:ind w:left="138" w:right="97" w:firstLine="419"/>
        <w:jc w:val="left"/>
      </w:pPr>
      <w:r>
        <w:rPr/>
        <w:t>通过多次交易分步实现非同一控制下的企业合并：①在个别财务报表中，以购买日之前所持</w:t>
      </w:r>
      <w:r>
        <w:rPr>
          <w:w w:val="100"/>
        </w:rPr>
        <w:t> </w:t>
      </w:r>
      <w:r>
        <w:rPr/>
        <w:t>被购买方的股权投资的账面价值与购买日新增投资成本之和，作为该项投资的初始投资成本。购</w:t>
      </w:r>
      <w:r>
        <w:rPr>
          <w:spacing w:val="-97"/>
        </w:rPr>
        <w:t> </w:t>
      </w:r>
      <w:r>
        <w:rPr>
          <w:spacing w:val="-97"/>
        </w:rPr>
      </w:r>
      <w:r>
        <w:rPr/>
        <w:t>买日之前持有的股权投资因采用权益法核算而确认的其他综合收益，在处置该项投资时采用与被</w:t>
      </w:r>
      <w:r>
        <w:rPr>
          <w:spacing w:val="-97"/>
        </w:rPr>
        <w:t> </w:t>
      </w:r>
      <w:r>
        <w:rPr>
          <w:spacing w:val="-97"/>
        </w:rPr>
      </w:r>
      <w:r>
        <w:rPr/>
        <w:t>投资单位直接处置相关资产或负债相同的基础进行会计处理；因被投资方除净损益、其他综合收</w:t>
      </w:r>
      <w:r>
        <w:rPr>
          <w:spacing w:val="-97"/>
        </w:rPr>
        <w:t> </w:t>
      </w:r>
      <w:r>
        <w:rPr>
          <w:spacing w:val="-97"/>
        </w:rPr>
      </w:r>
      <w:r>
        <w:rPr/>
        <w:t>益和利润分配以外的其他所有者权益变动而确认的所有者权益，在处置该项投资时转入处置期间</w:t>
      </w:r>
      <w:r>
        <w:rPr>
          <w:spacing w:val="-97"/>
        </w:rPr>
        <w:t> </w:t>
      </w:r>
      <w:r>
        <w:rPr>
          <w:spacing w:val="-97"/>
        </w:rPr>
      </w:r>
      <w:r>
        <w:rPr/>
        <w:t>的当期损益。购买日之前持有的股权投资按照《企业会计准则第</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w:t>
      </w:r>
      <w:r>
        <w:rPr>
          <w:w w:val="100"/>
        </w:rPr>
        <w:t> </w:t>
      </w:r>
      <w:r>
        <w:rPr/>
        <w:t>的有关规定进行会计处理的，原计入其他综合收益的累计公允价值变动在改按成本法核算时转入</w:t>
      </w:r>
      <w:r>
        <w:rPr>
          <w:spacing w:val="-97"/>
        </w:rPr>
        <w:t> </w:t>
      </w:r>
      <w:r>
        <w:rPr>
          <w:spacing w:val="-97"/>
        </w:rPr>
      </w:r>
      <w:r>
        <w:rPr/>
        <w:t>当期损益。②在合并财务报表中，合并成本为购买日支付的对价与购买日之前已经持有的被购买</w:t>
      </w:r>
      <w:r>
        <w:rPr>
          <w:spacing w:val="-98"/>
        </w:rPr>
        <w:t> </w:t>
      </w:r>
      <w:r>
        <w:rPr>
          <w:spacing w:val="-98"/>
        </w:rPr>
      </w:r>
      <w:r>
        <w:rPr/>
        <w:t>方的股权在购买日的公允价值之和；对于购买日之前已经持有的被购买方的股权，按照该股权在</w:t>
      </w:r>
      <w:r>
        <w:rPr>
          <w:spacing w:val="-97"/>
        </w:rPr>
        <w:t> </w:t>
      </w:r>
      <w:r>
        <w:rPr>
          <w:spacing w:val="-97"/>
        </w:rPr>
      </w:r>
      <w:r>
        <w:rPr/>
        <w:t>购买日的公允价值进行重新计量，公允价值与其账面价值之间的差额计入当期投资收益；购买日</w:t>
      </w:r>
      <w:r>
        <w:rPr>
          <w:spacing w:val="-97"/>
        </w:rPr>
        <w:t> </w:t>
      </w:r>
      <w:r>
        <w:rPr>
          <w:spacing w:val="-97"/>
        </w:rPr>
      </w:r>
      <w:r>
        <w:rPr/>
        <w:t>之前已经持有的被购买方的股权涉及其他综合收益、其他所有者权益变动转为购买日所属当期投</w:t>
      </w:r>
      <w:r>
        <w:rPr>
          <w:spacing w:val="-97"/>
        </w:rPr>
        <w:t> </w:t>
      </w:r>
      <w:r>
        <w:rPr>
          <w:spacing w:val="-97"/>
        </w:rPr>
      </w:r>
      <w:r>
        <w:rPr/>
        <w:t>资收益，由于被投资方重新计量设定收益计划净负债或净资产变动而产生的其他综合收益除外。</w:t>
      </w:r>
    </w:p>
    <w:p>
      <w:pPr>
        <w:pStyle w:val="BodyText"/>
        <w:spacing w:line="297" w:lineRule="auto" w:before="22"/>
        <w:ind w:left="558" w:right="102"/>
        <w:jc w:val="left"/>
      </w:pPr>
      <w:r>
        <w:rPr/>
        <w:t>（</w:t>
      </w:r>
      <w:r>
        <w:rPr>
          <w:rFonts w:ascii="Times New Roman" w:hAnsi="Times New Roman" w:cs="Times New Roman" w:eastAsia="Times New Roman" w:hint="default"/>
        </w:rPr>
        <w:t>3</w:t>
      </w:r>
      <w:r>
        <w:rPr/>
        <w:t>）企业合并中有关交易费用的处理</w:t>
      </w:r>
      <w:r>
        <w:rPr>
          <w:w w:val="100"/>
        </w:rPr>
        <w:t> </w:t>
      </w:r>
      <w:r>
        <w:rPr>
          <w:spacing w:val="-2"/>
        </w:rPr>
        <w:t>为企业合并发生的审计、法律服务、评估咨询等中介费用以及其他直接相关费用，于发生时</w:t>
      </w:r>
    </w:p>
    <w:p>
      <w:pPr>
        <w:pStyle w:val="BodyText"/>
        <w:spacing w:line="314" w:lineRule="auto" w:before="34"/>
        <w:ind w:left="138" w:right="208"/>
        <w:jc w:val="both"/>
      </w:pPr>
      <w:r>
        <w:rPr>
          <w:spacing w:val="-1"/>
        </w:rPr>
        <w:t>计入当期损益；企业合并发行的债券或承担其他债务支付的手续费、佣金等，计入所发行债券及</w:t>
      </w:r>
      <w:r>
        <w:rPr>
          <w:spacing w:val="-55"/>
        </w:rPr>
        <w:t> </w:t>
      </w:r>
      <w:r>
        <w:rPr>
          <w:spacing w:val="-55"/>
        </w:rPr>
      </w:r>
      <w:r>
        <w:rPr>
          <w:spacing w:val="-6"/>
          <w:w w:val="100"/>
        </w:rPr>
        <w:t>其他债务的初始计量金额；为企业合并而发行权益性证券的交易费用，抵减权益性证券溢价收入，</w:t>
      </w:r>
      <w:r>
        <w:rPr>
          <w:w w:val="100"/>
        </w:rPr>
        <w:t> </w:t>
      </w:r>
      <w:r>
        <w:rPr/>
        <w:t>溢价收入不足冲减的，冲减留存收益。</w:t>
      </w:r>
    </w:p>
    <w:p>
      <w:pPr>
        <w:spacing w:after="0" w:line="314" w:lineRule="auto"/>
        <w:jc w:val="both"/>
        <w:sectPr>
          <w:pgSz w:w="11910" w:h="16840"/>
          <w:pgMar w:header="857" w:footer="979" w:top="1140" w:bottom="1160" w:left="1660" w:right="1060"/>
        </w:sectPr>
      </w:pPr>
    </w:p>
    <w:p>
      <w:pPr>
        <w:spacing w:line="240" w:lineRule="auto" w:before="4"/>
        <w:rPr>
          <w:rFonts w:ascii="宋体" w:hAnsi="宋体" w:cs="宋体" w:eastAsia="宋体" w:hint="default"/>
          <w:sz w:val="23"/>
          <w:szCs w:val="23"/>
        </w:rPr>
      </w:pPr>
    </w:p>
    <w:p>
      <w:pPr>
        <w:pStyle w:val="Heading3"/>
        <w:spacing w:line="240" w:lineRule="auto" w:before="36"/>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40" w:lineRule="auto" w:before="58"/>
        <w:ind w:left="138" w:right="0"/>
        <w:jc w:val="both"/>
      </w:pPr>
      <w:r>
        <w:rPr/>
        <w:t>√适用  </w:t>
      </w:r>
      <w:r>
        <w:rPr>
          <w:spacing w:val="1"/>
        </w:rPr>
        <w:t> </w:t>
      </w:r>
      <w:r>
        <w:rPr/>
        <w:t>□不适用</w:t>
      </w:r>
    </w:p>
    <w:p>
      <w:pPr>
        <w:pStyle w:val="BodyText"/>
        <w:spacing w:line="297" w:lineRule="auto" w:before="73"/>
        <w:ind w:left="558" w:right="102"/>
        <w:jc w:val="left"/>
      </w:pPr>
      <w:r>
        <w:rPr/>
        <w:t>（</w:t>
      </w:r>
      <w:r>
        <w:rPr>
          <w:rFonts w:ascii="Times New Roman" w:hAnsi="Times New Roman" w:cs="Times New Roman" w:eastAsia="Times New Roman" w:hint="default"/>
        </w:rPr>
        <w:t>1</w:t>
      </w:r>
      <w:r>
        <w:rPr/>
        <w:t>）合并报表编制范围</w:t>
      </w:r>
      <w:r>
        <w:rPr>
          <w:w w:val="100"/>
        </w:rPr>
        <w:t> </w:t>
      </w:r>
      <w:r>
        <w:rPr>
          <w:spacing w:val="-2"/>
        </w:rPr>
        <w:t>合并财务报表的合并范围以控制为基础予以确定，不仅包括根据表决权（或类似权利）本身</w:t>
      </w:r>
    </w:p>
    <w:p>
      <w:pPr>
        <w:pStyle w:val="BodyText"/>
        <w:spacing w:line="304" w:lineRule="auto" w:before="34"/>
        <w:ind w:left="138" w:right="207"/>
        <w:jc w:val="both"/>
      </w:pPr>
      <w:r>
        <w:rPr>
          <w:spacing w:val="-1"/>
        </w:rPr>
        <w:t>或者结合其他安排确定的子公司，也包括基于一项或多项合同安排决定的结构化主体。控制，是</w:t>
      </w:r>
      <w:r>
        <w:rPr>
          <w:spacing w:val="-55"/>
        </w:rPr>
        <w:t> </w:t>
      </w:r>
      <w:r>
        <w:rPr>
          <w:spacing w:val="-55"/>
        </w:rPr>
      </w:r>
      <w:r>
        <w:rPr>
          <w:spacing w:val="-3"/>
        </w:rPr>
        <w:t>指投资方拥有对被投资方的权力</w:t>
      </w:r>
      <w:r>
        <w:rPr>
          <w:rFonts w:ascii="Times New Roman" w:hAnsi="Times New Roman" w:cs="Times New Roman" w:eastAsia="Times New Roman" w:hint="default"/>
          <w:spacing w:val="-3"/>
        </w:rPr>
        <w:t>,</w:t>
      </w:r>
      <w:r>
        <w:rPr>
          <w:spacing w:val="-3"/>
        </w:rPr>
        <w:t>通过参与被投资方的相关活动而享有可变回报，并且有能力运用</w:t>
      </w:r>
      <w:r>
        <w:rPr>
          <w:spacing w:val="-24"/>
        </w:rPr>
        <w:t> </w:t>
      </w:r>
      <w:r>
        <w:rPr>
          <w:spacing w:val="-24"/>
        </w:rPr>
      </w:r>
      <w:r>
        <w:rPr/>
        <w:t>对被投资方的权力影响其回报金额。</w:t>
      </w:r>
    </w:p>
    <w:p>
      <w:pPr>
        <w:pStyle w:val="BodyText"/>
        <w:spacing w:line="307" w:lineRule="auto" w:before="28"/>
        <w:ind w:left="558" w:right="102"/>
        <w:jc w:val="left"/>
      </w:pPr>
      <w:r>
        <w:rPr/>
        <w:t>（</w:t>
      </w:r>
      <w:r>
        <w:rPr>
          <w:rFonts w:ascii="Times New Roman" w:hAnsi="Times New Roman" w:cs="Times New Roman" w:eastAsia="Times New Roman" w:hint="default"/>
        </w:rPr>
        <w:t>2</w:t>
      </w:r>
      <w:r>
        <w:rPr/>
        <w:t>）合并程序</w:t>
      </w:r>
      <w:r>
        <w:rPr>
          <w:w w:val="100"/>
        </w:rPr>
        <w:t> </w:t>
      </w:r>
      <w:r>
        <w:rPr>
          <w:spacing w:val="-7"/>
          <w:w w:val="100"/>
        </w:rPr>
        <w:t>合并财务报表以公司和其子公司的财务报表为基础，根据其他有关资料，编制合并财务报表。</w:t>
      </w:r>
      <w:r>
        <w:rPr>
          <w:spacing w:val="-75"/>
          <w:w w:val="100"/>
        </w:rPr>
        <w:t> </w:t>
      </w:r>
      <w:r>
        <w:rPr>
          <w:spacing w:val="-75"/>
          <w:w w:val="100"/>
        </w:rPr>
      </w:r>
      <w:r>
        <w:rPr>
          <w:spacing w:val="-2"/>
        </w:rPr>
        <w:t>公司统一子公司所采用的会计政策及会计期间，使子公司采用的会计政策、会计期间与公司</w:t>
      </w:r>
    </w:p>
    <w:p>
      <w:pPr>
        <w:pStyle w:val="BodyText"/>
        <w:spacing w:line="314" w:lineRule="auto" w:before="26"/>
        <w:ind w:left="138" w:right="208"/>
        <w:jc w:val="both"/>
      </w:pPr>
      <w:r>
        <w:rPr>
          <w:spacing w:val="-1"/>
        </w:rPr>
        <w:t>保持一致。在编制合并会计报表时，遵循重要性原则，抵销母公司与子公司、子公司与子公司之</w:t>
      </w:r>
      <w:r>
        <w:rPr>
          <w:spacing w:val="-55"/>
        </w:rPr>
        <w:t> </w:t>
      </w:r>
      <w:r>
        <w:rPr>
          <w:spacing w:val="-55"/>
        </w:rPr>
      </w:r>
      <w:r>
        <w:rPr/>
        <w:t>间的内部往来、内部交易及权益性投资项目。</w:t>
      </w:r>
    </w:p>
    <w:p>
      <w:pPr>
        <w:pStyle w:val="BodyText"/>
        <w:spacing w:line="314" w:lineRule="auto" w:before="20"/>
        <w:ind w:left="138" w:right="208" w:firstLine="419"/>
        <w:jc w:val="both"/>
      </w:pPr>
      <w:r>
        <w:rPr>
          <w:spacing w:val="-2"/>
        </w:rPr>
        <w:t>子公司少数股东应占的权益和损益分别在合并资产负债表中所有者权益项目下和合并利润表</w:t>
      </w:r>
      <w:r>
        <w:rPr>
          <w:w w:val="100"/>
        </w:rPr>
        <w:t> </w:t>
      </w:r>
      <w:r>
        <w:rPr>
          <w:spacing w:val="-1"/>
        </w:rPr>
        <w:t>中净利润项目下单独列示。子公司少数股东分担的当期亏损超过了少数股东在该子公司期初所有</w:t>
      </w:r>
      <w:r>
        <w:rPr>
          <w:spacing w:val="-55"/>
        </w:rPr>
        <w:t> </w:t>
      </w:r>
      <w:r>
        <w:rPr>
          <w:spacing w:val="-55"/>
        </w:rPr>
      </w:r>
      <w:r>
        <w:rPr/>
        <w:t>者权益中所享有份额而形成的余额，冲减少数股东权益。</w:t>
      </w:r>
    </w:p>
    <w:p>
      <w:pPr>
        <w:pStyle w:val="BodyText"/>
        <w:spacing w:line="314" w:lineRule="auto" w:before="20"/>
        <w:ind w:left="558" w:right="102"/>
        <w:jc w:val="left"/>
      </w:pPr>
      <w:r>
        <w:rPr/>
        <w:t>①增加子公司以及业务</w:t>
      </w:r>
      <w:r>
        <w:rPr>
          <w:w w:val="100"/>
        </w:rPr>
        <w:t> </w:t>
      </w:r>
      <w:r>
        <w:rPr>
          <w:spacing w:val="-2"/>
        </w:rPr>
        <w:t>在报告期内因同一控制下企业合并增加的子公司以及业务，编制合并资产负债表时，调整合</w:t>
      </w:r>
    </w:p>
    <w:p>
      <w:pPr>
        <w:pStyle w:val="BodyText"/>
        <w:spacing w:line="314" w:lineRule="auto" w:before="20"/>
        <w:ind w:left="138" w:right="208"/>
        <w:jc w:val="both"/>
      </w:pPr>
      <w:r>
        <w:rPr>
          <w:spacing w:val="-1"/>
        </w:rPr>
        <w:t>并资产负债表的期初数；编制利润表时，将该子公司以及业务合并当期期初至报告期末的收入、</w:t>
      </w:r>
      <w:r>
        <w:rPr>
          <w:spacing w:val="-55"/>
        </w:rPr>
        <w:t> </w:t>
      </w:r>
      <w:r>
        <w:rPr>
          <w:spacing w:val="-55"/>
        </w:rPr>
      </w:r>
      <w:r>
        <w:rPr>
          <w:spacing w:val="-1"/>
        </w:rPr>
        <w:t>费用、利润纳入合并利润表；合并现金流量表时，将该子公司以及业务合并当期期初至报告期末</w:t>
      </w:r>
      <w:r>
        <w:rPr>
          <w:spacing w:val="-55"/>
        </w:rPr>
        <w:t> </w:t>
      </w:r>
      <w:r>
        <w:rPr>
          <w:spacing w:val="-55"/>
        </w:rPr>
      </w:r>
      <w:r>
        <w:rPr>
          <w:spacing w:val="-1"/>
        </w:rPr>
        <w:t>的现金流量纳入合并现金流量表；同时应当对比较报表的相关项目进行调整，视同合并后的报告</w:t>
      </w:r>
      <w:r>
        <w:rPr>
          <w:spacing w:val="-55"/>
        </w:rPr>
        <w:t> </w:t>
      </w:r>
      <w:r>
        <w:rPr>
          <w:spacing w:val="-55"/>
        </w:rPr>
      </w:r>
      <w:r>
        <w:rPr/>
        <w:t>主体自最终控制方开始控制时点起一直存在。</w:t>
      </w:r>
    </w:p>
    <w:p>
      <w:pPr>
        <w:pStyle w:val="BodyText"/>
        <w:spacing w:line="314" w:lineRule="auto" w:before="20"/>
        <w:ind w:left="138" w:right="208" w:firstLine="419"/>
        <w:jc w:val="both"/>
      </w:pPr>
      <w:r>
        <w:rPr>
          <w:spacing w:val="-2"/>
        </w:rPr>
        <w:t>在报告期内因非同一控制下企业合并或其他方式增加的子公司以及业务，编制合并资产负债</w:t>
      </w:r>
      <w:r>
        <w:rPr>
          <w:w w:val="100"/>
        </w:rPr>
        <w:t> </w:t>
      </w:r>
      <w:r>
        <w:rPr>
          <w:spacing w:val="-1"/>
        </w:rPr>
        <w:t>表时，不调整合并资产负债表的期初数。编制利润表时，将该子公司以及业务购买日至报告期末</w:t>
      </w:r>
      <w:r>
        <w:rPr>
          <w:spacing w:val="-55"/>
        </w:rPr>
        <w:t> </w:t>
      </w:r>
      <w:r>
        <w:rPr>
          <w:spacing w:val="-55"/>
        </w:rPr>
      </w:r>
      <w:r>
        <w:rPr>
          <w:spacing w:val="-1"/>
        </w:rPr>
        <w:t>的收入、费用、利润纳入合并利润表。编制现金流表时，将该子公司购买日至报告期末的现金流</w:t>
      </w:r>
      <w:r>
        <w:rPr>
          <w:spacing w:val="-55"/>
        </w:rPr>
        <w:t> </w:t>
      </w:r>
      <w:r>
        <w:rPr>
          <w:spacing w:val="-55"/>
        </w:rPr>
      </w:r>
      <w:r>
        <w:rPr/>
        <w:t>量纳入合并现金流量表。</w:t>
      </w:r>
    </w:p>
    <w:p>
      <w:pPr>
        <w:pStyle w:val="BodyText"/>
        <w:spacing w:line="314" w:lineRule="auto" w:before="20"/>
        <w:ind w:left="138" w:right="208" w:firstLine="419"/>
        <w:jc w:val="both"/>
      </w:pPr>
      <w:r>
        <w:rPr>
          <w:spacing w:val="-2"/>
        </w:rPr>
        <w:t>公司以子公司的个别财务报表反映为在购买日公允价值基础上确定的可辨认资产、负债及或</w:t>
      </w:r>
      <w:r>
        <w:rPr>
          <w:w w:val="100"/>
        </w:rPr>
        <w:t> </w:t>
      </w:r>
      <w:r>
        <w:rPr>
          <w:spacing w:val="-1"/>
        </w:rPr>
        <w:t>有负债在本期资产负债表日的金额进行编制合并报表。对合并成本大于合并中取得的被购买方可</w:t>
      </w:r>
      <w:r>
        <w:rPr>
          <w:spacing w:val="-55"/>
        </w:rPr>
        <w:t> </w:t>
      </w:r>
      <w:r>
        <w:rPr>
          <w:spacing w:val="-55"/>
        </w:rPr>
      </w:r>
      <w:r>
        <w:rPr>
          <w:spacing w:val="-1"/>
        </w:rPr>
        <w:t>辨认净资产公允价值份额的差额，确认为商誉。合并成本小于合并中取得的被购买方可辨认净资</w:t>
      </w:r>
      <w:r>
        <w:rPr>
          <w:spacing w:val="-55"/>
        </w:rPr>
        <w:t> </w:t>
      </w:r>
      <w:r>
        <w:rPr>
          <w:spacing w:val="-55"/>
        </w:rPr>
      </w:r>
      <w:r>
        <w:rPr/>
        <w:t>产公允价值份额的差额，经复核后，计入当期损益。</w:t>
      </w:r>
    </w:p>
    <w:p>
      <w:pPr>
        <w:pStyle w:val="BodyText"/>
        <w:spacing w:line="314" w:lineRule="auto" w:before="20"/>
        <w:ind w:left="138" w:right="102" w:firstLine="419"/>
        <w:jc w:val="left"/>
      </w:pPr>
      <w:r>
        <w:rPr/>
        <w:t>通过多次交易分步实现非同一控制下企业合并的，在合并财务报表中，对于购买日之前持有</w:t>
      </w:r>
      <w:r>
        <w:rPr>
          <w:w w:val="100"/>
        </w:rPr>
        <w:t> </w:t>
      </w:r>
      <w:r>
        <w:rPr/>
        <w:t>的被购买方的股权，应当按照该股权在购买日的公允价值进行重新计量，公允价值与其账面价值</w:t>
      </w:r>
      <w:r>
        <w:rPr>
          <w:spacing w:val="-97"/>
        </w:rPr>
        <w:t> </w:t>
      </w:r>
      <w:r>
        <w:rPr>
          <w:spacing w:val="-97"/>
        </w:rPr>
      </w:r>
      <w:r>
        <w:rPr>
          <w:spacing w:val="-4"/>
          <w:w w:val="100"/>
        </w:rPr>
        <w:t>的差额计入当期投资收益；购买日之前持有的被购买方的股权涉及权益法核算下的其他综合收益、</w:t>
      </w:r>
      <w:r>
        <w:rPr>
          <w:spacing w:val="-85"/>
          <w:w w:val="100"/>
        </w:rPr>
        <w:t> </w:t>
      </w:r>
      <w:r>
        <w:rPr>
          <w:spacing w:val="-85"/>
          <w:w w:val="100"/>
        </w:rPr>
      </w:r>
      <w:r>
        <w:rPr/>
        <w:t>其他所有者权益变动的，应当转为购买日所属当期投资收益，由于被投资方重新计量设定受益计</w:t>
      </w:r>
      <w:r>
        <w:rPr>
          <w:spacing w:val="-97"/>
        </w:rPr>
        <w:t> </w:t>
      </w:r>
      <w:r>
        <w:rPr>
          <w:spacing w:val="-97"/>
        </w:rPr>
      </w:r>
      <w:r>
        <w:rPr/>
        <w:t>划净负债或净资产变动而产生的其他综合收益除外。</w:t>
      </w:r>
    </w:p>
    <w:p>
      <w:pPr>
        <w:pStyle w:val="BodyText"/>
        <w:spacing w:line="240" w:lineRule="auto" w:before="20"/>
        <w:ind w:left="558" w:right="102"/>
        <w:jc w:val="left"/>
      </w:pPr>
      <w:r>
        <w:rPr/>
        <w:t>②处置子公司以及业务</w:t>
      </w:r>
    </w:p>
    <w:p>
      <w:pPr>
        <w:pStyle w:val="BodyText"/>
        <w:spacing w:line="297" w:lineRule="auto" w:before="85"/>
        <w:ind w:left="558" w:right="102"/>
        <w:jc w:val="left"/>
      </w:pPr>
      <w:r>
        <w:rPr>
          <w:rFonts w:ascii="Times New Roman" w:hAnsi="Times New Roman" w:cs="Times New Roman" w:eastAsia="Times New Roman" w:hint="default"/>
        </w:rPr>
        <w:t>A</w:t>
      </w:r>
      <w:r>
        <w:rPr/>
        <w:t>、一般处理方法</w:t>
      </w:r>
      <w:r>
        <w:rPr>
          <w:w w:val="100"/>
        </w:rPr>
        <w:t> </w:t>
      </w:r>
      <w:r>
        <w:rPr>
          <w:spacing w:val="-7"/>
        </w:rPr>
        <w:t>在报告期内，本公司处置子公司以及业务，则该子公司以及业务期初至处置日的收入、费用、</w:t>
      </w:r>
    </w:p>
    <w:p>
      <w:pPr>
        <w:pStyle w:val="BodyText"/>
        <w:spacing w:line="240" w:lineRule="auto" w:before="34"/>
        <w:ind w:left="138" w:right="0"/>
        <w:jc w:val="both"/>
      </w:pPr>
      <w:r>
        <w:rPr/>
        <w:t>利润纳入合并利润表；该子公司以及业务期初至处置日的现金流量纳入合并现金流量表。</w:t>
      </w:r>
    </w:p>
    <w:p>
      <w:pPr>
        <w:spacing w:after="0" w:line="240" w:lineRule="auto"/>
        <w:jc w:val="both"/>
        <w:sectPr>
          <w:pgSz w:w="11910" w:h="16840"/>
          <w:pgMar w:header="857" w:footer="979" w:top="1140" w:bottom="1160" w:left="1660" w:right="1060"/>
        </w:sectPr>
      </w:pPr>
    </w:p>
    <w:p>
      <w:pPr>
        <w:spacing w:line="240" w:lineRule="auto" w:before="2"/>
        <w:rPr>
          <w:rFonts w:ascii="宋体" w:hAnsi="宋体" w:cs="宋体" w:eastAsia="宋体" w:hint="default"/>
          <w:sz w:val="29"/>
          <w:szCs w:val="29"/>
        </w:rPr>
      </w:pPr>
    </w:p>
    <w:p>
      <w:pPr>
        <w:pStyle w:val="BodyText"/>
        <w:spacing w:line="314" w:lineRule="auto" w:before="36"/>
        <w:ind w:left="138" w:right="128" w:firstLine="419"/>
        <w:jc w:val="both"/>
      </w:pPr>
      <w:r>
        <w:rPr>
          <w:spacing w:val="-2"/>
        </w:rPr>
        <w:t>公司因处置部分股权投资等原因丧失了对原有子公司控制权的，在合并财务报表中，对于剩</w:t>
      </w:r>
      <w:r>
        <w:rPr>
          <w:w w:val="100"/>
        </w:rPr>
        <w:t> </w:t>
      </w:r>
      <w:r>
        <w:rPr>
          <w:spacing w:val="-1"/>
        </w:rPr>
        <w:t>余股权，按照其在丧失控制权日的公允价值进行重新计量。处置股权取得的对价和剩余股权公允</w:t>
      </w:r>
      <w:r>
        <w:rPr>
          <w:spacing w:val="-55"/>
        </w:rPr>
        <w:t> </w:t>
      </w:r>
      <w:r>
        <w:rPr>
          <w:spacing w:val="-55"/>
        </w:rPr>
      </w:r>
      <w:r>
        <w:rPr>
          <w:spacing w:val="-1"/>
        </w:rPr>
        <w:t>价值之和，减去按原持股比例计算应享有原有子公司自购买日或合并日开始持续计算的净资产的</w:t>
      </w:r>
      <w:r>
        <w:rPr>
          <w:spacing w:val="-55"/>
        </w:rPr>
        <w:t> </w:t>
      </w:r>
      <w:r>
        <w:rPr>
          <w:spacing w:val="-55"/>
        </w:rPr>
      </w:r>
      <w:r>
        <w:rPr>
          <w:spacing w:val="-1"/>
        </w:rPr>
        <w:t>份额之间的差额，计入丧失控制权当期的投资收益，同时冲减商誉。与原有子公司股权投资相关</w:t>
      </w:r>
      <w:r>
        <w:rPr>
          <w:spacing w:val="-55"/>
        </w:rPr>
        <w:t> </w:t>
      </w:r>
      <w:r>
        <w:rPr>
          <w:spacing w:val="-55"/>
        </w:rPr>
      </w:r>
      <w:r>
        <w:rPr>
          <w:spacing w:val="-1"/>
        </w:rPr>
        <w:t>的其他综合收益、其他所有者权益变动，在丧失控制权时转为当期投资收益，由于被投资方重新</w:t>
      </w:r>
      <w:r>
        <w:rPr>
          <w:spacing w:val="-55"/>
        </w:rPr>
        <w:t> </w:t>
      </w:r>
      <w:r>
        <w:rPr>
          <w:spacing w:val="-55"/>
        </w:rPr>
      </w:r>
      <w:r>
        <w:rPr/>
        <w:t>计量设定受益计划净负债或净资产变动而产生的其他综合收益除外。</w:t>
      </w:r>
    </w:p>
    <w:p>
      <w:pPr>
        <w:pStyle w:val="BodyText"/>
        <w:spacing w:line="297" w:lineRule="auto" w:before="20"/>
        <w:ind w:left="558" w:right="130"/>
        <w:jc w:val="left"/>
      </w:pPr>
      <w:r>
        <w:rPr>
          <w:rFonts w:ascii="Times New Roman" w:hAnsi="Times New Roman" w:cs="Times New Roman" w:eastAsia="Times New Roman" w:hint="default"/>
        </w:rPr>
        <w:t>B</w:t>
      </w:r>
      <w:r>
        <w:rPr/>
        <w:t>、分步处置股权至丧失控制权</w:t>
      </w:r>
      <w:r>
        <w:rPr>
          <w:w w:val="100"/>
        </w:rPr>
        <w:t> </w:t>
      </w:r>
      <w:r>
        <w:rPr>
          <w:spacing w:val="-2"/>
        </w:rPr>
        <w:t>企业通过多次交易分步处置对子公司股权投资直至丧失控制权的，如果处置对子公司股权投</w:t>
      </w:r>
    </w:p>
    <w:p>
      <w:pPr>
        <w:pStyle w:val="BodyText"/>
        <w:spacing w:line="314" w:lineRule="auto" w:before="34"/>
        <w:ind w:left="138" w:right="128"/>
        <w:jc w:val="both"/>
      </w:pPr>
      <w:r>
        <w:rPr>
          <w:spacing w:val="-1"/>
        </w:rPr>
        <w:t>资直至丧失控制权的各项交易属于一揽子交易的，应当将各项交易作为一项处置子公司并丧失控</w:t>
      </w:r>
      <w:r>
        <w:rPr>
          <w:spacing w:val="-55"/>
        </w:rPr>
        <w:t> </w:t>
      </w:r>
      <w:r>
        <w:rPr>
          <w:spacing w:val="-55"/>
        </w:rPr>
      </w:r>
      <w:r>
        <w:rPr>
          <w:spacing w:val="-1"/>
        </w:rPr>
        <w:t>制权的交易进行会计处理；但是，在丧失控制权之前每一次处置价款与处置投资对应的享有该子</w:t>
      </w:r>
      <w:r>
        <w:rPr>
          <w:spacing w:val="-55"/>
        </w:rPr>
        <w:t> </w:t>
      </w:r>
      <w:r>
        <w:rPr>
          <w:spacing w:val="-55"/>
        </w:rPr>
      </w:r>
      <w:r>
        <w:rPr>
          <w:spacing w:val="-1"/>
        </w:rPr>
        <w:t>公司净资产份额的差额，在合并财务报表中确认为其他综合收益，在丧失控制权时一并转入丧失</w:t>
      </w:r>
      <w:r>
        <w:rPr>
          <w:spacing w:val="-55"/>
        </w:rPr>
        <w:t> </w:t>
      </w:r>
      <w:r>
        <w:rPr>
          <w:spacing w:val="-55"/>
        </w:rPr>
      </w:r>
      <w:r>
        <w:rPr/>
        <w:t>控制权当期的损益。</w:t>
      </w:r>
    </w:p>
    <w:p>
      <w:pPr>
        <w:pStyle w:val="BodyText"/>
        <w:spacing w:line="314" w:lineRule="auto" w:before="20"/>
        <w:ind w:left="138" w:right="130" w:firstLine="419"/>
        <w:jc w:val="left"/>
      </w:pPr>
      <w:r>
        <w:rPr>
          <w:spacing w:val="-2"/>
        </w:rPr>
        <w:t>处置对子公司股权投资的各项交易的条款、条件以及经济影响符合下列一种或多种情况，通</w:t>
      </w:r>
      <w:r>
        <w:rPr>
          <w:w w:val="100"/>
        </w:rPr>
        <w:t> </w:t>
      </w:r>
      <w:r>
        <w:rPr/>
        <w:t>常表明应将多次交易事项作为一揽子交易进行会计处理：</w:t>
      </w:r>
    </w:p>
    <w:p>
      <w:pPr>
        <w:pStyle w:val="BodyText"/>
        <w:spacing w:line="240" w:lineRule="auto" w:before="20"/>
        <w:ind w:left="558" w:right="13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9"/>
        <w:ind w:left="558" w:right="13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9"/>
        <w:ind w:left="558" w:right="130"/>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69"/>
        <w:ind w:left="558" w:right="130"/>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pStyle w:val="BodyText"/>
        <w:spacing w:line="314" w:lineRule="auto" w:before="69"/>
        <w:ind w:left="558" w:right="130"/>
        <w:jc w:val="left"/>
      </w:pPr>
      <w:r>
        <w:rPr/>
        <w:t>③购买子公司少数股权</w:t>
      </w:r>
      <w:r>
        <w:rPr>
          <w:w w:val="100"/>
        </w:rPr>
        <w:t> </w:t>
      </w:r>
      <w:r>
        <w:rPr>
          <w:spacing w:val="-2"/>
        </w:rPr>
        <w:t>本公司因购买子公司的少数股权新取得的长期股权投资与按照新增持股比例计算应享有子公</w:t>
      </w:r>
    </w:p>
    <w:p>
      <w:pPr>
        <w:pStyle w:val="BodyText"/>
        <w:spacing w:line="314" w:lineRule="auto" w:before="20"/>
        <w:ind w:left="138" w:right="128"/>
        <w:jc w:val="both"/>
      </w:pPr>
      <w:r>
        <w:rPr>
          <w:spacing w:val="-1"/>
        </w:rPr>
        <w:t>司自购买日（或合并日）开始持续计算的可辨认净资产份额之间的差额，调整合并资产负债表中</w:t>
      </w:r>
      <w:r>
        <w:rPr>
          <w:spacing w:val="-55"/>
        </w:rPr>
        <w:t> </w:t>
      </w:r>
      <w:r>
        <w:rPr>
          <w:spacing w:val="-55"/>
        </w:rPr>
      </w:r>
      <w:r>
        <w:rPr>
          <w:spacing w:val="-1"/>
        </w:rPr>
        <w:t>的资本公积中的资本溢价或股本溢价，资本公积中的资本溢价或股本溢价不足冲减的，调整留存</w:t>
      </w:r>
      <w:r>
        <w:rPr>
          <w:spacing w:val="-55"/>
        </w:rPr>
        <w:t> </w:t>
      </w:r>
      <w:r>
        <w:rPr>
          <w:spacing w:val="-55"/>
        </w:rPr>
      </w:r>
      <w:r>
        <w:rPr/>
        <w:t>收益。</w:t>
      </w:r>
    </w:p>
    <w:p>
      <w:pPr>
        <w:pStyle w:val="BodyText"/>
        <w:spacing w:line="314" w:lineRule="auto" w:before="20"/>
        <w:ind w:left="558" w:right="130"/>
        <w:jc w:val="left"/>
      </w:pPr>
      <w:r>
        <w:rPr/>
        <w:t>④不丧失控制权的情况下部分处置对子公司的股权投资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314" w:lineRule="auto" w:before="20"/>
        <w:ind w:left="138" w:right="128"/>
        <w:jc w:val="both"/>
      </w:pPr>
      <w:r>
        <w:rPr>
          <w:spacing w:val="-1"/>
        </w:rPr>
        <w:t>股权投资相对应享有子公司自购买日或合并日开始持续计算的净资产份额之间的差额，调整合并</w:t>
      </w:r>
      <w:r>
        <w:rPr>
          <w:spacing w:val="-55"/>
        </w:rPr>
        <w:t> </w:t>
      </w:r>
      <w:r>
        <w:rPr>
          <w:spacing w:val="-55"/>
        </w:rPr>
      </w:r>
      <w:r>
        <w:rPr/>
        <w:t>资产负债表中的资本公积中的股本溢价，资本公积中的股本溢价不足冲减的，调整留存收益。</w:t>
      </w:r>
    </w:p>
    <w:p>
      <w:pPr>
        <w:spacing w:line="240" w:lineRule="auto" w:before="11"/>
        <w:rPr>
          <w:rFonts w:ascii="宋体" w:hAnsi="宋体" w:cs="宋体" w:eastAsia="宋体" w:hint="default"/>
          <w:sz w:val="18"/>
          <w:szCs w:val="18"/>
        </w:rPr>
      </w:pPr>
    </w:p>
    <w:p>
      <w:pPr>
        <w:pStyle w:val="Heading3"/>
        <w:spacing w:line="240" w:lineRule="auto"/>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tabs>
          <w:tab w:pos="1083" w:val="left" w:leader="none"/>
        </w:tabs>
        <w:spacing w:line="288" w:lineRule="auto" w:before="58"/>
        <w:ind w:left="558" w:right="130" w:hanging="420"/>
        <w:jc w:val="left"/>
      </w:pPr>
      <w:r>
        <w:rPr/>
        <w:t>√适用</w:t>
        <w:tab/>
      </w:r>
      <w:r>
        <w:rPr>
          <w:rFonts w:ascii="Arial" w:hAnsi="Arial" w:cs="Arial" w:eastAsia="Arial" w:hint="default"/>
        </w:rPr>
        <w:t>□</w:t>
      </w:r>
      <w:r>
        <w:rPr>
          <w:rFonts w:ascii="Arial" w:hAnsi="Arial" w:cs="Arial" w:eastAsia="Arial" w:hint="default"/>
          <w:spacing w:val="26"/>
        </w:rPr>
        <w:t> </w:t>
      </w:r>
      <w:r>
        <w:rPr/>
        <w:t>不适用</w:t>
      </w:r>
      <w:r>
        <w:rPr>
          <w:w w:val="100"/>
        </w:rPr>
        <w:t> </w:t>
      </w:r>
      <w:r>
        <w:rPr>
          <w:spacing w:val="-2"/>
        </w:rPr>
        <w:t>合营安排是指一项由两个或两个以上的参与方共同控制的安排。合营安排分为共同经营和合</w:t>
      </w:r>
    </w:p>
    <w:p>
      <w:pPr>
        <w:pStyle w:val="BodyText"/>
        <w:spacing w:line="240" w:lineRule="auto" w:before="43"/>
        <w:ind w:left="138" w:right="0"/>
        <w:jc w:val="both"/>
      </w:pPr>
      <w:r>
        <w:rPr/>
        <w:t>营企业。</w:t>
      </w:r>
    </w:p>
    <w:p>
      <w:pPr>
        <w:pStyle w:val="BodyText"/>
        <w:spacing w:line="314" w:lineRule="auto" w:before="85"/>
        <w:ind w:left="138" w:right="130" w:firstLine="419"/>
        <w:jc w:val="left"/>
      </w:pPr>
      <w:r>
        <w:rPr>
          <w:spacing w:val="-2"/>
        </w:rPr>
        <w:t>共同经营是指本公司享有该安排相关资产且承担该安排相关负债的合营安排。本公司确认与</w:t>
      </w:r>
      <w:r>
        <w:rPr>
          <w:w w:val="100"/>
        </w:rPr>
        <w:t> </w:t>
      </w:r>
      <w:r>
        <w:rPr/>
        <w:t>共同经营中利益份额相关的下列项目，并按照相关企业会计准则的规定进行会计处理：</w:t>
      </w:r>
    </w:p>
    <w:p>
      <w:pPr>
        <w:pStyle w:val="BodyText"/>
        <w:spacing w:line="240" w:lineRule="auto" w:before="20"/>
        <w:ind w:left="558" w:right="13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9"/>
        <w:ind w:left="558" w:right="13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9"/>
        <w:ind w:left="558" w:right="13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9"/>
        <w:ind w:left="558" w:right="13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9"/>
        <w:ind w:left="558" w:right="130"/>
        <w:jc w:val="left"/>
      </w:pPr>
      <w:r>
        <w:rPr/>
        <w:t>（</w:t>
      </w:r>
      <w:r>
        <w:rPr>
          <w:rFonts w:ascii="Times New Roman" w:hAnsi="Times New Roman" w:cs="Times New Roman" w:eastAsia="Times New Roman" w:hint="default"/>
        </w:rPr>
        <w:t>5</w:t>
      </w:r>
      <w:r>
        <w:rPr/>
        <w:t>）确认单独所发生的费用，以及按其份额确认共同经营发生的费用</w:t>
      </w:r>
    </w:p>
    <w:p>
      <w:pPr>
        <w:spacing w:after="0" w:line="240" w:lineRule="auto"/>
        <w:jc w:val="left"/>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14" w:lineRule="auto" w:before="36"/>
        <w:ind w:left="138" w:right="123" w:firstLine="419"/>
        <w:jc w:val="left"/>
      </w:pPr>
      <w:r>
        <w:rPr>
          <w:spacing w:val="-2"/>
        </w:rPr>
        <w:t>合营企业是指本公司仅对该安排的净资产享有权利的合营安排。本公司按照长期股权投资有</w:t>
      </w:r>
      <w:r>
        <w:rPr>
          <w:w w:val="100"/>
        </w:rPr>
        <w:t> </w:t>
      </w:r>
      <w:r>
        <w:rPr/>
        <w:t>关权益法核算的规定对合营企业的投资进行会计处理。</w:t>
      </w:r>
    </w:p>
    <w:p>
      <w:pPr>
        <w:spacing w:line="240" w:lineRule="auto" w:before="11"/>
        <w:rPr>
          <w:rFonts w:ascii="宋体" w:hAnsi="宋体" w:cs="宋体" w:eastAsia="宋体" w:hint="default"/>
          <w:sz w:val="19"/>
          <w:szCs w:val="19"/>
        </w:rPr>
      </w:pPr>
    </w:p>
    <w:p>
      <w:pPr>
        <w:tabs>
          <w:tab w:pos="562" w:val="left" w:leader="none"/>
        </w:tabs>
        <w:spacing w:line="357" w:lineRule="auto" w:before="0"/>
        <w:ind w:left="558" w:right="310"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公司在编制现金流量表时，将本公司库存现金以及可以随时用于支付的存款确认为现金。公</w:t>
      </w:r>
    </w:p>
    <w:p>
      <w:pPr>
        <w:pStyle w:val="BodyText"/>
        <w:spacing w:line="257" w:lineRule="exact"/>
        <w:ind w:left="138" w:right="123"/>
        <w:jc w:val="left"/>
      </w:pPr>
      <w:r>
        <w:rPr>
          <w:w w:val="100"/>
        </w:rPr>
        <w:t>司将</w:t>
      </w:r>
      <w:r>
        <w:rPr>
          <w:spacing w:val="-3"/>
          <w:w w:val="100"/>
        </w:rPr>
        <w:t>持</w:t>
      </w:r>
      <w:r>
        <w:rPr>
          <w:w w:val="100"/>
        </w:rPr>
        <w:t>有</w:t>
      </w:r>
      <w:r>
        <w:rPr>
          <w:spacing w:val="-3"/>
          <w:w w:val="100"/>
        </w:rPr>
        <w:t>的</w:t>
      </w:r>
      <w:r>
        <w:rPr>
          <w:w w:val="100"/>
        </w:rPr>
        <w:t>期</w:t>
      </w:r>
      <w:r>
        <w:rPr>
          <w:spacing w:val="-3"/>
          <w:w w:val="100"/>
        </w:rPr>
        <w:t>限</w:t>
      </w:r>
      <w:r>
        <w:rPr>
          <w:spacing w:val="-25"/>
          <w:w w:val="100"/>
        </w:rPr>
        <w:t>短</w:t>
      </w:r>
      <w:r>
        <w:rPr>
          <w:spacing w:val="-3"/>
          <w:w w:val="100"/>
        </w:rPr>
        <w:t>（</w:t>
      </w:r>
      <w:r>
        <w:rPr>
          <w:w w:val="100"/>
        </w:rPr>
        <w:t>从</w:t>
      </w:r>
      <w:r>
        <w:rPr>
          <w:spacing w:val="-3"/>
          <w:w w:val="100"/>
        </w:rPr>
        <w:t>购</w:t>
      </w:r>
      <w:r>
        <w:rPr>
          <w:w w:val="100"/>
        </w:rPr>
        <w:t>买日</w:t>
      </w:r>
      <w:r>
        <w:rPr>
          <w:spacing w:val="-3"/>
          <w:w w:val="100"/>
        </w:rPr>
        <w:t>起</w:t>
      </w:r>
      <w:r>
        <w:rPr>
          <w:w w:val="100"/>
        </w:rPr>
        <w:t>三</w:t>
      </w:r>
      <w:r>
        <w:rPr>
          <w:spacing w:val="-3"/>
          <w:w w:val="100"/>
        </w:rPr>
        <w:t>个</w:t>
      </w:r>
      <w:r>
        <w:rPr>
          <w:w w:val="100"/>
        </w:rPr>
        <w:t>月</w:t>
      </w:r>
      <w:r>
        <w:rPr>
          <w:spacing w:val="-3"/>
          <w:w w:val="100"/>
        </w:rPr>
        <w:t>内</w:t>
      </w:r>
      <w:r>
        <w:rPr>
          <w:w w:val="100"/>
        </w:rPr>
        <w:t>到</w:t>
      </w:r>
      <w:r>
        <w:rPr>
          <w:spacing w:val="-3"/>
          <w:w w:val="100"/>
        </w:rPr>
        <w:t>期</w:t>
      </w:r>
      <w:r>
        <w:rPr>
          <w:spacing w:val="-106"/>
          <w:w w:val="100"/>
        </w:rPr>
        <w:t>）</w:t>
      </w:r>
      <w:r>
        <w:rPr>
          <w:spacing w:val="-25"/>
          <w:w w:val="100"/>
        </w:rPr>
        <w:t>、</w:t>
      </w:r>
      <w:r>
        <w:rPr>
          <w:spacing w:val="-3"/>
          <w:w w:val="100"/>
        </w:rPr>
        <w:t>流</w:t>
      </w:r>
      <w:r>
        <w:rPr>
          <w:w w:val="100"/>
        </w:rPr>
        <w:t>动性</w:t>
      </w:r>
      <w:r>
        <w:rPr>
          <w:spacing w:val="-3"/>
          <w:w w:val="100"/>
        </w:rPr>
        <w:t>强</w:t>
      </w:r>
      <w:r>
        <w:rPr>
          <w:spacing w:val="-25"/>
          <w:w w:val="100"/>
        </w:rPr>
        <w:t>、</w:t>
      </w:r>
      <w:r>
        <w:rPr>
          <w:spacing w:val="-3"/>
          <w:w w:val="100"/>
        </w:rPr>
        <w:t>易</w:t>
      </w:r>
      <w:r>
        <w:rPr>
          <w:w w:val="100"/>
        </w:rPr>
        <w:t>于</w:t>
      </w:r>
      <w:r>
        <w:rPr>
          <w:spacing w:val="-3"/>
          <w:w w:val="100"/>
        </w:rPr>
        <w:t>转</w:t>
      </w:r>
      <w:r>
        <w:rPr>
          <w:w w:val="100"/>
        </w:rPr>
        <w:t>换</w:t>
      </w:r>
      <w:r>
        <w:rPr>
          <w:spacing w:val="-3"/>
          <w:w w:val="100"/>
        </w:rPr>
        <w:t>为</w:t>
      </w:r>
      <w:r>
        <w:rPr>
          <w:w w:val="100"/>
        </w:rPr>
        <w:t>已</w:t>
      </w:r>
      <w:r>
        <w:rPr>
          <w:spacing w:val="-3"/>
          <w:w w:val="100"/>
        </w:rPr>
        <w:t>知</w:t>
      </w:r>
      <w:r>
        <w:rPr>
          <w:w w:val="100"/>
        </w:rPr>
        <w:t>金额</w:t>
      </w:r>
      <w:r>
        <w:rPr>
          <w:spacing w:val="-3"/>
          <w:w w:val="100"/>
        </w:rPr>
        <w:t>现</w:t>
      </w:r>
      <w:r>
        <w:rPr>
          <w:w w:val="100"/>
        </w:rPr>
        <w:t>金</w:t>
      </w:r>
      <w:r>
        <w:rPr>
          <w:spacing w:val="-27"/>
          <w:w w:val="100"/>
        </w:rPr>
        <w:t>、</w:t>
      </w:r>
      <w:r>
        <w:rPr>
          <w:w w:val="100"/>
        </w:rPr>
        <w:t>价</w:t>
      </w:r>
      <w:r>
        <w:rPr>
          <w:spacing w:val="-3"/>
          <w:w w:val="100"/>
        </w:rPr>
        <w:t>值</w:t>
      </w:r>
      <w:r>
        <w:rPr>
          <w:w w:val="100"/>
        </w:rPr>
        <w:t>变动</w:t>
      </w:r>
    </w:p>
    <w:p>
      <w:pPr>
        <w:pStyle w:val="BodyText"/>
        <w:spacing w:line="314" w:lineRule="auto" w:before="85"/>
        <w:ind w:left="138" w:right="123"/>
        <w:jc w:val="left"/>
      </w:pPr>
      <w:r>
        <w:rPr>
          <w:spacing w:val="-1"/>
        </w:rPr>
        <w:t>风险很小的投资，确定为现金等价物。受到限制的银行存款，不作为现金流量表中的现金及现金</w:t>
      </w:r>
      <w:r>
        <w:rPr>
          <w:spacing w:val="-55"/>
        </w:rPr>
        <w:t> </w:t>
      </w:r>
      <w:r>
        <w:rPr>
          <w:spacing w:val="-55"/>
        </w:rPr>
      </w:r>
      <w:r>
        <w:rPr/>
        <w:t>等价物。</w:t>
      </w:r>
    </w:p>
    <w:p>
      <w:pPr>
        <w:spacing w:line="240" w:lineRule="auto" w:before="11"/>
        <w:rPr>
          <w:rFonts w:ascii="宋体" w:hAnsi="宋体" w:cs="宋体" w:eastAsia="宋体" w:hint="default"/>
          <w:sz w:val="19"/>
          <w:szCs w:val="19"/>
        </w:rPr>
      </w:pPr>
    </w:p>
    <w:p>
      <w:pPr>
        <w:pStyle w:val="Heading3"/>
        <w:tabs>
          <w:tab w:pos="562" w:val="left" w:leader="none"/>
        </w:tabs>
        <w:spacing w:line="240" w:lineRule="auto"/>
        <w:ind w:left="138" w:right="2513"/>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1083" w:val="left" w:leader="none"/>
        </w:tabs>
        <w:spacing w:line="240" w:lineRule="auto" w:before="57"/>
        <w:ind w:left="138" w:right="2513"/>
        <w:jc w:val="left"/>
      </w:pPr>
      <w:r>
        <w:rPr/>
        <w:t>√适用</w:t>
        <w:tab/>
        <w:t>□不适用</w:t>
      </w:r>
    </w:p>
    <w:p>
      <w:pPr>
        <w:pStyle w:val="BodyText"/>
        <w:spacing w:line="297" w:lineRule="auto" w:before="73"/>
        <w:ind w:left="558" w:right="123"/>
        <w:jc w:val="left"/>
      </w:pPr>
      <w:r>
        <w:rPr/>
        <w:t>（</w:t>
      </w:r>
      <w:r>
        <w:rPr>
          <w:rFonts w:ascii="Times New Roman" w:hAnsi="Times New Roman" w:cs="Times New Roman" w:eastAsia="Times New Roman" w:hint="default"/>
        </w:rPr>
        <w:t>1</w:t>
      </w:r>
      <w:r>
        <w:rPr/>
        <w:t>）外币业务</w:t>
      </w:r>
      <w:r>
        <w:rPr>
          <w:w w:val="100"/>
        </w:rPr>
        <w:t> </w:t>
      </w:r>
      <w:r>
        <w:rPr>
          <w:spacing w:val="-2"/>
        </w:rPr>
        <w:t>发生外币业务时，外币金额按交易发生日的即期汇率折算为人民币入账，期末按照下列方法</w:t>
      </w:r>
    </w:p>
    <w:p>
      <w:pPr>
        <w:pStyle w:val="BodyText"/>
        <w:spacing w:line="240" w:lineRule="auto" w:before="34"/>
        <w:ind w:left="138" w:right="2513"/>
        <w:jc w:val="left"/>
      </w:pPr>
      <w:r>
        <w:rPr/>
        <w:t>对外币货币性项目和外币非货币性项目进行处理：</w:t>
      </w:r>
    </w:p>
    <w:p>
      <w:pPr>
        <w:pStyle w:val="BodyText"/>
        <w:spacing w:line="314" w:lineRule="auto" w:before="85"/>
        <w:ind w:left="138" w:right="123" w:firstLine="419"/>
        <w:jc w:val="left"/>
      </w:pPr>
      <w:r>
        <w:rPr>
          <w:spacing w:val="-2"/>
        </w:rPr>
        <w:t>①外币货币性项目，采用资产负债表日即期汇率折算。因资产负债表日即期汇率与初始确认</w:t>
      </w:r>
      <w:r>
        <w:rPr>
          <w:w w:val="100"/>
        </w:rPr>
        <w:t> </w:t>
      </w:r>
      <w:r>
        <w:rPr/>
        <w:t>或者前一资产负债表日即期汇率不同而产生的汇兑差额，计入当期损益。</w:t>
      </w:r>
    </w:p>
    <w:p>
      <w:pPr>
        <w:pStyle w:val="BodyText"/>
        <w:spacing w:line="314" w:lineRule="auto" w:before="20"/>
        <w:ind w:left="138" w:right="123" w:firstLine="419"/>
        <w:jc w:val="left"/>
      </w:pPr>
      <w:r>
        <w:rPr>
          <w:spacing w:val="-2"/>
        </w:rPr>
        <w:t>②以历史成本计量的外币非货币性项目，仍采用交易发生日的即期汇率折算，不改变其记账</w:t>
      </w:r>
      <w:r>
        <w:rPr>
          <w:w w:val="100"/>
        </w:rPr>
        <w:t> </w:t>
      </w:r>
      <w:r>
        <w:rPr/>
        <w:t>本位币金额。</w:t>
      </w:r>
    </w:p>
    <w:p>
      <w:pPr>
        <w:pStyle w:val="BodyText"/>
        <w:spacing w:line="314" w:lineRule="auto" w:before="20"/>
        <w:ind w:left="138" w:right="123" w:firstLine="419"/>
        <w:jc w:val="left"/>
      </w:pPr>
      <w:r>
        <w:rPr>
          <w:spacing w:val="-2"/>
        </w:rPr>
        <w:t>③对以公允价值计量的外币非货币性项目，按公允价值确定日即期汇率折算，由此产生的汇</w:t>
      </w:r>
      <w:r>
        <w:rPr>
          <w:w w:val="100"/>
        </w:rPr>
        <w:t> </w:t>
      </w:r>
      <w:r>
        <w:rPr/>
        <w:t>兑损益计入当期损益或其他综合收益。</w:t>
      </w:r>
    </w:p>
    <w:p>
      <w:pPr>
        <w:pStyle w:val="BodyText"/>
        <w:spacing w:line="314" w:lineRule="auto" w:before="20"/>
        <w:ind w:left="138" w:right="0" w:firstLine="419"/>
        <w:jc w:val="left"/>
      </w:pPr>
      <w:r>
        <w:rPr>
          <w:spacing w:val="-1"/>
        </w:rPr>
        <w:t>外币汇兑损益除与购建或者生产符合资本化条件的资产有关的外币专门借款产生的汇兑损益，</w:t>
      </w:r>
      <w:r>
        <w:rPr>
          <w:w w:val="100"/>
        </w:rPr>
        <w:t> </w:t>
      </w:r>
      <w:r>
        <w:rPr/>
        <w:t>在资产达到预定可使用或者可销售状态前计入符合资本化条件的资产的成本，其余均计入当期损</w:t>
      </w:r>
      <w:r>
        <w:rPr>
          <w:spacing w:val="-97"/>
        </w:rPr>
        <w:t> </w:t>
      </w:r>
      <w:r>
        <w:rPr>
          <w:spacing w:val="-97"/>
        </w:rPr>
      </w:r>
      <w:r>
        <w:rPr/>
        <w:t>益。</w:t>
      </w:r>
    </w:p>
    <w:p>
      <w:pPr>
        <w:pStyle w:val="BodyText"/>
        <w:spacing w:line="297" w:lineRule="auto" w:before="20"/>
        <w:ind w:left="558" w:right="123"/>
        <w:jc w:val="left"/>
      </w:pPr>
      <w:r>
        <w:rPr/>
        <w:t>（</w:t>
      </w:r>
      <w:r>
        <w:rPr>
          <w:rFonts w:ascii="Times New Roman" w:hAnsi="Times New Roman" w:cs="Times New Roman" w:eastAsia="Times New Roman" w:hint="default"/>
        </w:rPr>
        <w:t>2</w:t>
      </w:r>
      <w:r>
        <w:rPr/>
        <w:t>）外币财务报表的折算</w:t>
      </w:r>
      <w:r>
        <w:rPr>
          <w:w w:val="100"/>
        </w:rPr>
        <w:t> </w:t>
      </w:r>
      <w:r>
        <w:rPr>
          <w:spacing w:val="-2"/>
        </w:rPr>
        <w:t>本公司对合并范围内境外经营实体的财务报表，折算为人民币财务报表进行编报。</w:t>
      </w:r>
    </w:p>
    <w:p>
      <w:pPr>
        <w:pStyle w:val="BodyText"/>
        <w:spacing w:line="240" w:lineRule="auto" w:before="34"/>
        <w:ind w:left="558" w:right="123"/>
        <w:jc w:val="left"/>
      </w:pPr>
      <w:r>
        <w:rPr/>
        <w:t>①资产负债表中的资产和负债项目，采用资产负债表日的即期汇率折算；所有者权益项目除</w:t>
      </w:r>
    </w:p>
    <w:p>
      <w:pPr>
        <w:pStyle w:val="BodyText"/>
        <w:spacing w:line="240" w:lineRule="auto" w:before="85"/>
        <w:ind w:left="138" w:right="2513"/>
        <w:jc w:val="left"/>
      </w:pP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69"/>
        <w:ind w:left="558" w:right="2513"/>
        <w:jc w:val="left"/>
      </w:pPr>
      <w:r>
        <w:rPr/>
        <w:t>②利润表中的收入和费用项目，采用交易发生日的即期汇率折算。</w:t>
      </w:r>
    </w:p>
    <w:p>
      <w:pPr>
        <w:pStyle w:val="BodyText"/>
        <w:spacing w:line="314" w:lineRule="auto" w:before="85"/>
        <w:ind w:left="138" w:right="123" w:firstLine="419"/>
        <w:jc w:val="left"/>
      </w:pPr>
      <w:r>
        <w:rPr>
          <w:spacing w:val="-4"/>
          <w:w w:val="100"/>
        </w:rPr>
        <w:t>③现金流量表采用现金流量发生日的即期汇率折算。汇率变动对现金的影响额作为调节项目，</w:t>
      </w:r>
      <w:r>
        <w:rPr>
          <w:w w:val="100"/>
        </w:rPr>
        <w:t> </w:t>
      </w:r>
      <w:r>
        <w:rPr/>
        <w:t>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项目予以反映。</w:t>
      </w:r>
    </w:p>
    <w:p>
      <w:pPr>
        <w:pStyle w:val="BodyText"/>
        <w:spacing w:line="297" w:lineRule="auto"/>
        <w:ind w:left="138" w:right="307" w:firstLine="419"/>
        <w:jc w:val="both"/>
      </w:pPr>
      <w:r>
        <w:rPr>
          <w:spacing w:val="-4"/>
        </w:rPr>
        <w:t>④按照上述折算产生的外币财务报表折算差额，在资产负债表所有者权益项目下的</w:t>
      </w:r>
      <w:r>
        <w:rPr>
          <w:rFonts w:ascii="Times New Roman" w:hAnsi="Times New Roman" w:cs="Times New Roman" w:eastAsia="Times New Roman" w:hint="default"/>
          <w:spacing w:val="-4"/>
        </w:rPr>
        <w:t>“</w:t>
      </w:r>
      <w:r>
        <w:rPr>
          <w:spacing w:val="-4"/>
        </w:rPr>
        <w:t>其他综合</w:t>
      </w:r>
      <w:r>
        <w:rPr>
          <w:w w:val="100"/>
        </w:rPr>
        <w:t> </w:t>
      </w:r>
      <w:r>
        <w:rPr>
          <w:spacing w:val="-4"/>
        </w:rPr>
        <w:t>收益</w:t>
      </w:r>
      <w:r>
        <w:rPr>
          <w:rFonts w:ascii="Times New Roman" w:hAnsi="Times New Roman" w:cs="Times New Roman" w:eastAsia="Times New Roman" w:hint="default"/>
          <w:spacing w:val="-4"/>
        </w:rPr>
        <w:t>”</w:t>
      </w:r>
      <w:r>
        <w:rPr>
          <w:spacing w:val="-4"/>
        </w:rPr>
        <w:t>项目反映。处置境外经营时，将与该境外经营相关的外币财务报表折算差额，自所有者权益</w:t>
      </w:r>
      <w:r>
        <w:rPr>
          <w:spacing w:val="-26"/>
        </w:rPr>
        <w:t> </w:t>
      </w:r>
      <w:r>
        <w:rPr>
          <w:spacing w:val="-26"/>
        </w:rPr>
      </w:r>
      <w:r>
        <w:rPr/>
        <w:t>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全部或按处置该境外经营的比例转入处置当期损益。</w:t>
      </w:r>
    </w:p>
    <w:p>
      <w:pPr>
        <w:spacing w:line="240" w:lineRule="auto" w:before="5"/>
        <w:rPr>
          <w:rFonts w:ascii="宋体" w:hAnsi="宋体" w:cs="宋体" w:eastAsia="宋体" w:hint="default"/>
          <w:sz w:val="19"/>
          <w:szCs w:val="19"/>
        </w:rPr>
      </w:pPr>
    </w:p>
    <w:p>
      <w:pPr>
        <w:pStyle w:val="Heading3"/>
        <w:spacing w:line="240" w:lineRule="auto"/>
        <w:ind w:left="138" w:right="2513"/>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1083" w:val="left" w:leader="none"/>
        </w:tabs>
        <w:spacing w:line="240" w:lineRule="auto" w:before="58"/>
        <w:ind w:left="138" w:right="2513"/>
        <w:jc w:val="left"/>
      </w:pPr>
      <w:r>
        <w:rPr/>
        <w:t>√适用</w:t>
        <w:tab/>
        <w:t>□不适用</w:t>
      </w:r>
    </w:p>
    <w:p>
      <w:pPr>
        <w:pStyle w:val="BodyText"/>
        <w:spacing w:line="240" w:lineRule="auto" w:before="73"/>
        <w:ind w:left="558" w:right="2513"/>
        <w:jc w:val="left"/>
      </w:pPr>
      <w:r>
        <w:rPr/>
        <w:t>（</w:t>
      </w:r>
      <w:r>
        <w:rPr>
          <w:rFonts w:ascii="Times New Roman" w:hAnsi="Times New Roman" w:cs="Times New Roman" w:eastAsia="Times New Roman" w:hint="default"/>
        </w:rPr>
        <w:t>1</w:t>
      </w:r>
      <w:r>
        <w:rPr/>
        <w:t>）金融工具分为下列五类</w:t>
      </w:r>
    </w:p>
    <w:p>
      <w:pPr>
        <w:pStyle w:val="BodyText"/>
        <w:spacing w:line="314" w:lineRule="auto" w:before="69"/>
        <w:ind w:left="138" w:right="123" w:firstLine="525"/>
        <w:jc w:val="left"/>
      </w:pPr>
      <w:r>
        <w:rPr>
          <w:spacing w:val="-4"/>
          <w:w w:val="100"/>
        </w:rPr>
        <w:t>①以公允价值计量且其变动计入当期损益的金融资产或金融负债，包括交易性金融资产或金</w:t>
      </w:r>
      <w:r>
        <w:rPr>
          <w:w w:val="100"/>
        </w:rPr>
        <w:t> </w:t>
      </w:r>
      <w:r>
        <w:rPr/>
        <w:t>融负债和直接指定为以公允价值计量且其变动计入当期损益的金融资产或金融负债；</w:t>
      </w:r>
    </w:p>
    <w:p>
      <w:pPr>
        <w:spacing w:after="0" w:line="314" w:lineRule="auto"/>
        <w:jc w:val="left"/>
        <w:sectPr>
          <w:pgSz w:w="11910" w:h="16840"/>
          <w:pgMar w:header="857" w:footer="979" w:top="1140" w:bottom="1160" w:left="1660" w:right="960"/>
        </w:sectPr>
      </w:pPr>
    </w:p>
    <w:p>
      <w:pPr>
        <w:spacing w:line="240" w:lineRule="auto" w:before="2"/>
        <w:rPr>
          <w:rFonts w:ascii="宋体" w:hAnsi="宋体" w:cs="宋体" w:eastAsia="宋体" w:hint="default"/>
          <w:sz w:val="29"/>
          <w:szCs w:val="29"/>
        </w:rPr>
      </w:pPr>
    </w:p>
    <w:p>
      <w:pPr>
        <w:pStyle w:val="BodyText"/>
        <w:spacing w:line="240" w:lineRule="auto" w:before="36"/>
        <w:ind w:left="663" w:right="130"/>
        <w:jc w:val="left"/>
      </w:pPr>
      <w:r>
        <w:rPr/>
        <w:t>②持有至到期投资；</w:t>
      </w:r>
    </w:p>
    <w:p>
      <w:pPr>
        <w:pStyle w:val="BodyText"/>
        <w:spacing w:line="240" w:lineRule="auto" w:before="85"/>
        <w:ind w:left="663" w:right="130"/>
        <w:jc w:val="left"/>
      </w:pPr>
      <w:r>
        <w:rPr/>
        <w:t>③贷款和应收款项；</w:t>
      </w:r>
    </w:p>
    <w:p>
      <w:pPr>
        <w:pStyle w:val="BodyText"/>
        <w:spacing w:line="240" w:lineRule="auto" w:before="85"/>
        <w:ind w:left="663" w:right="130"/>
        <w:jc w:val="left"/>
      </w:pPr>
      <w:r>
        <w:rPr/>
        <w:t>④可供出售金融资产；</w:t>
      </w:r>
    </w:p>
    <w:p>
      <w:pPr>
        <w:pStyle w:val="BodyText"/>
        <w:spacing w:line="240" w:lineRule="auto" w:before="85"/>
        <w:ind w:left="663" w:right="130"/>
        <w:jc w:val="left"/>
      </w:pPr>
      <w:r>
        <w:rPr/>
        <w:t>⑤其他金融负债。</w:t>
      </w:r>
    </w:p>
    <w:p>
      <w:pPr>
        <w:pStyle w:val="BodyText"/>
        <w:spacing w:line="297" w:lineRule="auto" w:before="85"/>
        <w:ind w:left="558" w:right="130"/>
        <w:jc w:val="left"/>
      </w:pPr>
      <w:r>
        <w:rPr/>
        <w:t>（</w:t>
      </w:r>
      <w:r>
        <w:rPr>
          <w:rFonts w:ascii="Times New Roman" w:hAnsi="Times New Roman" w:cs="Times New Roman" w:eastAsia="Times New Roman" w:hint="default"/>
        </w:rPr>
        <w:t>2</w:t>
      </w:r>
      <w:r>
        <w:rPr/>
        <w:t>）确认依据和计量方法</w:t>
      </w:r>
      <w:r>
        <w:rPr>
          <w:w w:val="100"/>
        </w:rPr>
        <w:t> </w:t>
      </w:r>
      <w:r>
        <w:rPr>
          <w:spacing w:val="-2"/>
        </w:rPr>
        <w:t>金融工具的确认依据：当公司成为金融工具合同的一方时，确认与之相关的金融资产或金融</w:t>
      </w:r>
    </w:p>
    <w:p>
      <w:pPr>
        <w:pStyle w:val="BodyText"/>
        <w:spacing w:line="240" w:lineRule="auto" w:before="34"/>
        <w:ind w:left="138" w:right="130"/>
        <w:jc w:val="left"/>
      </w:pPr>
      <w:r>
        <w:rPr/>
        <w:t>负债。</w:t>
      </w:r>
    </w:p>
    <w:p>
      <w:pPr>
        <w:pStyle w:val="BodyText"/>
        <w:spacing w:line="240" w:lineRule="auto" w:before="85"/>
        <w:ind w:left="558" w:right="130"/>
        <w:jc w:val="left"/>
      </w:pPr>
      <w:r>
        <w:rPr/>
        <w:t>金融工具的计量方法：</w:t>
      </w:r>
    </w:p>
    <w:p>
      <w:pPr>
        <w:pStyle w:val="BodyText"/>
        <w:spacing w:line="314" w:lineRule="auto" w:before="85"/>
        <w:ind w:left="138" w:right="128" w:firstLine="419"/>
        <w:jc w:val="both"/>
      </w:pPr>
      <w:r>
        <w:rPr>
          <w:spacing w:val="-2"/>
        </w:rPr>
        <w:t>①以公允价值计量且其变动计入当期损益的金融资产或金融负债：按照取得时的公允价值作</w:t>
      </w:r>
      <w:r>
        <w:rPr>
          <w:w w:val="100"/>
        </w:rPr>
        <w:t> </w:t>
      </w:r>
      <w:r>
        <w:rPr>
          <w:spacing w:val="-1"/>
        </w:rPr>
        <w:t>为初始确认金额，相关的交易费用在发生时计入当期损益。支付的价款中包含已宣告发放的现金</w:t>
      </w:r>
      <w:r>
        <w:rPr>
          <w:spacing w:val="-55"/>
        </w:rPr>
        <w:t> </w:t>
      </w:r>
      <w:r>
        <w:rPr>
          <w:spacing w:val="-55"/>
        </w:rPr>
      </w:r>
      <w:r>
        <w:rPr>
          <w:spacing w:val="-1"/>
        </w:rPr>
        <w:t>股利或债券利息，单独确认为应收项目。持有期间取得的利息或现金股利，确认为投资收益。资</w:t>
      </w:r>
      <w:r>
        <w:rPr>
          <w:spacing w:val="-55"/>
        </w:rPr>
        <w:t> </w:t>
      </w:r>
      <w:r>
        <w:rPr>
          <w:spacing w:val="-55"/>
        </w:rPr>
      </w:r>
      <w:r>
        <w:rPr>
          <w:spacing w:val="-1"/>
        </w:rPr>
        <w:t>产负债表日，将其公允价值变动计入当期损益。处置时，其公允价值与初始入账金额之间的差额</w:t>
      </w:r>
      <w:r>
        <w:rPr>
          <w:spacing w:val="-55"/>
        </w:rPr>
        <w:t> </w:t>
      </w:r>
      <w:r>
        <w:rPr>
          <w:spacing w:val="-55"/>
        </w:rPr>
      </w:r>
      <w:r>
        <w:rPr/>
        <w:t>确认为投资收益，同时调整公允价值变动损益。</w:t>
      </w:r>
    </w:p>
    <w:p>
      <w:pPr>
        <w:pStyle w:val="BodyText"/>
        <w:spacing w:line="314" w:lineRule="auto" w:before="20"/>
        <w:ind w:left="138" w:right="128" w:firstLine="419"/>
        <w:jc w:val="both"/>
      </w:pPr>
      <w:r>
        <w:rPr>
          <w:spacing w:val="-2"/>
        </w:rPr>
        <w:t>②持有至到期投资：按取得时的公允价值和相关交易费用之和作为初始确认金额。支付的价</w:t>
      </w:r>
      <w:r>
        <w:rPr>
          <w:w w:val="100"/>
        </w:rPr>
        <w:t> </w:t>
      </w:r>
      <w:r>
        <w:rPr>
          <w:spacing w:val="-6"/>
          <w:w w:val="100"/>
        </w:rPr>
        <w:t>款中包含已宣告发放债券利息的，单独确认为应收项目。持有期间按照实际利率法确认利息收入，</w:t>
      </w:r>
      <w:r>
        <w:rPr>
          <w:spacing w:val="-104"/>
          <w:w w:val="100"/>
        </w:rPr>
        <w:t> </w:t>
      </w:r>
      <w:r>
        <w:rPr>
          <w:spacing w:val="-104"/>
          <w:w w:val="100"/>
        </w:rPr>
      </w:r>
      <w:r>
        <w:rPr>
          <w:spacing w:val="-1"/>
        </w:rPr>
        <w:t>计入投资收益。实际利率与票面利率差别很小的，可按票面利率计算利息收入，计入投资收益。</w:t>
      </w:r>
      <w:r>
        <w:rPr>
          <w:spacing w:val="-55"/>
        </w:rPr>
        <w:t> </w:t>
      </w:r>
      <w:r>
        <w:rPr>
          <w:spacing w:val="-55"/>
        </w:rPr>
      </w:r>
      <w:r>
        <w:rPr/>
        <w:t>处置持有至到期投资时，将所取得价款与该投资账面价值之间的差额计入投资收益。</w:t>
      </w:r>
    </w:p>
    <w:p>
      <w:pPr>
        <w:pStyle w:val="BodyText"/>
        <w:spacing w:line="314" w:lineRule="auto" w:before="20"/>
        <w:ind w:left="138" w:right="130" w:firstLine="419"/>
        <w:jc w:val="both"/>
      </w:pPr>
      <w:r>
        <w:rPr>
          <w:spacing w:val="-2"/>
        </w:rPr>
        <w:t>③应收款项：按从购货方应收的合同或协议价款作为初始入账金额。单项金额重大的应收款</w:t>
      </w:r>
      <w:r>
        <w:rPr>
          <w:w w:val="100"/>
        </w:rPr>
        <w:t> </w:t>
      </w:r>
      <w:r>
        <w:rPr/>
        <w:t>项持有期间采用实际利率法，按摊余成本进行后续计量。</w:t>
      </w:r>
    </w:p>
    <w:p>
      <w:pPr>
        <w:pStyle w:val="BodyText"/>
        <w:spacing w:line="314" w:lineRule="auto" w:before="20"/>
        <w:ind w:left="138" w:right="128" w:firstLine="419"/>
        <w:jc w:val="both"/>
      </w:pPr>
      <w:r>
        <w:rPr>
          <w:spacing w:val="-2"/>
        </w:rPr>
        <w:t>④可供出售金融资产：按取得该金融资产的公允价值和相关费用之和作为初始确认金额。支</w:t>
      </w:r>
      <w:r>
        <w:rPr>
          <w:w w:val="100"/>
        </w:rPr>
        <w:t> </w:t>
      </w:r>
      <w:r>
        <w:rPr>
          <w:spacing w:val="-1"/>
        </w:rPr>
        <w:t>付的价款中包含了已宣告发放的债券利息或现金股利的，单独确认为应收项目。持有期间取得的</w:t>
      </w:r>
      <w:r>
        <w:rPr>
          <w:spacing w:val="-55"/>
        </w:rPr>
        <w:t> </w:t>
      </w:r>
      <w:r>
        <w:rPr>
          <w:spacing w:val="-55"/>
        </w:rPr>
      </w:r>
      <w:r>
        <w:rPr>
          <w:spacing w:val="-1"/>
        </w:rPr>
        <w:t>利息或现金股利，计入投资收益。期末，可供出售金融资产以公允价值计量，且公允价值变动计</w:t>
      </w:r>
      <w:r>
        <w:rPr>
          <w:spacing w:val="-55"/>
        </w:rPr>
        <w:t> </w:t>
      </w:r>
      <w:r>
        <w:rPr>
          <w:spacing w:val="-55"/>
        </w:rPr>
      </w:r>
      <w:r>
        <w:rPr/>
        <w:t>入其他综合收益。</w:t>
      </w:r>
    </w:p>
    <w:p>
      <w:pPr>
        <w:pStyle w:val="BodyText"/>
        <w:spacing w:line="314" w:lineRule="auto" w:before="20"/>
        <w:ind w:left="138" w:right="130" w:firstLine="419"/>
        <w:jc w:val="both"/>
      </w:pPr>
      <w:r>
        <w:rPr>
          <w:spacing w:val="-2"/>
        </w:rPr>
        <w:t>对于在活跃市场中没有报价且其公允价值不能可靠计量的权益工具投资，以及与该权益工具</w:t>
      </w:r>
      <w:r>
        <w:rPr>
          <w:w w:val="100"/>
        </w:rPr>
        <w:t> </w:t>
      </w:r>
      <w:r>
        <w:rPr/>
        <w:t>挂钩并须通过交付该权益工具结算的衍生金融资产，按成本计量。</w:t>
      </w:r>
    </w:p>
    <w:p>
      <w:pPr>
        <w:pStyle w:val="BodyText"/>
        <w:spacing w:line="314" w:lineRule="auto" w:before="20"/>
        <w:ind w:left="138" w:right="128" w:firstLine="419"/>
        <w:jc w:val="both"/>
      </w:pPr>
      <w:r>
        <w:rPr>
          <w:spacing w:val="-7"/>
          <w:w w:val="100"/>
        </w:rPr>
        <w:t>处置可供出售金融资产时，将取得的价款与该金融资产账面价值之间的差额，计入当期损益；</w:t>
      </w:r>
      <w:r>
        <w:rPr>
          <w:w w:val="100"/>
        </w:rPr>
        <w:t> </w:t>
      </w:r>
      <w:r>
        <w:rPr>
          <w:spacing w:val="-1"/>
        </w:rPr>
        <w:t>同时，将原直接计入其他综合收益的公允价值变动累计额对应处置部分的金额转出，计入当期损</w:t>
      </w:r>
      <w:r>
        <w:rPr>
          <w:spacing w:val="-55"/>
        </w:rPr>
        <w:t> </w:t>
      </w:r>
      <w:r>
        <w:rPr>
          <w:spacing w:val="-55"/>
        </w:rPr>
      </w:r>
      <w:r>
        <w:rPr/>
        <w:t>益。</w:t>
      </w:r>
    </w:p>
    <w:p>
      <w:pPr>
        <w:pStyle w:val="BodyText"/>
        <w:spacing w:line="304" w:lineRule="auto" w:before="20"/>
        <w:ind w:left="138" w:right="128" w:firstLine="419"/>
        <w:jc w:val="both"/>
      </w:pPr>
      <w:r>
        <w:rPr>
          <w:spacing w:val="-2"/>
        </w:rPr>
        <w:t>⑤其他金融负债：按其公允价值和相关交易费用之和作为初始入账金额，除《企业会计准则</w:t>
      </w:r>
      <w:r>
        <w:rPr>
          <w:w w:val="100"/>
        </w:rPr>
        <w:t> </w:t>
      </w:r>
      <w:r>
        <w:rPr/>
        <w:t>第 </w:t>
      </w:r>
      <w:r>
        <w:rPr>
          <w:rFonts w:ascii="Times New Roman" w:hAnsi="Times New Roman" w:cs="Times New Roman" w:eastAsia="Times New Roman" w:hint="default"/>
        </w:rPr>
        <w:t>22 </w:t>
      </w:r>
      <w:r>
        <w:rPr>
          <w:spacing w:val="-4"/>
        </w:rPr>
        <w:t>号</w:t>
      </w:r>
      <w:r>
        <w:rPr>
          <w:rFonts w:ascii="Times New Roman" w:hAnsi="Times New Roman" w:cs="Times New Roman" w:eastAsia="Times New Roman" w:hint="default"/>
          <w:spacing w:val="-4"/>
        </w:rPr>
        <w:t>——</w:t>
      </w:r>
      <w:r>
        <w:rPr>
          <w:spacing w:val="-4"/>
        </w:rPr>
        <w:t>金融工具确认与计量》第三十三条规定的三种情况外，采用实际利率法，按摊余成本</w:t>
      </w:r>
      <w:r>
        <w:rPr>
          <w:spacing w:val="-100"/>
        </w:rPr>
        <w:t> </w:t>
      </w:r>
      <w:r>
        <w:rPr>
          <w:spacing w:val="-100"/>
        </w:rPr>
      </w:r>
      <w:r>
        <w:rPr/>
        <w:t>进行后续计量。</w:t>
      </w:r>
    </w:p>
    <w:p>
      <w:pPr>
        <w:pStyle w:val="BodyText"/>
        <w:spacing w:line="297" w:lineRule="auto" w:before="28"/>
        <w:ind w:left="558" w:right="3467"/>
        <w:jc w:val="left"/>
      </w:pPr>
      <w:r>
        <w:rPr>
          <w:spacing w:val="-2"/>
        </w:rPr>
        <w:t>（</w:t>
      </w:r>
      <w:r>
        <w:rPr>
          <w:rFonts w:ascii="Times New Roman" w:hAnsi="Times New Roman" w:cs="Times New Roman" w:eastAsia="Times New Roman" w:hint="default"/>
          <w:spacing w:val="-2"/>
        </w:rPr>
        <w:t>3</w:t>
      </w:r>
      <w:r>
        <w:rPr>
          <w:spacing w:val="-2"/>
        </w:rPr>
        <w:t>）金融资产转移的确认依据和计量方法</w:t>
      </w:r>
      <w:r>
        <w:rPr>
          <w:spacing w:val="-69"/>
        </w:rPr>
        <w:t> </w:t>
      </w:r>
      <w:r>
        <w:rPr>
          <w:spacing w:val="-69"/>
        </w:rPr>
      </w:r>
      <w:r>
        <w:rPr/>
        <w:t>金融资产转移的确认</w:t>
      </w:r>
    </w:p>
    <w:tbl>
      <w:tblPr>
        <w:tblW w:w="0" w:type="auto"/>
        <w:jc w:val="left"/>
        <w:tblInd w:w="118" w:type="dxa"/>
        <w:tblLayout w:type="fixed"/>
        <w:tblCellMar>
          <w:top w:w="0" w:type="dxa"/>
          <w:left w:w="0" w:type="dxa"/>
          <w:bottom w:w="0" w:type="dxa"/>
          <w:right w:w="0" w:type="dxa"/>
        </w:tblCellMar>
        <w:tblLook w:val="01E0"/>
      </w:tblPr>
      <w:tblGrid>
        <w:gridCol w:w="2705"/>
        <w:gridCol w:w="2292"/>
        <w:gridCol w:w="3857"/>
      </w:tblGrid>
      <w:tr>
        <w:trPr>
          <w:trHeight w:val="475" w:hRule="exact"/>
        </w:trPr>
        <w:tc>
          <w:tcPr>
            <w:tcW w:w="499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4" w:right="0"/>
              <w:jc w:val="center"/>
              <w:rPr>
                <w:rFonts w:ascii="宋体" w:hAnsi="宋体" w:cs="宋体" w:eastAsia="宋体" w:hint="default"/>
                <w:sz w:val="21"/>
                <w:szCs w:val="21"/>
              </w:rPr>
            </w:pPr>
            <w:r>
              <w:rPr>
                <w:rFonts w:ascii="宋体" w:hAnsi="宋体" w:cs="宋体" w:eastAsia="宋体" w:hint="default"/>
                <w:sz w:val="21"/>
                <w:szCs w:val="21"/>
              </w:rPr>
              <w:t>情形</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417" w:right="0"/>
              <w:jc w:val="center"/>
              <w:rPr>
                <w:rFonts w:ascii="宋体" w:hAnsi="宋体" w:cs="宋体" w:eastAsia="宋体" w:hint="default"/>
                <w:sz w:val="21"/>
                <w:szCs w:val="21"/>
              </w:rPr>
            </w:pPr>
            <w:r>
              <w:rPr>
                <w:rFonts w:ascii="宋体" w:hAnsi="宋体" w:cs="宋体" w:eastAsia="宋体" w:hint="default"/>
                <w:sz w:val="21"/>
                <w:szCs w:val="21"/>
              </w:rPr>
              <w:t>确认结果</w:t>
            </w:r>
          </w:p>
        </w:tc>
      </w:tr>
      <w:tr>
        <w:trPr>
          <w:trHeight w:val="473" w:hRule="exact"/>
        </w:trPr>
        <w:tc>
          <w:tcPr>
            <w:tcW w:w="499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419" w:right="0"/>
              <w:jc w:val="left"/>
              <w:rPr>
                <w:rFonts w:ascii="宋体" w:hAnsi="宋体" w:cs="宋体" w:eastAsia="宋体" w:hint="default"/>
                <w:sz w:val="21"/>
                <w:szCs w:val="21"/>
              </w:rPr>
            </w:pPr>
            <w:r>
              <w:rPr>
                <w:rFonts w:ascii="宋体" w:hAnsi="宋体" w:cs="宋体" w:eastAsia="宋体" w:hint="default"/>
                <w:sz w:val="21"/>
                <w:szCs w:val="21"/>
              </w:rPr>
              <w:t>已转移金融资产所有权上几乎所有的风险和报酬</w:t>
            </w:r>
          </w:p>
        </w:tc>
        <w:tc>
          <w:tcPr>
            <w:tcW w:w="3857"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30"/>
                <w:szCs w:val="30"/>
              </w:rPr>
            </w:pPr>
          </w:p>
          <w:p>
            <w:pPr>
              <w:pStyle w:val="TableParagraph"/>
              <w:spacing w:line="240" w:lineRule="auto"/>
              <w:ind w:left="372" w:right="0"/>
              <w:jc w:val="left"/>
              <w:rPr>
                <w:rFonts w:ascii="Calibri" w:hAnsi="Calibri" w:cs="Calibri" w:eastAsia="Calibri" w:hint="default"/>
                <w:sz w:val="21"/>
                <w:szCs w:val="21"/>
              </w:rPr>
            </w:pPr>
            <w:r>
              <w:rPr>
                <w:rFonts w:ascii="宋体" w:hAnsi="宋体" w:cs="宋体" w:eastAsia="宋体" w:hint="default"/>
                <w:spacing w:val="-23"/>
                <w:sz w:val="21"/>
                <w:szCs w:val="21"/>
              </w:rPr>
              <w:t>终止确认该金融资产</w:t>
            </w:r>
            <w:r>
              <w:rPr>
                <w:rFonts w:ascii="Calibri" w:hAnsi="Calibri" w:cs="Calibri" w:eastAsia="Calibri" w:hint="default"/>
                <w:spacing w:val="-23"/>
                <w:sz w:val="21"/>
                <w:szCs w:val="21"/>
              </w:rPr>
              <w:t>(</w:t>
            </w:r>
            <w:r>
              <w:rPr>
                <w:rFonts w:ascii="宋体" w:hAnsi="宋体" w:cs="宋体" w:eastAsia="宋体" w:hint="default"/>
                <w:spacing w:val="-23"/>
                <w:sz w:val="21"/>
                <w:szCs w:val="21"/>
              </w:rPr>
              <w:t>确认新资产</w:t>
            </w:r>
            <w:r>
              <w:rPr>
                <w:rFonts w:ascii="Calibri" w:hAnsi="Calibri" w:cs="Calibri" w:eastAsia="Calibri" w:hint="default"/>
                <w:spacing w:val="-23"/>
                <w:sz w:val="21"/>
                <w:szCs w:val="21"/>
              </w:rPr>
              <w:t>/</w:t>
            </w:r>
            <w:r>
              <w:rPr>
                <w:rFonts w:ascii="宋体" w:hAnsi="宋体" w:cs="宋体" w:eastAsia="宋体" w:hint="default"/>
                <w:spacing w:val="-23"/>
                <w:sz w:val="21"/>
                <w:szCs w:val="21"/>
              </w:rPr>
              <w:t>负债</w:t>
            </w:r>
            <w:r>
              <w:rPr>
                <w:rFonts w:ascii="Calibri" w:hAnsi="Calibri" w:cs="Calibri" w:eastAsia="Calibri" w:hint="default"/>
                <w:spacing w:val="-23"/>
                <w:sz w:val="21"/>
                <w:szCs w:val="21"/>
              </w:rPr>
              <w:t>)</w:t>
            </w:r>
          </w:p>
        </w:tc>
      </w:tr>
      <w:tr>
        <w:trPr>
          <w:trHeight w:val="622" w:hRule="exact"/>
        </w:trPr>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61" w:lineRule="auto"/>
              <w:ind w:right="-1" w:firstLine="419"/>
              <w:jc w:val="left"/>
              <w:rPr>
                <w:rFonts w:ascii="宋体" w:hAnsi="宋体" w:cs="宋体" w:eastAsia="宋体" w:hint="default"/>
                <w:sz w:val="21"/>
                <w:szCs w:val="21"/>
              </w:rPr>
            </w:pPr>
            <w:r>
              <w:rPr>
                <w:rFonts w:ascii="宋体" w:hAnsi="宋体" w:cs="宋体" w:eastAsia="宋体" w:hint="default"/>
                <w:spacing w:val="14"/>
                <w:sz w:val="21"/>
                <w:szCs w:val="21"/>
              </w:rPr>
              <w:t>既没有转移也没有保留</w:t>
            </w:r>
            <w:r>
              <w:rPr>
                <w:rFonts w:ascii="宋体" w:hAnsi="宋体" w:cs="宋体" w:eastAsia="宋体" w:hint="default"/>
                <w:w w:val="100"/>
                <w:sz w:val="21"/>
                <w:szCs w:val="21"/>
              </w:rPr>
              <w:t> </w:t>
            </w:r>
            <w:r>
              <w:rPr>
                <w:rFonts w:ascii="宋体" w:hAnsi="宋体" w:cs="宋体" w:eastAsia="宋体" w:hint="default"/>
                <w:spacing w:val="11"/>
                <w:sz w:val="21"/>
                <w:szCs w:val="21"/>
              </w:rPr>
              <w:t>金融资产所有权上几乎所有</w:t>
            </w:r>
          </w:p>
        </w:tc>
        <w:tc>
          <w:tcPr>
            <w:tcW w:w="2292" w:type="dxa"/>
            <w:tcBorders>
              <w:top w:val="single" w:sz="8" w:space="0" w:color="000000"/>
              <w:left w:val="single" w:sz="8" w:space="0" w:color="000000"/>
              <w:bottom w:val="single" w:sz="8" w:space="0" w:color="000000"/>
              <w:right w:val="single" w:sz="8" w:space="0" w:color="000000"/>
            </w:tcBorders>
          </w:tcPr>
          <w:p>
            <w:pPr>
              <w:pStyle w:val="TableParagraph"/>
              <w:spacing w:line="261" w:lineRule="auto"/>
              <w:ind w:right="-1" w:firstLine="420"/>
              <w:jc w:val="left"/>
              <w:rPr>
                <w:rFonts w:ascii="宋体" w:hAnsi="宋体" w:cs="宋体" w:eastAsia="宋体" w:hint="default"/>
                <w:sz w:val="21"/>
                <w:szCs w:val="21"/>
              </w:rPr>
            </w:pPr>
            <w:r>
              <w:rPr>
                <w:rFonts w:ascii="宋体" w:hAnsi="宋体" w:cs="宋体" w:eastAsia="宋体" w:hint="default"/>
                <w:spacing w:val="19"/>
                <w:sz w:val="21"/>
                <w:szCs w:val="21"/>
              </w:rPr>
              <w:t>放弃了对该金融资</w:t>
            </w:r>
            <w:r>
              <w:rPr>
                <w:rFonts w:ascii="宋体" w:hAnsi="宋体" w:cs="宋体" w:eastAsia="宋体" w:hint="default"/>
                <w:w w:val="100"/>
                <w:sz w:val="21"/>
                <w:szCs w:val="21"/>
              </w:rPr>
              <w:t> </w:t>
            </w:r>
            <w:r>
              <w:rPr>
                <w:rFonts w:ascii="宋体" w:hAnsi="宋体" w:cs="宋体" w:eastAsia="宋体" w:hint="default"/>
                <w:sz w:val="21"/>
                <w:szCs w:val="21"/>
              </w:rPr>
              <w:t>产控制</w:t>
            </w:r>
          </w:p>
        </w:tc>
        <w:tc>
          <w:tcPr>
            <w:tcW w:w="3857" w:type="dxa"/>
            <w:vMerge/>
            <w:tcBorders>
              <w:left w:val="single" w:sz="8" w:space="0" w:color="000000"/>
              <w:bottom w:val="single" w:sz="8" w:space="0" w:color="000000"/>
              <w:right w:val="single" w:sz="8" w:space="0" w:color="000000"/>
            </w:tcBorders>
          </w:tcPr>
          <w:p>
            <w:pPr/>
          </w:p>
        </w:tc>
      </w:tr>
    </w:tbl>
    <w:p>
      <w:pPr>
        <w:spacing w:after="0"/>
        <w:sectPr>
          <w:footerReference w:type="default" r:id="rId34"/>
          <w:pgSz w:w="11910" w:h="16840"/>
          <w:pgMar w:footer="979" w:header="857" w:top="1140" w:bottom="1160" w:left="1660" w:right="1140"/>
        </w:sectPr>
      </w:pPr>
    </w:p>
    <w:p>
      <w:pPr>
        <w:spacing w:line="240" w:lineRule="auto" w:before="8"/>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705"/>
        <w:gridCol w:w="2292"/>
        <w:gridCol w:w="3857"/>
      </w:tblGrid>
      <w:tr>
        <w:trPr>
          <w:trHeight w:val="696" w:hRule="exact"/>
        </w:trPr>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的风险和报酬</w:t>
            </w:r>
          </w:p>
        </w:tc>
        <w:tc>
          <w:tcPr>
            <w:tcW w:w="2292" w:type="dxa"/>
            <w:tcBorders>
              <w:top w:val="single" w:sz="8" w:space="0" w:color="000000"/>
              <w:left w:val="single" w:sz="8" w:space="0" w:color="000000"/>
              <w:bottom w:val="single" w:sz="8" w:space="0" w:color="000000"/>
              <w:right w:val="single" w:sz="8" w:space="0" w:color="000000"/>
            </w:tcBorders>
          </w:tcPr>
          <w:p>
            <w:pPr>
              <w:pStyle w:val="TableParagraph"/>
              <w:spacing w:line="261" w:lineRule="auto" w:before="36"/>
              <w:ind w:right="-1" w:firstLine="420"/>
              <w:jc w:val="left"/>
              <w:rPr>
                <w:rFonts w:ascii="宋体" w:hAnsi="宋体" w:cs="宋体" w:eastAsia="宋体" w:hint="default"/>
                <w:sz w:val="21"/>
                <w:szCs w:val="21"/>
              </w:rPr>
            </w:pPr>
            <w:r>
              <w:rPr>
                <w:rFonts w:ascii="宋体" w:hAnsi="宋体" w:cs="宋体" w:eastAsia="宋体" w:hint="default"/>
                <w:spacing w:val="19"/>
                <w:sz w:val="21"/>
                <w:szCs w:val="21"/>
              </w:rPr>
              <w:t>未放弃对该金融资</w:t>
            </w:r>
            <w:r>
              <w:rPr>
                <w:rFonts w:ascii="宋体" w:hAnsi="宋体" w:cs="宋体" w:eastAsia="宋体" w:hint="default"/>
                <w:w w:val="100"/>
                <w:sz w:val="21"/>
                <w:szCs w:val="21"/>
              </w:rPr>
              <w:t> </w:t>
            </w:r>
            <w:r>
              <w:rPr>
                <w:rFonts w:ascii="宋体" w:hAnsi="宋体" w:cs="宋体" w:eastAsia="宋体" w:hint="default"/>
                <w:sz w:val="21"/>
                <w:szCs w:val="21"/>
              </w:rPr>
              <w:t>产控制</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61" w:lineRule="auto" w:before="36"/>
              <w:ind w:right="0" w:firstLine="420"/>
              <w:jc w:val="left"/>
              <w:rPr>
                <w:rFonts w:ascii="宋体" w:hAnsi="宋体" w:cs="宋体" w:eastAsia="宋体" w:hint="default"/>
                <w:sz w:val="21"/>
                <w:szCs w:val="21"/>
              </w:rPr>
            </w:pPr>
            <w:r>
              <w:rPr>
                <w:rFonts w:ascii="宋体" w:hAnsi="宋体" w:cs="宋体" w:eastAsia="宋体" w:hint="default"/>
                <w:sz w:val="21"/>
                <w:szCs w:val="21"/>
              </w:rPr>
              <w:t>按照继续涉入所转移金融资产的程度</w:t>
            </w:r>
            <w:r>
              <w:rPr>
                <w:rFonts w:ascii="宋体" w:hAnsi="宋体" w:cs="宋体" w:eastAsia="宋体" w:hint="default"/>
                <w:w w:val="100"/>
                <w:sz w:val="21"/>
                <w:szCs w:val="21"/>
              </w:rPr>
              <w:t> </w:t>
            </w:r>
            <w:r>
              <w:rPr>
                <w:rFonts w:ascii="宋体" w:hAnsi="宋体" w:cs="宋体" w:eastAsia="宋体" w:hint="default"/>
                <w:sz w:val="21"/>
                <w:szCs w:val="21"/>
              </w:rPr>
              <w:t>确认有关资产和负债及任何保留权益</w:t>
            </w:r>
          </w:p>
        </w:tc>
      </w:tr>
      <w:tr>
        <w:trPr>
          <w:trHeight w:val="864" w:hRule="exact"/>
        </w:trPr>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17"/>
              <w:ind w:right="-1" w:firstLine="419"/>
              <w:jc w:val="left"/>
              <w:rPr>
                <w:rFonts w:ascii="宋体" w:hAnsi="宋体" w:cs="宋体" w:eastAsia="宋体" w:hint="default"/>
                <w:sz w:val="21"/>
                <w:szCs w:val="21"/>
              </w:rPr>
            </w:pPr>
            <w:r>
              <w:rPr>
                <w:rFonts w:ascii="宋体" w:hAnsi="宋体" w:cs="宋体" w:eastAsia="宋体" w:hint="default"/>
                <w:spacing w:val="14"/>
                <w:sz w:val="21"/>
                <w:szCs w:val="21"/>
              </w:rPr>
              <w:t>保留了金融资产所有权</w:t>
            </w:r>
            <w:r>
              <w:rPr>
                <w:rFonts w:ascii="宋体" w:hAnsi="宋体" w:cs="宋体" w:eastAsia="宋体" w:hint="default"/>
                <w:w w:val="100"/>
                <w:sz w:val="21"/>
                <w:szCs w:val="21"/>
              </w:rPr>
              <w:t> </w:t>
            </w:r>
            <w:r>
              <w:rPr>
                <w:rFonts w:ascii="宋体" w:hAnsi="宋体" w:cs="宋体" w:eastAsia="宋体" w:hint="default"/>
                <w:sz w:val="21"/>
                <w:szCs w:val="21"/>
              </w:rPr>
              <w:t>上几乎所有的风险和报酬</w:t>
            </w:r>
          </w:p>
        </w:tc>
        <w:tc>
          <w:tcPr>
            <w:tcW w:w="615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继续确认该金融资产</w:t>
            </w:r>
            <w:r>
              <w:rPr>
                <w:rFonts w:ascii="Calibri" w:hAnsi="Calibri" w:cs="Calibri" w:eastAsia="Calibri" w:hint="default"/>
                <w:sz w:val="21"/>
                <w:szCs w:val="21"/>
              </w:rPr>
              <w:t>,</w:t>
            </w:r>
            <w:r>
              <w:rPr>
                <w:rFonts w:ascii="宋体" w:hAnsi="宋体" w:cs="宋体" w:eastAsia="宋体" w:hint="default"/>
                <w:sz w:val="21"/>
                <w:szCs w:val="21"/>
              </w:rPr>
              <w:t>并将收益确认为负债</w:t>
            </w:r>
          </w:p>
        </w:tc>
      </w:tr>
    </w:tbl>
    <w:p>
      <w:pPr>
        <w:pStyle w:val="BodyText"/>
        <w:spacing w:line="240" w:lineRule="auto" w:before="42"/>
        <w:ind w:left="558" w:right="102"/>
        <w:jc w:val="left"/>
      </w:pPr>
      <w:r>
        <w:rPr/>
        <w:t>公司将金融资产转移区分为金融资产整体转移和部分转移。</w:t>
      </w:r>
    </w:p>
    <w:p>
      <w:pPr>
        <w:pStyle w:val="BodyText"/>
        <w:spacing w:line="314" w:lineRule="auto" w:before="85"/>
        <w:ind w:left="138" w:right="210" w:firstLine="419"/>
        <w:jc w:val="both"/>
      </w:pPr>
      <w:r>
        <w:rPr>
          <w:spacing w:val="-2"/>
        </w:rPr>
        <w:t>①金融资产整体转移满足终止确认条件的，将下列两项金额的差额计入当期损益：所转移金</w:t>
      </w:r>
      <w:r>
        <w:rPr>
          <w:w w:val="100"/>
        </w:rPr>
        <w:t> </w:t>
      </w:r>
      <w:r>
        <w:rPr>
          <w:spacing w:val="-6"/>
          <w:w w:val="100"/>
        </w:rPr>
        <w:t>融资产的账面价值；因转移而收到的对价，与原直接计入所有者权益的公允价值变动累计额之和。</w:t>
      </w:r>
    </w:p>
    <w:p>
      <w:pPr>
        <w:pStyle w:val="BodyText"/>
        <w:spacing w:line="314" w:lineRule="auto" w:before="20"/>
        <w:ind w:left="138" w:right="208" w:firstLine="419"/>
        <w:jc w:val="both"/>
      </w:pPr>
      <w:r>
        <w:rPr>
          <w:spacing w:val="-2"/>
        </w:rPr>
        <w:t>②金融资产部分转移满足终止确认条件的，将所转移金融资产整体的账面价值，在终止确认</w:t>
      </w:r>
      <w:r>
        <w:rPr>
          <w:w w:val="100"/>
        </w:rPr>
        <w:t> </w:t>
      </w:r>
      <w:r>
        <w:rPr>
          <w:spacing w:val="-1"/>
        </w:rPr>
        <w:t>部分和未终止确认部分之间，按照各自的相对公允价值进行分摊，并将下列两项金额的差额计入</w:t>
      </w:r>
      <w:r>
        <w:rPr>
          <w:spacing w:val="-55"/>
        </w:rPr>
        <w:t> </w:t>
      </w:r>
      <w:r>
        <w:rPr>
          <w:spacing w:val="-55"/>
        </w:rPr>
      </w:r>
      <w:r>
        <w:rPr>
          <w:spacing w:val="-1"/>
        </w:rPr>
        <w:t>当期损益：终止确认部分的账面价值；终止确认部分的对价，与原直接计入所有者权益的公允价</w:t>
      </w:r>
      <w:r>
        <w:rPr>
          <w:spacing w:val="-55"/>
        </w:rPr>
        <w:t> </w:t>
      </w:r>
      <w:r>
        <w:rPr>
          <w:spacing w:val="-55"/>
        </w:rPr>
      </w:r>
      <w:r>
        <w:rPr/>
        <w:t>值变动累计额中对应终止确认部分的金额之和。</w:t>
      </w:r>
    </w:p>
    <w:p>
      <w:pPr>
        <w:pStyle w:val="BodyText"/>
        <w:spacing w:line="314" w:lineRule="auto" w:before="20"/>
        <w:ind w:left="138" w:right="210" w:firstLine="419"/>
        <w:jc w:val="both"/>
      </w:pPr>
      <w:r>
        <w:rPr>
          <w:spacing w:val="-2"/>
        </w:rPr>
        <w:t>金融资产转移不满足终止确认条件的，继续确认所转移的金融资产整体，并将收到的对价确</w:t>
      </w:r>
      <w:r>
        <w:rPr>
          <w:w w:val="100"/>
        </w:rPr>
        <w:t> </w:t>
      </w:r>
      <w:r>
        <w:rPr/>
        <w:t>认为一项金融负债。</w:t>
      </w:r>
    </w:p>
    <w:p>
      <w:pPr>
        <w:pStyle w:val="BodyText"/>
        <w:spacing w:line="304" w:lineRule="auto" w:before="20"/>
        <w:ind w:left="558" w:right="102"/>
        <w:jc w:val="left"/>
      </w:pPr>
      <w:r>
        <w:rPr/>
        <w:t>（</w:t>
      </w:r>
      <w:r>
        <w:rPr>
          <w:rFonts w:ascii="Times New Roman" w:hAnsi="Times New Roman" w:cs="Times New Roman" w:eastAsia="Times New Roman" w:hint="default"/>
        </w:rPr>
        <w:t>4</w:t>
      </w:r>
      <w:r>
        <w:rPr/>
        <w:t>）金融负债的终止确认条件</w:t>
      </w:r>
      <w:r>
        <w:rPr>
          <w:w w:val="100"/>
        </w:rPr>
        <w:t> </w:t>
      </w:r>
      <w:r>
        <w:rPr/>
        <w:t>金融负债的现时义务全部或部分已经解除的，才能终止确认该金融负债或其一部分。</w:t>
      </w:r>
      <w:r>
        <w:rPr>
          <w:w w:val="100"/>
        </w:rPr>
        <w:t> </w:t>
      </w:r>
      <w:r>
        <w:rPr>
          <w:spacing w:val="-2"/>
        </w:rPr>
        <w:t>公司将用于偿付金融负债的资产转入某个机构或设立信托，偿付债务的现时义务仍存在的，</w:t>
      </w:r>
    </w:p>
    <w:p>
      <w:pPr>
        <w:pStyle w:val="BodyText"/>
        <w:spacing w:line="314" w:lineRule="auto" w:before="28"/>
        <w:ind w:left="558" w:right="102" w:hanging="420"/>
        <w:jc w:val="left"/>
      </w:pPr>
      <w:r>
        <w:rPr/>
        <w:t>不终止确认该金融负债，也不能终止确认转出的资产。</w:t>
      </w:r>
      <w:r>
        <w:rPr>
          <w:w w:val="100"/>
        </w:rPr>
        <w:t> </w:t>
      </w:r>
      <w:r>
        <w:rPr/>
        <w:t>公司与债权人之间签订协议</w:t>
      </w:r>
      <w:r>
        <w:rPr>
          <w:rFonts w:ascii="Times New Roman" w:hAnsi="Times New Roman" w:cs="Times New Roman" w:eastAsia="Times New Roman" w:hint="default"/>
        </w:rPr>
        <w:t>(</w:t>
      </w:r>
      <w:r>
        <w:rPr/>
        <w:t>不涉及债务重组所指情形</w:t>
      </w:r>
      <w:r>
        <w:rPr>
          <w:rFonts w:ascii="Times New Roman" w:hAnsi="Times New Roman" w:cs="Times New Roman" w:eastAsia="Times New Roman" w:hint="default"/>
        </w:rPr>
        <w:t>)</w:t>
      </w:r>
      <w:r>
        <w:rPr/>
        <w:t>，以承担新金融负债方式替换现存金</w:t>
      </w:r>
    </w:p>
    <w:p>
      <w:pPr>
        <w:pStyle w:val="BodyText"/>
        <w:spacing w:line="314" w:lineRule="auto"/>
        <w:ind w:left="138" w:right="208"/>
        <w:jc w:val="both"/>
      </w:pPr>
      <w:r>
        <w:rPr>
          <w:spacing w:val="-1"/>
        </w:rPr>
        <w:t>融负债，且新金融负债与现存金融负债的合同条款实质上不同的，终止确认现存金融负债，并同</w:t>
      </w:r>
      <w:r>
        <w:rPr>
          <w:spacing w:val="-55"/>
        </w:rPr>
        <w:t> </w:t>
      </w:r>
      <w:r>
        <w:rPr>
          <w:spacing w:val="-55"/>
        </w:rPr>
      </w:r>
      <w:r>
        <w:rPr>
          <w:spacing w:val="-1"/>
        </w:rPr>
        <w:t>时确认新金融负债。公司对现存金融负债全部或部分的合同条款作出实质性修改的，终止确认现</w:t>
      </w:r>
      <w:r>
        <w:rPr>
          <w:spacing w:val="-55"/>
        </w:rPr>
        <w:t> </w:t>
      </w:r>
      <w:r>
        <w:rPr>
          <w:spacing w:val="-55"/>
        </w:rPr>
      </w:r>
      <w:r>
        <w:rPr/>
        <w:t>存金融负债或其一部分，同时将修改条款后的金融负债确认为一项新金融负债。</w:t>
      </w:r>
    </w:p>
    <w:p>
      <w:pPr>
        <w:pStyle w:val="BodyText"/>
        <w:spacing w:line="297" w:lineRule="auto" w:before="20"/>
        <w:ind w:left="558" w:right="102"/>
        <w:jc w:val="left"/>
      </w:pPr>
      <w:r>
        <w:rPr/>
        <w:t>（</w:t>
      </w:r>
      <w:r>
        <w:rPr>
          <w:rFonts w:ascii="Times New Roman" w:hAnsi="Times New Roman" w:cs="Times New Roman" w:eastAsia="Times New Roman" w:hint="default"/>
        </w:rPr>
        <w:t>5</w:t>
      </w:r>
      <w:r>
        <w:rPr/>
        <w:t>）金融资产和金融负债的公允价值确定方法</w:t>
      </w:r>
      <w:r>
        <w:rPr>
          <w:w w:val="100"/>
        </w:rPr>
        <w:t> </w:t>
      </w:r>
      <w:r>
        <w:rPr>
          <w:spacing w:val="-2"/>
        </w:rPr>
        <w:t>存在活跃市场的金融工具，公司以活跃市场中的报价确定其公允价值。不存在活跃市场的金</w:t>
      </w:r>
    </w:p>
    <w:p>
      <w:pPr>
        <w:pStyle w:val="BodyText"/>
        <w:spacing w:line="314" w:lineRule="auto" w:before="34"/>
        <w:ind w:left="138" w:right="208"/>
        <w:jc w:val="both"/>
      </w:pPr>
      <w:r>
        <w:rPr>
          <w:spacing w:val="-1"/>
        </w:rPr>
        <w:t>融工具，公司采用估值技术确定其公允价值。在估值时，本公司采用在当前情况下适用并且有足</w:t>
      </w:r>
      <w:r>
        <w:rPr>
          <w:spacing w:val="-55"/>
        </w:rPr>
        <w:t> </w:t>
      </w:r>
      <w:r>
        <w:rPr>
          <w:spacing w:val="-55"/>
        </w:rPr>
      </w:r>
      <w:r>
        <w:rPr>
          <w:spacing w:val="-1"/>
        </w:rPr>
        <w:t>够可利用数据和其他信息支持的估值技术，选择与市场参与者在相关资产或负债的交易中所考虑</w:t>
      </w:r>
      <w:r>
        <w:rPr>
          <w:spacing w:val="-55"/>
        </w:rPr>
        <w:t> </w:t>
      </w:r>
      <w:r>
        <w:rPr>
          <w:spacing w:val="-55"/>
        </w:rPr>
      </w:r>
      <w:r>
        <w:rPr>
          <w:spacing w:val="-1"/>
        </w:rPr>
        <w:t>的资产或负债特征相一致的输入值，并优先使用相关可观察输入值。只有在相关可观察输入值无</w:t>
      </w:r>
      <w:r>
        <w:rPr>
          <w:spacing w:val="-55"/>
        </w:rPr>
        <w:t> </w:t>
      </w:r>
      <w:r>
        <w:rPr>
          <w:spacing w:val="-55"/>
        </w:rPr>
      </w:r>
      <w:r>
        <w:rPr/>
        <w:t>法取得或取得不切实可行的情况下，才使用不可观察输入值。</w:t>
      </w:r>
    </w:p>
    <w:p>
      <w:pPr>
        <w:pStyle w:val="BodyText"/>
        <w:spacing w:line="304" w:lineRule="auto" w:before="20"/>
        <w:ind w:left="558" w:right="102"/>
        <w:jc w:val="left"/>
      </w:pPr>
      <w:r>
        <w:rPr/>
        <w:t>（</w:t>
      </w:r>
      <w:r>
        <w:rPr>
          <w:rFonts w:ascii="Times New Roman" w:hAnsi="Times New Roman" w:cs="Times New Roman" w:eastAsia="Times New Roman" w:hint="default"/>
        </w:rPr>
        <w:t>6</w:t>
      </w:r>
      <w:r>
        <w:rPr/>
        <w:t>）金融资产（不含应收款项）减值测试方法及会计处理方法</w:t>
      </w:r>
      <w:r>
        <w:rPr>
          <w:w w:val="100"/>
        </w:rPr>
        <w:t> </w:t>
      </w:r>
      <w:r>
        <w:rPr/>
        <w:t>以公允价值计量且其变动计入当期损益的金融资产不需要进行减值测试。</w:t>
      </w:r>
      <w:r>
        <w:rPr>
          <w:w w:val="100"/>
        </w:rPr>
        <w:t> </w:t>
      </w:r>
      <w:r>
        <w:rPr>
          <w:spacing w:val="-2"/>
        </w:rPr>
        <w:t>公司于资产负债表日对持有至到期投资的账面价值进行检查，有客观证据表明其发生了减值</w:t>
      </w:r>
    </w:p>
    <w:p>
      <w:pPr>
        <w:pStyle w:val="BodyText"/>
        <w:spacing w:line="314" w:lineRule="auto" w:before="28"/>
        <w:ind w:left="138" w:right="104"/>
        <w:jc w:val="both"/>
      </w:pPr>
      <w:r>
        <w:rPr/>
        <w:t>的，根据其账面价值与预计未来现金流量现值之间差额计提减值准备；计提后如有客观证据表明</w:t>
      </w:r>
      <w:r>
        <w:rPr>
          <w:spacing w:val="-97"/>
        </w:rPr>
        <w:t> </w:t>
      </w:r>
      <w:r>
        <w:rPr>
          <w:spacing w:val="-97"/>
        </w:rPr>
      </w:r>
      <w:r>
        <w:rPr/>
        <w:t>其价值已恢复且客观上与确认该损失后发生的事项有关，原确认的减值损失予以转回，计入当期</w:t>
      </w:r>
      <w:r>
        <w:rPr>
          <w:spacing w:val="-97"/>
        </w:rPr>
        <w:t> </w:t>
      </w:r>
      <w:r>
        <w:rPr>
          <w:spacing w:val="-97"/>
        </w:rPr>
      </w:r>
      <w:r>
        <w:rPr>
          <w:spacing w:val="-4"/>
          <w:w w:val="100"/>
        </w:rPr>
        <w:t>损益，但该转回后的账面价值不超过假定不计提减值准备情况下该金融资产在转回日的摊余成本。</w:t>
      </w:r>
    </w:p>
    <w:p>
      <w:pPr>
        <w:pStyle w:val="BodyText"/>
        <w:spacing w:line="314" w:lineRule="auto" w:before="20"/>
        <w:ind w:left="138" w:right="208" w:firstLine="419"/>
        <w:jc w:val="both"/>
      </w:pPr>
      <w:r>
        <w:rPr>
          <w:spacing w:val="-2"/>
        </w:rPr>
        <w:t>于资产负债表日，如果可供出售金融资产的公允价值发生严重下降，或在综合考虑各种相关</w:t>
      </w:r>
      <w:r>
        <w:rPr>
          <w:w w:val="100"/>
        </w:rPr>
        <w:t> </w:t>
      </w:r>
      <w:r>
        <w:rPr>
          <w:spacing w:val="-1"/>
        </w:rPr>
        <w:t>因素后，预期这种下降趋势属于非暂时性的，认定该可供出售金融资产已发生减值，并确认减值</w:t>
      </w:r>
      <w:r>
        <w:rPr>
          <w:spacing w:val="-55"/>
        </w:rPr>
        <w:t> </w:t>
      </w:r>
      <w:r>
        <w:rPr>
          <w:spacing w:val="-55"/>
        </w:rPr>
      </w:r>
      <w:r>
        <w:rPr>
          <w:spacing w:val="-1"/>
        </w:rPr>
        <w:t>损失。在确认减值损失时，将原直接计入其他综合收益的因公允价值下降形成的累计损失一并转</w:t>
      </w:r>
      <w:r>
        <w:rPr>
          <w:spacing w:val="-54"/>
        </w:rPr>
        <w:t> </w:t>
      </w:r>
      <w:r>
        <w:rPr>
          <w:spacing w:val="-54"/>
        </w:rPr>
      </w:r>
      <w:r>
        <w:rPr>
          <w:spacing w:val="-1"/>
        </w:rPr>
        <w:t>出，计入当期损益。该转出的累计损失，为可供出售金融资产的初始取得成本扣除已收回本金和</w:t>
      </w:r>
      <w:r>
        <w:rPr>
          <w:spacing w:val="-55"/>
        </w:rPr>
        <w:t> </w:t>
      </w:r>
      <w:r>
        <w:rPr>
          <w:spacing w:val="-55"/>
        </w:rPr>
      </w:r>
      <w:r>
        <w:rPr>
          <w:spacing w:val="-1"/>
        </w:rPr>
        <w:t>已摊销金额、当前公允价值和原已计入损益的减值损失后的余额。对于已确认减值损失的可供出</w:t>
      </w:r>
    </w:p>
    <w:p>
      <w:pPr>
        <w:spacing w:after="0" w:line="314" w:lineRule="auto"/>
        <w:jc w:val="both"/>
        <w:sectPr>
          <w:footerReference w:type="default" r:id="rId35"/>
          <w:pgSz w:w="11910" w:h="16840"/>
          <w:pgMar w:footer="979" w:header="857" w:top="1140" w:bottom="1160" w:left="1660" w:right="1060"/>
          <w:pgNumType w:start="101"/>
        </w:sectPr>
      </w:pPr>
    </w:p>
    <w:p>
      <w:pPr>
        <w:spacing w:line="240" w:lineRule="auto" w:before="2"/>
        <w:rPr>
          <w:rFonts w:ascii="宋体" w:hAnsi="宋体" w:cs="宋体" w:eastAsia="宋体" w:hint="default"/>
          <w:sz w:val="29"/>
          <w:szCs w:val="29"/>
        </w:rPr>
      </w:pPr>
    </w:p>
    <w:p>
      <w:pPr>
        <w:pStyle w:val="BodyText"/>
        <w:spacing w:line="314" w:lineRule="auto" w:before="36"/>
        <w:ind w:right="228"/>
        <w:jc w:val="both"/>
      </w:pPr>
      <w:r>
        <w:rPr>
          <w:spacing w:val="-1"/>
        </w:rPr>
        <w:t>售债务工具，在随后的会计期间公允价值已上升且客观上与确认原减值损失确认后发生的事项有</w:t>
      </w:r>
      <w:r>
        <w:rPr>
          <w:spacing w:val="-55"/>
        </w:rPr>
        <w:t> </w:t>
      </w:r>
      <w:r>
        <w:rPr>
          <w:spacing w:val="-55"/>
        </w:rPr>
      </w:r>
      <w:r>
        <w:rPr>
          <w:spacing w:val="-1"/>
        </w:rPr>
        <w:t>关的，原确认的减值损失予以转回，计入当期损益。可供出售权益工具投资发生的减值损失，不</w:t>
      </w:r>
      <w:r>
        <w:rPr>
          <w:spacing w:val="-55"/>
        </w:rPr>
        <w:t> </w:t>
      </w:r>
      <w:r>
        <w:rPr>
          <w:spacing w:val="-55"/>
        </w:rPr>
      </w:r>
      <w:r>
        <w:rPr>
          <w:spacing w:val="-1"/>
        </w:rPr>
        <w:t>通过损益转回。同时，在活跃市场中没有报价且其公允价值不能可靠计量的权益工具投资或与该</w:t>
      </w:r>
      <w:r>
        <w:rPr>
          <w:spacing w:val="-55"/>
        </w:rPr>
        <w:t> </w:t>
      </w:r>
      <w:r>
        <w:rPr>
          <w:spacing w:val="-55"/>
        </w:rPr>
      </w:r>
      <w:r>
        <w:rPr/>
        <w:t>权益工具挂钩并须通过交付该权益工具结算的衍生金融资产发生的减值损失，不予转回。</w:t>
      </w:r>
    </w:p>
    <w:p>
      <w:pPr>
        <w:pStyle w:val="BodyText"/>
        <w:spacing w:line="297" w:lineRule="auto" w:before="20"/>
        <w:ind w:right="228" w:firstLine="419"/>
        <w:jc w:val="both"/>
      </w:pPr>
      <w:r>
        <w:rPr>
          <w:spacing w:val="-1"/>
        </w:rPr>
        <w:t>权益工具投资的公允价值下跌</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的标准为：权益工具投资于资产负债表日的公允价值低</w:t>
      </w:r>
      <w:r>
        <w:rPr>
          <w:w w:val="100"/>
        </w:rPr>
        <w:t> </w:t>
      </w:r>
      <w:r>
        <w:rPr>
          <w:spacing w:val="-2"/>
          <w:w w:val="100"/>
        </w:rPr>
        <w:t>于其初始投资成本累计超过</w:t>
      </w:r>
      <w:r>
        <w:rPr>
          <w:spacing w:val="-43"/>
          <w:w w:val="100"/>
        </w:rPr>
        <w:t> </w:t>
      </w:r>
      <w:r>
        <w:rPr>
          <w:rFonts w:ascii="Times New Roman" w:hAnsi="Times New Roman" w:cs="Times New Roman" w:eastAsia="Times New Roman" w:hint="default"/>
          <w:spacing w:val="-8"/>
          <w:w w:val="100"/>
        </w:rPr>
        <w:t>50%</w:t>
      </w:r>
      <w:r>
        <w:rPr>
          <w:spacing w:val="-8"/>
          <w:w w:val="100"/>
        </w:rPr>
        <w:t>（含</w:t>
      </w:r>
      <w:r>
        <w:rPr>
          <w:spacing w:val="-43"/>
          <w:w w:val="100"/>
        </w:rPr>
        <w:t> </w:t>
      </w:r>
      <w:r>
        <w:rPr>
          <w:rFonts w:ascii="Times New Roman" w:hAnsi="Times New Roman" w:cs="Times New Roman" w:eastAsia="Times New Roman" w:hint="default"/>
          <w:spacing w:val="-8"/>
          <w:w w:val="100"/>
        </w:rPr>
        <w:t>50%</w:t>
      </w:r>
      <w:r>
        <w:rPr>
          <w:spacing w:val="-8"/>
          <w:w w:val="100"/>
        </w:rPr>
        <w:t>）。公允价值下跌</w:t>
      </w:r>
      <w:r>
        <w:rPr>
          <w:rFonts w:ascii="Times New Roman" w:hAnsi="Times New Roman" w:cs="Times New Roman" w:eastAsia="Times New Roman" w:hint="default"/>
          <w:spacing w:val="-8"/>
          <w:w w:val="100"/>
        </w:rPr>
        <w:t>“</w:t>
      </w:r>
      <w:r>
        <w:rPr>
          <w:spacing w:val="-8"/>
          <w:w w:val="100"/>
        </w:rPr>
        <w:t>非暂时性</w:t>
      </w:r>
      <w:r>
        <w:rPr>
          <w:rFonts w:ascii="Times New Roman" w:hAnsi="Times New Roman" w:cs="Times New Roman" w:eastAsia="Times New Roman" w:hint="default"/>
          <w:spacing w:val="-8"/>
          <w:w w:val="100"/>
        </w:rPr>
        <w:t>”</w:t>
      </w:r>
      <w:r>
        <w:rPr>
          <w:spacing w:val="-8"/>
          <w:w w:val="100"/>
        </w:rPr>
        <w:t>的标准为：权益工具投资的</w:t>
      </w:r>
      <w:r>
        <w:rPr>
          <w:spacing w:val="-101"/>
          <w:w w:val="100"/>
        </w:rPr>
        <w:t> </w:t>
      </w:r>
      <w:r>
        <w:rPr>
          <w:spacing w:val="-101"/>
          <w:w w:val="100"/>
        </w:rPr>
      </w:r>
      <w:r>
        <w:rPr>
          <w:spacing w:val="-2"/>
          <w:w w:val="100"/>
        </w:rPr>
        <w:t>公允价值月度均值低于其初始投资成本持续时间超过</w:t>
      </w:r>
      <w:r>
        <w:rPr>
          <w:spacing w:val="-49"/>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spacing w:val="-1"/>
          <w:w w:val="100"/>
        </w:rPr>
        <w:t>个月（含</w:t>
      </w:r>
      <w:r>
        <w:rPr>
          <w:spacing w:val="-5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spacing w:val="-28"/>
          <w:w w:val="100"/>
        </w:rPr>
        <w:t>个月）。</w:t>
      </w:r>
    </w:p>
    <w:p>
      <w:pPr>
        <w:spacing w:line="240" w:lineRule="auto" w:before="5"/>
        <w:rPr>
          <w:rFonts w:ascii="宋体" w:hAnsi="宋体" w:cs="宋体" w:eastAsia="宋体" w:hint="default"/>
          <w:sz w:val="19"/>
          <w:szCs w:val="19"/>
        </w:rPr>
      </w:pPr>
    </w:p>
    <w:p>
      <w:pPr>
        <w:pStyle w:val="Heading3"/>
        <w:spacing w:line="292"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0"/>
        <w:ind w:right="0"/>
        <w:jc w:val="both"/>
      </w:pPr>
      <w:r>
        <w:rPr/>
        <w:t>√适用  </w:t>
      </w:r>
      <w:r>
        <w:rPr>
          <w:rFonts w:ascii="Arial" w:hAnsi="Arial" w:cs="Arial" w:eastAsia="Arial" w:hint="default"/>
        </w:rPr>
        <w:t>□</w:t>
      </w:r>
      <w:r>
        <w:rPr>
          <w:rFonts w:ascii="Arial" w:hAnsi="Arial" w:cs="Arial" w:eastAsia="Arial" w:hint="default"/>
          <w:spacing w:val="24"/>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单项金额重大的应收款项指单项金额超过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万元人民币。</w:t>
            </w:r>
          </w:p>
        </w:tc>
      </w:tr>
      <w:tr>
        <w:trPr>
          <w:trHeight w:val="164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单独进行减值测试，有客观证据表明其发生了</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减值的，应当根据其未来现金流量现值低于其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账面价值的差额确认减值损失，个别认定计提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坏账准备，经减值测试后不存在减值的，应当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包括在具有类似风险组合特征的应收款项中计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提坏账准备。</w:t>
            </w:r>
          </w:p>
        </w:tc>
      </w:tr>
    </w:tbl>
    <w:p>
      <w:pPr>
        <w:spacing w:line="240" w:lineRule="auto" w:before="3"/>
        <w:rPr>
          <w:rFonts w:ascii="宋体" w:hAnsi="宋体" w:cs="宋体" w:eastAsia="宋体" w:hint="default"/>
          <w:sz w:val="20"/>
          <w:szCs w:val="20"/>
        </w:rPr>
      </w:pPr>
    </w:p>
    <w:p>
      <w:pPr>
        <w:pStyle w:val="Heading3"/>
        <w:spacing w:line="240" w:lineRule="auto" w:before="36"/>
        <w:ind w:right="2513"/>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right="2513"/>
        <w:jc w:val="left"/>
      </w:pPr>
      <w:r>
        <w:rPr/>
        <w:t>√适用</w:t>
      </w:r>
      <w:r>
        <w:rPr>
          <w:rFonts w:ascii="Arial" w:hAnsi="Arial" w:cs="Arial" w:eastAsia="Arial" w:hint="default"/>
        </w:rPr>
        <w:t>□</w:t>
      </w:r>
      <w:r>
        <w:rPr>
          <w:rFonts w:ascii="Arial" w:hAnsi="Arial" w:cs="Arial" w:eastAsia="Arial" w:hint="default"/>
          <w:spacing w:val="26"/>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579"/>
        <w:gridCol w:w="3012"/>
        <w:gridCol w:w="2458"/>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按组合计提坏账准备的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账龄状态</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并表子公司</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公司对关联方的应收款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项不计提坏账准备</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74" w:lineRule="exact" w:before="36"/>
        <w:ind w:right="2513"/>
        <w:jc w:val="left"/>
      </w:pPr>
      <w:r>
        <w:rPr/>
        <w:t>组合中，采用账龄分析法计提坏账准备的</w:t>
      </w:r>
    </w:p>
    <w:p>
      <w:pPr>
        <w:pStyle w:val="BodyText"/>
        <w:tabs>
          <w:tab w:pos="954" w:val="left" w:leader="none"/>
        </w:tabs>
        <w:spacing w:line="301" w:lineRule="exact"/>
        <w:ind w:right="25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96" w:right="0"/>
              <w:jc w:val="left"/>
              <w:rPr>
                <w:rFonts w:ascii="Calibri" w:hAnsi="Calibri" w:cs="Calibri" w:eastAsia="Calibri" w:hint="default"/>
                <w:sz w:val="21"/>
                <w:szCs w:val="21"/>
              </w:rPr>
            </w:pPr>
            <w:r>
              <w:rPr>
                <w:rFonts w:ascii="宋体" w:hAnsi="宋体" w:cs="宋体" w:eastAsia="宋体" w:hint="default"/>
                <w:sz w:val="21"/>
                <w:szCs w:val="21"/>
              </w:rPr>
              <w:t>应收账款计提比例</w:t>
            </w:r>
            <w:r>
              <w:rPr>
                <w:rFonts w:ascii="Calibri" w:hAnsi="Calibri" w:cs="Calibri" w:eastAsia="Calibri"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93" w:right="0"/>
              <w:jc w:val="left"/>
              <w:rPr>
                <w:rFonts w:ascii="Calibri" w:hAnsi="Calibri" w:cs="Calibri" w:eastAsia="Calibri" w:hint="default"/>
                <w:sz w:val="21"/>
                <w:szCs w:val="21"/>
              </w:rPr>
            </w:pPr>
            <w:r>
              <w:rPr>
                <w:rFonts w:ascii="宋体" w:hAnsi="宋体" w:cs="宋体" w:eastAsia="宋体" w:hint="default"/>
                <w:sz w:val="21"/>
                <w:szCs w:val="21"/>
              </w:rPr>
              <w:t>其他应收款计提比例</w:t>
            </w:r>
            <w:r>
              <w:rPr>
                <w:rFonts w:ascii="Calibri" w:hAnsi="Calibri" w:cs="Calibri" w:eastAsia="Calibri"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Calibri" w:hAnsi="Calibri" w:cs="Calibri" w:eastAsia="Calibri" w:hint="default"/>
                <w:sz w:val="21"/>
                <w:szCs w:val="21"/>
              </w:rPr>
              <w:t>4</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14"/>
          <w:szCs w:val="14"/>
        </w:rPr>
      </w:pPr>
    </w:p>
    <w:p>
      <w:pPr>
        <w:pStyle w:val="BodyText"/>
        <w:spacing w:line="274" w:lineRule="exact" w:before="36"/>
        <w:ind w:right="2513"/>
        <w:jc w:val="left"/>
      </w:pPr>
      <w:r>
        <w:rPr/>
        <w:t>组合中，采用余额百分比法计提坏账准备的</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513"/>
        <w:jc w:val="left"/>
      </w:pPr>
      <w:r>
        <w:rPr/>
        <w:t>组合中，采用其他方法计提坏账准备的</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301" w:lineRule="exact"/>
        <w:jc w:val="left"/>
        <w:sectPr>
          <w:pgSz w:w="11910" w:h="16840"/>
          <w:pgMar w:header="857" w:footer="979" w:top="1140" w:bottom="1160" w:left="1580" w:right="1040"/>
        </w:sectPr>
      </w:pPr>
    </w:p>
    <w:p>
      <w:pPr>
        <w:spacing w:line="240" w:lineRule="auto" w:before="4"/>
        <w:rPr>
          <w:rFonts w:ascii="宋体" w:hAnsi="宋体" w:cs="宋体" w:eastAsia="宋体" w:hint="default"/>
          <w:sz w:val="23"/>
          <w:szCs w:val="23"/>
        </w:rPr>
      </w:pPr>
    </w:p>
    <w:p>
      <w:pPr>
        <w:pStyle w:val="Heading3"/>
        <w:spacing w:line="240" w:lineRule="auto" w:before="36"/>
        <w:ind w:right="2513"/>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tabs>
          <w:tab w:pos="1060" w:val="left" w:leader="none"/>
        </w:tabs>
        <w:spacing w:line="240" w:lineRule="auto" w:before="58"/>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应收款项的未来现金流量现值与以账龄为信用风</w:t>
            </w:r>
          </w:p>
          <w:p>
            <w:pPr>
              <w:pStyle w:val="TableParagraph"/>
              <w:spacing w:line="272" w:lineRule="exact" w:before="26"/>
              <w:ind w:left="100" w:right="104"/>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显著差异。</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0"/>
        <w:rPr>
          <w:rFonts w:ascii="宋体" w:hAnsi="宋体" w:cs="宋体" w:eastAsia="宋体" w:hint="default"/>
          <w:sz w:val="20"/>
          <w:szCs w:val="20"/>
        </w:rPr>
      </w:pPr>
    </w:p>
    <w:p>
      <w:pPr>
        <w:pStyle w:val="Heading3"/>
        <w:spacing w:line="240" w:lineRule="auto" w:before="36"/>
        <w:ind w:right="2513"/>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163" w:val="left" w:leader="none"/>
        </w:tabs>
        <w:spacing w:line="240" w:lineRule="auto" w:before="58"/>
        <w:ind w:right="2513"/>
        <w:jc w:val="left"/>
      </w:pPr>
      <w:r>
        <w:rPr/>
        <w:t>√适用</w:t>
        <w:tab/>
        <w:t>□不适用</w:t>
      </w:r>
    </w:p>
    <w:p>
      <w:pPr>
        <w:pStyle w:val="BodyText"/>
        <w:spacing w:line="297" w:lineRule="auto" w:before="73"/>
        <w:ind w:left="638" w:right="123"/>
        <w:jc w:val="left"/>
      </w:pPr>
      <w:r>
        <w:rPr/>
        <w:t>（</w:t>
      </w:r>
      <w:r>
        <w:rPr>
          <w:rFonts w:ascii="Times New Roman" w:hAnsi="Times New Roman" w:cs="Times New Roman" w:eastAsia="Times New Roman" w:hint="default"/>
        </w:rPr>
        <w:t>1</w:t>
      </w:r>
      <w:r>
        <w:rPr/>
        <w:t>）存货的分类</w:t>
      </w:r>
      <w:r>
        <w:rPr>
          <w:w w:val="100"/>
        </w:rPr>
        <w:t> </w:t>
      </w:r>
      <w:r>
        <w:rPr>
          <w:spacing w:val="-2"/>
        </w:rPr>
        <w:t>公司存货是指在生产经营过程中持有以备销售，或者仍然处在生产过程，或者在生产或提供</w:t>
      </w:r>
    </w:p>
    <w:p>
      <w:pPr>
        <w:pStyle w:val="BodyText"/>
        <w:spacing w:line="314" w:lineRule="auto" w:before="34"/>
        <w:ind w:right="123"/>
        <w:jc w:val="left"/>
      </w:pPr>
      <w:r>
        <w:rPr>
          <w:spacing w:val="-6"/>
        </w:rPr>
        <w:t>劳务过程中将消耗的材料或物资等，包括各类原材料、包装物、低值易耗品、在产品、产成品（库</w:t>
      </w:r>
      <w:r>
        <w:rPr>
          <w:spacing w:val="-51"/>
        </w:rPr>
        <w:t> </w:t>
      </w:r>
      <w:r>
        <w:rPr>
          <w:spacing w:val="-51"/>
        </w:rPr>
      </w:r>
      <w:r>
        <w:rPr/>
        <w:t>存商品）等。</w:t>
      </w:r>
    </w:p>
    <w:p>
      <w:pPr>
        <w:pStyle w:val="BodyText"/>
        <w:spacing w:line="297" w:lineRule="auto" w:before="20"/>
        <w:ind w:left="638" w:right="123"/>
        <w:jc w:val="left"/>
      </w:pPr>
      <w:r>
        <w:rPr/>
        <w:t>（</w:t>
      </w:r>
      <w:r>
        <w:rPr>
          <w:rFonts w:ascii="Times New Roman" w:hAnsi="Times New Roman" w:cs="Times New Roman" w:eastAsia="Times New Roman" w:hint="default"/>
        </w:rPr>
        <w:t>2</w:t>
      </w:r>
      <w:r>
        <w:rPr/>
        <w:t>）存货取得和发出的计价方法</w:t>
      </w:r>
      <w:r>
        <w:rPr>
          <w:w w:val="100"/>
        </w:rPr>
        <w:t> </w:t>
      </w:r>
      <w:r>
        <w:rPr>
          <w:spacing w:val="-2"/>
        </w:rPr>
        <w:t>存货按照成本进行初始计量。存货成本包括采购成本、加工成本和其他成本。应计入存货成</w:t>
      </w:r>
    </w:p>
    <w:p>
      <w:pPr>
        <w:pStyle w:val="BodyText"/>
        <w:spacing w:line="297" w:lineRule="auto" w:before="34"/>
        <w:ind w:right="123"/>
        <w:jc w:val="left"/>
      </w:pPr>
      <w:r>
        <w:rPr>
          <w:spacing w:val="-4"/>
        </w:rPr>
        <w:t>本的借款费用，按照《企业会计准则第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借款费用》处理。投资者投入存货的成本，应当</w:t>
      </w:r>
      <w:r>
        <w:rPr>
          <w:spacing w:val="-95"/>
        </w:rPr>
        <w:t> </w:t>
      </w:r>
      <w:r>
        <w:rPr>
          <w:spacing w:val="-95"/>
        </w:rPr>
      </w:r>
      <w:r>
        <w:rPr/>
        <w:t>按照投资合同或协议约定的价值确定，但合同或协议约定价值不公允的除外。</w:t>
      </w:r>
    </w:p>
    <w:p>
      <w:pPr>
        <w:pStyle w:val="BodyText"/>
        <w:spacing w:line="240" w:lineRule="auto" w:before="34"/>
        <w:ind w:left="638" w:right="123"/>
        <w:jc w:val="left"/>
      </w:pPr>
      <w:r>
        <w:rPr/>
        <w:t>发出存货的计价方法：零售采用先进先出法，其余采用个别认定法核算。</w:t>
      </w:r>
    </w:p>
    <w:p>
      <w:pPr>
        <w:pStyle w:val="BodyText"/>
        <w:spacing w:line="297" w:lineRule="auto" w:before="85"/>
        <w:ind w:left="638" w:right="6095"/>
        <w:jc w:val="left"/>
      </w:pPr>
      <w:r>
        <w:rPr>
          <w:spacing w:val="-2"/>
        </w:rPr>
        <w:t>（</w:t>
      </w:r>
      <w:r>
        <w:rPr>
          <w:rFonts w:ascii="Times New Roman" w:hAnsi="Times New Roman" w:cs="Times New Roman" w:eastAsia="Times New Roman" w:hint="default"/>
          <w:spacing w:val="-2"/>
        </w:rPr>
        <w:t>3</w:t>
      </w:r>
      <w:r>
        <w:rPr>
          <w:spacing w:val="-2"/>
        </w:rPr>
        <w:t>）存货的盘存制度</w:t>
      </w:r>
      <w:r>
        <w:rPr>
          <w:spacing w:val="-86"/>
        </w:rPr>
        <w:t> </w:t>
      </w:r>
      <w:r>
        <w:rPr>
          <w:spacing w:val="-86"/>
        </w:rPr>
      </w:r>
      <w:r>
        <w:rPr/>
        <w:t>采用永续盘存制。</w:t>
      </w:r>
    </w:p>
    <w:p>
      <w:pPr>
        <w:pStyle w:val="BodyText"/>
        <w:spacing w:line="297" w:lineRule="auto" w:before="34"/>
        <w:ind w:left="638" w:right="3812"/>
        <w:jc w:val="left"/>
      </w:pPr>
      <w:r>
        <w:rPr>
          <w:spacing w:val="-2"/>
        </w:rPr>
        <w:t>（</w:t>
      </w:r>
      <w:r>
        <w:rPr>
          <w:rFonts w:ascii="Times New Roman" w:hAnsi="Times New Roman" w:cs="Times New Roman" w:eastAsia="Times New Roman" w:hint="default"/>
          <w:spacing w:val="-2"/>
        </w:rPr>
        <w:t>4</w:t>
      </w:r>
      <w:r>
        <w:rPr>
          <w:spacing w:val="-2"/>
        </w:rPr>
        <w:t>）低值易耗品及包装物的摊销方法</w:t>
      </w:r>
      <w:r>
        <w:rPr>
          <w:spacing w:val="-73"/>
        </w:rPr>
        <w:t> </w:t>
      </w:r>
      <w:r>
        <w:rPr>
          <w:spacing w:val="-73"/>
        </w:rPr>
      </w:r>
      <w:r>
        <w:rPr/>
        <w:t>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核算。</w:t>
      </w:r>
    </w:p>
    <w:p>
      <w:pPr>
        <w:pStyle w:val="BodyText"/>
        <w:spacing w:line="297" w:lineRule="auto" w:before="13"/>
        <w:ind w:left="638" w:right="123"/>
        <w:jc w:val="left"/>
      </w:pPr>
      <w:r>
        <w:rPr/>
        <w:t>（</w:t>
      </w:r>
      <w:r>
        <w:rPr>
          <w:rFonts w:ascii="Times New Roman" w:hAnsi="Times New Roman" w:cs="Times New Roman" w:eastAsia="Times New Roman" w:hint="default"/>
        </w:rPr>
        <w:t>5</w:t>
      </w:r>
      <w:r>
        <w:rPr/>
        <w:t>）存货可变现净值的确定依据及存货跌价准备计提方法</w:t>
      </w:r>
      <w:r>
        <w:rPr>
          <w:w w:val="100"/>
        </w:rPr>
        <w:t> </w:t>
      </w:r>
      <w:r>
        <w:rPr>
          <w:spacing w:val="-2"/>
        </w:rPr>
        <w:t>期末存货按成本与可变现净值孰低计价，存货期末可变现净值低于账面成本的，按差额计提</w:t>
      </w:r>
    </w:p>
    <w:p>
      <w:pPr>
        <w:pStyle w:val="BodyText"/>
        <w:spacing w:line="314" w:lineRule="auto" w:before="34"/>
        <w:ind w:right="123"/>
        <w:jc w:val="left"/>
      </w:pPr>
      <w:r>
        <w:rPr>
          <w:spacing w:val="-1"/>
        </w:rPr>
        <w:t>存货跌价准备。可变现净值，是指在日常活动中，存货的估计售价减去至完工时估计将要发生的</w:t>
      </w:r>
      <w:r>
        <w:rPr>
          <w:spacing w:val="-55"/>
        </w:rPr>
        <w:t> </w:t>
      </w:r>
      <w:r>
        <w:rPr>
          <w:spacing w:val="-55"/>
        </w:rPr>
      </w:r>
      <w:r>
        <w:rPr/>
        <w:t>成本、估计的销售费用以及相关税费后的金额。</w:t>
      </w:r>
    </w:p>
    <w:p>
      <w:pPr>
        <w:pStyle w:val="BodyText"/>
        <w:spacing w:line="314" w:lineRule="auto" w:before="20"/>
        <w:ind w:right="228" w:firstLine="419"/>
        <w:jc w:val="both"/>
      </w:pPr>
      <w:r>
        <w:rPr>
          <w:spacing w:val="-2"/>
        </w:rPr>
        <w:t>①存货可变现净值的确定依据：为生产而持有的材料等，用其生产的产成品的可变现净值高</w:t>
      </w:r>
      <w:r>
        <w:rPr>
          <w:w w:val="100"/>
        </w:rPr>
        <w:t> </w:t>
      </w:r>
      <w:r>
        <w:rPr>
          <w:spacing w:val="-1"/>
        </w:rPr>
        <w:t>于成本的，该材料仍然按照成本计量；材料价格的下降表明产成品的可变现净值低于成本的，该</w:t>
      </w:r>
      <w:r>
        <w:rPr>
          <w:spacing w:val="-55"/>
        </w:rPr>
        <w:t> </w:t>
      </w:r>
      <w:r>
        <w:rPr>
          <w:spacing w:val="-55"/>
        </w:rPr>
      </w:r>
      <w:r>
        <w:rPr/>
        <w:t>材料按照可变现净值计量。</w:t>
      </w:r>
    </w:p>
    <w:p>
      <w:pPr>
        <w:pStyle w:val="BodyText"/>
        <w:spacing w:line="314" w:lineRule="auto" w:before="20"/>
        <w:ind w:right="228" w:firstLine="419"/>
        <w:jc w:val="both"/>
      </w:pPr>
      <w:r>
        <w:rPr>
          <w:spacing w:val="-2"/>
        </w:rPr>
        <w:t>为执行销售合同或者劳务合同而持有的存货，其可变现净值以合同价格为基础计算。企业持</w:t>
      </w:r>
      <w:r>
        <w:rPr>
          <w:w w:val="100"/>
        </w:rPr>
        <w:t> </w:t>
      </w:r>
      <w:r>
        <w:rPr>
          <w:spacing w:val="-1"/>
        </w:rPr>
        <w:t>有存货的数量多于销售合同订购数量的，超出部分的存货的可变现净值以一般销售价格为基础计</w:t>
      </w:r>
      <w:r>
        <w:rPr>
          <w:spacing w:val="-55"/>
        </w:rPr>
        <w:t> </w:t>
      </w:r>
      <w:r>
        <w:rPr>
          <w:spacing w:val="-55"/>
        </w:rPr>
      </w:r>
      <w:r>
        <w:rPr/>
        <w:t>算。</w:t>
      </w:r>
    </w:p>
    <w:p>
      <w:pPr>
        <w:pStyle w:val="BodyText"/>
        <w:spacing w:line="314" w:lineRule="auto" w:before="20"/>
        <w:ind w:right="0" w:firstLine="419"/>
        <w:jc w:val="left"/>
      </w:pPr>
      <w:r>
        <w:rPr>
          <w:spacing w:val="-4"/>
          <w:w w:val="100"/>
        </w:rPr>
        <w:t>②存货跌价准备的计提方法：按单个存货项目的成本与可变现净值孰低法计提存货跌价准备；</w:t>
      </w:r>
      <w:r>
        <w:rPr>
          <w:w w:val="100"/>
        </w:rPr>
        <w:t> </w:t>
      </w:r>
      <w:r>
        <w:rPr/>
        <w:t>但对于数量繁多、单价较低的存货，则按存货类别计提存货跌价准备。</w:t>
      </w:r>
    </w:p>
    <w:p>
      <w:pPr>
        <w:spacing w:line="240" w:lineRule="auto" w:before="11"/>
        <w:rPr>
          <w:rFonts w:ascii="宋体" w:hAnsi="宋体" w:cs="宋体" w:eastAsia="宋体" w:hint="default"/>
          <w:sz w:val="19"/>
          <w:szCs w:val="19"/>
        </w:rPr>
      </w:pPr>
    </w:p>
    <w:p>
      <w:pPr>
        <w:pStyle w:val="Heading3"/>
        <w:spacing w:line="240" w:lineRule="auto"/>
        <w:ind w:right="2513"/>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1163" w:val="left" w:leader="none"/>
        </w:tabs>
        <w:spacing w:line="240" w:lineRule="auto" w:before="56"/>
        <w:ind w:right="2513"/>
        <w:jc w:val="left"/>
      </w:pPr>
      <w:r>
        <w:rPr/>
        <w:t>√适用</w:t>
        <w:tab/>
        <w:t>□不适用</w:t>
      </w:r>
    </w:p>
    <w:p>
      <w:pPr>
        <w:pStyle w:val="BodyText"/>
        <w:spacing w:line="297" w:lineRule="auto" w:before="76"/>
        <w:ind w:left="638" w:right="123"/>
        <w:jc w:val="left"/>
      </w:pPr>
      <w:r>
        <w:rPr/>
        <w:t>（</w:t>
      </w:r>
      <w:r>
        <w:rPr>
          <w:rFonts w:ascii="Times New Roman" w:hAnsi="Times New Roman" w:cs="Times New Roman" w:eastAsia="Times New Roman" w:hint="default"/>
        </w:rPr>
        <w:t>1</w:t>
      </w:r>
      <w:r>
        <w:rPr/>
        <w:t>）划分为持有待售的依据</w:t>
      </w:r>
      <w:r>
        <w:rPr>
          <w:w w:val="100"/>
        </w:rPr>
        <w:t> </w:t>
      </w:r>
      <w:r>
        <w:rPr>
          <w:spacing w:val="-2"/>
        </w:rPr>
        <w:t>本公司将同时满足下列条件的组成部分（或非流动资产）确认为持有待售类别：</w:t>
      </w:r>
    </w:p>
    <w:p>
      <w:pPr>
        <w:spacing w:after="0" w:line="297" w:lineRule="auto"/>
        <w:jc w:val="left"/>
        <w:sectPr>
          <w:pgSz w:w="11910" w:h="16840"/>
          <w:pgMar w:header="857" w:footer="979" w:top="1140" w:bottom="1160" w:left="1580" w:right="1040"/>
        </w:sectPr>
      </w:pPr>
    </w:p>
    <w:p>
      <w:pPr>
        <w:spacing w:line="240" w:lineRule="auto" w:before="2"/>
        <w:rPr>
          <w:rFonts w:ascii="宋体" w:hAnsi="宋体" w:cs="宋体" w:eastAsia="宋体" w:hint="default"/>
          <w:sz w:val="29"/>
          <w:szCs w:val="29"/>
        </w:rPr>
      </w:pPr>
    </w:p>
    <w:p>
      <w:pPr>
        <w:pStyle w:val="BodyText"/>
        <w:spacing w:line="240" w:lineRule="auto" w:before="36"/>
        <w:ind w:left="558" w:right="130"/>
        <w:jc w:val="left"/>
      </w:pPr>
      <w:r>
        <w:rPr/>
        <w:t>①根据类似交易中出售此类资产或处置组的惯例，在当前状况下即可立即出售；</w:t>
      </w:r>
    </w:p>
    <w:p>
      <w:pPr>
        <w:pStyle w:val="BodyText"/>
        <w:spacing w:line="314" w:lineRule="auto" w:before="85"/>
        <w:ind w:left="138" w:right="128" w:firstLine="419"/>
        <w:jc w:val="both"/>
      </w:pPr>
      <w:r>
        <w:rPr>
          <w:spacing w:val="-2"/>
        </w:rPr>
        <w:t>②出售极可能发生，即企业已经就一项出售计划作出决议且获得确定的购买承诺，预计出售</w:t>
      </w:r>
      <w:r>
        <w:rPr>
          <w:w w:val="100"/>
        </w:rPr>
        <w:t> </w:t>
      </w:r>
      <w:r>
        <w:rPr>
          <w:spacing w:val="-1"/>
        </w:rPr>
        <w:t>将在一年内完成。有关规定要求企业相关权力机构或者监管部门批准后方可出售的，应当已经获</w:t>
      </w:r>
      <w:r>
        <w:rPr>
          <w:spacing w:val="-55"/>
        </w:rPr>
        <w:t> </w:t>
      </w:r>
      <w:r>
        <w:rPr>
          <w:spacing w:val="-55"/>
        </w:rPr>
      </w:r>
      <w:r>
        <w:rPr/>
        <w:t>得批准。</w:t>
      </w:r>
    </w:p>
    <w:p>
      <w:pPr>
        <w:pStyle w:val="BodyText"/>
        <w:spacing w:line="314" w:lineRule="auto" w:before="20"/>
        <w:ind w:left="138" w:right="130" w:firstLine="419"/>
        <w:jc w:val="both"/>
      </w:pPr>
      <w:r>
        <w:rPr>
          <w:spacing w:val="-2"/>
        </w:rPr>
        <w:t>确定的购买承诺，是指企业与其他方签订的具有法律约束力的购买协议，该协议包含交易价</w:t>
      </w:r>
      <w:r>
        <w:rPr>
          <w:w w:val="100"/>
        </w:rPr>
        <w:t> </w:t>
      </w:r>
      <w:r>
        <w:rPr/>
        <w:t>格、时间和足够严厉的违约惩罚等重要条款，使协议出现重大调整或者撤销的可能性极小。</w:t>
      </w:r>
    </w:p>
    <w:p>
      <w:pPr>
        <w:pStyle w:val="BodyText"/>
        <w:spacing w:line="297" w:lineRule="auto" w:before="20"/>
        <w:ind w:left="558" w:right="130"/>
        <w:jc w:val="left"/>
      </w:pPr>
      <w:r>
        <w:rPr/>
        <w:t>（</w:t>
      </w:r>
      <w:r>
        <w:rPr>
          <w:rFonts w:ascii="Times New Roman" w:hAnsi="Times New Roman" w:cs="Times New Roman" w:eastAsia="Times New Roman" w:hint="default"/>
        </w:rPr>
        <w:t>2</w:t>
      </w:r>
      <w:r>
        <w:rPr/>
        <w:t>）持有待售的会计处理方法</w:t>
      </w:r>
      <w:r>
        <w:rPr>
          <w:w w:val="100"/>
        </w:rPr>
        <w:t> </w:t>
      </w:r>
      <w:r>
        <w:rPr>
          <w:spacing w:val="-2"/>
        </w:rPr>
        <w:t>公司初始计量或在资产负债表日重新计量持有待售的非流动资产或处置组时，其账面价值高</w:t>
      </w:r>
    </w:p>
    <w:p>
      <w:pPr>
        <w:pStyle w:val="BodyText"/>
        <w:spacing w:line="314" w:lineRule="auto" w:before="34"/>
        <w:ind w:left="138" w:right="128"/>
        <w:jc w:val="both"/>
      </w:pPr>
      <w:r>
        <w:rPr>
          <w:spacing w:val="-1"/>
        </w:rPr>
        <w:t>于公允价值减去出售费用后的净额的，将账面价值减记至公允价值减去出售费用后的净额，减记</w:t>
      </w:r>
      <w:r>
        <w:rPr>
          <w:spacing w:val="-55"/>
        </w:rPr>
        <w:t> </w:t>
      </w:r>
      <w:r>
        <w:rPr>
          <w:spacing w:val="-55"/>
        </w:rPr>
      </w:r>
      <w:r>
        <w:rPr>
          <w:spacing w:val="-1"/>
        </w:rPr>
        <w:t>的金额确认为资产减值损失，计入当期损益，同时计提持有待售资产减值准备。后续资产负债表</w:t>
      </w:r>
      <w:r>
        <w:rPr>
          <w:spacing w:val="-55"/>
        </w:rPr>
        <w:t> </w:t>
      </w:r>
      <w:r>
        <w:rPr>
          <w:spacing w:val="-55"/>
        </w:rPr>
      </w:r>
      <w:r>
        <w:rPr>
          <w:spacing w:val="-1"/>
        </w:rPr>
        <w:t>日持有待售的非流动资产公允价值减去出售费用后的净额增加的，以前减记的金额予以恢复，并</w:t>
      </w:r>
      <w:r>
        <w:rPr>
          <w:spacing w:val="-55"/>
        </w:rPr>
        <w:t> </w:t>
      </w:r>
      <w:r>
        <w:rPr>
          <w:spacing w:val="-55"/>
        </w:rPr>
      </w:r>
      <w:r>
        <w:rPr>
          <w:spacing w:val="-1"/>
        </w:rPr>
        <w:t>在划分为持有待售类别后确认的资产减值损失金额内转回，转回金额计入当期损益。划分为持有</w:t>
      </w:r>
      <w:r>
        <w:rPr>
          <w:spacing w:val="-55"/>
        </w:rPr>
        <w:t> </w:t>
      </w:r>
      <w:r>
        <w:rPr>
          <w:spacing w:val="-55"/>
        </w:rPr>
      </w:r>
      <w:r>
        <w:rPr/>
        <w:t>待售类别前确认的资产减值损失不得转回。</w:t>
      </w:r>
    </w:p>
    <w:p>
      <w:pPr>
        <w:pStyle w:val="BodyText"/>
        <w:spacing w:line="314" w:lineRule="auto" w:before="20"/>
        <w:ind w:left="138" w:right="128" w:firstLine="419"/>
        <w:jc w:val="both"/>
      </w:pPr>
      <w:r>
        <w:rPr>
          <w:spacing w:val="-2"/>
        </w:rPr>
        <w:t>对于持有待售的处置组确认的资产减值损失金额，先抵减处置组中商誉的账面价值，再根据</w:t>
      </w:r>
      <w:r>
        <w:rPr>
          <w:w w:val="100"/>
        </w:rPr>
        <w:t> </w:t>
      </w:r>
      <w:r>
        <w:rPr>
          <w:spacing w:val="-1"/>
        </w:rPr>
        <w:t>处置组中各项非流动资产账面价值所占比重，按比例抵减其账面价值。持有待售的处置组确认的</w:t>
      </w:r>
      <w:r>
        <w:rPr>
          <w:spacing w:val="-55"/>
        </w:rPr>
        <w:t> </w:t>
      </w:r>
      <w:r>
        <w:rPr>
          <w:spacing w:val="-55"/>
        </w:rPr>
      </w:r>
      <w:r>
        <w:rPr>
          <w:spacing w:val="-1"/>
        </w:rPr>
        <w:t>资产减值损失后续转回金额，根据处置组中除商誉外各项非流动资产账面价值所占比重，按比例</w:t>
      </w:r>
      <w:r>
        <w:rPr>
          <w:spacing w:val="-55"/>
        </w:rPr>
        <w:t> </w:t>
      </w:r>
      <w:r>
        <w:rPr>
          <w:spacing w:val="-55"/>
        </w:rPr>
      </w:r>
      <w:r>
        <w:rPr/>
        <w:t>增加其账面价值。</w:t>
      </w:r>
    </w:p>
    <w:p>
      <w:pPr>
        <w:pStyle w:val="BodyText"/>
        <w:spacing w:line="314" w:lineRule="auto" w:before="20"/>
        <w:ind w:left="138" w:right="130" w:firstLine="419"/>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14" w:lineRule="auto" w:before="20"/>
        <w:ind w:left="558" w:right="130"/>
        <w:jc w:val="left"/>
      </w:pPr>
      <w:r>
        <w:rPr>
          <w:spacing w:val="-2"/>
        </w:rPr>
        <w:t>公司终止确认持有待售的非流动资产或处置组时，将尚未确认的利得或损失计入当期损益。</w:t>
      </w:r>
      <w:r>
        <w:rPr>
          <w:spacing w:val="-28"/>
        </w:rPr>
        <w:t> </w:t>
      </w:r>
      <w:r>
        <w:rPr>
          <w:spacing w:val="-28"/>
        </w:rPr>
      </w:r>
      <w:r>
        <w:rPr>
          <w:spacing w:val="-2"/>
        </w:rPr>
        <w:t>非流动资产或处置组因不再满足持有待售类别的划分条件而不再继续划分为持有待售类别或</w:t>
      </w:r>
    </w:p>
    <w:p>
      <w:pPr>
        <w:pStyle w:val="BodyText"/>
        <w:spacing w:line="240" w:lineRule="auto" w:before="20"/>
        <w:ind w:left="138" w:right="0"/>
        <w:jc w:val="both"/>
      </w:pPr>
      <w:r>
        <w:rPr/>
        <w:t>非流动资产从持有待售的处置组中移除时，按照以下两者孰低计量：</w:t>
      </w:r>
    </w:p>
    <w:p>
      <w:pPr>
        <w:pStyle w:val="BodyText"/>
        <w:spacing w:line="314" w:lineRule="auto" w:before="85"/>
        <w:ind w:left="138" w:right="130" w:firstLine="419"/>
        <w:jc w:val="both"/>
      </w:pPr>
      <w:r>
        <w:rPr>
          <w:spacing w:val="-2"/>
        </w:rPr>
        <w:t>①划分为持有待售类别前的账面价值，按照假定不划分为持有待售类别情况下本应确认的折</w:t>
      </w:r>
      <w:r>
        <w:rPr>
          <w:w w:val="100"/>
        </w:rPr>
        <w:t> </w:t>
      </w:r>
      <w:r>
        <w:rPr/>
        <w:t>旧、摊销或减值等进行调整后的金额；</w:t>
      </w:r>
    </w:p>
    <w:p>
      <w:pPr>
        <w:pStyle w:val="BodyText"/>
        <w:spacing w:line="240" w:lineRule="auto" w:before="20"/>
        <w:ind w:left="558" w:right="130"/>
        <w:jc w:val="left"/>
      </w:pPr>
      <w:r>
        <w:rPr/>
        <w:t>②可收回金额。</w:t>
      </w:r>
    </w:p>
    <w:p>
      <w:pPr>
        <w:spacing w:line="240" w:lineRule="auto" w:before="11"/>
        <w:rPr>
          <w:rFonts w:ascii="宋体" w:hAnsi="宋体" w:cs="宋体" w:eastAsia="宋体" w:hint="default"/>
          <w:sz w:val="24"/>
          <w:szCs w:val="24"/>
        </w:rPr>
      </w:pPr>
    </w:p>
    <w:p>
      <w:pPr>
        <w:pStyle w:val="Heading3"/>
        <w:spacing w:line="240" w:lineRule="auto"/>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40" w:lineRule="auto" w:before="58"/>
        <w:ind w:left="138" w:right="0"/>
        <w:jc w:val="both"/>
      </w:pPr>
      <w:r>
        <w:rPr/>
        <w:t>√适用  </w:t>
      </w:r>
      <w:r>
        <w:rPr>
          <w:spacing w:val="1"/>
        </w:rPr>
        <w:t> </w:t>
      </w:r>
      <w:r>
        <w:rPr/>
        <w:t>□不适用</w:t>
      </w:r>
    </w:p>
    <w:p>
      <w:pPr>
        <w:pStyle w:val="BodyText"/>
        <w:spacing w:line="297" w:lineRule="auto" w:before="73"/>
        <w:ind w:left="558" w:right="130"/>
        <w:jc w:val="left"/>
      </w:pPr>
      <w:r>
        <w:rPr/>
        <w:t>（</w:t>
      </w:r>
      <w:r>
        <w:rPr>
          <w:rFonts w:ascii="Times New Roman" w:hAnsi="Times New Roman" w:cs="Times New Roman" w:eastAsia="Times New Roman" w:hint="default"/>
        </w:rPr>
        <w:t>1</w:t>
      </w:r>
      <w:r>
        <w:rPr/>
        <w:t>）确定对被投资单位具有共同控制、重大影响的依据</w:t>
      </w:r>
      <w:r>
        <w:rPr>
          <w:w w:val="100"/>
        </w:rPr>
        <w:t> </w:t>
      </w:r>
      <w:r>
        <w:rPr>
          <w:spacing w:val="-2"/>
        </w:rPr>
        <w:t>共同控制是指按照相关约定对某项安排所共有的控制，并且该安排的相关活动必须经过分享</w:t>
      </w:r>
    </w:p>
    <w:p>
      <w:pPr>
        <w:pStyle w:val="BodyText"/>
        <w:spacing w:line="314" w:lineRule="auto" w:before="34"/>
        <w:ind w:left="138" w:right="128"/>
        <w:jc w:val="both"/>
      </w:pPr>
      <w:r>
        <w:rPr>
          <w:spacing w:val="-1"/>
        </w:rPr>
        <w:t>控制权的参与方一致同意后才能决策。在判断是否存在共同控制时，首先判断所有参与方或参与</w:t>
      </w:r>
      <w:r>
        <w:rPr>
          <w:spacing w:val="-55"/>
        </w:rPr>
        <w:t> </w:t>
      </w:r>
      <w:r>
        <w:rPr>
          <w:spacing w:val="-55"/>
        </w:rPr>
      </w:r>
      <w:r>
        <w:rPr>
          <w:spacing w:val="-1"/>
        </w:rPr>
        <w:t>方组合是否集体控制该安排，如果所有参与方或一组参与方必须一致行动才能决定某项安排的相</w:t>
      </w:r>
      <w:r>
        <w:rPr>
          <w:spacing w:val="-55"/>
        </w:rPr>
        <w:t> </w:t>
      </w:r>
      <w:r>
        <w:rPr>
          <w:spacing w:val="-55"/>
        </w:rPr>
      </w:r>
      <w:r>
        <w:rPr>
          <w:spacing w:val="-1"/>
        </w:rPr>
        <w:t>关活动，则认为所有参与方或一组参与方集体控制该安排。其次再判断该安排相关活动的决策是</w:t>
      </w:r>
      <w:r>
        <w:rPr>
          <w:spacing w:val="-55"/>
        </w:rPr>
        <w:t> </w:t>
      </w:r>
      <w:r>
        <w:rPr>
          <w:spacing w:val="-55"/>
        </w:rPr>
      </w:r>
      <w:r>
        <w:rPr>
          <w:spacing w:val="-1"/>
        </w:rPr>
        <w:t>否必须经过这些集体控制该安排的参与方一致同意，当且仅当相关活动的决策要求集体控制该安</w:t>
      </w:r>
      <w:r>
        <w:rPr>
          <w:spacing w:val="-55"/>
        </w:rPr>
        <w:t> </w:t>
      </w:r>
      <w:r>
        <w:rPr>
          <w:spacing w:val="-55"/>
        </w:rPr>
      </w:r>
      <w:r>
        <w:rPr>
          <w:spacing w:val="-1"/>
        </w:rPr>
        <w:t>排的参与方一致同意时，才形成共同控制。如果存在两个或两个以上的参与方组合能够集体控制</w:t>
      </w:r>
      <w:r>
        <w:rPr>
          <w:spacing w:val="-55"/>
        </w:rPr>
        <w:t> </w:t>
      </w:r>
      <w:r>
        <w:rPr>
          <w:spacing w:val="-55"/>
        </w:rPr>
      </w:r>
      <w:r>
        <w:rPr/>
        <w:t>某项安排的，不构成共同控制。判断是否存在共同控制时，不考虑享有的保护性权利。</w:t>
      </w:r>
    </w:p>
    <w:p>
      <w:pPr>
        <w:pStyle w:val="BodyText"/>
        <w:spacing w:line="314" w:lineRule="auto" w:before="20"/>
        <w:ind w:left="138" w:right="128" w:firstLine="419"/>
        <w:jc w:val="both"/>
      </w:pPr>
      <w:r>
        <w:rPr>
          <w:spacing w:val="-2"/>
        </w:rPr>
        <w:t>重大影响是指投资方对被投资单位的财务和经营政策有参与决策的权力，但并不能够控制或</w:t>
      </w:r>
      <w:r>
        <w:rPr>
          <w:w w:val="100"/>
        </w:rPr>
        <w:t> </w:t>
      </w:r>
      <w:r>
        <w:rPr>
          <w:spacing w:val="-1"/>
        </w:rPr>
        <w:t>者与其他方一起共同控制这些政策的制定。在确定能否对被投资单位施加重大影响时，考虑投资</w:t>
      </w:r>
    </w:p>
    <w:p>
      <w:pPr>
        <w:spacing w:after="0" w:line="314" w:lineRule="auto"/>
        <w:jc w:val="both"/>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12" w:lineRule="auto" w:before="36"/>
        <w:ind w:left="138" w:right="123"/>
        <w:jc w:val="left"/>
      </w:pPr>
      <w:r>
        <w:rPr/>
        <w:t>方直接或间接持有被投资单位的表决权股份以及投资方及其他方持有的当期可执行潜在表决权在</w:t>
      </w:r>
      <w:r>
        <w:rPr>
          <w:spacing w:val="-97"/>
        </w:rPr>
        <w:t> </w:t>
      </w:r>
      <w:r>
        <w:rPr>
          <w:spacing w:val="-97"/>
        </w:rPr>
      </w:r>
      <w:r>
        <w:rPr>
          <w:spacing w:val="-4"/>
          <w:w w:val="100"/>
        </w:rPr>
        <w:t>假定转换为对被投资方单位的股权后产生的影响，包括被投资单位发行的当期可转换的认股权证、</w:t>
      </w:r>
      <w:r>
        <w:rPr>
          <w:spacing w:val="-86"/>
          <w:w w:val="100"/>
        </w:rPr>
        <w:t> </w:t>
      </w:r>
      <w:r>
        <w:rPr>
          <w:spacing w:val="-86"/>
          <w:w w:val="100"/>
        </w:rPr>
      </w:r>
      <w:r>
        <w:rPr/>
        <w:t>股份期权及可转换公司债券等的影响。对外投资符合下列情况时，一般确定为对投资单位具有重</w:t>
      </w:r>
      <w:r>
        <w:rPr>
          <w:spacing w:val="-97"/>
        </w:rPr>
        <w:t> </w:t>
      </w:r>
      <w:r>
        <w:rPr>
          <w:spacing w:val="-97"/>
        </w:rPr>
      </w:r>
      <w:r>
        <w:rPr/>
        <w:t>大影响：①在被投资单位的董事会或类似权力机构中派有代表；②参与被投资单位财务和经营政</w:t>
      </w:r>
      <w:r>
        <w:rPr>
          <w:spacing w:val="-97"/>
        </w:rPr>
        <w:t> </w:t>
      </w:r>
      <w:r>
        <w:rPr>
          <w:spacing w:val="-97"/>
        </w:rPr>
      </w:r>
      <w:r>
        <w:rPr/>
        <w:t>策的制定过程；③与被投资单位之间发生重要交易；④向被投资单位派出管理人员；⑤向被投资</w:t>
      </w:r>
      <w:r>
        <w:rPr>
          <w:spacing w:val="-98"/>
        </w:rPr>
        <w:t> </w:t>
      </w:r>
      <w:r>
        <w:rPr>
          <w:spacing w:val="-98"/>
        </w:rPr>
      </w:r>
      <w:r>
        <w:rPr>
          <w:spacing w:val="-3"/>
        </w:rPr>
        <w:t>单位提供关键技术资料。直接或通过子公司间接拥有被投资企业</w:t>
      </w:r>
      <w:r>
        <w:rPr>
          <w:spacing w:val="-41"/>
        </w:rPr>
        <w:t> </w:t>
      </w:r>
      <w:r>
        <w:rPr>
          <w:rFonts w:ascii="Times New Roman" w:hAnsi="Times New Roman" w:cs="Times New Roman" w:eastAsia="Times New Roman" w:hint="default"/>
        </w:rPr>
        <w:t>20%</w:t>
      </w:r>
      <w:r>
        <w:rPr/>
        <w:t>以上但低于</w:t>
      </w:r>
      <w:r>
        <w:rPr>
          <w:spacing w:val="-40"/>
        </w:rPr>
        <w:t> </w:t>
      </w:r>
      <w:r>
        <w:rPr>
          <w:rFonts w:ascii="Times New Roman" w:hAnsi="Times New Roman" w:cs="Times New Roman" w:eastAsia="Times New Roman" w:hint="default"/>
        </w:rPr>
        <w:t>50%</w:t>
      </w:r>
      <w:r>
        <w:rPr/>
        <w:t>的表决权股</w:t>
      </w:r>
      <w:r>
        <w:rPr>
          <w:spacing w:val="-76"/>
        </w:rPr>
        <w:t> </w:t>
      </w:r>
      <w:r>
        <w:rPr>
          <w:spacing w:val="-76"/>
        </w:rPr>
      </w:r>
      <w:r>
        <w:rPr/>
        <w:t>份时，一般认为对被投资单位具有重大影响。</w:t>
      </w:r>
    </w:p>
    <w:p>
      <w:pPr>
        <w:pStyle w:val="BodyText"/>
        <w:spacing w:line="240" w:lineRule="auto" w:before="22"/>
        <w:ind w:left="558" w:right="2513"/>
        <w:jc w:val="left"/>
      </w:pPr>
      <w:r>
        <w:rPr/>
        <w:t>（</w:t>
      </w:r>
      <w:r>
        <w:rPr>
          <w:rFonts w:ascii="Times New Roman" w:hAnsi="Times New Roman" w:cs="Times New Roman" w:eastAsia="Times New Roman" w:hint="default"/>
        </w:rPr>
        <w:t>2</w:t>
      </w:r>
      <w:r>
        <w:rPr/>
        <w:t>）初始投资成本确定</w:t>
      </w:r>
    </w:p>
    <w:p>
      <w:pPr>
        <w:pStyle w:val="BodyText"/>
        <w:spacing w:line="240" w:lineRule="auto" w:before="69"/>
        <w:ind w:left="558" w:right="2513"/>
        <w:jc w:val="left"/>
      </w:pPr>
      <w:r>
        <w:rPr/>
        <w:t>①企业合并形成的长期股权投资</w:t>
      </w:r>
    </w:p>
    <w:p>
      <w:pPr>
        <w:pStyle w:val="BodyText"/>
        <w:spacing w:line="312" w:lineRule="auto" w:before="85"/>
        <w:ind w:left="138" w:right="123" w:firstLine="419"/>
        <w:jc w:val="left"/>
      </w:pPr>
      <w:r>
        <w:rPr>
          <w:rFonts w:ascii="Times New Roman" w:hAnsi="Times New Roman" w:cs="Times New Roman" w:eastAsia="Times New Roman" w:hint="default"/>
        </w:rPr>
        <w:t>A</w:t>
      </w:r>
      <w:r>
        <w:rPr/>
        <w:t>、同一控制下的企业合并</w:t>
      </w:r>
      <w:r>
        <w:rPr>
          <w:rFonts w:ascii="Times New Roman" w:hAnsi="Times New Roman" w:cs="Times New Roman" w:eastAsia="Times New Roman" w:hint="default"/>
        </w:rPr>
        <w:t>,</w:t>
      </w:r>
      <w:r>
        <w:rPr/>
        <w:t>以支付现金、转让非现金资产或承担债务方式以及以发行权益性</w:t>
      </w:r>
      <w:r>
        <w:rPr>
          <w:w w:val="100"/>
        </w:rPr>
        <w:t> </w:t>
      </w:r>
      <w:r>
        <w:rPr/>
        <w:t>证券作为合并对价的，在合并日按照取得被合并方所有者权益在最终控制方合并财务报表中的账</w:t>
      </w:r>
      <w:r>
        <w:rPr>
          <w:spacing w:val="-97"/>
        </w:rPr>
        <w:t> </w:t>
      </w:r>
      <w:r>
        <w:rPr>
          <w:spacing w:val="-97"/>
        </w:rPr>
      </w:r>
      <w:r>
        <w:rPr/>
        <w:t>面价值的份额作为长期股权投资的初始投资成本。因追加投资等原因能够对同一控制下的被投资</w:t>
      </w:r>
      <w:r>
        <w:rPr>
          <w:spacing w:val="-97"/>
        </w:rPr>
        <w:t> </w:t>
      </w:r>
      <w:r>
        <w:rPr>
          <w:spacing w:val="-97"/>
        </w:rPr>
      </w:r>
      <w:r>
        <w:rPr/>
        <w:t>单位实施控制的，在合并日根据合并后应享有被合并方净资产在最终控制方合并财务报表中的账</w:t>
      </w:r>
      <w:r>
        <w:rPr>
          <w:spacing w:val="-97"/>
        </w:rPr>
        <w:t> </w:t>
      </w:r>
      <w:r>
        <w:rPr>
          <w:spacing w:val="-97"/>
        </w:rPr>
      </w:r>
      <w:r>
        <w:rPr/>
        <w:t>面价值的份额，确定长期股权投资的初始投资成本。合并日长期股权投资的初始投资成本，与达</w:t>
      </w:r>
      <w:r>
        <w:rPr>
          <w:spacing w:val="-97"/>
        </w:rPr>
        <w:t> </w:t>
      </w:r>
      <w:r>
        <w:rPr>
          <w:spacing w:val="-97"/>
        </w:rPr>
      </w:r>
      <w:r>
        <w:rPr>
          <w:spacing w:val="-2"/>
        </w:rPr>
        <w:t>到合并前的长期股权投资账面价值加上合并日进一步取得股份新支付对价的账面价值之和的差额，</w:t>
      </w:r>
      <w:r>
        <w:rPr>
          <w:spacing w:val="-13"/>
        </w:rPr>
        <w:t> </w:t>
      </w:r>
      <w:r>
        <w:rPr>
          <w:spacing w:val="-13"/>
        </w:rPr>
      </w:r>
      <w:r>
        <w:rPr/>
        <w:t>调整股本溢价，股本溢价不足冲减的，冲减留存收益。</w:t>
      </w:r>
    </w:p>
    <w:p>
      <w:pPr>
        <w:pStyle w:val="BodyText"/>
        <w:spacing w:line="309" w:lineRule="auto" w:before="22"/>
        <w:ind w:left="138" w:right="308" w:firstLine="419"/>
        <w:jc w:val="both"/>
      </w:pPr>
      <w:r>
        <w:rPr>
          <w:rFonts w:ascii="Times New Roman" w:hAnsi="Times New Roman" w:cs="Times New Roman" w:eastAsia="Times New Roman" w:hint="default"/>
          <w:spacing w:val="-4"/>
        </w:rPr>
        <w:t>B</w:t>
      </w:r>
      <w:r>
        <w:rPr>
          <w:spacing w:val="-4"/>
        </w:rPr>
        <w:t>、非同一控制下的企业合并</w:t>
      </w:r>
      <w:r>
        <w:rPr>
          <w:rFonts w:ascii="Times New Roman" w:hAnsi="Times New Roman" w:cs="Times New Roman" w:eastAsia="Times New Roman" w:hint="default"/>
          <w:spacing w:val="-4"/>
        </w:rPr>
        <w:t>,</w:t>
      </w:r>
      <w:r>
        <w:rPr>
          <w:spacing w:val="-4"/>
        </w:rPr>
        <w:t>在购买日按照《企业会计准则第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spacing w:val="-4"/>
        </w:rPr>
        <w:t>号</w:t>
      </w:r>
      <w:r>
        <w:rPr>
          <w:rFonts w:ascii="Times New Roman" w:hAnsi="Times New Roman" w:cs="Times New Roman" w:eastAsia="Times New Roman" w:hint="default"/>
          <w:spacing w:val="-4"/>
        </w:rPr>
        <w:t>——</w:t>
      </w:r>
      <w:r>
        <w:rPr>
          <w:spacing w:val="-4"/>
        </w:rPr>
        <w:t>企业合并》的相关规</w:t>
      </w:r>
      <w:r>
        <w:rPr>
          <w:w w:val="100"/>
        </w:rPr>
        <w:t> </w:t>
      </w:r>
      <w:r>
        <w:rPr>
          <w:spacing w:val="-1"/>
        </w:rPr>
        <w:t>定确定的合并成本作为长期股权投资的初始投资成本。因追加投资等原因能够对非同一控制下的</w:t>
      </w:r>
      <w:r>
        <w:rPr>
          <w:spacing w:val="-55"/>
        </w:rPr>
        <w:t> </w:t>
      </w:r>
      <w:r>
        <w:rPr>
          <w:spacing w:val="-55"/>
        </w:rPr>
      </w:r>
      <w:r>
        <w:rPr>
          <w:spacing w:val="-1"/>
        </w:rPr>
        <w:t>被投资单位实施控制的，按照原持有的股权投资账面价值加上新增投资成本之和，作为改按成本</w:t>
      </w:r>
      <w:r>
        <w:rPr>
          <w:spacing w:val="-55"/>
        </w:rPr>
        <w:t> </w:t>
      </w:r>
      <w:r>
        <w:rPr>
          <w:spacing w:val="-55"/>
        </w:rPr>
      </w:r>
      <w:r>
        <w:rPr/>
        <w:t>法核算的初始投资成本。</w:t>
      </w:r>
    </w:p>
    <w:p>
      <w:pPr>
        <w:pStyle w:val="BodyText"/>
        <w:spacing w:line="297" w:lineRule="auto" w:before="24"/>
        <w:ind w:left="138" w:right="123" w:firstLine="419"/>
        <w:jc w:val="left"/>
      </w:pPr>
      <w:r>
        <w:rPr>
          <w:spacing w:val="-4"/>
        </w:rPr>
        <w:t>（</w:t>
      </w:r>
      <w:r>
        <w:rPr>
          <w:rFonts w:ascii="Times New Roman" w:hAnsi="Times New Roman" w:cs="Times New Roman" w:eastAsia="Times New Roman" w:hint="default"/>
          <w:spacing w:val="-4"/>
        </w:rPr>
        <w:t>2</w:t>
      </w:r>
      <w:r>
        <w:rPr>
          <w:spacing w:val="-4"/>
        </w:rPr>
        <w:t>）除企业合并形成的长期股权投资以外，其他方式取得的长期股权投资，按照下列规定确</w:t>
      </w:r>
      <w:r>
        <w:rPr>
          <w:w w:val="100"/>
        </w:rPr>
        <w:t> </w:t>
      </w:r>
      <w:r>
        <w:rPr/>
        <w:t>定其初始投资成本：</w:t>
      </w:r>
    </w:p>
    <w:p>
      <w:pPr>
        <w:pStyle w:val="BodyText"/>
        <w:spacing w:line="297" w:lineRule="auto" w:before="34"/>
        <w:ind w:left="138" w:right="123" w:firstLine="419"/>
        <w:jc w:val="left"/>
      </w:pPr>
      <w:r>
        <w:rPr>
          <w:rFonts w:ascii="Times New Roman" w:hAnsi="Times New Roman" w:cs="Times New Roman" w:eastAsia="Times New Roman" w:hint="default"/>
        </w:rPr>
        <w:t>A</w:t>
      </w:r>
      <w:r>
        <w:rPr/>
        <w:t>、以支付现金方式取得的长期股权投资，以实际支付的购买价款作为初始投资成本。初始</w:t>
      </w:r>
      <w:r>
        <w:rPr>
          <w:w w:val="100"/>
        </w:rPr>
        <w:t> </w:t>
      </w:r>
      <w:r>
        <w:rPr/>
        <w:t>投资成本包括与取得长期股权投资直接相关的费用、税金及其他必要支出。</w:t>
      </w:r>
    </w:p>
    <w:p>
      <w:pPr>
        <w:pStyle w:val="BodyText"/>
        <w:spacing w:line="297" w:lineRule="auto" w:before="34"/>
        <w:ind w:left="138" w:right="123" w:firstLine="419"/>
        <w:jc w:val="left"/>
      </w:pPr>
      <w:r>
        <w:rPr>
          <w:rFonts w:ascii="Times New Roman" w:hAnsi="Times New Roman" w:cs="Times New Roman" w:eastAsia="Times New Roman" w:hint="default"/>
        </w:rPr>
        <w:t>B</w:t>
      </w:r>
      <w:r>
        <w:rPr/>
        <w:t>、以发行权益性证券方式取得的长期股权投资，以发行权益性证券的公允价值作为初始投</w:t>
      </w:r>
      <w:r>
        <w:rPr>
          <w:w w:val="100"/>
        </w:rPr>
        <w:t> </w:t>
      </w:r>
      <w:r>
        <w:rPr/>
        <w:t>资成本。</w:t>
      </w:r>
    </w:p>
    <w:p>
      <w:pPr>
        <w:pStyle w:val="BodyText"/>
        <w:spacing w:line="240" w:lineRule="auto" w:before="34"/>
        <w:ind w:left="558" w:right="123"/>
        <w:jc w:val="left"/>
        <w:rPr>
          <w:rFonts w:ascii="Times New Roman" w:hAnsi="Times New Roman" w:cs="Times New Roman" w:eastAsia="Times New Roman" w:hint="default"/>
        </w:rPr>
      </w:pPr>
      <w:r>
        <w:rPr>
          <w:rFonts w:ascii="Times New Roman" w:hAnsi="Times New Roman" w:cs="Times New Roman" w:eastAsia="Times New Roman" w:hint="default"/>
        </w:rPr>
        <w:t>C</w:t>
      </w:r>
      <w:r>
        <w:rPr/>
        <w:t>、通过非货币性资产交换取得的长期股权投资，其初始投资成本按照《企业会计准则第</w:t>
      </w:r>
      <w:r>
        <w:rPr>
          <w:spacing w:val="83"/>
        </w:rPr>
        <w:t> </w:t>
      </w:r>
      <w:r>
        <w:rPr>
          <w:rFonts w:ascii="Times New Roman" w:hAnsi="Times New Roman" w:cs="Times New Roman" w:eastAsia="Times New Roman" w:hint="default"/>
        </w:rPr>
        <w:t>7</w:t>
      </w:r>
    </w:p>
    <w:p>
      <w:pPr>
        <w:pStyle w:val="BodyText"/>
        <w:spacing w:line="240" w:lineRule="auto" w:before="70"/>
        <w:ind w:left="138" w:right="2513"/>
        <w:jc w:val="left"/>
      </w:pPr>
      <w:r>
        <w:rPr/>
        <w:t>号</w:t>
      </w:r>
      <w:r>
        <w:rPr>
          <w:rFonts w:ascii="Times New Roman" w:hAnsi="Times New Roman" w:cs="Times New Roman" w:eastAsia="Times New Roman" w:hint="default"/>
        </w:rPr>
        <w:t>——</w:t>
      </w:r>
      <w:r>
        <w:rPr/>
        <w:t>非货币性资产交换》确定。</w:t>
      </w:r>
    </w:p>
    <w:p>
      <w:pPr>
        <w:pStyle w:val="BodyText"/>
        <w:spacing w:line="297" w:lineRule="auto" w:before="69"/>
        <w:ind w:left="138" w:right="123" w:firstLine="419"/>
        <w:jc w:val="left"/>
      </w:pPr>
      <w:r>
        <w:rPr>
          <w:rFonts w:ascii="Times New Roman" w:hAnsi="Times New Roman" w:cs="Times New Roman" w:eastAsia="Times New Roman" w:hint="default"/>
          <w:spacing w:val="-3"/>
        </w:rPr>
        <w:t>D</w:t>
      </w:r>
      <w:r>
        <w:rPr>
          <w:spacing w:val="-3"/>
        </w:rPr>
        <w:t>、通过债务重组取得的长期股权投资，其初始投资成本按照《企业会计准则第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债</w:t>
      </w:r>
      <w:r>
        <w:rPr>
          <w:w w:val="100"/>
        </w:rPr>
        <w:t> </w:t>
      </w:r>
      <w:r>
        <w:rPr/>
        <w:t>务重组》确定。</w:t>
      </w:r>
    </w:p>
    <w:p>
      <w:pPr>
        <w:pStyle w:val="BodyText"/>
        <w:spacing w:line="240" w:lineRule="auto" w:before="34"/>
        <w:ind w:left="558" w:right="2513"/>
        <w:jc w:val="left"/>
      </w:pPr>
      <w:r>
        <w:rPr/>
        <w:t>（</w:t>
      </w:r>
      <w:r>
        <w:rPr>
          <w:rFonts w:ascii="Times New Roman" w:hAnsi="Times New Roman" w:cs="Times New Roman" w:eastAsia="Times New Roman" w:hint="default"/>
        </w:rPr>
        <w:t>3</w:t>
      </w:r>
      <w:r>
        <w:rPr/>
        <w:t>）后续计量和损益确认方法</w:t>
      </w:r>
    </w:p>
    <w:p>
      <w:pPr>
        <w:pStyle w:val="BodyText"/>
        <w:spacing w:line="314" w:lineRule="auto" w:before="69"/>
        <w:ind w:left="138" w:right="307" w:firstLine="419"/>
        <w:jc w:val="both"/>
      </w:pPr>
      <w:r>
        <w:rPr>
          <w:spacing w:val="-2"/>
        </w:rPr>
        <w:t>①成本法核算：本公司能够对被投资单位实施控制的长期股权投资，采用成本法核算。采用</w:t>
      </w:r>
      <w:r>
        <w:rPr>
          <w:w w:val="100"/>
        </w:rPr>
        <w:t> </w:t>
      </w:r>
      <w:r>
        <w:rPr>
          <w:spacing w:val="-1"/>
        </w:rPr>
        <w:t>成本法核算时，追加或收回投资调整长期股权投资的成本。采用成本法核算的长期股权投资，除</w:t>
      </w:r>
      <w:r>
        <w:rPr>
          <w:spacing w:val="-55"/>
        </w:rPr>
        <w:t> </w:t>
      </w:r>
      <w:r>
        <w:rPr>
          <w:spacing w:val="-55"/>
        </w:rPr>
      </w:r>
      <w:r>
        <w:rPr>
          <w:spacing w:val="-1"/>
        </w:rPr>
        <w:t>取得投资时实际支付的价款或对价中包含的已宣告但尚未发放的现金股利或利润外，公司按照享</w:t>
      </w:r>
      <w:r>
        <w:rPr>
          <w:spacing w:val="-55"/>
        </w:rPr>
        <w:t> </w:t>
      </w:r>
      <w:r>
        <w:rPr>
          <w:spacing w:val="-55"/>
        </w:rPr>
      </w:r>
      <w:r>
        <w:rPr>
          <w:spacing w:val="-1"/>
        </w:rPr>
        <w:t>有被投资单位宣告发放的现金股利或利润确认投资收益，不再划分是否属于投资前和投资后被投</w:t>
      </w:r>
      <w:r>
        <w:rPr>
          <w:spacing w:val="-55"/>
        </w:rPr>
        <w:t> </w:t>
      </w:r>
      <w:r>
        <w:rPr>
          <w:spacing w:val="-55"/>
        </w:rPr>
      </w:r>
      <w:r>
        <w:rPr/>
        <w:t>资单位实现的净利润。</w:t>
      </w:r>
    </w:p>
    <w:p>
      <w:pPr>
        <w:pStyle w:val="BodyText"/>
        <w:spacing w:line="297" w:lineRule="auto" w:before="20"/>
        <w:ind w:left="138" w:right="123" w:firstLine="419"/>
        <w:jc w:val="left"/>
      </w:pPr>
      <w:r>
        <w:rPr>
          <w:spacing w:val="-4"/>
        </w:rPr>
        <w:t>②权益法核算：本公司对被投资单位共同控制或重大影响的长期股权投资，除</w:t>
      </w:r>
      <w:r>
        <w:rPr>
          <w:rFonts w:ascii="Times New Roman" w:hAnsi="Times New Roman" w:cs="Times New Roman" w:eastAsia="Times New Roman" w:hint="default"/>
          <w:spacing w:val="-4"/>
        </w:rPr>
        <w:t>“</w:t>
      </w:r>
      <w:r>
        <w:rPr>
          <w:spacing w:val="-4"/>
        </w:rPr>
        <w:t>对联营企业的</w:t>
      </w:r>
      <w:r>
        <w:rPr>
          <w:w w:val="100"/>
        </w:rPr>
        <w:t> </w:t>
      </w:r>
      <w:r>
        <w:rPr>
          <w:spacing w:val="-1"/>
        </w:rPr>
        <w:t>权益性投资，其中一部分通过风险投资机构、共同基金、信托公司或包括投连险基金在内的类似</w:t>
      </w:r>
    </w:p>
    <w:p>
      <w:pPr>
        <w:spacing w:after="0" w:line="297" w:lineRule="auto"/>
        <w:jc w:val="left"/>
        <w:sectPr>
          <w:pgSz w:w="11910" w:h="16840"/>
          <w:pgMar w:header="857" w:footer="979" w:top="1140" w:bottom="1160" w:left="1660" w:right="960"/>
        </w:sectPr>
      </w:pPr>
    </w:p>
    <w:p>
      <w:pPr>
        <w:spacing w:line="240" w:lineRule="auto" w:before="2"/>
        <w:rPr>
          <w:rFonts w:ascii="宋体" w:hAnsi="宋体" w:cs="宋体" w:eastAsia="宋体" w:hint="default"/>
          <w:sz w:val="29"/>
          <w:szCs w:val="29"/>
        </w:rPr>
      </w:pPr>
    </w:p>
    <w:p>
      <w:pPr>
        <w:pStyle w:val="BodyText"/>
        <w:spacing w:line="309" w:lineRule="auto" w:before="36"/>
        <w:ind w:left="138" w:right="208"/>
        <w:jc w:val="both"/>
      </w:pPr>
      <w:r>
        <w:rPr>
          <w:spacing w:val="-3"/>
        </w:rPr>
        <w:t>主体间接持有的，无论以上主体是否对这部分投资具有重大影响，公司按照《企业会计准则第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9"/>
        </w:rPr>
        <w:t> </w:t>
      </w:r>
      <w:r>
        <w:rPr>
          <w:spacing w:val="-1"/>
        </w:rPr>
        <w:t>号</w:t>
      </w:r>
      <w:r>
        <w:rPr>
          <w:rFonts w:ascii="Times New Roman" w:hAnsi="Times New Roman" w:cs="Times New Roman" w:eastAsia="Times New Roman" w:hint="default"/>
          <w:spacing w:val="-1"/>
        </w:rPr>
        <w:t>——</w:t>
      </w:r>
      <w:r>
        <w:rPr>
          <w:spacing w:val="-1"/>
        </w:rPr>
        <w:t>金融工具确认和计量》的有关规定，对间接持有的该部分投资选择以公允价值计量且其变</w:t>
      </w:r>
      <w:r>
        <w:rPr>
          <w:spacing w:val="-56"/>
        </w:rPr>
        <w:t> </w:t>
      </w:r>
      <w:r>
        <w:rPr>
          <w:spacing w:val="-56"/>
        </w:rPr>
      </w:r>
      <w:r>
        <w:rPr>
          <w:spacing w:val="-1"/>
        </w:rPr>
        <w:t>动计入损益。除上述情形外，本公司对被投资单位具有共同控制或重大影响的长期股权投资，采</w:t>
      </w:r>
      <w:r>
        <w:rPr>
          <w:spacing w:val="-55"/>
        </w:rPr>
        <w:t> </w:t>
      </w:r>
      <w:r>
        <w:rPr>
          <w:spacing w:val="-55"/>
        </w:rPr>
      </w:r>
      <w:r>
        <w:rPr>
          <w:spacing w:val="-1"/>
        </w:rPr>
        <w:t>用权益法核算。采用权益法核算时，公司取得长期股权投资后，按照应享有或应分担的被投资单</w:t>
      </w:r>
      <w:r>
        <w:rPr>
          <w:spacing w:val="-55"/>
        </w:rPr>
        <w:t> </w:t>
      </w:r>
      <w:r>
        <w:rPr>
          <w:spacing w:val="-55"/>
        </w:rPr>
      </w:r>
      <w:r>
        <w:rPr>
          <w:spacing w:val="-1"/>
        </w:rPr>
        <w:t>位实现的净损益和其他综合收益的份额，分别确认投资收益和其他综合收益，同时调整长期股权</w:t>
      </w:r>
      <w:r>
        <w:rPr>
          <w:spacing w:val="-55"/>
        </w:rPr>
        <w:t> </w:t>
      </w:r>
      <w:r>
        <w:rPr>
          <w:spacing w:val="-55"/>
        </w:rPr>
      </w:r>
      <w:r>
        <w:rPr>
          <w:spacing w:val="-1"/>
        </w:rPr>
        <w:t>投资的账面价值；公司按照被投资单位宣告分派的利润或现金股利计算应享有的部分，相应减少</w:t>
      </w:r>
      <w:r>
        <w:rPr>
          <w:spacing w:val="-55"/>
        </w:rPr>
        <w:t> </w:t>
      </w:r>
      <w:r>
        <w:rPr>
          <w:spacing w:val="-55"/>
        </w:rPr>
      </w:r>
      <w:r>
        <w:rPr>
          <w:spacing w:val="-1"/>
        </w:rPr>
        <w:t>长期股权投资的账面价值；公司对于被投资单位除净损益、其他综合收益和利润分配以外所有者</w:t>
      </w:r>
      <w:r>
        <w:rPr>
          <w:spacing w:val="-55"/>
        </w:rPr>
        <w:t> </w:t>
      </w:r>
      <w:r>
        <w:rPr>
          <w:spacing w:val="-55"/>
        </w:rPr>
      </w:r>
      <w:r>
        <w:rPr/>
        <w:t>权益的其他变动，调整长期股权投资的账面价值并计入所有者权益。</w:t>
      </w:r>
    </w:p>
    <w:p>
      <w:pPr>
        <w:pStyle w:val="BodyText"/>
        <w:spacing w:line="314" w:lineRule="auto" w:before="24"/>
        <w:ind w:left="138" w:right="208" w:firstLine="419"/>
        <w:jc w:val="both"/>
      </w:pPr>
      <w:r>
        <w:rPr>
          <w:spacing w:val="-2"/>
        </w:rPr>
        <w:t>公司确认被投资单位发生的净亏损，以长期股权投资的账面价值以及其他实质上构成对被投</w:t>
      </w:r>
      <w:r>
        <w:rPr>
          <w:w w:val="100"/>
        </w:rPr>
        <w:t> </w:t>
      </w:r>
      <w:r>
        <w:rPr>
          <w:spacing w:val="-1"/>
        </w:rPr>
        <w:t>资单位净投资的长期权益减记至零为限，公司负有承担额外损失义务的除外。被投资单位以后实</w:t>
      </w:r>
      <w:r>
        <w:rPr>
          <w:spacing w:val="-55"/>
        </w:rPr>
        <w:t> </w:t>
      </w:r>
      <w:r>
        <w:rPr>
          <w:spacing w:val="-55"/>
        </w:rPr>
      </w:r>
      <w:r>
        <w:rPr/>
        <w:t>现净利润的，公司在其收益分享额弥补未确认的亏损分担额后，恢复确认收益分享额。</w:t>
      </w:r>
    </w:p>
    <w:p>
      <w:pPr>
        <w:pStyle w:val="BodyText"/>
        <w:spacing w:line="312" w:lineRule="auto" w:before="20"/>
        <w:ind w:left="138" w:right="102" w:firstLine="419"/>
        <w:jc w:val="left"/>
      </w:pPr>
      <w:r>
        <w:rPr/>
        <w:t>公司在确认应享有被投资单位净损益的份额时，以取得投资时被投资单位可辨认净资产的公</w:t>
      </w:r>
      <w:r>
        <w:rPr>
          <w:w w:val="100"/>
        </w:rPr>
        <w:t> </w:t>
      </w:r>
      <w:r>
        <w:rPr/>
        <w:t>允价值为基础，对被投资单位的净利润进行调整，并且将公司与联营企业及合营企业之间发生的</w:t>
      </w:r>
      <w:r>
        <w:rPr>
          <w:spacing w:val="-97"/>
        </w:rPr>
        <w:t> </w:t>
      </w:r>
      <w:r>
        <w:rPr>
          <w:spacing w:val="-97"/>
        </w:rPr>
      </w:r>
      <w:r>
        <w:rPr>
          <w:spacing w:val="-4"/>
          <w:w w:val="100"/>
        </w:rPr>
        <w:t>未实现内部交易损益按照持股比例计算归属于公司的部分并予以抵销，在此基础上确认投资损益。</w:t>
      </w:r>
      <w:r>
        <w:rPr>
          <w:spacing w:val="-86"/>
          <w:w w:val="100"/>
        </w:rPr>
        <w:t> </w:t>
      </w:r>
      <w:r>
        <w:rPr>
          <w:spacing w:val="-86"/>
          <w:w w:val="100"/>
        </w:rPr>
      </w:r>
      <w:r>
        <w:rPr/>
        <w:t>公司与被投资单位发生的未实现内部交易损失，按照《企业会计准则第</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资产减值》等规</w:t>
      </w:r>
      <w:r>
        <w:rPr>
          <w:w w:val="100"/>
        </w:rPr>
        <w:t> </w:t>
      </w:r>
      <w:r>
        <w:rPr>
          <w:spacing w:val="-6"/>
          <w:w w:val="100"/>
        </w:rPr>
        <w:t>定属于资产减值损失的，全额确认。如果被投资单位采用的会计政策及会计期间与公司不一致的，</w:t>
      </w:r>
      <w:r>
        <w:rPr>
          <w:spacing w:val="-104"/>
          <w:w w:val="100"/>
        </w:rPr>
        <w:t> </w:t>
      </w:r>
      <w:r>
        <w:rPr>
          <w:spacing w:val="-104"/>
          <w:w w:val="100"/>
        </w:rPr>
      </w:r>
      <w:r>
        <w:rPr/>
        <w:t>按照公司的会计政策及会计期间对被投资单位的财务报表进行调整，并据以确认投资损益和其他</w:t>
      </w:r>
      <w:r>
        <w:rPr>
          <w:spacing w:val="-97"/>
        </w:rPr>
        <w:t> </w:t>
      </w:r>
      <w:r>
        <w:rPr>
          <w:spacing w:val="-97"/>
        </w:rPr>
      </w:r>
      <w:r>
        <w:rPr/>
        <w:t>综合收益等。</w:t>
      </w:r>
    </w:p>
    <w:p>
      <w:pPr>
        <w:pStyle w:val="BodyText"/>
        <w:spacing w:line="314" w:lineRule="auto" w:before="22"/>
        <w:ind w:left="138" w:right="210" w:firstLine="419"/>
        <w:jc w:val="both"/>
      </w:pPr>
      <w:r>
        <w:rPr>
          <w:spacing w:val="-2"/>
        </w:rPr>
        <w:t>对于首次执行日之前已经持有的对联营企业和合营企业的长期股权投资，如存在与该投资相</w:t>
      </w:r>
      <w:r>
        <w:rPr>
          <w:w w:val="100"/>
        </w:rPr>
        <w:t> </w:t>
      </w:r>
      <w:r>
        <w:rPr/>
        <w:t>关的股权投资借方差额，按原剩余期限直线法摊销，摊销金额计入当期损益。</w:t>
      </w:r>
    </w:p>
    <w:p>
      <w:pPr>
        <w:pStyle w:val="BodyText"/>
        <w:spacing w:line="309" w:lineRule="auto" w:before="20"/>
        <w:ind w:left="138" w:right="208" w:firstLine="419"/>
        <w:jc w:val="both"/>
      </w:pPr>
      <w:r>
        <w:rPr>
          <w:spacing w:val="-2"/>
        </w:rPr>
        <w:t>③处置长期股权投资：公司因处置部分股权投资等原因丧失了对被投资单位的共同控制或重</w:t>
      </w:r>
      <w:r>
        <w:rPr>
          <w:w w:val="100"/>
        </w:rPr>
        <w:t> </w:t>
      </w:r>
      <w:r>
        <w:rPr>
          <w:spacing w:val="-4"/>
        </w:rPr>
        <w:t>大影响的，处置后的剩余股权改按《企业会计准则第 </w:t>
      </w:r>
      <w:r>
        <w:rPr>
          <w:rFonts w:ascii="Times New Roman" w:hAnsi="Times New Roman" w:cs="Times New Roman" w:eastAsia="Times New Roman" w:hint="default"/>
        </w:rPr>
        <w:t>22 </w:t>
      </w:r>
      <w:r>
        <w:rPr>
          <w:spacing w:val="-5"/>
        </w:rPr>
        <w:t>号</w:t>
      </w:r>
      <w:r>
        <w:rPr>
          <w:rFonts w:ascii="Times New Roman" w:hAnsi="Times New Roman" w:cs="Times New Roman" w:eastAsia="Times New Roman" w:hint="default"/>
          <w:spacing w:val="-5"/>
        </w:rPr>
        <w:t>——</w:t>
      </w:r>
      <w:r>
        <w:rPr>
          <w:spacing w:val="-5"/>
        </w:rPr>
        <w:t>金融工具确认和计量》核算，在丧</w:t>
      </w:r>
      <w:r>
        <w:rPr>
          <w:spacing w:val="-77"/>
        </w:rPr>
        <w:t> </w:t>
      </w:r>
      <w:r>
        <w:rPr>
          <w:spacing w:val="-77"/>
        </w:rPr>
      </w:r>
      <w:r>
        <w:rPr>
          <w:spacing w:val="-1"/>
        </w:rPr>
        <w:t>失共同控制或重大影响之日的公允价值与账面价值之间的差额计入当期损益。原股权投资因采用</w:t>
      </w:r>
      <w:r>
        <w:rPr>
          <w:spacing w:val="-55"/>
        </w:rPr>
        <w:t> </w:t>
      </w:r>
      <w:r>
        <w:rPr>
          <w:spacing w:val="-55"/>
        </w:rPr>
      </w:r>
      <w:r>
        <w:rPr>
          <w:spacing w:val="-1"/>
        </w:rPr>
        <w:t>权益法核算而确认的其他综合收益，在终止采用权益法核算时采用与被投资单位直接处置相关资</w:t>
      </w:r>
      <w:r>
        <w:rPr>
          <w:spacing w:val="-55"/>
        </w:rPr>
        <w:t> </w:t>
      </w:r>
      <w:r>
        <w:rPr>
          <w:spacing w:val="-55"/>
        </w:rPr>
      </w:r>
      <w:r>
        <w:rPr/>
        <w:t>产或负债相同的基础进行会计处理；原股权投资相关的其他所有者权益变动转入当期损益。</w:t>
      </w:r>
    </w:p>
    <w:p>
      <w:pPr>
        <w:pStyle w:val="BodyText"/>
        <w:spacing w:line="312" w:lineRule="auto" w:before="24"/>
        <w:ind w:left="138" w:right="208" w:firstLine="419"/>
        <w:jc w:val="both"/>
      </w:pPr>
      <w:r>
        <w:rPr>
          <w:spacing w:val="-2"/>
        </w:rPr>
        <w:t>公司因处置部分股权投资等原因丧失了对被投资单位的控制的，在编制个别财务报表时，处</w:t>
      </w:r>
      <w:r>
        <w:rPr>
          <w:w w:val="100"/>
        </w:rPr>
        <w:t> </w:t>
      </w:r>
      <w:r>
        <w:rPr>
          <w:spacing w:val="-1"/>
        </w:rPr>
        <w:t>置后的剩余股权能够对被投资单位实施共同控制或施加重大影响的，改按权益法核算，并对该剩</w:t>
      </w:r>
      <w:r>
        <w:rPr>
          <w:spacing w:val="-55"/>
        </w:rPr>
        <w:t> </w:t>
      </w:r>
      <w:r>
        <w:rPr>
          <w:spacing w:val="-55"/>
        </w:rPr>
      </w:r>
      <w:r>
        <w:rPr>
          <w:spacing w:val="-1"/>
        </w:rPr>
        <w:t>余股权视同自取得时即采用权益法核算进行调整；处置后的剩余股权不能对被投资单位实施共同</w:t>
      </w:r>
      <w:r>
        <w:rPr>
          <w:spacing w:val="-55"/>
        </w:rPr>
        <w:t> </w:t>
      </w:r>
      <w:r>
        <w:rPr>
          <w:spacing w:val="-55"/>
        </w:rPr>
      </w:r>
      <w:r>
        <w:rPr>
          <w:spacing w:val="-5"/>
        </w:rPr>
        <w:t>控制或施加重大影响的，改按《企业会计准则第 </w:t>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金融工具确认和计量》的有关规定进行</w:t>
      </w:r>
      <w:r>
        <w:rPr>
          <w:spacing w:val="-89"/>
        </w:rPr>
        <w:t> </w:t>
      </w:r>
      <w:r>
        <w:rPr>
          <w:spacing w:val="-89"/>
        </w:rPr>
      </w:r>
      <w:r>
        <w:rPr>
          <w:spacing w:val="-1"/>
        </w:rPr>
        <w:t>会计处理，其在丧失控制之日的公允价值与账面价值间的差额计入当期损益。在编制合并财务报</w:t>
      </w:r>
      <w:r>
        <w:rPr>
          <w:spacing w:val="-55"/>
        </w:rPr>
        <w:t> </w:t>
      </w:r>
      <w:r>
        <w:rPr>
          <w:spacing w:val="-55"/>
        </w:rPr>
      </w:r>
      <w:r>
        <w:rPr/>
        <w:t>表时，按照《企业会计准则第</w:t>
      </w:r>
      <w:r>
        <w:rPr>
          <w:spacing w:val="-56"/>
        </w:rPr>
        <w:t>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合并财务报表》的有关规定进行会计处理。</w:t>
      </w:r>
    </w:p>
    <w:p>
      <w:pPr>
        <w:pStyle w:val="BodyText"/>
        <w:spacing w:line="309" w:lineRule="auto"/>
        <w:ind w:left="138" w:right="208" w:firstLine="419"/>
        <w:jc w:val="both"/>
      </w:pPr>
      <w:r>
        <w:rPr>
          <w:spacing w:val="-2"/>
        </w:rPr>
        <w:t>公司将对联营企业或合营企业的权益性投资全部或部分分类为持有待售资产的，按照《企业</w:t>
      </w:r>
      <w:r>
        <w:rPr>
          <w:w w:val="100"/>
        </w:rPr>
        <w:t> </w:t>
      </w:r>
      <w:r>
        <w:rPr>
          <w:spacing w:val="-2"/>
          <w:w w:val="100"/>
        </w:rPr>
        <w:t>会计准则第</w:t>
      </w:r>
      <w:r>
        <w:rPr>
          <w:spacing w:val="-49"/>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spacing w:val="-7"/>
          <w:w w:val="100"/>
        </w:rPr>
        <w:t>号</w:t>
      </w:r>
      <w:r>
        <w:rPr>
          <w:rFonts w:ascii="Times New Roman" w:hAnsi="Times New Roman" w:cs="Times New Roman" w:eastAsia="Times New Roman" w:hint="default"/>
          <w:spacing w:val="-7"/>
          <w:w w:val="100"/>
        </w:rPr>
        <w:t>——</w:t>
      </w:r>
      <w:r>
        <w:rPr>
          <w:spacing w:val="-7"/>
          <w:w w:val="100"/>
        </w:rPr>
        <w:t>固定资产》的有关规定处理，对于未划分为持有待售资产的剩余权益性投资，</w:t>
      </w:r>
      <w:r>
        <w:rPr>
          <w:w w:val="100"/>
        </w:rPr>
        <w:t> </w:t>
      </w:r>
      <w:r>
        <w:rPr>
          <w:spacing w:val="-1"/>
        </w:rPr>
        <w:t>采用权益法进行会计处理。已划分为持有待售的对联营企业或合营企业的权益性投资，不再符合</w:t>
      </w:r>
      <w:r>
        <w:rPr>
          <w:spacing w:val="-55"/>
        </w:rPr>
        <w:t> </w:t>
      </w:r>
      <w:r>
        <w:rPr>
          <w:spacing w:val="-55"/>
        </w:rPr>
      </w:r>
      <w:r>
        <w:rPr>
          <w:spacing w:val="-1"/>
        </w:rPr>
        <w:t>持有待售资产分类条件的，从被分类为持有待售资产之日起采用权益法进行追溯调整。分类为持</w:t>
      </w:r>
      <w:r>
        <w:rPr>
          <w:spacing w:val="-55"/>
        </w:rPr>
        <w:t> </w:t>
      </w:r>
      <w:r>
        <w:rPr>
          <w:spacing w:val="-55"/>
        </w:rPr>
      </w:r>
      <w:r>
        <w:rPr/>
        <w:t>有待售期间的财务报表作相应调整。</w:t>
      </w:r>
    </w:p>
    <w:p>
      <w:pPr>
        <w:pStyle w:val="BodyText"/>
        <w:spacing w:line="314" w:lineRule="auto" w:before="24"/>
        <w:ind w:left="138" w:right="208" w:firstLine="419"/>
        <w:jc w:val="both"/>
      </w:pPr>
      <w:r>
        <w:rPr>
          <w:spacing w:val="-2"/>
        </w:rPr>
        <w:t>公司处置长期股权投资，其账面价值与实际取得价款之间的差额，计入当期损益。采用权益</w:t>
      </w:r>
      <w:r>
        <w:rPr>
          <w:w w:val="100"/>
        </w:rPr>
        <w:t> </w:t>
      </w:r>
      <w:r>
        <w:rPr>
          <w:spacing w:val="-1"/>
        </w:rPr>
        <w:t>法核算的长期股权投资，在处置该项投资时，采用与被投资单位直接处置相关资产或负债相同的</w:t>
      </w:r>
    </w:p>
    <w:p>
      <w:pPr>
        <w:spacing w:after="0" w:line="314" w:lineRule="auto"/>
        <w:jc w:val="both"/>
        <w:sectPr>
          <w:pgSz w:w="11910" w:h="16840"/>
          <w:pgMar w:header="857" w:footer="979" w:top="1140" w:bottom="1160" w:left="1660" w:right="1060"/>
        </w:sectPr>
      </w:pPr>
    </w:p>
    <w:p>
      <w:pPr>
        <w:spacing w:line="240" w:lineRule="auto" w:before="2"/>
        <w:rPr>
          <w:rFonts w:ascii="宋体" w:hAnsi="宋体" w:cs="宋体" w:eastAsia="宋体" w:hint="default"/>
          <w:sz w:val="29"/>
          <w:szCs w:val="29"/>
        </w:rPr>
      </w:pPr>
    </w:p>
    <w:p>
      <w:pPr>
        <w:pStyle w:val="BodyText"/>
        <w:spacing w:line="314" w:lineRule="auto" w:before="36"/>
        <w:ind w:right="228"/>
        <w:jc w:val="both"/>
      </w:pPr>
      <w:r>
        <w:rPr>
          <w:spacing w:val="-1"/>
        </w:rPr>
        <w:t>基础，按相应比例对原计入其他综合收益的部分进行会计处理。因被投资单位除净损益、其他综</w:t>
      </w:r>
      <w:r>
        <w:rPr>
          <w:spacing w:val="-55"/>
        </w:rPr>
        <w:t> </w:t>
      </w:r>
      <w:r>
        <w:rPr>
          <w:spacing w:val="-55"/>
        </w:rPr>
      </w:r>
      <w:r>
        <w:rPr>
          <w:spacing w:val="-1"/>
        </w:rPr>
        <w:t>合收益和利润分配以外的其他所有者权益变动而计入所有者权益的，处置该项投资时将原计入所</w:t>
      </w:r>
      <w:r>
        <w:rPr>
          <w:spacing w:val="-55"/>
        </w:rPr>
        <w:t> </w:t>
      </w:r>
      <w:r>
        <w:rPr>
          <w:spacing w:val="-55"/>
        </w:rPr>
      </w:r>
      <w:r>
        <w:rPr>
          <w:spacing w:val="-1"/>
        </w:rPr>
        <w:t>有者权益的部分按相应比例转入当期损益，由于被投资方重新计量设定受益计划净负债或净资产</w:t>
      </w:r>
      <w:r>
        <w:rPr>
          <w:spacing w:val="-54"/>
        </w:rPr>
        <w:t> </w:t>
      </w:r>
      <w:r>
        <w:rPr>
          <w:spacing w:val="-54"/>
        </w:rPr>
      </w:r>
      <w:r>
        <w:rPr/>
        <w:t>变动而产生的其他综合收益除外。</w:t>
      </w:r>
    </w:p>
    <w:p>
      <w:pPr>
        <w:spacing w:line="240" w:lineRule="auto" w:before="10"/>
        <w:rPr>
          <w:rFonts w:ascii="宋体" w:hAnsi="宋体" w:cs="宋体" w:eastAsia="宋体" w:hint="default"/>
          <w:sz w:val="18"/>
          <w:szCs w:val="18"/>
        </w:rPr>
      </w:pPr>
    </w:p>
    <w:p>
      <w:pPr>
        <w:pStyle w:val="Heading3"/>
        <w:spacing w:line="290" w:lineRule="auto"/>
        <w:ind w:right="609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314" w:lineRule="auto" w:before="29"/>
        <w:ind w:right="228" w:firstLine="419"/>
        <w:jc w:val="both"/>
      </w:pPr>
      <w:r>
        <w:rPr>
          <w:spacing w:val="-2"/>
        </w:rPr>
        <w:t>投资性房地产是指为赚取租金或资本增值，或两者兼有而持有的房地产。主要包括已出租的</w:t>
      </w:r>
      <w:r>
        <w:rPr>
          <w:w w:val="100"/>
        </w:rPr>
        <w:t> </w:t>
      </w:r>
      <w:r>
        <w:rPr>
          <w:spacing w:val="-1"/>
        </w:rPr>
        <w:t>土地使用权、持有并准备增值后转让的土地使用权以及已出租的建筑物。当公司能够取得与投资</w:t>
      </w:r>
      <w:r>
        <w:rPr>
          <w:spacing w:val="-55"/>
        </w:rPr>
        <w:t> </w:t>
      </w:r>
      <w:r>
        <w:rPr>
          <w:spacing w:val="-55"/>
        </w:rPr>
      </w:r>
      <w:r>
        <w:rPr>
          <w:spacing w:val="-1"/>
        </w:rPr>
        <w:t>性房地产相关的租金收入或增值收益以及投资性房地产的成本能够可靠计量时，公司按购置或建</w:t>
      </w:r>
      <w:r>
        <w:rPr>
          <w:spacing w:val="-55"/>
        </w:rPr>
        <w:t> </w:t>
      </w:r>
      <w:r>
        <w:rPr>
          <w:spacing w:val="-55"/>
        </w:rPr>
      </w:r>
      <w:r>
        <w:rPr/>
        <w:t>造的实际支出对其进行初始计量。</w:t>
      </w:r>
    </w:p>
    <w:p>
      <w:pPr>
        <w:pStyle w:val="BodyText"/>
        <w:spacing w:line="314" w:lineRule="auto" w:before="20"/>
        <w:ind w:right="228" w:firstLine="419"/>
        <w:jc w:val="both"/>
      </w:pPr>
      <w:r>
        <w:rPr>
          <w:spacing w:val="-2"/>
        </w:rPr>
        <w:t>公司在资产负债表日采用成本模式对投资性房地产进行后续计量。在成本模式下，公司按照</w:t>
      </w:r>
      <w:r>
        <w:rPr>
          <w:w w:val="100"/>
        </w:rPr>
        <w:t> </w:t>
      </w:r>
      <w:r>
        <w:rPr>
          <w:spacing w:val="-1"/>
        </w:rPr>
        <w:t>本会计政策之第（十六）项固定资产及折旧和第（十九）项无形资产的规定，对投资性房地产进</w:t>
      </w:r>
      <w:r>
        <w:rPr>
          <w:spacing w:val="-55"/>
        </w:rPr>
        <w:t> </w:t>
      </w:r>
      <w:r>
        <w:rPr>
          <w:spacing w:val="-55"/>
        </w:rPr>
      </w:r>
      <w:r>
        <w:rPr>
          <w:spacing w:val="-1"/>
        </w:rPr>
        <w:t>行计量，计提折旧或摊销。当投资性房地产被处置，或者永久退出使用且预计不能从其处置中取</w:t>
      </w:r>
      <w:r>
        <w:rPr>
          <w:spacing w:val="-55"/>
        </w:rPr>
        <w:t> </w:t>
      </w:r>
      <w:r>
        <w:rPr>
          <w:spacing w:val="-55"/>
        </w:rPr>
      </w:r>
      <w:r>
        <w:rPr>
          <w:spacing w:val="-1"/>
        </w:rPr>
        <w:t>得经济利益时，应当终止确认该项投资性房地产。公司出售、转让、报废投资性房地产或者发生</w:t>
      </w:r>
      <w:r>
        <w:rPr>
          <w:spacing w:val="-55"/>
        </w:rPr>
        <w:t> </w:t>
      </w:r>
      <w:r>
        <w:rPr>
          <w:spacing w:val="-55"/>
        </w:rPr>
      </w:r>
      <w:r>
        <w:rPr/>
        <w:t>投资性房地产毁损，应当将处置收入扣除其账面价值和相关税费后的金额计入当期损益。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tabs>
          <w:tab w:pos="1060" w:val="left" w:leader="none"/>
        </w:tabs>
        <w:spacing w:line="290" w:lineRule="auto" w:before="12"/>
        <w:ind w:left="638" w:right="230" w:hanging="420"/>
        <w:jc w:val="left"/>
      </w:pP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固定资产系使用寿命超过一个会计年度，为生产商品、提供劳务、出租或经营管理所持有的</w:t>
      </w:r>
    </w:p>
    <w:p>
      <w:pPr>
        <w:pStyle w:val="BodyText"/>
        <w:spacing w:line="240" w:lineRule="auto" w:before="41"/>
        <w:ind w:right="2513"/>
        <w:jc w:val="left"/>
      </w:pPr>
      <w:r>
        <w:rPr/>
        <w:t>有形资产。</w:t>
      </w:r>
    </w:p>
    <w:p>
      <w:pPr>
        <w:spacing w:line="240" w:lineRule="auto" w:before="9"/>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(2).</w:t>
      </w:r>
      <w:r>
        <w:rPr/>
        <w:t>折旧方法</w:t>
      </w:r>
      <w:r>
        <w:rPr>
          <w:b w:val="0"/>
          <w:bCs w:val="0"/>
        </w:rPr>
      </w:r>
    </w:p>
    <w:p>
      <w:pPr>
        <w:pStyle w:val="BodyText"/>
        <w:tabs>
          <w:tab w:pos="1060" w:val="left" w:leader="none"/>
        </w:tabs>
        <w:spacing w:line="240" w:lineRule="auto" w:before="58"/>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2.375%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固定资产改良</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11.880%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19.000%</w:t>
            </w:r>
          </w:p>
        </w:tc>
      </w:tr>
    </w:tbl>
    <w:p>
      <w:pPr>
        <w:pStyle w:val="BodyText"/>
        <w:spacing w:line="240" w:lineRule="auto" w:before="58"/>
        <w:ind w:right="123"/>
        <w:jc w:val="left"/>
      </w:pPr>
      <w:r>
        <w:rPr/>
        <w:t>公司于每年年度终了，对固定资产的使用寿命、预计净残值和折旧方法进行复核。</w:t>
      </w:r>
    </w:p>
    <w:p>
      <w:pPr>
        <w:spacing w:line="240" w:lineRule="auto" w:before="11"/>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(3).</w:t>
      </w:r>
      <w:r>
        <w:rPr/>
        <w:t>融资租入固定资产的认定依据、计价方法和折旧方法</w:t>
      </w:r>
      <w:r>
        <w:rPr>
          <w:b w:val="0"/>
          <w:bCs w:val="0"/>
        </w:rPr>
      </w:r>
    </w:p>
    <w:p>
      <w:pPr>
        <w:pStyle w:val="BodyText"/>
        <w:tabs>
          <w:tab w:pos="1163" w:val="left" w:leader="none"/>
        </w:tabs>
        <w:spacing w:line="304" w:lineRule="auto" w:before="58"/>
        <w:ind w:left="638" w:right="2129" w:hanging="420"/>
        <w:jc w:val="left"/>
      </w:pPr>
      <w:r>
        <w:rPr/>
        <w:t>√适用</w:t>
        <w:tab/>
        <w:t>□不适用</w:t>
      </w:r>
      <w:r>
        <w:rPr>
          <w:w w:val="100"/>
        </w:rPr>
        <w:t> </w:t>
      </w:r>
      <w:r>
        <w:rPr>
          <w:spacing w:val="-2"/>
        </w:rPr>
        <w:t>公司租赁资产符合下列一项或数项标准的，认定为融资租赁固定资产：</w:t>
      </w:r>
    </w:p>
    <w:p>
      <w:pPr>
        <w:pStyle w:val="BodyText"/>
        <w:spacing w:line="240" w:lineRule="auto" w:before="28"/>
        <w:ind w:left="638" w:right="2513"/>
        <w:jc w:val="left"/>
      </w:pPr>
      <w:r>
        <w:rPr/>
        <w:t>①在租赁期届满时，租赁资产的所有权转移给承租人；</w:t>
      </w:r>
    </w:p>
    <w:p>
      <w:pPr>
        <w:pStyle w:val="BodyText"/>
        <w:spacing w:line="314" w:lineRule="auto" w:before="85"/>
        <w:ind w:right="123" w:firstLine="419"/>
        <w:jc w:val="left"/>
      </w:pPr>
      <w:r>
        <w:rPr>
          <w:spacing w:val="-2"/>
        </w:rPr>
        <w:t>②承租人有购买租赁资产的选择权，所订立的购买价款预计将远低于行使选择权时租赁资产</w:t>
      </w:r>
      <w:r>
        <w:rPr>
          <w:w w:val="100"/>
        </w:rPr>
        <w:t> </w:t>
      </w:r>
      <w:r>
        <w:rPr/>
        <w:t>的公允价值，因而在租赁开始日就可以合理确定承租人将会行使这种选择权；</w:t>
      </w:r>
    </w:p>
    <w:p>
      <w:pPr>
        <w:pStyle w:val="BodyText"/>
        <w:spacing w:line="240" w:lineRule="auto" w:before="20"/>
        <w:ind w:left="638" w:right="123"/>
        <w:jc w:val="left"/>
      </w:pPr>
      <w:r>
        <w:rPr>
          <w:spacing w:val="-2"/>
        </w:rPr>
        <w:t>③即使资产的所有权不转移，但租赁期占租赁资产使用寿命的</w:t>
      </w:r>
      <w:r>
        <w:rPr>
          <w:spacing w:val="8"/>
        </w:rPr>
        <w:t> </w:t>
      </w:r>
      <w:r>
        <w:rPr>
          <w:rFonts w:ascii="Times New Roman" w:hAnsi="Times New Roman" w:cs="Times New Roman" w:eastAsia="Times New Roman" w:hint="default"/>
          <w:spacing w:val="-2"/>
        </w:rPr>
        <w:t>75%</w:t>
      </w:r>
      <w:r>
        <w:rPr>
          <w:spacing w:val="-2"/>
        </w:rPr>
        <w:t>以上；</w:t>
      </w:r>
    </w:p>
    <w:p>
      <w:pPr>
        <w:spacing w:after="0" w:line="240" w:lineRule="auto"/>
        <w:jc w:val="left"/>
        <w:sectPr>
          <w:pgSz w:w="11910" w:h="16840"/>
          <w:pgMar w:header="857" w:footer="979" w:top="1140" w:bottom="1160" w:left="1580" w:right="1040"/>
        </w:sectPr>
      </w:pPr>
    </w:p>
    <w:p>
      <w:pPr>
        <w:spacing w:line="240" w:lineRule="auto" w:before="2"/>
        <w:rPr>
          <w:rFonts w:ascii="宋体" w:hAnsi="宋体" w:cs="宋体" w:eastAsia="宋体" w:hint="default"/>
          <w:sz w:val="29"/>
          <w:szCs w:val="29"/>
        </w:rPr>
      </w:pPr>
    </w:p>
    <w:p>
      <w:pPr>
        <w:pStyle w:val="BodyText"/>
        <w:spacing w:line="314" w:lineRule="auto" w:before="36"/>
        <w:ind w:left="138" w:right="130" w:firstLine="419"/>
        <w:jc w:val="left"/>
      </w:pPr>
      <w:r>
        <w:rPr>
          <w:spacing w:val="-2"/>
        </w:rPr>
        <w:t>④承租人在租赁开始日的最低租赁付款额现值，几乎相当于租赁开始日租赁资产公允价值；</w:t>
      </w:r>
      <w:r>
        <w:rPr>
          <w:w w:val="100"/>
        </w:rPr>
        <w:t> </w:t>
      </w:r>
      <w:r>
        <w:rPr/>
        <w:t>出租人在租赁开始日的最低租赁收款额现值，几乎相当于租赁开始日租赁资产公允价值；</w:t>
      </w:r>
    </w:p>
    <w:p>
      <w:pPr>
        <w:pStyle w:val="BodyText"/>
        <w:spacing w:line="314" w:lineRule="auto" w:before="20"/>
        <w:ind w:left="558" w:right="130"/>
        <w:jc w:val="left"/>
      </w:pPr>
      <w:r>
        <w:rPr/>
        <w:t>⑤租赁资产性质特殊，如果不作较大改造，只有承租人才能使用。</w:t>
      </w:r>
      <w:r>
        <w:rPr>
          <w:w w:val="100"/>
        </w:rPr>
        <w:t> </w:t>
      </w:r>
      <w:r>
        <w:rPr>
          <w:spacing w:val="-2"/>
        </w:rPr>
        <w:t>在租赁开始日，公司将租赁开始日租赁资产公允价值与最低租赁付款额现值两者中较低者作</w:t>
      </w:r>
    </w:p>
    <w:p>
      <w:pPr>
        <w:pStyle w:val="BodyText"/>
        <w:spacing w:line="314" w:lineRule="auto" w:before="20"/>
        <w:ind w:left="138" w:right="128"/>
        <w:jc w:val="both"/>
      </w:pPr>
      <w:r>
        <w:rPr>
          <w:spacing w:val="-1"/>
        </w:rPr>
        <w:t>为租入资产的入账价值，将最低租赁付款额作为长期应付款的入账价值，其差额作为未确认融资</w:t>
      </w:r>
      <w:r>
        <w:rPr>
          <w:spacing w:val="-55"/>
        </w:rPr>
        <w:t> </w:t>
      </w:r>
      <w:r>
        <w:rPr>
          <w:spacing w:val="-55"/>
        </w:rPr>
      </w:r>
      <w:r>
        <w:rPr/>
        <w:t>费用，融资租入固定资产的折旧政策与自有固定资产一致。</w:t>
      </w:r>
    </w:p>
    <w:p>
      <w:pPr>
        <w:spacing w:line="240" w:lineRule="auto" w:before="11"/>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83" w:val="left" w:leader="none"/>
        </w:tabs>
        <w:spacing w:line="304" w:lineRule="auto" w:before="58"/>
        <w:ind w:left="558" w:right="130" w:hanging="420"/>
        <w:jc w:val="left"/>
      </w:pPr>
      <w:r>
        <w:rPr/>
        <w:t>√适用</w:t>
        <w:tab/>
        <w:t>□不适用</w:t>
      </w:r>
      <w:r>
        <w:rPr>
          <w:w w:val="100"/>
        </w:rPr>
        <w:t> </w:t>
      </w:r>
      <w:r>
        <w:rPr>
          <w:spacing w:val="-2"/>
        </w:rPr>
        <w:t>公司的在建工程以实际成本计价。实际成本由建造该项资产达到预定可使用状态前所发生的</w:t>
      </w:r>
    </w:p>
    <w:p>
      <w:pPr>
        <w:pStyle w:val="BodyText"/>
        <w:spacing w:line="309" w:lineRule="auto" w:before="28"/>
        <w:ind w:left="138" w:right="128"/>
        <w:jc w:val="both"/>
      </w:pPr>
      <w:r>
        <w:rPr>
          <w:spacing w:val="-1"/>
        </w:rPr>
        <w:t>必要支出构成。其中为工程建设项目而发生的借款利息支出和外币折算差额按照《企业会计准则</w:t>
      </w:r>
      <w:r>
        <w:rPr>
          <w:spacing w:val="-55"/>
        </w:rPr>
        <w:t> </w:t>
      </w:r>
      <w:r>
        <w:rPr>
          <w:spacing w:val="-55"/>
        </w:rPr>
      </w:r>
      <w:r>
        <w:rPr/>
        <w:t>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借款费用》的有关规定资本化或计入当期损益。在建工程在达到预定可使用状态之日</w:t>
      </w:r>
      <w:r>
        <w:rPr>
          <w:spacing w:val="-98"/>
        </w:rPr>
        <w:t> </w:t>
      </w:r>
      <w:r>
        <w:rPr>
          <w:spacing w:val="-98"/>
        </w:rPr>
      </w:r>
      <w:r>
        <w:rPr>
          <w:spacing w:val="-1"/>
        </w:rPr>
        <w:t>起不论工程是否办理竣工决算均转入固定资产，按照估计价值确定其成本，并计提折旧；对于未</w:t>
      </w:r>
      <w:r>
        <w:rPr>
          <w:spacing w:val="-55"/>
        </w:rPr>
        <w:t> </w:t>
      </w:r>
      <w:r>
        <w:rPr>
          <w:spacing w:val="-55"/>
        </w:rPr>
      </w:r>
      <w:r>
        <w:rPr>
          <w:spacing w:val="-1"/>
        </w:rPr>
        <w:t>办理竣工决算手续的，待办理完毕后再按实际成本调整原来的暂估价值，但不调整原已计提的折</w:t>
      </w:r>
      <w:r>
        <w:rPr>
          <w:spacing w:val="-55"/>
        </w:rPr>
        <w:t> </w:t>
      </w:r>
      <w:r>
        <w:rPr>
          <w:spacing w:val="-55"/>
        </w:rPr>
      </w:r>
      <w:r>
        <w:rPr/>
        <w:t>旧额。</w:t>
      </w:r>
    </w:p>
    <w:p>
      <w:pPr>
        <w:spacing w:line="240" w:lineRule="auto" w:before="3"/>
        <w:rPr>
          <w:rFonts w:ascii="宋体" w:hAnsi="宋体" w:cs="宋体" w:eastAsia="宋体" w:hint="default"/>
          <w:sz w:val="20"/>
          <w:szCs w:val="20"/>
        </w:rPr>
      </w:pPr>
    </w:p>
    <w:p>
      <w:pPr>
        <w:pStyle w:val="Heading3"/>
        <w:spacing w:line="240" w:lineRule="auto"/>
        <w:ind w:left="138"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40" w:lineRule="auto" w:before="56"/>
        <w:ind w:left="138" w:right="0"/>
        <w:jc w:val="both"/>
      </w:pPr>
      <w:r>
        <w:rPr/>
        <w:t>√适用  </w:t>
      </w:r>
      <w:r>
        <w:rPr>
          <w:spacing w:val="1"/>
        </w:rPr>
        <w:t> </w:t>
      </w:r>
      <w:r>
        <w:rPr/>
        <w:t>□不适用</w:t>
      </w:r>
    </w:p>
    <w:p>
      <w:pPr>
        <w:pStyle w:val="BodyText"/>
        <w:spacing w:line="297" w:lineRule="auto" w:before="75"/>
        <w:ind w:left="558" w:right="130"/>
        <w:jc w:val="left"/>
      </w:pPr>
      <w:r>
        <w:rPr/>
        <w:t>（</w:t>
      </w:r>
      <w:r>
        <w:rPr>
          <w:rFonts w:ascii="Times New Roman" w:hAnsi="Times New Roman" w:cs="Times New Roman" w:eastAsia="Times New Roman" w:hint="default"/>
        </w:rPr>
        <w:t>1</w:t>
      </w:r>
      <w:r>
        <w:rPr/>
        <w:t>）借款费用资本化的确认原则</w:t>
      </w:r>
      <w:r>
        <w:rPr>
          <w:w w:val="100"/>
        </w:rPr>
        <w:t> </w:t>
      </w:r>
      <w:r>
        <w:rPr>
          <w:spacing w:val="-2"/>
        </w:rPr>
        <w:t>借款费用包括因借款发生的利息、折价或溢价的摊销和辅助费用，以及因外币借款而发生的</w:t>
      </w:r>
    </w:p>
    <w:p>
      <w:pPr>
        <w:pStyle w:val="BodyText"/>
        <w:spacing w:line="314" w:lineRule="auto" w:before="34"/>
        <w:ind w:left="138" w:right="128"/>
        <w:jc w:val="both"/>
      </w:pPr>
      <w:r>
        <w:rPr>
          <w:spacing w:val="-1"/>
        </w:rPr>
        <w:t>汇兑差额。公司发生的借款费用，可直接归属于符合资本化条件的资产的购建或者生产的，应予</w:t>
      </w:r>
      <w:r>
        <w:rPr>
          <w:spacing w:val="-55"/>
        </w:rPr>
        <w:t> </w:t>
      </w:r>
      <w:r>
        <w:rPr>
          <w:spacing w:val="-55"/>
        </w:rPr>
      </w:r>
      <w:r>
        <w:rPr>
          <w:spacing w:val="-1"/>
        </w:rPr>
        <w:t>以资本化，计入相关资产成本；其他借款费用，在发生时根据其发生额确认为费用，计入当期损</w:t>
      </w:r>
      <w:r>
        <w:rPr>
          <w:spacing w:val="-55"/>
        </w:rPr>
        <w:t> </w:t>
      </w:r>
      <w:r>
        <w:rPr>
          <w:spacing w:val="-55"/>
        </w:rPr>
      </w:r>
      <w:r>
        <w:rPr/>
        <w:t>益。</w:t>
      </w:r>
    </w:p>
    <w:p>
      <w:pPr>
        <w:pStyle w:val="BodyText"/>
        <w:spacing w:line="314" w:lineRule="auto" w:before="20"/>
        <w:ind w:left="138" w:right="130" w:firstLine="419"/>
        <w:jc w:val="left"/>
      </w:pPr>
      <w:r>
        <w:rPr>
          <w:spacing w:val="-2"/>
        </w:rPr>
        <w:t>符合资本化条件的资产，包括需要经过相当长时间的购建或者生产活动才能达到预定可使用</w:t>
      </w:r>
      <w:r>
        <w:rPr>
          <w:w w:val="100"/>
        </w:rPr>
        <w:t> </w:t>
      </w:r>
      <w:r>
        <w:rPr/>
        <w:t>或者可销售状态的固定资产、投资性房地产和存货等资产。</w:t>
      </w:r>
    </w:p>
    <w:p>
      <w:pPr>
        <w:pStyle w:val="BodyText"/>
        <w:spacing w:line="240" w:lineRule="auto" w:before="20"/>
        <w:ind w:left="558" w:right="130"/>
        <w:jc w:val="left"/>
      </w:pPr>
      <w:r>
        <w:rPr/>
        <w:t>借款费用同时满足下列条件，开始资本化：</w:t>
      </w:r>
    </w:p>
    <w:p>
      <w:pPr>
        <w:pStyle w:val="BodyText"/>
        <w:spacing w:line="314" w:lineRule="auto" w:before="85"/>
        <w:ind w:left="138" w:right="130" w:firstLine="419"/>
        <w:jc w:val="left"/>
      </w:pPr>
      <w:r>
        <w:rPr>
          <w:spacing w:val="-2"/>
        </w:rPr>
        <w:t>①资产支出已经发生，资产支出包括为购建或者生产符合资本化条件的资产而以支付现金、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20"/>
        <w:ind w:left="558" w:right="130"/>
        <w:jc w:val="left"/>
      </w:pPr>
      <w:r>
        <w:rPr/>
        <w:t>②借款费用已发生；</w:t>
      </w:r>
    </w:p>
    <w:p>
      <w:pPr>
        <w:pStyle w:val="BodyText"/>
        <w:spacing w:line="240" w:lineRule="auto" w:before="85"/>
        <w:ind w:left="558" w:right="130"/>
        <w:jc w:val="left"/>
      </w:pPr>
      <w:r>
        <w:rPr/>
        <w:t>③为使资产达到预计可使用或者可销售状态所必要的购建或者生产活动已经开始。</w:t>
      </w:r>
    </w:p>
    <w:p>
      <w:pPr>
        <w:pStyle w:val="BodyText"/>
        <w:spacing w:line="297" w:lineRule="auto" w:before="85"/>
        <w:ind w:left="558" w:right="130"/>
        <w:jc w:val="left"/>
      </w:pPr>
      <w:r>
        <w:rPr/>
        <w:t>（</w:t>
      </w:r>
      <w:r>
        <w:rPr>
          <w:rFonts w:ascii="Times New Roman" w:hAnsi="Times New Roman" w:cs="Times New Roman" w:eastAsia="Times New Roman" w:hint="default"/>
        </w:rPr>
        <w:t>2</w:t>
      </w:r>
      <w:r>
        <w:rPr/>
        <w:t>）借款费用资本化的期间</w:t>
      </w:r>
      <w:r>
        <w:rPr>
          <w:w w:val="100"/>
        </w:rPr>
        <w:t> </w:t>
      </w:r>
      <w:r>
        <w:rPr>
          <w:spacing w:val="-2"/>
        </w:rPr>
        <w:t>为购建或者生产符合资本化条件的资产发生的借款费用，满足上述资本化条件的，在该资产</w:t>
      </w:r>
    </w:p>
    <w:p>
      <w:pPr>
        <w:pStyle w:val="BodyText"/>
        <w:spacing w:line="312" w:lineRule="auto" w:before="34"/>
        <w:ind w:left="138" w:right="128"/>
        <w:jc w:val="both"/>
      </w:pPr>
      <w:r>
        <w:rPr>
          <w:spacing w:val="-1"/>
        </w:rPr>
        <w:t>达到预定可使用或者可销售状态前所发生的，计入该资产的成本，若符合资本化条件的资产的购</w:t>
      </w:r>
      <w:r>
        <w:rPr>
          <w:spacing w:val="-55"/>
        </w:rPr>
        <w:t> </w:t>
      </w:r>
      <w:r>
        <w:rPr>
          <w:spacing w:val="-55"/>
        </w:rPr>
      </w:r>
      <w:r>
        <w:rPr/>
        <w:t>建或者生产活动发生非正常中断，并且中断时间连续超过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个月，则暂停借款费用的资本化，将</w:t>
      </w:r>
      <w:r>
        <w:rPr>
          <w:w w:val="100"/>
        </w:rPr>
        <w:t> </w:t>
      </w:r>
      <w:r>
        <w:rPr>
          <w:spacing w:val="-1"/>
        </w:rPr>
        <w:t>其确认为当期费用，直至资产的购建或者生产活动重新开始。如果中断是所购建或者生产的符合</w:t>
      </w:r>
      <w:r>
        <w:rPr>
          <w:spacing w:val="-55"/>
        </w:rPr>
        <w:t> </w:t>
      </w:r>
      <w:r>
        <w:rPr>
          <w:spacing w:val="-55"/>
        </w:rPr>
      </w:r>
      <w:r>
        <w:rPr>
          <w:spacing w:val="-1"/>
        </w:rPr>
        <w:t>资本化条件的资产达到预定可使用或可销售状态必要的程序，借款费用继续资本化。当所购建或</w:t>
      </w:r>
      <w:r>
        <w:rPr>
          <w:spacing w:val="-55"/>
        </w:rPr>
        <w:t> </w:t>
      </w:r>
      <w:r>
        <w:rPr>
          <w:spacing w:val="-55"/>
        </w:rPr>
      </w:r>
      <w:r>
        <w:rPr>
          <w:spacing w:val="-1"/>
        </w:rPr>
        <w:t>生产的资产达到预定可使用或者可销售状态时，停止其借款费用的资本化。在达到预定可使用或</w:t>
      </w:r>
      <w:r>
        <w:rPr>
          <w:spacing w:val="-55"/>
        </w:rPr>
        <w:t> </w:t>
      </w:r>
      <w:r>
        <w:rPr>
          <w:spacing w:val="-55"/>
        </w:rPr>
      </w:r>
      <w:r>
        <w:rPr/>
        <w:t>者可销售状态后所发生的借款费用，于发生当期直接计入财务费用。</w:t>
      </w:r>
    </w:p>
    <w:p>
      <w:pPr>
        <w:pStyle w:val="BodyText"/>
        <w:spacing w:line="240" w:lineRule="auto" w:before="22"/>
        <w:ind w:left="558" w:right="130"/>
        <w:jc w:val="left"/>
      </w:pPr>
      <w:r>
        <w:rPr/>
        <w:t>（</w:t>
      </w:r>
      <w:r>
        <w:rPr>
          <w:rFonts w:ascii="Times New Roman" w:hAnsi="Times New Roman" w:cs="Times New Roman" w:eastAsia="Times New Roman" w:hint="default"/>
        </w:rPr>
        <w:t>3</w:t>
      </w:r>
      <w:r>
        <w:rPr/>
        <w:t>）借款费用资本化金额的计算方法</w:t>
      </w:r>
    </w:p>
    <w:p>
      <w:pPr>
        <w:spacing w:after="0" w:line="240" w:lineRule="auto"/>
        <w:jc w:val="left"/>
        <w:sectPr>
          <w:footerReference w:type="default" r:id="rId36"/>
          <w:pgSz w:w="11910" w:h="16840"/>
          <w:pgMar w:footer="979" w:header="857" w:top="1140" w:bottom="1160" w:left="1660" w:right="1140"/>
          <w:pgNumType w:start="108"/>
        </w:sectPr>
      </w:pPr>
    </w:p>
    <w:p>
      <w:pPr>
        <w:spacing w:line="240" w:lineRule="auto" w:before="2"/>
        <w:rPr>
          <w:rFonts w:ascii="宋体" w:hAnsi="宋体" w:cs="宋体" w:eastAsia="宋体" w:hint="default"/>
          <w:sz w:val="29"/>
          <w:szCs w:val="29"/>
        </w:rPr>
      </w:pPr>
    </w:p>
    <w:p>
      <w:pPr>
        <w:pStyle w:val="BodyText"/>
        <w:spacing w:line="314" w:lineRule="auto" w:before="36"/>
        <w:ind w:left="138" w:right="130" w:firstLine="419"/>
        <w:jc w:val="both"/>
      </w:pPr>
      <w:r>
        <w:rPr>
          <w:spacing w:val="-2"/>
        </w:rPr>
        <w:t>在资本化期间内，每一会计期间的利息（包括折价或溢价的摊销）资本化金额，按照下列规</w:t>
      </w:r>
      <w:r>
        <w:rPr>
          <w:w w:val="100"/>
        </w:rPr>
        <w:t> </w:t>
      </w:r>
      <w:r>
        <w:rPr/>
        <w:t>定确定：</w:t>
      </w:r>
    </w:p>
    <w:p>
      <w:pPr>
        <w:pStyle w:val="BodyText"/>
        <w:spacing w:line="314" w:lineRule="auto" w:before="20"/>
        <w:ind w:left="138" w:right="128" w:firstLine="419"/>
        <w:jc w:val="both"/>
      </w:pPr>
      <w:r>
        <w:rPr>
          <w:spacing w:val="-2"/>
        </w:rPr>
        <w:t>①为购建或者生产符合资本化条件的资产而借入专门借款的，以专门借款当期实际发生的利</w:t>
      </w:r>
      <w:r>
        <w:rPr>
          <w:w w:val="100"/>
        </w:rPr>
        <w:t> </w:t>
      </w:r>
      <w:r>
        <w:rPr>
          <w:spacing w:val="-1"/>
        </w:rPr>
        <w:t>息费用，减去将尚未动用的借款资金存入银行取得的利息收入或进行暂时性投资取得的投资收益</w:t>
      </w:r>
      <w:r>
        <w:rPr>
          <w:spacing w:val="-55"/>
        </w:rPr>
        <w:t> </w:t>
      </w:r>
      <w:r>
        <w:rPr>
          <w:spacing w:val="-55"/>
        </w:rPr>
      </w:r>
      <w:r>
        <w:rPr/>
        <w:t>后的金额确定。</w:t>
      </w:r>
    </w:p>
    <w:p>
      <w:pPr>
        <w:pStyle w:val="BodyText"/>
        <w:spacing w:line="314" w:lineRule="auto" w:before="20"/>
        <w:ind w:left="138" w:right="128" w:firstLine="419"/>
        <w:jc w:val="both"/>
      </w:pPr>
      <w:r>
        <w:rPr>
          <w:spacing w:val="-2"/>
        </w:rPr>
        <w:t>②为购建或者生产符合资本化条件的资产而占用了一般借款的，根据累计资产支出超过专门</w:t>
      </w:r>
      <w:r>
        <w:rPr>
          <w:w w:val="100"/>
        </w:rPr>
        <w:t> </w:t>
      </w:r>
      <w:r>
        <w:rPr>
          <w:spacing w:val="-1"/>
        </w:rPr>
        <w:t>借款部分的资产支出加权平均数乘以所占用一般借款的资本化率，计算确定一般借款应予资本化</w:t>
      </w:r>
      <w:r>
        <w:rPr>
          <w:spacing w:val="-55"/>
        </w:rPr>
        <w:t> </w:t>
      </w:r>
      <w:r>
        <w:rPr>
          <w:spacing w:val="-55"/>
        </w:rPr>
      </w:r>
      <w:r>
        <w:rPr>
          <w:spacing w:val="-1"/>
        </w:rPr>
        <w:t>的利息金额。资本化率根据一般借款加权平均利率计算确定。利息资本化金额，不超过当期相关</w:t>
      </w:r>
      <w:r>
        <w:rPr>
          <w:spacing w:val="-55"/>
        </w:rPr>
        <w:t> </w:t>
      </w:r>
      <w:r>
        <w:rPr>
          <w:spacing w:val="-55"/>
        </w:rPr>
      </w:r>
      <w:r>
        <w:rPr/>
        <w:t>借款实际发生的利息金额。</w:t>
      </w:r>
    </w:p>
    <w:p>
      <w:pPr>
        <w:spacing w:line="240" w:lineRule="auto" w:before="12"/>
        <w:rPr>
          <w:rFonts w:ascii="宋体" w:hAnsi="宋体" w:cs="宋体" w:eastAsia="宋体" w:hint="default"/>
          <w:sz w:val="19"/>
          <w:szCs w:val="19"/>
        </w:rPr>
      </w:pPr>
    </w:p>
    <w:p>
      <w:pPr>
        <w:pStyle w:val="Heading3"/>
        <w:spacing w:line="240" w:lineRule="auto"/>
        <w:ind w:left="138" w:right="13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1083" w:val="left" w:leader="none"/>
        </w:tabs>
        <w:spacing w:line="240" w:lineRule="auto" w:before="58"/>
        <w:ind w:left="138" w:right="130"/>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left="138" w:right="13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1083" w:val="left" w:leader="none"/>
        </w:tabs>
        <w:spacing w:line="240" w:lineRule="auto" w:before="56"/>
        <w:ind w:left="138" w:right="130"/>
        <w:jc w:val="left"/>
      </w:pPr>
      <w:r>
        <w:rPr/>
        <w:t>□适用</w:t>
        <w:tab/>
        <w:t>√不适用</w:t>
      </w:r>
    </w:p>
    <w:p>
      <w:pPr>
        <w:spacing w:line="240" w:lineRule="auto" w:before="2"/>
        <w:rPr>
          <w:rFonts w:ascii="宋体" w:hAnsi="宋体" w:cs="宋体" w:eastAsia="宋体" w:hint="default"/>
          <w:sz w:val="24"/>
          <w:szCs w:val="24"/>
        </w:rPr>
      </w:pPr>
    </w:p>
    <w:p>
      <w:pPr>
        <w:pStyle w:val="Heading3"/>
        <w:spacing w:line="240" w:lineRule="auto"/>
        <w:ind w:left="138" w:right="13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3"/>
        <w:spacing w:line="240" w:lineRule="auto" w:before="56"/>
        <w:ind w:left="138" w:right="13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tabs>
          <w:tab w:pos="980" w:val="left" w:leader="none"/>
        </w:tabs>
        <w:spacing w:line="288" w:lineRule="auto" w:before="58"/>
        <w:ind w:left="558" w:right="130" w:hanging="420"/>
        <w:jc w:val="left"/>
      </w:pP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无形资产按成本进行初始计量。外购的无形资产，其成本包括购买价款、相关税费以及直接</w:t>
      </w:r>
    </w:p>
    <w:p>
      <w:pPr>
        <w:pStyle w:val="BodyText"/>
        <w:spacing w:line="314" w:lineRule="auto" w:before="43"/>
        <w:ind w:left="558" w:right="130" w:hanging="420"/>
        <w:jc w:val="left"/>
      </w:pPr>
      <w:r>
        <w:rPr/>
        <w:t>归属于使该项资产达到预定用途所发生的其他支出。</w:t>
      </w:r>
      <w:r>
        <w:rPr>
          <w:w w:val="100"/>
        </w:rPr>
        <w:t> </w:t>
      </w:r>
      <w:r>
        <w:rPr>
          <w:spacing w:val="-2"/>
        </w:rPr>
        <w:t>购买无形资产的价款超过正常信用条件延期支付，实际上具有融资性质的，无形资产的成本</w:t>
      </w:r>
    </w:p>
    <w:p>
      <w:pPr>
        <w:pStyle w:val="BodyText"/>
        <w:spacing w:line="314" w:lineRule="auto" w:before="20"/>
        <w:ind w:left="138" w:right="130"/>
        <w:jc w:val="left"/>
      </w:pPr>
      <w:r>
        <w:rPr>
          <w:spacing w:val="-1"/>
        </w:rPr>
        <w:t>以购买价款的现值为基础确定。实际支付的价款与购买价款的现值之间的差额，除按照《企业会</w:t>
      </w:r>
      <w:r>
        <w:rPr>
          <w:spacing w:val="-55"/>
        </w:rPr>
        <w:t> </w:t>
      </w:r>
      <w:r>
        <w:rPr>
          <w:spacing w:val="-55"/>
        </w:rPr>
      </w:r>
      <w:r>
        <w:rPr/>
        <w:t>计准则第</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借款费用》应予资本化的以外，在信用期间内计入当期损益。</w:t>
      </w:r>
    </w:p>
    <w:p>
      <w:pPr>
        <w:pStyle w:val="BodyText"/>
        <w:spacing w:line="314" w:lineRule="auto"/>
        <w:ind w:left="138" w:right="128" w:firstLine="419"/>
        <w:jc w:val="both"/>
      </w:pPr>
      <w:r>
        <w:rPr>
          <w:spacing w:val="-2"/>
        </w:rPr>
        <w:t>投资者投入的无形资产的成本，按照投资合同或协议约定的价值确定，在投资合同或协议约</w:t>
      </w:r>
      <w:r>
        <w:rPr>
          <w:w w:val="100"/>
        </w:rPr>
        <w:t> </w:t>
      </w:r>
      <w:r>
        <w:rPr>
          <w:spacing w:val="-6"/>
          <w:w w:val="100"/>
        </w:rPr>
        <w:t>定价值不公允的情况下，应按无形资产的公允价值入账。通过非货币性资产交换取得的无形资产，</w:t>
      </w:r>
      <w:r>
        <w:rPr>
          <w:w w:val="100"/>
        </w:rPr>
        <w:t> </w:t>
      </w:r>
      <w:r>
        <w:rPr/>
        <w:t>其初始投资成本按照《企业会计准则第</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非货币性资产交换》确定。通过债务重组取得的</w:t>
      </w:r>
    </w:p>
    <w:p>
      <w:pPr>
        <w:pStyle w:val="BodyText"/>
        <w:spacing w:line="307" w:lineRule="auto"/>
        <w:ind w:left="138" w:right="128"/>
        <w:jc w:val="both"/>
      </w:pPr>
      <w:r>
        <w:rPr>
          <w:spacing w:val="-4"/>
        </w:rPr>
        <w:t>无形资产，其初始投资成本按照《企业会计准则第 </w:t>
      </w:r>
      <w:r>
        <w:rPr>
          <w:rFonts w:ascii="Times New Roman" w:hAnsi="Times New Roman" w:cs="Times New Roman" w:eastAsia="Times New Roman" w:hint="default"/>
        </w:rPr>
        <w:t>12 </w:t>
      </w:r>
      <w:r>
        <w:rPr>
          <w:spacing w:val="-4"/>
        </w:rPr>
        <w:t>号</w:t>
      </w:r>
      <w:r>
        <w:rPr>
          <w:rFonts w:ascii="Times New Roman" w:hAnsi="Times New Roman" w:cs="Times New Roman" w:eastAsia="Times New Roman" w:hint="default"/>
          <w:spacing w:val="-4"/>
        </w:rPr>
        <w:t>——</w:t>
      </w:r>
      <w:r>
        <w:rPr>
          <w:spacing w:val="-4"/>
        </w:rPr>
        <w:t>债务重组》确定。以同一控制下的企</w:t>
      </w:r>
      <w:r>
        <w:rPr>
          <w:spacing w:val="-90"/>
        </w:rPr>
        <w:t> </w:t>
      </w:r>
      <w:r>
        <w:rPr>
          <w:spacing w:val="-90"/>
        </w:rPr>
      </w:r>
      <w:r>
        <w:rPr>
          <w:spacing w:val="-1"/>
        </w:rPr>
        <w:t>业合并方式取得的无形资产按被合并方的账面价值确定其入账价值；以非同一控制下的企业合并</w:t>
      </w:r>
      <w:r>
        <w:rPr>
          <w:spacing w:val="-55"/>
        </w:rPr>
        <w:t> </w:t>
      </w:r>
      <w:r>
        <w:rPr>
          <w:spacing w:val="-55"/>
        </w:rPr>
      </w:r>
      <w:r>
        <w:rPr/>
        <w:t>方式取得的无形资产按公允价值确定其入账价值。</w:t>
      </w:r>
    </w:p>
    <w:p>
      <w:pPr>
        <w:pStyle w:val="BodyText"/>
        <w:spacing w:line="314" w:lineRule="auto" w:before="26"/>
        <w:ind w:left="138" w:right="128" w:firstLine="419"/>
        <w:jc w:val="both"/>
      </w:pPr>
      <w:r>
        <w:rPr>
          <w:spacing w:val="-2"/>
        </w:rPr>
        <w:t>公司于取得无形资产时分析判断其使用寿命。使用寿命有限的无形资产自无形资产可供使用</w:t>
      </w:r>
      <w:r>
        <w:rPr>
          <w:w w:val="100"/>
        </w:rPr>
        <w:t> </w:t>
      </w:r>
      <w:r>
        <w:rPr>
          <w:spacing w:val="-1"/>
        </w:rPr>
        <w:t>时起，至不再作为无形资产确认时止，采用直线法分期平均摊销，计入损益。对于使用寿命不确</w:t>
      </w:r>
      <w:r>
        <w:rPr>
          <w:spacing w:val="-55"/>
        </w:rPr>
        <w:t> </w:t>
      </w:r>
      <w:r>
        <w:rPr>
          <w:spacing w:val="-55"/>
        </w:rPr>
      </w:r>
      <w:r>
        <w:rPr/>
        <w:t>定的无形资产不进行摊销。</w:t>
      </w:r>
    </w:p>
    <w:p>
      <w:pPr>
        <w:pStyle w:val="BodyText"/>
        <w:spacing w:line="314" w:lineRule="auto" w:before="20"/>
        <w:ind w:left="138" w:right="128" w:firstLine="419"/>
        <w:jc w:val="both"/>
      </w:pPr>
      <w:r>
        <w:rPr>
          <w:spacing w:val="-2"/>
        </w:rPr>
        <w:t>公司于每年年度终了，对使用寿命有限的无形资产的使用寿命及摊销方法进行复核。如果无</w:t>
      </w:r>
      <w:r>
        <w:rPr>
          <w:w w:val="100"/>
        </w:rPr>
        <w:t> </w:t>
      </w:r>
      <w:r>
        <w:rPr>
          <w:spacing w:val="-1"/>
        </w:rPr>
        <w:t>形资产的使用寿命及摊销方法与以前估计不同的，改变摊销期限和摊销方法，并按会计估计变更</w:t>
      </w:r>
      <w:r>
        <w:rPr>
          <w:spacing w:val="-55"/>
        </w:rPr>
        <w:t> </w:t>
      </w:r>
      <w:r>
        <w:rPr>
          <w:spacing w:val="-55"/>
        </w:rPr>
      </w:r>
      <w:r>
        <w:rPr>
          <w:spacing w:val="-1"/>
        </w:rPr>
        <w:t>处理。公司在每个会计期间对使用寿命不确定的无形资产的使用寿命进行复核。如果有证据表明</w:t>
      </w:r>
      <w:r>
        <w:rPr>
          <w:spacing w:val="-55"/>
        </w:rPr>
        <w:t> </w:t>
      </w:r>
      <w:r>
        <w:rPr>
          <w:spacing w:val="-55"/>
        </w:rPr>
      </w:r>
      <w:r>
        <w:rPr/>
        <w:t>无形资产的使用寿命是有限的，估计其使用寿命，并按上述规定处理。</w:t>
      </w:r>
    </w:p>
    <w:p>
      <w:pPr>
        <w:pStyle w:val="BodyText"/>
        <w:spacing w:line="240" w:lineRule="auto" w:before="20"/>
        <w:ind w:left="558" w:right="130"/>
        <w:jc w:val="left"/>
      </w:pPr>
      <w:r>
        <w:rPr>
          <w:w w:val="100"/>
        </w:rPr>
        <w:t>无形</w:t>
      </w:r>
      <w:r>
        <w:rPr>
          <w:spacing w:val="-3"/>
          <w:w w:val="100"/>
        </w:rPr>
        <w:t>资</w:t>
      </w:r>
      <w:r>
        <w:rPr>
          <w:w w:val="100"/>
        </w:rPr>
        <w:t>产</w:t>
      </w:r>
      <w:r>
        <w:rPr>
          <w:spacing w:val="-3"/>
          <w:w w:val="100"/>
        </w:rPr>
        <w:t>的</w:t>
      </w:r>
      <w:r>
        <w:rPr>
          <w:w w:val="100"/>
        </w:rPr>
        <w:t>减</w:t>
      </w:r>
      <w:r>
        <w:rPr>
          <w:spacing w:val="-3"/>
          <w:w w:val="100"/>
        </w:rPr>
        <w:t>值</w:t>
      </w:r>
      <w:r>
        <w:rPr>
          <w:w w:val="100"/>
        </w:rPr>
        <w:t>测</w:t>
      </w:r>
      <w:r>
        <w:rPr>
          <w:spacing w:val="-3"/>
          <w:w w:val="100"/>
        </w:rPr>
        <w:t>试</w:t>
      </w:r>
      <w:r>
        <w:rPr>
          <w:w w:val="100"/>
        </w:rPr>
        <w:t>方</w:t>
      </w:r>
      <w:r>
        <w:rPr>
          <w:spacing w:val="-3"/>
          <w:w w:val="100"/>
        </w:rPr>
        <w:t>法</w:t>
      </w:r>
      <w:r>
        <w:rPr>
          <w:w w:val="100"/>
        </w:rPr>
        <w:t>和减</w:t>
      </w:r>
      <w:r>
        <w:rPr>
          <w:spacing w:val="-3"/>
          <w:w w:val="100"/>
        </w:rPr>
        <w:t>值</w:t>
      </w:r>
      <w:r>
        <w:rPr>
          <w:w w:val="100"/>
        </w:rPr>
        <w:t>准</w:t>
      </w:r>
      <w:r>
        <w:rPr>
          <w:spacing w:val="-3"/>
          <w:w w:val="100"/>
        </w:rPr>
        <w:t>备</w:t>
      </w:r>
      <w:r>
        <w:rPr>
          <w:w w:val="100"/>
        </w:rPr>
        <w:t>计</w:t>
      </w:r>
      <w:r>
        <w:rPr>
          <w:spacing w:val="-3"/>
          <w:w w:val="100"/>
        </w:rPr>
        <w:t>提</w:t>
      </w:r>
      <w:r>
        <w:rPr>
          <w:w w:val="100"/>
        </w:rPr>
        <w:t>方</w:t>
      </w:r>
      <w:r>
        <w:rPr>
          <w:spacing w:val="-3"/>
          <w:w w:val="100"/>
        </w:rPr>
        <w:t>法</w:t>
      </w:r>
      <w:r>
        <w:rPr>
          <w:w w:val="100"/>
        </w:rPr>
        <w:t>详</w:t>
      </w:r>
      <w:r>
        <w:rPr>
          <w:spacing w:val="-3"/>
          <w:w w:val="100"/>
        </w:rPr>
        <w:t>见</w:t>
      </w:r>
      <w:r>
        <w:rPr>
          <w:w w:val="100"/>
        </w:rPr>
        <w:t>附注</w:t>
      </w:r>
      <w:r>
        <w:rPr>
          <w:spacing w:val="-3"/>
          <w:w w:val="100"/>
        </w:rPr>
        <w:t>三</w:t>
      </w:r>
      <w:r>
        <w:rPr>
          <w:spacing w:val="-106"/>
          <w:w w:val="100"/>
        </w:rPr>
        <w:t>、</w:t>
      </w:r>
      <w:r>
        <w:rPr>
          <w:spacing w:val="-3"/>
          <w:w w:val="100"/>
        </w:rPr>
        <w:t>（</w:t>
      </w:r>
      <w:r>
        <w:rPr>
          <w:w w:val="100"/>
        </w:rPr>
        <w:t>二</w:t>
      </w:r>
      <w:r>
        <w:rPr>
          <w:spacing w:val="-3"/>
          <w:w w:val="100"/>
        </w:rPr>
        <w:t>十</w:t>
      </w:r>
      <w:r>
        <w:rPr>
          <w:w w:val="100"/>
        </w:rPr>
        <w:t>）</w:t>
      </w:r>
      <w:r>
        <w:rPr>
          <w:rFonts w:ascii="Times New Roman" w:hAnsi="Times New Roman" w:cs="Times New Roman" w:eastAsia="Times New Roman" w:hint="default"/>
          <w:spacing w:val="-1"/>
          <w:w w:val="100"/>
        </w:rPr>
        <w:t>“</w:t>
      </w:r>
      <w:r>
        <w:rPr>
          <w:spacing w:val="-3"/>
          <w:w w:val="100"/>
        </w:rPr>
        <w:t>长</w:t>
      </w:r>
      <w:r>
        <w:rPr>
          <w:w w:val="100"/>
        </w:rPr>
        <w:t>期</w:t>
      </w:r>
      <w:r>
        <w:rPr>
          <w:spacing w:val="-3"/>
          <w:w w:val="100"/>
        </w:rPr>
        <w:t>资</w:t>
      </w:r>
      <w:r>
        <w:rPr>
          <w:w w:val="100"/>
        </w:rPr>
        <w:t>产减</w:t>
      </w:r>
      <w:r>
        <w:rPr>
          <w:spacing w:val="-2"/>
          <w:w w:val="100"/>
        </w:rPr>
        <w:t>值</w:t>
      </w:r>
      <w:r>
        <w:rPr>
          <w:rFonts w:ascii="Times New Roman" w:hAnsi="Times New Roman" w:cs="Times New Roman" w:eastAsia="Times New Roman" w:hint="default"/>
          <w:spacing w:val="-1"/>
          <w:w w:val="100"/>
        </w:rPr>
        <w:t>”</w:t>
      </w:r>
      <w:r>
        <w:rPr>
          <w:w w:val="100"/>
        </w:rPr>
        <w:t>。</w:t>
      </w:r>
    </w:p>
    <w:p>
      <w:pPr>
        <w:spacing w:after="0" w:line="240" w:lineRule="auto"/>
        <w:jc w:val="left"/>
        <w:sectPr>
          <w:pgSz w:w="11910" w:h="16840"/>
          <w:pgMar w:header="857" w:footer="979" w:top="1140" w:bottom="1160" w:left="1660" w:right="1140"/>
        </w:sectPr>
      </w:pPr>
    </w:p>
    <w:p>
      <w:pPr>
        <w:spacing w:line="240" w:lineRule="auto" w:before="4"/>
        <w:rPr>
          <w:rFonts w:ascii="宋体" w:hAnsi="宋体" w:cs="宋体" w:eastAsia="宋体" w:hint="default"/>
          <w:sz w:val="23"/>
          <w:szCs w:val="23"/>
        </w:rPr>
      </w:pPr>
    </w:p>
    <w:p>
      <w:pPr>
        <w:pStyle w:val="Heading3"/>
        <w:spacing w:line="240" w:lineRule="auto" w:before="36"/>
        <w:ind w:left="138"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tabs>
          <w:tab w:pos="980" w:val="left" w:leader="none"/>
        </w:tabs>
        <w:spacing w:line="288" w:lineRule="auto" w:before="58"/>
        <w:ind w:left="558" w:right="130" w:hanging="420"/>
        <w:jc w:val="left"/>
      </w:pP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spacing w:val="-2"/>
        </w:rPr>
        <w:t>研究开发项目研究阶段支出与开发阶段支出的划分标准：研究阶段支出指为获取并理解新的</w:t>
      </w:r>
    </w:p>
    <w:p>
      <w:pPr>
        <w:pStyle w:val="BodyText"/>
        <w:spacing w:line="314" w:lineRule="auto" w:before="43"/>
        <w:ind w:left="138" w:right="128"/>
        <w:jc w:val="both"/>
      </w:pPr>
      <w:r>
        <w:rPr>
          <w:spacing w:val="-1"/>
        </w:rPr>
        <w:t>科学或技术知识而进行的独创性的有计划调查所发生的支出；开发阶段支出是指在进行商业性产</w:t>
      </w:r>
      <w:r>
        <w:rPr>
          <w:spacing w:val="-55"/>
        </w:rPr>
        <w:t> </w:t>
      </w:r>
      <w:r>
        <w:rPr>
          <w:spacing w:val="-55"/>
        </w:rPr>
      </w:r>
      <w:r>
        <w:rPr>
          <w:spacing w:val="-1"/>
        </w:rPr>
        <w:t>和或使用前，将研究成果或其他知识应用于某项计划或设计，以生产出新的或具有实质性改进的</w:t>
      </w:r>
      <w:r>
        <w:rPr>
          <w:spacing w:val="-55"/>
        </w:rPr>
        <w:t> </w:t>
      </w:r>
      <w:r>
        <w:rPr>
          <w:spacing w:val="-55"/>
        </w:rPr>
      </w:r>
      <w:r>
        <w:rPr/>
        <w:t>材料、装置、产品等所发生的支出。</w:t>
      </w:r>
    </w:p>
    <w:p>
      <w:pPr>
        <w:pStyle w:val="BodyText"/>
        <w:spacing w:line="314" w:lineRule="auto" w:before="20"/>
        <w:ind w:left="138" w:right="130" w:firstLine="419"/>
        <w:jc w:val="both"/>
      </w:pPr>
      <w:r>
        <w:rPr>
          <w:spacing w:val="-2"/>
        </w:rPr>
        <w:t>公司内部自行开发的无形资产，在研究开发项目研究阶段的支出，于发生时计入当期损益。</w:t>
      </w:r>
      <w:r>
        <w:rPr>
          <w:w w:val="100"/>
        </w:rPr>
        <w:t> </w:t>
      </w:r>
      <w:r>
        <w:rPr/>
        <w:t>开发项目开发阶段的支出，只有同时满足下列条件的，才能确认为无形资产：</w:t>
      </w:r>
    </w:p>
    <w:p>
      <w:pPr>
        <w:pStyle w:val="BodyText"/>
        <w:spacing w:line="240" w:lineRule="auto" w:before="20"/>
        <w:ind w:left="558" w:right="13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70"/>
        <w:ind w:left="558" w:right="13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97" w:lineRule="auto" w:before="69"/>
        <w:ind w:left="138" w:right="128" w:firstLine="419"/>
        <w:jc w:val="both"/>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形资产自身存在市场，无形资产将在内部使用的，应当证明其有用性。</w:t>
      </w:r>
    </w:p>
    <w:p>
      <w:pPr>
        <w:pStyle w:val="BodyText"/>
        <w:spacing w:line="297" w:lineRule="auto" w:before="34"/>
        <w:ind w:left="138" w:right="128" w:firstLine="419"/>
        <w:jc w:val="both"/>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w:t>
      </w:r>
      <w:r>
        <w:rPr>
          <w:w w:val="100"/>
        </w:rPr>
        <w:t> </w:t>
      </w:r>
      <w:r>
        <w:rPr/>
        <w:t>出售无形资产。</w:t>
      </w:r>
    </w:p>
    <w:p>
      <w:pPr>
        <w:pStyle w:val="BodyText"/>
        <w:spacing w:line="297" w:lineRule="auto" w:before="34"/>
        <w:ind w:left="558" w:right="130"/>
        <w:jc w:val="left"/>
      </w:pPr>
      <w:r>
        <w:rPr>
          <w:spacing w:val="-2"/>
        </w:rPr>
        <w:t>（</w:t>
      </w:r>
      <w:r>
        <w:rPr>
          <w:rFonts w:ascii="Times New Roman" w:hAnsi="Times New Roman" w:cs="Times New Roman" w:eastAsia="Times New Roman" w:hint="default"/>
          <w:spacing w:val="-2"/>
        </w:rPr>
        <w:t>5</w:t>
      </w:r>
      <w:r>
        <w:rPr>
          <w:spacing w:val="-2"/>
        </w:rPr>
        <w:t>）归属于该无形资产开发阶段的支出能够可靠地计量。</w:t>
      </w:r>
      <w:r>
        <w:rPr>
          <w:spacing w:val="-56"/>
        </w:rPr>
        <w:t> </w:t>
      </w:r>
      <w:r>
        <w:rPr>
          <w:spacing w:val="-56"/>
        </w:rPr>
      </w:r>
      <w:r>
        <w:rPr/>
        <w:t>对于以前期间已经费用化的开发阶段的支出不再调整。</w:t>
      </w:r>
    </w:p>
    <w:p>
      <w:pPr>
        <w:spacing w:line="240" w:lineRule="auto" w:before="12"/>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1083" w:val="left" w:leader="none"/>
        </w:tabs>
        <w:spacing w:line="307" w:lineRule="auto" w:before="56"/>
        <w:ind w:left="558" w:right="130" w:hanging="420"/>
        <w:jc w:val="left"/>
      </w:pPr>
      <w:r>
        <w:rPr/>
        <w:t>√适用</w:t>
        <w:tab/>
        <w:t>□不适用</w:t>
      </w:r>
      <w:r>
        <w:rPr>
          <w:w w:val="100"/>
        </w:rPr>
        <w:t> </w:t>
      </w:r>
      <w:r>
        <w:rPr>
          <w:spacing w:val="-2"/>
        </w:rPr>
        <w:t>长期股权投资、采用成本模式计量的投资性房地产、固定资产、在建工程、无形资产等长期</w:t>
      </w:r>
    </w:p>
    <w:p>
      <w:pPr>
        <w:pStyle w:val="BodyText"/>
        <w:spacing w:line="314" w:lineRule="auto" w:before="26"/>
        <w:ind w:left="138" w:right="128"/>
        <w:jc w:val="both"/>
      </w:pPr>
      <w:r>
        <w:rPr>
          <w:spacing w:val="-1"/>
        </w:rPr>
        <w:t>资产，于资产负债表日存在减值迹象的，进行减值测试。减值测试结果表明资产的可收回金额低</w:t>
      </w:r>
      <w:r>
        <w:rPr>
          <w:spacing w:val="-55"/>
        </w:rPr>
        <w:t> </w:t>
      </w:r>
      <w:r>
        <w:rPr>
          <w:spacing w:val="-55"/>
        </w:rPr>
      </w:r>
      <w:r>
        <w:rPr>
          <w:spacing w:val="-1"/>
        </w:rPr>
        <w:t>于其账面价值的，按其差额计提减值准备并计入减值损失。可收回金额为资产的公允价值减去处</w:t>
      </w:r>
      <w:r>
        <w:rPr>
          <w:spacing w:val="-55"/>
        </w:rPr>
        <w:t> </w:t>
      </w:r>
      <w:r>
        <w:rPr>
          <w:spacing w:val="-55"/>
        </w:rPr>
      </w:r>
      <w:r>
        <w:rPr>
          <w:spacing w:val="-1"/>
        </w:rPr>
        <w:t>置费用后的净额与资产预计未来现金流量的现值两者之间的较高者。资产减值准备按单项资产为</w:t>
      </w:r>
      <w:r>
        <w:rPr>
          <w:spacing w:val="-55"/>
        </w:rPr>
        <w:t> </w:t>
      </w:r>
      <w:r>
        <w:rPr>
          <w:spacing w:val="-55"/>
        </w:rPr>
      </w:r>
      <w:r>
        <w:rPr>
          <w:spacing w:val="-1"/>
        </w:rPr>
        <w:t>基础计算并确认，如果难以对单项资产的可收回金额进行估计的，以该资产所属的资产组确定资</w:t>
      </w:r>
      <w:r>
        <w:rPr>
          <w:spacing w:val="-55"/>
        </w:rPr>
        <w:t> </w:t>
      </w:r>
      <w:r>
        <w:rPr>
          <w:spacing w:val="-55"/>
        </w:rPr>
      </w:r>
      <w:r>
        <w:rPr/>
        <w:t>产组的可收回金额。资产组是能够独立产生现金流入的最小资产组合。</w:t>
      </w:r>
    </w:p>
    <w:p>
      <w:pPr>
        <w:pStyle w:val="BodyText"/>
        <w:spacing w:line="314" w:lineRule="auto" w:before="20"/>
        <w:ind w:left="138" w:right="128" w:firstLine="419"/>
        <w:jc w:val="both"/>
      </w:pPr>
      <w:r>
        <w:rPr>
          <w:spacing w:val="-2"/>
        </w:rPr>
        <w:t>商誉至少在每年年度终了进行减值测试。本公司进行商誉减值测试，对于因企业合并形成的</w:t>
      </w:r>
      <w:r>
        <w:rPr>
          <w:w w:val="100"/>
        </w:rPr>
        <w:t> </w:t>
      </w:r>
      <w:r>
        <w:rPr>
          <w:spacing w:val="-6"/>
          <w:w w:val="100"/>
        </w:rPr>
        <w:t>商誉的账面价值，自购买日起按照合理的方法分摊至相关的资产组；难以分摊至相关的资产组的，</w:t>
      </w:r>
      <w:r>
        <w:rPr>
          <w:w w:val="100"/>
        </w:rPr>
        <w:t> </w:t>
      </w:r>
      <w:r>
        <w:rPr>
          <w:spacing w:val="-1"/>
        </w:rPr>
        <w:t>将其分摊至相关的资产组组合。在将商誉的账面价值分摊至相关的资产组或者资产组组合时，按</w:t>
      </w:r>
      <w:r>
        <w:rPr>
          <w:spacing w:val="-55"/>
        </w:rPr>
        <w:t> </w:t>
      </w:r>
      <w:r>
        <w:rPr>
          <w:spacing w:val="-55"/>
        </w:rPr>
      </w:r>
      <w:r>
        <w:rPr>
          <w:spacing w:val="-1"/>
        </w:rPr>
        <w:t>照各资产组或者资产组组合的公允价值占相关资产组或者资产组组合公允价值总额的比例进行分</w:t>
      </w:r>
      <w:r>
        <w:rPr>
          <w:spacing w:val="-55"/>
        </w:rPr>
        <w:t> </w:t>
      </w:r>
      <w:r>
        <w:rPr>
          <w:spacing w:val="-55"/>
        </w:rPr>
      </w:r>
      <w:r>
        <w:rPr>
          <w:spacing w:val="-1"/>
        </w:rPr>
        <w:t>摊。公允价值难以可靠计量的，按照各资产组或者资产组组合的账面价值占相关资产组或者资产</w:t>
      </w:r>
      <w:r>
        <w:rPr>
          <w:spacing w:val="-55"/>
        </w:rPr>
        <w:t> </w:t>
      </w:r>
      <w:r>
        <w:rPr>
          <w:spacing w:val="-55"/>
        </w:rPr>
      </w:r>
      <w:r>
        <w:rPr>
          <w:spacing w:val="-1"/>
        </w:rPr>
        <w:t>组组合账面价值总额的比例进行分摊。在对包含商誉的相关资产组或者资产组组合进行减值测试</w:t>
      </w:r>
      <w:r>
        <w:rPr>
          <w:spacing w:val="-55"/>
        </w:rPr>
        <w:t> </w:t>
      </w:r>
      <w:r>
        <w:rPr>
          <w:spacing w:val="-55"/>
        </w:rPr>
      </w:r>
      <w:r>
        <w:rPr>
          <w:spacing w:val="-1"/>
        </w:rPr>
        <w:t>时，如与商誉相关的资产组或者资产组组合存在减值迹象的，先对不包含商誉的资产组或者资产</w:t>
      </w:r>
      <w:r>
        <w:rPr>
          <w:spacing w:val="-55"/>
        </w:rPr>
        <w:t> </w:t>
      </w:r>
      <w:r>
        <w:rPr>
          <w:spacing w:val="-55"/>
        </w:rPr>
      </w:r>
      <w:r>
        <w:rPr>
          <w:spacing w:val="-1"/>
        </w:rPr>
        <w:t>组组合进行减值测试，计算可收回金额，并与相关账面价值相比较，确认相应的减值损失。再对</w:t>
      </w:r>
      <w:r>
        <w:rPr>
          <w:spacing w:val="-55"/>
        </w:rPr>
        <w:t> </w:t>
      </w:r>
      <w:r>
        <w:rPr>
          <w:spacing w:val="-55"/>
        </w:rPr>
      </w:r>
      <w:r>
        <w:rPr>
          <w:spacing w:val="-1"/>
        </w:rPr>
        <w:t>包含商誉的资产组或者资产组组合进行减值测试，比较这些相关资产组或者资产组组合的账面价</w:t>
      </w:r>
      <w:r>
        <w:rPr>
          <w:spacing w:val="-55"/>
        </w:rPr>
        <w:t> </w:t>
      </w:r>
      <w:r>
        <w:rPr>
          <w:spacing w:val="-55"/>
        </w:rPr>
      </w:r>
      <w:r>
        <w:rPr>
          <w:spacing w:val="-1"/>
        </w:rPr>
        <w:t>值（包括所分摊的商誉的账面价值部分）与其可收回金额，如相关资产组或者资产组组合的可收</w:t>
      </w:r>
      <w:r>
        <w:rPr>
          <w:spacing w:val="-55"/>
        </w:rPr>
        <w:t> </w:t>
      </w:r>
      <w:r>
        <w:rPr>
          <w:spacing w:val="-55"/>
        </w:rPr>
      </w:r>
      <w:r>
        <w:rPr/>
        <w:t>回金额低于其账面价值的，确认商誉的减值损失。</w:t>
      </w:r>
    </w:p>
    <w:p>
      <w:pPr>
        <w:pStyle w:val="BodyText"/>
        <w:spacing w:line="240" w:lineRule="auto" w:before="20"/>
        <w:ind w:left="558" w:right="130"/>
        <w:jc w:val="left"/>
      </w:pPr>
      <w:r>
        <w:rPr/>
        <w:t>上述资产减值损失一经确认，在以后会计期间不予转回。</w:t>
      </w:r>
    </w:p>
    <w:p>
      <w:pPr>
        <w:spacing w:after="0" w:line="240" w:lineRule="auto"/>
        <w:jc w:val="left"/>
        <w:sectPr>
          <w:pgSz w:w="11910" w:h="16840"/>
          <w:pgMar w:header="857" w:footer="979" w:top="1140" w:bottom="1160" w:left="1660" w:right="1140"/>
        </w:sectPr>
      </w:pPr>
    </w:p>
    <w:p>
      <w:pPr>
        <w:spacing w:line="240" w:lineRule="auto" w:before="4"/>
        <w:rPr>
          <w:rFonts w:ascii="宋体" w:hAnsi="宋体" w:cs="宋体" w:eastAsia="宋体" w:hint="default"/>
          <w:sz w:val="23"/>
          <w:szCs w:val="23"/>
        </w:rPr>
      </w:pPr>
    </w:p>
    <w:p>
      <w:pPr>
        <w:pStyle w:val="Heading3"/>
        <w:spacing w:line="240" w:lineRule="auto" w:before="36"/>
        <w:ind w:left="138" w:right="13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1083" w:val="left" w:leader="none"/>
        </w:tabs>
        <w:spacing w:line="240" w:lineRule="auto" w:before="58"/>
        <w:ind w:left="138" w:right="130"/>
        <w:jc w:val="left"/>
      </w:pPr>
      <w:r>
        <w:rPr/>
        <w:t>√适用</w:t>
        <w:tab/>
        <w:t>□不适用</w:t>
      </w:r>
    </w:p>
    <w:p>
      <w:pPr>
        <w:pStyle w:val="BodyText"/>
        <w:spacing w:line="304" w:lineRule="auto" w:before="73"/>
        <w:ind w:left="138" w:right="127" w:firstLine="419"/>
        <w:jc w:val="both"/>
      </w:pPr>
      <w:r>
        <w:rPr/>
        <w:t>长期待摊费用是指公司已经发生但应由本期和以后各期负担的分摊期限在</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年以上的各项费</w:t>
      </w:r>
      <w:r>
        <w:rPr>
          <w:w w:val="100"/>
        </w:rPr>
        <w:t> </w:t>
      </w:r>
      <w:r>
        <w:rPr>
          <w:spacing w:val="-1"/>
        </w:rPr>
        <w:t>用，包括以经营租赁方式租入的固定资产发生的改良支出等。长期待摊费用在相关项目的受益期</w:t>
      </w:r>
      <w:r>
        <w:rPr>
          <w:spacing w:val="-55"/>
        </w:rPr>
        <w:t> </w:t>
      </w:r>
      <w:r>
        <w:rPr>
          <w:spacing w:val="-55"/>
        </w:rPr>
      </w:r>
      <w:r>
        <w:rPr/>
        <w:t>内平均摊销。</w:t>
      </w:r>
    </w:p>
    <w:p>
      <w:pPr>
        <w:spacing w:line="240" w:lineRule="auto" w:before="7"/>
        <w:rPr>
          <w:rFonts w:ascii="宋体" w:hAnsi="宋体" w:cs="宋体" w:eastAsia="宋体" w:hint="default"/>
          <w:sz w:val="20"/>
          <w:szCs w:val="20"/>
        </w:rPr>
      </w:pPr>
    </w:p>
    <w:p>
      <w:pPr>
        <w:pStyle w:val="Heading3"/>
        <w:spacing w:line="240" w:lineRule="auto"/>
        <w:ind w:left="138" w:right="130"/>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b w:val="0"/>
          <w:bCs w:val="0"/>
        </w:rPr>
      </w:r>
    </w:p>
    <w:p>
      <w:pPr>
        <w:pStyle w:val="BodyText"/>
        <w:spacing w:line="307" w:lineRule="auto" w:before="135"/>
        <w:ind w:left="138" w:right="130" w:firstLine="419"/>
        <w:jc w:val="left"/>
        <w:rPr>
          <w:rFonts w:ascii="宋体" w:hAnsi="宋体" w:cs="宋体" w:eastAsia="宋体" w:hint="default"/>
        </w:rPr>
      </w:pPr>
      <w:r>
        <w:rPr>
          <w:spacing w:val="-2"/>
        </w:rPr>
        <w:t>职工薪酬是指公司为获得职工提供的服务或解除劳动关系而给予的各种形式的报酬或补偿。</w:t>
      </w:r>
      <w:r>
        <w:rPr>
          <w:w w:val="100"/>
        </w:rPr>
        <w:t> </w:t>
      </w:r>
      <w:r>
        <w:rPr>
          <w:spacing w:val="-6"/>
        </w:rPr>
        <w:t>公司提供给职工配偶、子女、受赡养人、已故员工遗属及其他受益人等的福利，也属于职工薪酬。</w:t>
      </w:r>
      <w:r>
        <w:rPr>
          <w:spacing w:val="-52"/>
        </w:rPr>
        <w:t> </w:t>
      </w:r>
      <w:r>
        <w:rPr>
          <w:spacing w:val="-52"/>
        </w:rPr>
      </w:r>
      <w:r>
        <w:rPr>
          <w:spacing w:val="-1"/>
        </w:rPr>
        <w:t>职工薪酬主要包括短期薪酬、离职后福利、辞退福利和其他长期职工福利。根据流动性，职工薪</w:t>
      </w:r>
      <w:r>
        <w:rPr>
          <w:spacing w:val="-55"/>
        </w:rPr>
        <w:t> </w:t>
      </w:r>
      <w:r>
        <w:rPr>
          <w:spacing w:val="-55"/>
        </w:rPr>
      </w:r>
      <w:r>
        <w:rPr/>
        <w:t>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w:t>
      </w:r>
      <w:r>
        <w:rPr>
          <w:w w:val="100"/>
        </w:rPr>
        <w:t> </w:t>
      </w:r>
      <w:r>
        <w:rPr>
          <w:rFonts w:ascii="宋体" w:hAnsi="宋体" w:cs="宋体" w:eastAsia="宋体" w:hint="default"/>
          <w:b/>
          <w:bCs/>
        </w:rPr>
        <w:t>(1)</w:t>
      </w:r>
      <w:r>
        <w:rPr>
          <w:rFonts w:ascii="宋体" w:hAnsi="宋体" w:cs="宋体" w:eastAsia="宋体" w:hint="default"/>
          <w:b/>
          <w:bCs/>
        </w:rPr>
        <w:t>、短期薪酬的会计处理方法</w:t>
      </w:r>
      <w:r>
        <w:rPr>
          <w:rFonts w:ascii="宋体" w:hAnsi="宋体" w:cs="宋体" w:eastAsia="宋体" w:hint="default"/>
        </w:rPr>
      </w:r>
    </w:p>
    <w:p>
      <w:pPr>
        <w:pStyle w:val="BodyText"/>
        <w:tabs>
          <w:tab w:pos="1083" w:val="left" w:leader="none"/>
        </w:tabs>
        <w:spacing w:line="307" w:lineRule="auto"/>
        <w:ind w:left="558" w:right="130" w:hanging="420"/>
        <w:jc w:val="left"/>
      </w:pPr>
      <w:r>
        <w:rPr/>
        <w:t>√适用</w:t>
        <w:tab/>
        <w:t>□不适用</w:t>
      </w:r>
      <w:r>
        <w:rPr>
          <w:w w:val="100"/>
        </w:rPr>
        <w:t> </w:t>
      </w:r>
      <w:r>
        <w:rPr>
          <w:spacing w:val="-2"/>
        </w:rPr>
        <w:t>短期薪酬是指本公司在职工提供相关服务的年度报告期间结束后十二个月内需要全部予以支</w:t>
      </w:r>
    </w:p>
    <w:p>
      <w:pPr>
        <w:pStyle w:val="BodyText"/>
        <w:spacing w:line="314" w:lineRule="auto" w:before="26"/>
        <w:ind w:left="138" w:right="130"/>
        <w:jc w:val="left"/>
      </w:pPr>
      <w:r>
        <w:rPr>
          <w:spacing w:val="-1"/>
        </w:rPr>
        <w:t>付的职工薪酬，离职后福利和辞退福利除外。本公司在职工提供服务的会计期间，将应付的短期</w:t>
      </w:r>
      <w:r>
        <w:rPr>
          <w:spacing w:val="-55"/>
        </w:rPr>
        <w:t> </w:t>
      </w:r>
      <w:r>
        <w:rPr>
          <w:spacing w:val="-55"/>
        </w:rPr>
      </w:r>
      <w:r>
        <w:rPr/>
        <w:t>薪酬确认为负债，并根据职工提供服务的受益对象计入当期损益或相关资产成本。</w:t>
      </w:r>
    </w:p>
    <w:p>
      <w:pPr>
        <w:spacing w:line="240" w:lineRule="auto" w:before="9"/>
        <w:rPr>
          <w:rFonts w:ascii="宋体" w:hAnsi="宋体" w:cs="宋体" w:eastAsia="宋体" w:hint="default"/>
          <w:sz w:val="19"/>
          <w:szCs w:val="19"/>
        </w:rPr>
      </w:pPr>
    </w:p>
    <w:p>
      <w:pPr>
        <w:pStyle w:val="Heading3"/>
        <w:spacing w:line="240" w:lineRule="auto"/>
        <w:ind w:left="138" w:right="13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1083" w:val="left" w:leader="none"/>
        </w:tabs>
        <w:spacing w:line="304" w:lineRule="auto" w:before="58"/>
        <w:ind w:left="558" w:right="130" w:hanging="420"/>
        <w:jc w:val="left"/>
      </w:pPr>
      <w:r>
        <w:rPr/>
        <w:t>√适用</w:t>
        <w:tab/>
        <w:t>□不适用</w:t>
      </w:r>
      <w:r>
        <w:rPr>
          <w:w w:val="100"/>
        </w:rPr>
        <w:t> </w:t>
      </w:r>
      <w:r>
        <w:rPr>
          <w:spacing w:val="-2"/>
        </w:rPr>
        <w:t>离职后福利是指公司为获得职工提供的服务而在职工退休或与公司解除劳动关系后，提供的</w:t>
      </w:r>
    </w:p>
    <w:p>
      <w:pPr>
        <w:pStyle w:val="BodyText"/>
        <w:spacing w:line="314" w:lineRule="auto" w:before="28"/>
        <w:ind w:left="138" w:right="128"/>
        <w:jc w:val="both"/>
      </w:pPr>
      <w:r>
        <w:rPr>
          <w:spacing w:val="-1"/>
        </w:rPr>
        <w:t>各种形式的报酬和福利，短期薪酬和辞退福利除外。离职后福利计划包括设定提存计划和设定受</w:t>
      </w:r>
      <w:r>
        <w:rPr>
          <w:spacing w:val="-56"/>
        </w:rPr>
        <w:t> </w:t>
      </w:r>
      <w:r>
        <w:rPr>
          <w:spacing w:val="-56"/>
        </w:rPr>
      </w:r>
      <w:r>
        <w:rPr>
          <w:spacing w:val="-1"/>
        </w:rPr>
        <w:t>益计划。其中，设定提存计划，是指向独立的基金缴存固定费用后，本公司不再承担进一步支付</w:t>
      </w:r>
      <w:r>
        <w:rPr>
          <w:spacing w:val="-55"/>
        </w:rPr>
        <w:t> </w:t>
      </w:r>
      <w:r>
        <w:rPr>
          <w:spacing w:val="-55"/>
        </w:rPr>
      </w:r>
      <w:r>
        <w:rPr/>
        <w:t>义务的离职后福利计划；设定受益计划，是指除设定提存计划以外的离职后福利计划。</w:t>
      </w:r>
    </w:p>
    <w:p>
      <w:pPr>
        <w:pStyle w:val="BodyText"/>
        <w:spacing w:line="314" w:lineRule="auto" w:before="20"/>
        <w:ind w:left="558" w:right="130"/>
        <w:jc w:val="left"/>
      </w:pPr>
      <w:r>
        <w:rPr/>
        <w:t>①设定提存计划</w:t>
      </w:r>
      <w:r>
        <w:rPr>
          <w:spacing w:val="-103"/>
        </w:rPr>
        <w:t> </w:t>
      </w:r>
      <w:r>
        <w:rPr>
          <w:spacing w:val="-103"/>
        </w:rPr>
      </w:r>
      <w:r>
        <w:rPr>
          <w:spacing w:val="-2"/>
        </w:rPr>
        <w:t>设定提存计划包括基本养老保险、失业保险。在职工为本公司提供服务的会计期间，按以当</w:t>
      </w:r>
    </w:p>
    <w:p>
      <w:pPr>
        <w:pStyle w:val="BodyText"/>
        <w:spacing w:line="240" w:lineRule="auto" w:before="20"/>
        <w:ind w:left="138" w:right="130"/>
        <w:jc w:val="left"/>
      </w:pPr>
      <w:r>
        <w:rPr/>
        <w:t>地规定的缴纳基数和比例计算应缴纳金额，确认为负债，并计入当期损益或相关资产成本。</w:t>
      </w:r>
    </w:p>
    <w:p>
      <w:pPr>
        <w:pStyle w:val="BodyText"/>
        <w:spacing w:line="314" w:lineRule="auto" w:before="85"/>
        <w:ind w:left="558" w:right="130"/>
        <w:jc w:val="left"/>
      </w:pPr>
      <w:r>
        <w:rPr/>
        <w:t>②设定受益计划</w:t>
      </w:r>
      <w:r>
        <w:rPr>
          <w:spacing w:val="-103"/>
        </w:rPr>
        <w:t> </w:t>
      </w:r>
      <w:r>
        <w:rPr>
          <w:spacing w:val="-103"/>
        </w:rPr>
      </w:r>
      <w:r>
        <w:rPr>
          <w:spacing w:val="-2"/>
        </w:rPr>
        <w:t>本公司根据预期累计福利单位法确定的公式将设定受益计划产生的福利义务归属于职工提供</w:t>
      </w:r>
    </w:p>
    <w:p>
      <w:pPr>
        <w:pStyle w:val="BodyText"/>
        <w:spacing w:line="314" w:lineRule="auto" w:before="20"/>
        <w:ind w:left="138" w:right="130"/>
        <w:jc w:val="left"/>
      </w:pPr>
      <w:r>
        <w:rPr>
          <w:spacing w:val="-1"/>
        </w:rPr>
        <w:t>服务的期间，并计入当期损益或相关资产成本。本公司设定受益计划导致的职工薪酬成本包括下</w:t>
      </w:r>
      <w:r>
        <w:rPr>
          <w:spacing w:val="-55"/>
        </w:rPr>
        <w:t> </w:t>
      </w:r>
      <w:r>
        <w:rPr>
          <w:spacing w:val="-55"/>
        </w:rPr>
      </w:r>
      <w:r>
        <w:rPr/>
        <w:t>列组成部分：</w:t>
      </w:r>
    </w:p>
    <w:p>
      <w:pPr>
        <w:pStyle w:val="BodyText"/>
        <w:spacing w:line="304" w:lineRule="auto" w:before="20"/>
        <w:ind w:left="138" w:right="128" w:firstLine="419"/>
        <w:jc w:val="both"/>
      </w:pPr>
      <w:r>
        <w:rPr>
          <w:rFonts w:ascii="Times New Roman" w:hAnsi="Times New Roman" w:cs="Times New Roman" w:eastAsia="Times New Roman" w:hint="default"/>
          <w:spacing w:val="-1"/>
        </w:rPr>
        <w:t>A.</w:t>
      </w:r>
      <w:r>
        <w:rPr>
          <w:spacing w:val="-1"/>
        </w:rPr>
        <w:t>服务成本，包括当期服务成本、过去服务成本和结算利得或损失。其中，当期服务成本，</w:t>
      </w:r>
      <w:r>
        <w:rPr>
          <w:w w:val="100"/>
        </w:rPr>
        <w:t> </w:t>
      </w:r>
      <w:r>
        <w:rPr>
          <w:spacing w:val="-1"/>
        </w:rPr>
        <w:t>是指职工当期提供服务所导致的设定受益计划义务现值的增加额；过去服务成本，是指设定受益</w:t>
      </w:r>
      <w:r>
        <w:rPr>
          <w:spacing w:val="-55"/>
        </w:rPr>
        <w:t> </w:t>
      </w:r>
      <w:r>
        <w:rPr>
          <w:spacing w:val="-55"/>
        </w:rPr>
      </w:r>
      <w:r>
        <w:rPr/>
        <w:t>计划修改所导致的与以前期间职工服务相关的设定受益计划义务现值的增加或减少。</w:t>
      </w:r>
    </w:p>
    <w:p>
      <w:pPr>
        <w:pStyle w:val="BodyText"/>
        <w:spacing w:line="297" w:lineRule="auto" w:before="28"/>
        <w:ind w:left="138" w:right="131" w:firstLine="419"/>
        <w:jc w:val="both"/>
      </w:pPr>
      <w:r>
        <w:rPr>
          <w:rFonts w:ascii="Times New Roman" w:hAnsi="Times New Roman" w:cs="Times New Roman" w:eastAsia="Times New Roman" w:hint="default"/>
          <w:spacing w:val="-1"/>
        </w:rPr>
        <w:t>B.</w:t>
      </w:r>
      <w:r>
        <w:rPr>
          <w:spacing w:val="-1"/>
        </w:rPr>
        <w:t>设定受益计划净负债或净资产的利息净额，包括计划资产的利息收益、设定受益计划义务</w:t>
      </w:r>
      <w:r>
        <w:rPr>
          <w:w w:val="100"/>
        </w:rPr>
        <w:t> </w:t>
      </w:r>
      <w:r>
        <w:rPr/>
        <w:t>的利息费用以及资产上限影响的利息。</w:t>
      </w:r>
    </w:p>
    <w:p>
      <w:pPr>
        <w:pStyle w:val="BodyText"/>
        <w:spacing w:line="297" w:lineRule="auto" w:before="34"/>
        <w:ind w:left="558" w:right="123"/>
        <w:jc w:val="left"/>
      </w:pPr>
      <w:r>
        <w:rPr>
          <w:rFonts w:ascii="Times New Roman" w:hAnsi="Times New Roman" w:cs="Times New Roman" w:eastAsia="Times New Roman" w:hint="default"/>
        </w:rPr>
        <w:t>C.</w:t>
      </w:r>
      <w:r>
        <w:rPr/>
        <w:t>重新计量设定受益计划净负债或净资产所产生的变动。</w:t>
      </w:r>
      <w:r>
        <w:rPr>
          <w:w w:val="100"/>
        </w:rPr>
        <w:t> </w:t>
      </w:r>
      <w:r>
        <w:rPr>
          <w:spacing w:val="-4"/>
        </w:rPr>
        <w:t>除非其他会计准则要求或允许职工福利成本计入资产成本，本公司将上述第</w:t>
      </w:r>
      <w:r>
        <w:rPr>
          <w:spacing w:val="-39"/>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和</w:t>
      </w:r>
      <w:r>
        <w:rPr>
          <w:spacing w:val="-38"/>
        </w:rPr>
        <w:t> </w:t>
      </w:r>
      <w:r>
        <w:rPr>
          <w:rFonts w:ascii="Times New Roman" w:hAnsi="Times New Roman" w:cs="Times New Roman" w:eastAsia="Times New Roman" w:hint="default"/>
        </w:rPr>
        <w:t>B</w:t>
      </w:r>
      <w:r>
        <w:rPr>
          <w:rFonts w:ascii="Times New Roman" w:hAnsi="Times New Roman" w:cs="Times New Roman" w:eastAsia="Times New Roman" w:hint="default"/>
          <w:spacing w:val="13"/>
        </w:rPr>
        <w:t> </w:t>
      </w:r>
      <w:r>
        <w:rPr/>
        <w:t>项计入当</w:t>
      </w:r>
    </w:p>
    <w:p>
      <w:pPr>
        <w:pStyle w:val="BodyText"/>
        <w:spacing w:line="297" w:lineRule="auto" w:before="14"/>
        <w:ind w:left="138" w:right="122"/>
        <w:jc w:val="left"/>
      </w:pPr>
      <w:r>
        <w:rPr>
          <w:spacing w:val="-4"/>
        </w:rPr>
        <w:t>期损益；第</w:t>
      </w:r>
      <w:r>
        <w:rPr>
          <w:spacing w:val="-59"/>
        </w:rPr>
        <w:t> </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项计入其他综合收益且不会在后续会计期间转回至损益，但可以在权益范围内转移</w:t>
      </w:r>
      <w:r>
        <w:rPr>
          <w:w w:val="100"/>
        </w:rPr>
        <w:t> </w:t>
      </w:r>
      <w:r>
        <w:rPr/>
        <w:t>这些在其他综合收益中确认的金额。</w:t>
      </w:r>
    </w:p>
    <w:p>
      <w:pPr>
        <w:spacing w:after="0" w:line="297" w:lineRule="auto"/>
        <w:jc w:val="left"/>
        <w:sectPr>
          <w:pgSz w:w="11910" w:h="16840"/>
          <w:pgMar w:header="857" w:footer="979" w:top="1140" w:bottom="116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before="36"/>
        <w:ind w:left="138" w:right="0"/>
        <w:jc w:val="both"/>
        <w:rPr>
          <w:b w:val="0"/>
          <w:bCs w:val="0"/>
        </w:rPr>
      </w:pPr>
      <w:r>
        <w:rPr>
          <w:rFonts w:ascii="宋体" w:hAnsi="宋体" w:cs="宋体" w:eastAsia="宋体" w:hint="default"/>
        </w:rPr>
        <w:t>(3)</w:t>
      </w:r>
      <w:r>
        <w:rPr/>
        <w:t>、辞退福利的会计处理方法</w:t>
      </w:r>
      <w:r>
        <w:rPr>
          <w:b w:val="0"/>
          <w:bCs w:val="0"/>
        </w:rPr>
      </w:r>
    </w:p>
    <w:p>
      <w:pPr>
        <w:pStyle w:val="BodyText"/>
        <w:tabs>
          <w:tab w:pos="1083" w:val="left" w:leader="none"/>
        </w:tabs>
        <w:spacing w:line="304" w:lineRule="auto" w:before="58"/>
        <w:ind w:left="558" w:right="130" w:hanging="420"/>
        <w:jc w:val="left"/>
      </w:pPr>
      <w:r>
        <w:rPr/>
        <w:t>√适用</w:t>
        <w:tab/>
        <w:t>□不适用</w:t>
      </w:r>
      <w:r>
        <w:rPr>
          <w:w w:val="100"/>
        </w:rPr>
        <w:t> </w:t>
      </w:r>
      <w:r>
        <w:rPr>
          <w:spacing w:val="-2"/>
        </w:rPr>
        <w:t>辞退福利是指公司在职工劳动合同到期之前解除与职工的劳动关系，或者为鼓励职工自愿接</w:t>
      </w:r>
    </w:p>
    <w:p>
      <w:pPr>
        <w:pStyle w:val="BodyText"/>
        <w:spacing w:line="314" w:lineRule="auto" w:before="28"/>
        <w:ind w:left="138" w:right="128"/>
        <w:jc w:val="both"/>
      </w:pPr>
      <w:r>
        <w:rPr>
          <w:spacing w:val="-1"/>
        </w:rPr>
        <w:t>受裁减而给予职工的补偿。公司向职工提供辞退福利的，在下列两者孰早日确认辞退福利产生的</w:t>
      </w:r>
      <w:r>
        <w:rPr>
          <w:spacing w:val="-55"/>
        </w:rPr>
        <w:t> </w:t>
      </w:r>
      <w:r>
        <w:rPr>
          <w:spacing w:val="-55"/>
        </w:rPr>
      </w:r>
      <w:r>
        <w:rPr>
          <w:spacing w:val="-1"/>
        </w:rPr>
        <w:t>职工薪酬负债，并计入当期损益：①公司不能单方面撤回因解除劳动关系计划或裁减建议所提供</w:t>
      </w:r>
      <w:r>
        <w:rPr>
          <w:spacing w:val="-55"/>
        </w:rPr>
        <w:t> </w:t>
      </w:r>
      <w:r>
        <w:rPr>
          <w:spacing w:val="-55"/>
        </w:rPr>
      </w:r>
      <w:r>
        <w:rPr/>
        <w:t>的辞退福利时；②公司确认与涉及支付辞退福利的重组相关的成本或费用时。</w:t>
      </w:r>
    </w:p>
    <w:p>
      <w:pPr>
        <w:pStyle w:val="BodyText"/>
        <w:spacing w:line="314" w:lineRule="auto" w:before="20"/>
        <w:ind w:left="138" w:right="128" w:firstLine="419"/>
        <w:jc w:val="both"/>
      </w:pPr>
      <w:r>
        <w:rPr>
          <w:spacing w:val="-2"/>
        </w:rPr>
        <w:t>公司实行职工内部退休计划的，在正式退休日之前的经济补偿，属于辞退福利，自职工停止</w:t>
      </w:r>
      <w:r>
        <w:rPr>
          <w:w w:val="100"/>
        </w:rPr>
        <w:t> </w:t>
      </w:r>
      <w:r>
        <w:rPr>
          <w:spacing w:val="-1"/>
        </w:rPr>
        <w:t>提供服务日至正常退休日期间，拟支付的内退职工工资和缴纳的社会保险费等一次性计入当期损</w:t>
      </w:r>
      <w:r>
        <w:rPr>
          <w:spacing w:val="-55"/>
        </w:rPr>
        <w:t> </w:t>
      </w:r>
      <w:r>
        <w:rPr>
          <w:spacing w:val="-55"/>
        </w:rPr>
      </w:r>
      <w:r>
        <w:rPr>
          <w:spacing w:val="-5"/>
          <w:w w:val="100"/>
        </w:rPr>
        <w:t>益；职工正式退休日期之后的经济补偿（如正常养老退休金），按照离职后福利处理。</w:t>
      </w:r>
    </w:p>
    <w:p>
      <w:pPr>
        <w:spacing w:line="240" w:lineRule="auto" w:before="11"/>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(4)</w:t>
      </w:r>
      <w:r>
        <w:rPr/>
        <w:t>、其他长期职工福利的会计处理方法</w:t>
      </w:r>
      <w:r>
        <w:rPr>
          <w:b w:val="0"/>
          <w:bCs w:val="0"/>
        </w:rPr>
      </w:r>
    </w:p>
    <w:p>
      <w:pPr>
        <w:pStyle w:val="BodyText"/>
        <w:tabs>
          <w:tab w:pos="1083" w:val="left" w:leader="none"/>
        </w:tabs>
        <w:spacing w:line="307" w:lineRule="auto" w:before="56"/>
        <w:ind w:left="558" w:right="130" w:hanging="420"/>
        <w:jc w:val="left"/>
      </w:pPr>
      <w:r>
        <w:rPr/>
        <w:t>√适用</w:t>
        <w:tab/>
        <w:t>□不适用</w:t>
      </w:r>
      <w:r>
        <w:rPr>
          <w:w w:val="100"/>
        </w:rPr>
        <w:t> </w:t>
      </w:r>
      <w:r>
        <w:rPr>
          <w:spacing w:val="-2"/>
        </w:rPr>
        <w:t>其他长期职工福利，是指除短期薪酬、离职后福利、辞退福利之外所有的职工薪酬，包括长</w:t>
      </w:r>
    </w:p>
    <w:p>
      <w:pPr>
        <w:pStyle w:val="BodyText"/>
        <w:spacing w:line="314" w:lineRule="auto" w:before="26"/>
        <w:ind w:left="138" w:right="128"/>
        <w:jc w:val="both"/>
      </w:pPr>
      <w:r>
        <w:rPr>
          <w:spacing w:val="-1"/>
        </w:rPr>
        <w:t>期带薪缺勤、长期残疾福利、长期利润分享计划等。本公司向职工提供的其他长期职工福利，符</w:t>
      </w:r>
      <w:r>
        <w:rPr>
          <w:spacing w:val="-55"/>
        </w:rPr>
        <w:t> </w:t>
      </w:r>
      <w:r>
        <w:rPr>
          <w:spacing w:val="-55"/>
        </w:rPr>
      </w:r>
      <w:r>
        <w:rPr>
          <w:spacing w:val="-1"/>
        </w:rPr>
        <w:t>合设定提存计划条件的，按照设定提存计划的有关规定进行处理；除上述情形外的其他长期职工</w:t>
      </w:r>
      <w:r>
        <w:rPr>
          <w:spacing w:val="-55"/>
        </w:rPr>
        <w:t> </w:t>
      </w:r>
      <w:r>
        <w:rPr>
          <w:spacing w:val="-55"/>
        </w:rPr>
      </w:r>
      <w:r>
        <w:rPr>
          <w:spacing w:val="-1"/>
        </w:rPr>
        <w:t>福利，按照设定受益计划的有关规定，确认和计量其他长期职工福利净负债或净资产。在报告期</w:t>
      </w:r>
      <w:r>
        <w:rPr>
          <w:spacing w:val="-56"/>
        </w:rPr>
        <w:t> </w:t>
      </w:r>
      <w:r>
        <w:rPr>
          <w:spacing w:val="-56"/>
        </w:rPr>
      </w:r>
      <w:r>
        <w:rPr>
          <w:spacing w:val="-1"/>
        </w:rPr>
        <w:t>末，公司将其他长期职工福利产生的福利义务归属于职工提供服务期间，并计入当期损益或相关</w:t>
      </w:r>
      <w:r>
        <w:rPr>
          <w:spacing w:val="-55"/>
        </w:rPr>
        <w:t> </w:t>
      </w:r>
      <w:r>
        <w:rPr>
          <w:spacing w:val="-55"/>
        </w:rPr>
      </w:r>
      <w:r>
        <w:rPr/>
        <w:t>资产成本。</w:t>
      </w:r>
    </w:p>
    <w:p>
      <w:pPr>
        <w:spacing w:line="240" w:lineRule="auto" w:before="12"/>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1083" w:val="left" w:leader="none"/>
        </w:tabs>
        <w:spacing w:line="307" w:lineRule="auto" w:before="56"/>
        <w:ind w:left="558" w:right="769" w:hanging="420"/>
        <w:jc w:val="left"/>
      </w:pPr>
      <w:r>
        <w:rPr/>
        <w:t>√适用</w:t>
        <w:tab/>
        <w:t>□不适用</w:t>
      </w:r>
      <w:r>
        <w:rPr>
          <w:w w:val="100"/>
        </w:rPr>
        <w:t> </w:t>
      </w:r>
      <w:r>
        <w:rPr>
          <w:spacing w:val="-2"/>
        </w:rPr>
        <w:t>公司如果发生与或有事项相关的义务且同时符合以下条件，则将其确认为预计负债：</w:t>
      </w:r>
    </w:p>
    <w:p>
      <w:pPr>
        <w:pStyle w:val="BodyText"/>
        <w:spacing w:line="240" w:lineRule="auto" w:before="26"/>
        <w:ind w:left="558" w:right="130"/>
        <w:jc w:val="left"/>
      </w:pPr>
      <w:r>
        <w:rPr/>
        <w:t>（</w:t>
      </w:r>
      <w:r>
        <w:rPr>
          <w:rFonts w:ascii="Times New Roman" w:hAnsi="Times New Roman" w:cs="Times New Roman" w:eastAsia="Times New Roman" w:hint="default"/>
        </w:rPr>
        <w:t>1</w:t>
      </w:r>
      <w:r>
        <w:rPr/>
        <w:t>）该义务是公司承担的现时义务；</w:t>
      </w:r>
    </w:p>
    <w:p>
      <w:pPr>
        <w:pStyle w:val="BodyText"/>
        <w:spacing w:line="240" w:lineRule="auto" w:before="69"/>
        <w:ind w:left="558" w:right="130"/>
        <w:jc w:val="left"/>
      </w:pPr>
      <w:r>
        <w:rPr/>
        <w:t>（</w:t>
      </w:r>
      <w:r>
        <w:rPr>
          <w:rFonts w:ascii="Times New Roman" w:hAnsi="Times New Roman" w:cs="Times New Roman" w:eastAsia="Times New Roman" w:hint="default"/>
        </w:rPr>
        <w:t>2</w:t>
      </w:r>
      <w:r>
        <w:rPr/>
        <w:t>）该义务的履行很可能导致经济利益的流出；</w:t>
      </w:r>
    </w:p>
    <w:p>
      <w:pPr>
        <w:pStyle w:val="BodyText"/>
        <w:spacing w:line="297" w:lineRule="auto" w:before="69"/>
        <w:ind w:left="558" w:right="130"/>
        <w:jc w:val="left"/>
      </w:pPr>
      <w:r>
        <w:rPr/>
        <w:t>（</w:t>
      </w:r>
      <w:r>
        <w:rPr>
          <w:rFonts w:ascii="Times New Roman" w:hAnsi="Times New Roman" w:cs="Times New Roman" w:eastAsia="Times New Roman" w:hint="default"/>
        </w:rPr>
        <w:t>3</w:t>
      </w:r>
      <w:r>
        <w:rPr/>
        <w:t>）该义务的金额能够可靠地计量。</w:t>
      </w:r>
      <w:r>
        <w:rPr>
          <w:w w:val="100"/>
        </w:rPr>
        <w:t> </w:t>
      </w:r>
      <w:r>
        <w:rPr>
          <w:spacing w:val="-2"/>
        </w:rPr>
        <w:t>预计负债按照履行相关现时义务所需支出的最佳估计数进行初始计量，并综合考虑与或有事</w:t>
      </w:r>
    </w:p>
    <w:p>
      <w:pPr>
        <w:pStyle w:val="BodyText"/>
        <w:spacing w:line="314" w:lineRule="auto" w:before="34"/>
        <w:ind w:left="138" w:right="128"/>
        <w:jc w:val="both"/>
      </w:pPr>
      <w:r>
        <w:rPr>
          <w:spacing w:val="-1"/>
        </w:rPr>
        <w:t>项有关的风险、不确定性和货币时间价值等因素。货币时间价值影响重大的，通过对相关未来现</w:t>
      </w:r>
      <w:r>
        <w:rPr>
          <w:spacing w:val="-55"/>
        </w:rPr>
        <w:t> </w:t>
      </w:r>
      <w:r>
        <w:rPr>
          <w:spacing w:val="-55"/>
        </w:rPr>
      </w:r>
      <w:r>
        <w:rPr/>
        <w:t>金流出进行折现后确定最佳估计数。</w:t>
      </w:r>
    </w:p>
    <w:p>
      <w:pPr>
        <w:pStyle w:val="BodyText"/>
        <w:spacing w:line="314" w:lineRule="auto" w:before="20"/>
        <w:ind w:left="138" w:right="130" w:firstLine="419"/>
        <w:jc w:val="both"/>
      </w:pPr>
      <w:r>
        <w:rPr>
          <w:spacing w:val="-2"/>
        </w:rPr>
        <w:t>在资产负债表日，公司对预计负债的账面价值进行复核，有确凿证据表明该账面价值不能真</w:t>
      </w:r>
      <w:r>
        <w:rPr>
          <w:w w:val="100"/>
        </w:rPr>
        <w:t> </w:t>
      </w:r>
      <w:r>
        <w:rPr/>
        <w:t>实反映当前最佳估计数的，按照当前最佳估计数对该账面价值进行调整。</w:t>
      </w:r>
    </w:p>
    <w:p>
      <w:pPr>
        <w:pStyle w:val="BodyText"/>
        <w:spacing w:line="314" w:lineRule="auto" w:before="20"/>
        <w:ind w:left="138" w:right="128" w:firstLine="419"/>
        <w:jc w:val="both"/>
      </w:pPr>
      <w:r>
        <w:rPr>
          <w:spacing w:val="-2"/>
        </w:rPr>
        <w:t>如果清偿已确认预计负债所需支出全部或部分预期由第三方或其他方补偿的，补偿金额只有</w:t>
      </w:r>
      <w:r>
        <w:rPr>
          <w:w w:val="100"/>
        </w:rPr>
        <w:t> </w:t>
      </w:r>
      <w:r>
        <w:rPr>
          <w:spacing w:val="-1"/>
        </w:rPr>
        <w:t>在基本确定能够收到时才能作为资产单独确认，确认的补偿金额不超过所确认预计负债的账面价</w:t>
      </w:r>
      <w:r>
        <w:rPr>
          <w:spacing w:val="-55"/>
        </w:rPr>
        <w:t> </w:t>
      </w:r>
      <w:r>
        <w:rPr>
          <w:spacing w:val="-55"/>
        </w:rPr>
      </w:r>
      <w:r>
        <w:rPr/>
        <w:t>值。</w:t>
      </w:r>
    </w:p>
    <w:p>
      <w:pPr>
        <w:spacing w:line="240" w:lineRule="auto" w:before="11"/>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6"/>
        <w:ind w:left="138" w:right="0"/>
        <w:jc w:val="both"/>
      </w:pPr>
      <w:r>
        <w:rPr/>
        <w:t>√适用  </w:t>
      </w:r>
      <w:r>
        <w:rPr>
          <w:spacing w:val="1"/>
        </w:rPr>
        <w:t> </w:t>
      </w:r>
      <w:r>
        <w:rPr/>
        <w:t>□不适用</w:t>
      </w:r>
    </w:p>
    <w:p>
      <w:pPr>
        <w:pStyle w:val="BodyText"/>
        <w:spacing w:line="297" w:lineRule="auto" w:before="73"/>
        <w:ind w:left="558" w:right="130"/>
        <w:jc w:val="left"/>
      </w:pPr>
      <w:r>
        <w:rPr/>
        <w:t>（</w:t>
      </w:r>
      <w:r>
        <w:rPr>
          <w:rFonts w:ascii="Times New Roman" w:hAnsi="Times New Roman" w:cs="Times New Roman" w:eastAsia="Times New Roman" w:hint="default"/>
        </w:rPr>
        <w:t>1</w:t>
      </w:r>
      <w:r>
        <w:rPr/>
        <w:t>）股份支付的种类</w:t>
      </w:r>
      <w:r>
        <w:rPr>
          <w:w w:val="100"/>
        </w:rPr>
        <w:t> </w:t>
      </w:r>
      <w:r>
        <w:rPr>
          <w:spacing w:val="-2"/>
        </w:rPr>
        <w:t>公司的股份支付分为以现金结算的股份支付和以权益结算的股份支付。</w:t>
      </w:r>
    </w:p>
    <w:p>
      <w:pPr>
        <w:pStyle w:val="BodyText"/>
        <w:spacing w:line="240" w:lineRule="auto" w:before="34"/>
        <w:ind w:left="558" w:right="0"/>
        <w:jc w:val="left"/>
      </w:pPr>
      <w:r>
        <w:rPr/>
        <w:t>①以权益结算的股份支付，按授予职工权益工具的公允价值计量。授予后立即可行权的换取</w:t>
      </w:r>
    </w:p>
    <w:p>
      <w:pPr>
        <w:spacing w:after="0" w:line="240" w:lineRule="auto"/>
        <w:jc w:val="left"/>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14" w:lineRule="auto" w:before="36"/>
        <w:ind w:left="138" w:right="208"/>
        <w:jc w:val="both"/>
      </w:pPr>
      <w:r>
        <w:rPr>
          <w:spacing w:val="-1"/>
        </w:rPr>
        <w:t>职工服务的以权益结算的股份支付，在授予日按照权益工具的公允价值计入相关成本或费用，相</w:t>
      </w:r>
      <w:r>
        <w:rPr>
          <w:spacing w:val="-55"/>
        </w:rPr>
        <w:t> </w:t>
      </w:r>
      <w:r>
        <w:rPr>
          <w:spacing w:val="-55"/>
        </w:rPr>
      </w:r>
      <w:r>
        <w:rPr>
          <w:spacing w:val="-1"/>
        </w:rPr>
        <w:t>应增加资本公积。在完成等待期内的服务或达到规定业绩条件才可行权的换取职工服务的以权益</w:t>
      </w:r>
      <w:r>
        <w:rPr>
          <w:spacing w:val="-55"/>
        </w:rPr>
        <w:t> </w:t>
      </w:r>
      <w:r>
        <w:rPr>
          <w:spacing w:val="-55"/>
        </w:rPr>
      </w:r>
      <w:r>
        <w:rPr>
          <w:spacing w:val="-6"/>
          <w:w w:val="100"/>
        </w:rPr>
        <w:t>结算的股份支付，在等待期内的每个资产负债表日，以对可行权权益工具数量的最佳估计为基础，</w:t>
      </w:r>
      <w:r>
        <w:rPr>
          <w:w w:val="100"/>
        </w:rPr>
        <w:t> </w:t>
      </w:r>
      <w:r>
        <w:rPr>
          <w:spacing w:val="-1"/>
        </w:rPr>
        <w:t>按照权益工具授予日的公允价值，将当期取得的服务计入相关成本或费用和资本公积。公司在可</w:t>
      </w:r>
      <w:r>
        <w:rPr>
          <w:spacing w:val="-55"/>
        </w:rPr>
        <w:t> </w:t>
      </w:r>
      <w:r>
        <w:rPr>
          <w:spacing w:val="-55"/>
        </w:rPr>
      </w:r>
      <w:r>
        <w:rPr/>
        <w:t>行权日之后不再对已确认的相关成本或费用和所有者权益总额进行调整。</w:t>
      </w:r>
    </w:p>
    <w:p>
      <w:pPr>
        <w:pStyle w:val="BodyText"/>
        <w:spacing w:line="314" w:lineRule="auto" w:before="20"/>
        <w:ind w:left="138" w:right="208" w:firstLine="419"/>
        <w:jc w:val="both"/>
      </w:pPr>
      <w:r>
        <w:rPr>
          <w:spacing w:val="-2"/>
        </w:rPr>
        <w:t>②以现金结算的股份支付，按照公司承担的以股份或其他权益工具为基础计算确定的负债的</w:t>
      </w:r>
      <w:r>
        <w:rPr>
          <w:w w:val="100"/>
        </w:rPr>
        <w:t> </w:t>
      </w:r>
      <w:r>
        <w:rPr>
          <w:spacing w:val="-1"/>
        </w:rPr>
        <w:t>公允价值计量。授予后立即可行权的以现金结算的股份支付，在授予日以公司承担负债的公允价</w:t>
      </w:r>
      <w:r>
        <w:rPr>
          <w:spacing w:val="-55"/>
        </w:rPr>
        <w:t> </w:t>
      </w:r>
      <w:r>
        <w:rPr>
          <w:spacing w:val="-55"/>
        </w:rPr>
      </w:r>
      <w:r>
        <w:rPr>
          <w:spacing w:val="-1"/>
        </w:rPr>
        <w:t>值计入相关成本或费用，相应增加负债。在完成等待期内的服务或达到规定业绩条件以后才可行</w:t>
      </w:r>
      <w:r>
        <w:rPr>
          <w:spacing w:val="-55"/>
        </w:rPr>
        <w:t> </w:t>
      </w:r>
      <w:r>
        <w:rPr>
          <w:spacing w:val="-55"/>
        </w:rPr>
      </w:r>
      <w:r>
        <w:rPr>
          <w:spacing w:val="-1"/>
        </w:rPr>
        <w:t>权的以现金结算的股份支付，在等待期内的每个资产负债表日，以对可行权情况的最佳估计为基</w:t>
      </w:r>
      <w:r>
        <w:rPr>
          <w:spacing w:val="-55"/>
        </w:rPr>
        <w:t> </w:t>
      </w:r>
      <w:r>
        <w:rPr>
          <w:spacing w:val="-55"/>
        </w:rPr>
      </w:r>
      <w:r>
        <w:rPr>
          <w:spacing w:val="-1"/>
        </w:rPr>
        <w:t>础，按照公司承担负债的公允价值金额，将当期取得的服务计入成本或费用和相应的负债。公司</w:t>
      </w:r>
      <w:r>
        <w:rPr>
          <w:spacing w:val="-55"/>
        </w:rPr>
        <w:t> </w:t>
      </w:r>
      <w:r>
        <w:rPr>
          <w:spacing w:val="-55"/>
        </w:rPr>
      </w:r>
      <w:r>
        <w:rPr>
          <w:spacing w:val="-1"/>
        </w:rPr>
        <w:t>在相关负债结算前的每个资产负债表日以及结算日，对负债的公允价值重新计量，其变动计入当</w:t>
      </w:r>
      <w:r>
        <w:rPr>
          <w:spacing w:val="-55"/>
        </w:rPr>
        <w:t> </w:t>
      </w:r>
      <w:r>
        <w:rPr>
          <w:spacing w:val="-55"/>
        </w:rPr>
      </w:r>
      <w:r>
        <w:rPr/>
        <w:t>期损益。</w:t>
      </w:r>
    </w:p>
    <w:p>
      <w:pPr>
        <w:pStyle w:val="BodyText"/>
        <w:spacing w:line="297" w:lineRule="auto" w:before="20"/>
        <w:ind w:left="558" w:right="102"/>
        <w:jc w:val="left"/>
      </w:pPr>
      <w:r>
        <w:rPr/>
        <w:t>（</w:t>
      </w:r>
      <w:r>
        <w:rPr>
          <w:rFonts w:ascii="Times New Roman" w:hAnsi="Times New Roman" w:cs="Times New Roman" w:eastAsia="Times New Roman" w:hint="default"/>
        </w:rPr>
        <w:t>2</w:t>
      </w:r>
      <w:r>
        <w:rPr/>
        <w:t>）实施、修改、终止股份支付计划的相关会计处理</w:t>
      </w:r>
      <w:r>
        <w:rPr>
          <w:w w:val="100"/>
        </w:rPr>
        <w:t> </w:t>
      </w:r>
      <w:r>
        <w:rPr>
          <w:spacing w:val="-4"/>
          <w:w w:val="100"/>
        </w:rPr>
        <w:t>无论已授予的权益工具的条款和条件如何修改，甚至取消权益工具的授予或结算该权益工具，</w:t>
      </w:r>
    </w:p>
    <w:p>
      <w:pPr>
        <w:pStyle w:val="BodyText"/>
        <w:spacing w:line="314" w:lineRule="auto" w:before="34"/>
        <w:ind w:left="138" w:right="208"/>
        <w:jc w:val="both"/>
      </w:pPr>
      <w:r>
        <w:rPr>
          <w:spacing w:val="-1"/>
        </w:rPr>
        <w:t>公司都应至少确认按照所授予的权益工具在授予日的公允价值来计量获取的相应的服务，除非因</w:t>
      </w:r>
      <w:r>
        <w:rPr>
          <w:spacing w:val="-55"/>
        </w:rPr>
        <w:t> </w:t>
      </w:r>
      <w:r>
        <w:rPr>
          <w:spacing w:val="-55"/>
        </w:rPr>
      </w:r>
      <w:r>
        <w:rPr/>
        <w:t>不能满足权益工具的可行权条件（除市场条件外）而无法可行权。</w:t>
      </w:r>
    </w:p>
    <w:p>
      <w:pPr>
        <w:pStyle w:val="BodyText"/>
        <w:spacing w:line="314" w:lineRule="auto" w:before="20"/>
        <w:ind w:left="138" w:right="210" w:firstLine="419"/>
        <w:jc w:val="both"/>
      </w:pPr>
      <w:r>
        <w:rPr>
          <w:spacing w:val="-2"/>
        </w:rPr>
        <w:t>如果公司在等待期内取消了所授予的权益工具或结算了所授予的权益工具（因未满足可行权</w:t>
      </w:r>
      <w:r>
        <w:rPr>
          <w:w w:val="100"/>
        </w:rPr>
        <w:t> </w:t>
      </w:r>
      <w:r>
        <w:rPr>
          <w:spacing w:val="-7"/>
          <w:w w:val="100"/>
        </w:rPr>
        <w:t>条件而被取消的除外），则按以下规定处理：</w:t>
      </w:r>
    </w:p>
    <w:p>
      <w:pPr>
        <w:pStyle w:val="BodyText"/>
        <w:spacing w:line="240" w:lineRule="auto" w:before="20"/>
        <w:ind w:left="558" w:right="102"/>
        <w:jc w:val="left"/>
      </w:pPr>
      <w:r>
        <w:rPr/>
        <w:t>①将取消或结算作为加速可行权处理，立即确认原本应在剩余等待期内确认的金额。</w:t>
      </w:r>
    </w:p>
    <w:p>
      <w:pPr>
        <w:pStyle w:val="BodyText"/>
        <w:spacing w:line="314" w:lineRule="auto" w:before="85"/>
        <w:ind w:left="138" w:right="210" w:firstLine="419"/>
        <w:jc w:val="both"/>
      </w:pPr>
      <w:r>
        <w:rPr>
          <w:spacing w:val="-2"/>
        </w:rPr>
        <w:t>②在取消或结算时支付给职工的所有款项均应作为权益的回购处理，回购支付的金额高于该</w:t>
      </w:r>
      <w:r>
        <w:rPr>
          <w:w w:val="100"/>
        </w:rPr>
        <w:t> </w:t>
      </w:r>
      <w:r>
        <w:rPr/>
        <w:t>权益工具在回购日公允价值的部分，计入当期费用。</w:t>
      </w:r>
    </w:p>
    <w:p>
      <w:pPr>
        <w:pStyle w:val="BodyText"/>
        <w:spacing w:line="314" w:lineRule="auto" w:before="20"/>
        <w:ind w:left="138" w:right="208" w:firstLine="419"/>
        <w:jc w:val="both"/>
      </w:pPr>
      <w:r>
        <w:rPr>
          <w:spacing w:val="-2"/>
        </w:rPr>
        <w:t>③如果向职工授予新的权益工具，并在新权益工具授予日认定所授予的新权益工具是用于替</w:t>
      </w:r>
      <w:r>
        <w:rPr>
          <w:w w:val="100"/>
        </w:rPr>
        <w:t> </w:t>
      </w:r>
      <w:r>
        <w:rPr>
          <w:spacing w:val="-1"/>
        </w:rPr>
        <w:t>代被取消的权益工具的，公司应以处理原权益工具条款和条件修改相同的方式，对所授予的替代</w:t>
      </w:r>
      <w:r>
        <w:rPr>
          <w:spacing w:val="-55"/>
        </w:rPr>
        <w:t> </w:t>
      </w:r>
      <w:r>
        <w:rPr>
          <w:spacing w:val="-55"/>
        </w:rPr>
      </w:r>
      <w:r>
        <w:rPr/>
        <w:t>权益工具进行处理。</w:t>
      </w:r>
    </w:p>
    <w:p>
      <w:pPr>
        <w:spacing w:line="240" w:lineRule="auto" w:before="11"/>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27. </w:t>
      </w:r>
      <w:r>
        <w:rPr/>
        <w:t>优先股、永续债等其他金融工具</w:t>
      </w:r>
      <w:r>
        <w:rPr>
          <w:b w:val="0"/>
          <w:bCs w:val="0"/>
        </w:rPr>
      </w:r>
    </w:p>
    <w:p>
      <w:pPr>
        <w:pStyle w:val="BodyText"/>
        <w:tabs>
          <w:tab w:pos="1083" w:val="left" w:leader="none"/>
        </w:tabs>
        <w:spacing w:line="304" w:lineRule="auto" w:before="58"/>
        <w:ind w:left="558" w:right="210" w:hanging="420"/>
        <w:jc w:val="left"/>
      </w:pPr>
      <w:r>
        <w:rPr/>
        <w:t>√适用</w:t>
        <w:tab/>
        <w:t>□不适用</w:t>
      </w:r>
      <w:r>
        <w:rPr>
          <w:w w:val="100"/>
        </w:rPr>
        <w:t> </w:t>
      </w:r>
      <w:r>
        <w:rPr>
          <w:spacing w:val="-2"/>
        </w:rPr>
        <w:t>公司发行的金融工具按照金融工具准则和金融负债和权益工具的区分及相关会计处理规定进</w:t>
      </w:r>
    </w:p>
    <w:p>
      <w:pPr>
        <w:pStyle w:val="BodyText"/>
        <w:spacing w:line="314" w:lineRule="auto" w:before="29"/>
        <w:ind w:left="138" w:right="208"/>
        <w:jc w:val="both"/>
      </w:pPr>
      <w:r>
        <w:rPr>
          <w:spacing w:val="-1"/>
        </w:rPr>
        <w:t>行初始确认和计量。其后，公司以所发行金融工具的分类为基础，确定该工具利息支出或股利分</w:t>
      </w:r>
      <w:r>
        <w:rPr>
          <w:spacing w:val="-55"/>
        </w:rPr>
        <w:t> </w:t>
      </w:r>
      <w:r>
        <w:rPr>
          <w:spacing w:val="-55"/>
        </w:rPr>
      </w:r>
      <w:r>
        <w:rPr>
          <w:spacing w:val="-1"/>
        </w:rPr>
        <w:t>配等的会计处理。对于归类为权益工具的金融工具，其利息支出或股利分配都作为发行企业的利</w:t>
      </w:r>
      <w:r>
        <w:rPr>
          <w:spacing w:val="-55"/>
        </w:rPr>
        <w:t> </w:t>
      </w:r>
      <w:r>
        <w:rPr>
          <w:spacing w:val="-55"/>
        </w:rPr>
      </w:r>
      <w:r>
        <w:rPr>
          <w:spacing w:val="-1"/>
        </w:rPr>
        <w:t>润分配，其回购、注销等作为权益的变动处理。对于归类为金融负债的金融工具，其利息支出或</w:t>
      </w:r>
      <w:r>
        <w:rPr>
          <w:spacing w:val="-55"/>
        </w:rPr>
        <w:t> </w:t>
      </w:r>
      <w:r>
        <w:rPr>
          <w:spacing w:val="-55"/>
        </w:rPr>
      </w:r>
      <w:r>
        <w:rPr/>
        <w:t>股利分配原则上按照借款费用进行处理，其回购或赎回产生的利得或损失等计入当期损益。</w:t>
      </w:r>
    </w:p>
    <w:p>
      <w:pPr>
        <w:pStyle w:val="BodyText"/>
        <w:spacing w:line="314" w:lineRule="auto" w:before="20"/>
        <w:ind w:left="138" w:right="210" w:firstLine="419"/>
        <w:jc w:val="both"/>
      </w:pPr>
      <w:r>
        <w:rPr>
          <w:spacing w:val="-2"/>
        </w:rPr>
        <w:t>发行方发行金融工具，其发生的手续费、佣金等交易费用，如分类为债务工具且以摊余成本</w:t>
      </w:r>
      <w:r>
        <w:rPr>
          <w:w w:val="100"/>
        </w:rPr>
        <w:t> </w:t>
      </w:r>
      <w:r>
        <w:rPr/>
        <w:t>计量的，计入所发行工具的初始计量金额；如分类为权益工具的，从权益中扣除。</w:t>
      </w:r>
    </w:p>
    <w:p>
      <w:pPr>
        <w:spacing w:line="240" w:lineRule="auto" w:before="11"/>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56"/>
        <w:ind w:left="138" w:right="0"/>
        <w:jc w:val="both"/>
      </w:pPr>
      <w:r>
        <w:rPr/>
        <w:t>√适用  </w:t>
      </w:r>
      <w:r>
        <w:rPr>
          <w:spacing w:val="1"/>
        </w:rPr>
        <w:t> </w:t>
      </w:r>
      <w:r>
        <w:rPr/>
        <w:t>□不适用</w:t>
      </w:r>
    </w:p>
    <w:p>
      <w:pPr>
        <w:pStyle w:val="BodyText"/>
        <w:spacing w:line="297" w:lineRule="auto" w:before="76"/>
        <w:ind w:left="558" w:right="102"/>
        <w:jc w:val="left"/>
      </w:pPr>
      <w:r>
        <w:rPr/>
        <w:t>（</w:t>
      </w:r>
      <w:r>
        <w:rPr>
          <w:rFonts w:ascii="Times New Roman" w:hAnsi="Times New Roman" w:cs="Times New Roman" w:eastAsia="Times New Roman" w:hint="default"/>
        </w:rPr>
        <w:t>1</w:t>
      </w:r>
      <w:r>
        <w:rPr/>
        <w:t>）销售商品</w:t>
      </w:r>
      <w:r>
        <w:rPr>
          <w:w w:val="100"/>
        </w:rPr>
        <w:t> </w:t>
      </w:r>
      <w:r>
        <w:rPr>
          <w:spacing w:val="-2"/>
        </w:rPr>
        <w:t>在公司已将商品所有权上的主要风险和报酬转移给购货方；公司既没有保留通常与所有权相</w:t>
      </w:r>
    </w:p>
    <w:p>
      <w:pPr>
        <w:spacing w:after="0" w:line="297" w:lineRule="auto"/>
        <w:jc w:val="left"/>
        <w:sectPr>
          <w:pgSz w:w="11910" w:h="16840"/>
          <w:pgMar w:header="857" w:footer="979" w:top="1140" w:bottom="1160" w:left="1660" w:right="1060"/>
        </w:sectPr>
      </w:pPr>
    </w:p>
    <w:p>
      <w:pPr>
        <w:spacing w:line="240" w:lineRule="auto" w:before="2"/>
        <w:rPr>
          <w:rFonts w:ascii="宋体" w:hAnsi="宋体" w:cs="宋体" w:eastAsia="宋体" w:hint="default"/>
          <w:sz w:val="29"/>
          <w:szCs w:val="29"/>
        </w:rPr>
      </w:pPr>
    </w:p>
    <w:p>
      <w:pPr>
        <w:pStyle w:val="BodyText"/>
        <w:spacing w:line="314" w:lineRule="auto" w:before="36"/>
        <w:ind w:left="138" w:right="128"/>
        <w:jc w:val="both"/>
      </w:pPr>
      <w:r>
        <w:rPr>
          <w:spacing w:val="-1"/>
        </w:rPr>
        <w:t>联系的继续管理权，也没有对已售出的商品实施有效控制；收入的金额能够可靠地计量；相关的</w:t>
      </w:r>
      <w:r>
        <w:rPr>
          <w:spacing w:val="-55"/>
        </w:rPr>
        <w:t> </w:t>
      </w:r>
      <w:r>
        <w:rPr>
          <w:spacing w:val="-55"/>
        </w:rPr>
      </w:r>
      <w:r>
        <w:rPr>
          <w:spacing w:val="-1"/>
        </w:rPr>
        <w:t>经济利益很可能流入企业；相关的已发生或将发生的成本能够可靠地计量时，确认销售商品收入</w:t>
      </w:r>
      <w:r>
        <w:rPr>
          <w:spacing w:val="-55"/>
        </w:rPr>
        <w:t> </w:t>
      </w:r>
      <w:r>
        <w:rPr>
          <w:spacing w:val="-55"/>
        </w:rPr>
      </w:r>
      <w:r>
        <w:rPr/>
        <w:t>的实现。</w:t>
      </w:r>
    </w:p>
    <w:p>
      <w:pPr>
        <w:pStyle w:val="BodyText"/>
        <w:spacing w:line="297" w:lineRule="auto" w:before="20"/>
        <w:ind w:left="558" w:right="130"/>
        <w:jc w:val="left"/>
      </w:pPr>
      <w:r>
        <w:rPr/>
        <w:t>（</w:t>
      </w:r>
      <w:r>
        <w:rPr>
          <w:rFonts w:ascii="Times New Roman" w:hAnsi="Times New Roman" w:cs="Times New Roman" w:eastAsia="Times New Roman" w:hint="default"/>
        </w:rPr>
        <w:t>2</w:t>
      </w:r>
      <w:r>
        <w:rPr/>
        <w:t>）提供劳务</w:t>
      </w:r>
      <w:r>
        <w:rPr>
          <w:w w:val="100"/>
        </w:rPr>
        <w:t> </w:t>
      </w:r>
      <w:r>
        <w:rPr>
          <w:spacing w:val="-2"/>
        </w:rPr>
        <w:t>在资产负债表日提供劳务交易的结果能够可靠估计的，采用完工百分比法确认提供劳务的收</w:t>
      </w:r>
    </w:p>
    <w:p>
      <w:pPr>
        <w:pStyle w:val="BodyText"/>
        <w:spacing w:line="240" w:lineRule="auto" w:before="34"/>
        <w:ind w:left="138" w:right="0"/>
        <w:jc w:val="both"/>
      </w:pPr>
      <w:r>
        <w:rPr/>
        <w:t>入。</w:t>
      </w:r>
    </w:p>
    <w:p>
      <w:pPr>
        <w:pStyle w:val="BodyText"/>
        <w:spacing w:line="240" w:lineRule="auto" w:before="85"/>
        <w:ind w:left="558" w:right="130"/>
        <w:jc w:val="left"/>
      </w:pPr>
      <w:r>
        <w:rPr/>
        <w:t>在资产负债表日提供劳务交易的结果不能够可靠估计的，分别下列情况处理：</w:t>
      </w:r>
    </w:p>
    <w:p>
      <w:pPr>
        <w:pStyle w:val="BodyText"/>
        <w:spacing w:line="314" w:lineRule="auto" w:before="85"/>
        <w:ind w:left="138" w:right="130" w:firstLine="419"/>
        <w:jc w:val="left"/>
      </w:pPr>
      <w:r>
        <w:rPr>
          <w:spacing w:val="-2"/>
        </w:rPr>
        <w:t>①已经发生的劳务成本预计能够得到补偿的，按照已经发生的劳务成本金额确认提供劳务收</w:t>
      </w:r>
      <w:r>
        <w:rPr>
          <w:w w:val="100"/>
        </w:rPr>
        <w:t> </w:t>
      </w:r>
      <w:r>
        <w:rPr/>
        <w:t>入，并按相同的金额结转劳务成本。</w:t>
      </w:r>
    </w:p>
    <w:p>
      <w:pPr>
        <w:pStyle w:val="BodyText"/>
        <w:spacing w:line="314" w:lineRule="auto" w:before="20"/>
        <w:ind w:left="138" w:right="130" w:firstLine="419"/>
        <w:jc w:val="left"/>
      </w:pPr>
      <w:r>
        <w:rPr>
          <w:spacing w:val="-2"/>
        </w:rPr>
        <w:t>②已经发生的劳务成本预计不能够得到补偿的，将已经发生的劳务成本转入当期损益，不确</w:t>
      </w:r>
      <w:r>
        <w:rPr>
          <w:w w:val="100"/>
        </w:rPr>
        <w:t> </w:t>
      </w:r>
      <w:r>
        <w:rPr/>
        <w:t>认提供劳务收入。</w:t>
      </w:r>
    </w:p>
    <w:p>
      <w:pPr>
        <w:pStyle w:val="BodyText"/>
        <w:spacing w:line="297" w:lineRule="auto" w:before="20"/>
        <w:ind w:left="558" w:right="3467"/>
        <w:jc w:val="left"/>
      </w:pPr>
      <w:r>
        <w:rPr/>
        <w:t>（</w:t>
      </w:r>
      <w:r>
        <w:rPr>
          <w:rFonts w:ascii="Times New Roman" w:hAnsi="Times New Roman" w:cs="Times New Roman" w:eastAsia="Times New Roman" w:hint="default"/>
        </w:rPr>
        <w:t>3</w:t>
      </w:r>
      <w:r>
        <w:rPr/>
        <w:t>）让渡资产使用权</w:t>
      </w:r>
      <w:r>
        <w:rPr>
          <w:w w:val="100"/>
        </w:rPr>
        <w:t> </w:t>
      </w:r>
      <w:r>
        <w:rPr>
          <w:spacing w:val="-2"/>
        </w:rPr>
        <w:t>让渡资产使用权收入同时满足下列条件的，予以确认：</w:t>
      </w:r>
    </w:p>
    <w:p>
      <w:pPr>
        <w:pStyle w:val="BodyText"/>
        <w:spacing w:line="240" w:lineRule="auto" w:before="34"/>
        <w:ind w:left="558" w:right="130"/>
        <w:jc w:val="left"/>
      </w:pPr>
      <w:r>
        <w:rPr/>
        <w:t>①相关的经济利益很可能流入企业；</w:t>
      </w:r>
    </w:p>
    <w:p>
      <w:pPr>
        <w:pStyle w:val="BodyText"/>
        <w:spacing w:line="314" w:lineRule="auto" w:before="85"/>
        <w:ind w:left="558" w:right="130"/>
        <w:jc w:val="left"/>
      </w:pPr>
      <w:r>
        <w:rPr/>
        <w:t>②收入的金额能够可靠地计量。</w:t>
      </w:r>
      <w:r>
        <w:rPr>
          <w:w w:val="100"/>
        </w:rPr>
        <w:t> </w:t>
      </w:r>
      <w:r>
        <w:rPr>
          <w:spacing w:val="-2"/>
        </w:rPr>
        <w:t>提供资金的利息收入，按照他人使用公司货币资金的时间和实际利率计算确定；他人使用公</w:t>
      </w:r>
    </w:p>
    <w:p>
      <w:pPr>
        <w:pStyle w:val="BodyText"/>
        <w:spacing w:line="240" w:lineRule="auto" w:before="20"/>
        <w:ind w:left="138" w:right="0"/>
        <w:jc w:val="both"/>
      </w:pPr>
      <w:r>
        <w:rPr/>
        <w:t>司非现金资产，发生的使用费收入按照有关合同或协议约定的收费时间和方法计算确定。</w:t>
      </w:r>
    </w:p>
    <w:p>
      <w:pPr>
        <w:pStyle w:val="BodyText"/>
        <w:spacing w:line="297" w:lineRule="auto" w:before="85"/>
        <w:ind w:left="558" w:right="130"/>
        <w:jc w:val="left"/>
      </w:pPr>
      <w:r>
        <w:rPr/>
        <w:t>（</w:t>
      </w:r>
      <w:r>
        <w:rPr>
          <w:rFonts w:ascii="Times New Roman" w:hAnsi="Times New Roman" w:cs="Times New Roman" w:eastAsia="Times New Roman" w:hint="default"/>
        </w:rPr>
        <w:t>4</w:t>
      </w:r>
      <w:r>
        <w:rPr/>
        <w:t>）公司主要收入类型及确认原则</w:t>
      </w:r>
      <w:r>
        <w:rPr>
          <w:w w:val="100"/>
        </w:rPr>
        <w:t> </w:t>
      </w:r>
      <w:r>
        <w:rPr>
          <w:spacing w:val="-2"/>
        </w:rPr>
        <w:t>公司的经营业务主要从事电子政务信息及其他行业通用软件研发和系统集成服务，主要面向</w:t>
      </w:r>
    </w:p>
    <w:p>
      <w:pPr>
        <w:pStyle w:val="BodyText"/>
        <w:spacing w:line="240" w:lineRule="auto" w:before="34"/>
        <w:ind w:left="138" w:right="0"/>
        <w:jc w:val="both"/>
      </w:pPr>
      <w:r>
        <w:rPr>
          <w:spacing w:val="-8"/>
        </w:rPr>
        <w:t>党政机关、军队、广电等领域的客户提供软件开发、系统集成服务和技术支持与服务、</w:t>
      </w:r>
      <w:r>
        <w:rPr>
          <w:rFonts w:ascii="Times New Roman" w:hAnsi="Times New Roman" w:cs="Times New Roman" w:eastAsia="Times New Roman" w:hint="default"/>
          <w:spacing w:val="-8"/>
        </w:rPr>
        <w:t>BOT </w:t>
      </w:r>
      <w:r>
        <w:rPr>
          <w:rFonts w:ascii="Times New Roman" w:hAnsi="Times New Roman" w:cs="Times New Roman" w:eastAsia="Times New Roman" w:hint="default"/>
          <w:spacing w:val="25"/>
        </w:rPr>
        <w:t> </w:t>
      </w:r>
      <w:r>
        <w:rPr/>
        <w:t>项目、</w:t>
      </w:r>
    </w:p>
    <w:p>
      <w:pPr>
        <w:pStyle w:val="BodyText"/>
        <w:spacing w:line="240" w:lineRule="auto" w:before="69"/>
        <w:ind w:left="138" w:right="0"/>
        <w:jc w:val="both"/>
      </w:pP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项目。</w:t>
      </w:r>
    </w:p>
    <w:p>
      <w:pPr>
        <w:pStyle w:val="BodyText"/>
        <w:spacing w:line="314" w:lineRule="auto" w:before="69"/>
        <w:ind w:left="558" w:right="130"/>
        <w:jc w:val="left"/>
      </w:pPr>
      <w:r>
        <w:rPr/>
        <w:t>①软件开发</w:t>
      </w:r>
      <w:r>
        <w:rPr>
          <w:spacing w:val="-102"/>
        </w:rPr>
        <w:t> </w:t>
      </w:r>
      <w:r>
        <w:rPr>
          <w:spacing w:val="-102"/>
        </w:rPr>
      </w:r>
      <w:r>
        <w:rPr>
          <w:spacing w:val="-2"/>
        </w:rPr>
        <w:t>软件开发指公司针对客户在电子政务中的业务应用需求而提供的软件产品及应用软件定制开</w:t>
      </w:r>
    </w:p>
    <w:p>
      <w:pPr>
        <w:pStyle w:val="BodyText"/>
        <w:spacing w:line="314" w:lineRule="auto" w:before="20"/>
        <w:ind w:left="138" w:right="128"/>
        <w:jc w:val="both"/>
      </w:pPr>
      <w:r>
        <w:rPr>
          <w:spacing w:val="-1"/>
        </w:rPr>
        <w:t>发。该类收入一般在项目完工且取得客户的最终验收报告时按照销售商品收入标准确认相关收入</w:t>
      </w:r>
      <w:r>
        <w:rPr>
          <w:spacing w:val="-54"/>
        </w:rPr>
        <w:t> </w:t>
      </w:r>
      <w:r>
        <w:rPr>
          <w:spacing w:val="-54"/>
        </w:rPr>
      </w:r>
      <w:r>
        <w:rPr>
          <w:spacing w:val="-1"/>
        </w:rPr>
        <w:t>及成本。另公司在与客户签订的合同中有涉及质保金条款的，相关质保金在收到时确认收入，在</w:t>
      </w:r>
      <w:r>
        <w:rPr>
          <w:spacing w:val="-55"/>
        </w:rPr>
        <w:t> </w:t>
      </w:r>
      <w:r>
        <w:rPr>
          <w:spacing w:val="-55"/>
        </w:rPr>
      </w:r>
      <w:r>
        <w:rPr/>
        <w:t>项目完工或产品销售完成时不确认收入。</w:t>
      </w:r>
    </w:p>
    <w:p>
      <w:pPr>
        <w:pStyle w:val="BodyText"/>
        <w:spacing w:line="314" w:lineRule="auto" w:before="20"/>
        <w:ind w:left="558" w:right="130"/>
        <w:jc w:val="left"/>
      </w:pPr>
      <w:r>
        <w:rPr/>
        <w:t>②系统集成</w:t>
      </w:r>
      <w:r>
        <w:rPr>
          <w:spacing w:val="-102"/>
        </w:rPr>
        <w:t> </w:t>
      </w:r>
      <w:r>
        <w:rPr>
          <w:spacing w:val="-102"/>
        </w:rPr>
      </w:r>
      <w:r>
        <w:rPr>
          <w:spacing w:val="-2"/>
        </w:rPr>
        <w:t>系统集成指公司通过应用各种相关计算机软件技术以及各种硬件设备，经过集成设计，安装</w:t>
      </w:r>
    </w:p>
    <w:p>
      <w:pPr>
        <w:pStyle w:val="BodyText"/>
        <w:spacing w:line="314" w:lineRule="auto" w:before="20"/>
        <w:ind w:left="138" w:right="128"/>
        <w:jc w:val="both"/>
      </w:pPr>
      <w:r>
        <w:rPr>
          <w:spacing w:val="-1"/>
        </w:rPr>
        <w:t>调试等大量技术性工作，提供客户所需的应用系统。该类收入一般根据合同的约定，在项目完工</w:t>
      </w:r>
      <w:r>
        <w:rPr>
          <w:spacing w:val="-55"/>
        </w:rPr>
        <w:t> </w:t>
      </w:r>
      <w:r>
        <w:rPr>
          <w:spacing w:val="-55"/>
        </w:rPr>
      </w:r>
      <w:r>
        <w:rPr>
          <w:spacing w:val="-1"/>
        </w:rPr>
        <w:t>且取得客户的最终验收报告时按照销售商品收入标准确认相关收入及成本。另公司在与客户签订</w:t>
      </w:r>
      <w:r>
        <w:rPr>
          <w:spacing w:val="-55"/>
        </w:rPr>
        <w:t> </w:t>
      </w:r>
      <w:r>
        <w:rPr>
          <w:spacing w:val="-55"/>
        </w:rPr>
      </w:r>
      <w:r>
        <w:rPr>
          <w:spacing w:val="-1"/>
        </w:rPr>
        <w:t>的合同中有涉及质保金条款的，相关质保金在收到时确认收入，在项目完工或产品销售完成时不</w:t>
      </w:r>
      <w:r>
        <w:rPr>
          <w:spacing w:val="-55"/>
        </w:rPr>
        <w:t> </w:t>
      </w:r>
      <w:r>
        <w:rPr>
          <w:spacing w:val="-55"/>
        </w:rPr>
      </w:r>
      <w:r>
        <w:rPr/>
        <w:t>确认收入。</w:t>
      </w:r>
    </w:p>
    <w:p>
      <w:pPr>
        <w:pStyle w:val="BodyText"/>
        <w:spacing w:line="314" w:lineRule="auto" w:before="20"/>
        <w:ind w:left="558" w:right="130"/>
        <w:jc w:val="left"/>
      </w:pPr>
      <w:r>
        <w:rPr/>
        <w:t>③技术支持与服务</w:t>
      </w:r>
      <w:r>
        <w:rPr>
          <w:w w:val="100"/>
        </w:rPr>
        <w:t> </w:t>
      </w:r>
      <w:r>
        <w:rPr>
          <w:spacing w:val="-2"/>
        </w:rPr>
        <w:t>技术支持与服务指根据合同约定向客户提供的相关后续服务，包括系统维护、技术与应用咨</w:t>
      </w:r>
    </w:p>
    <w:p>
      <w:pPr>
        <w:pStyle w:val="BodyText"/>
        <w:spacing w:line="314" w:lineRule="auto" w:before="20"/>
        <w:ind w:left="138" w:right="128"/>
        <w:jc w:val="both"/>
      </w:pPr>
      <w:r>
        <w:rPr>
          <w:spacing w:val="-1"/>
        </w:rPr>
        <w:t>询、产品升级等。公司根据合同约定的维护期间及总金额在维护服务已经提供，收到价款或取得</w:t>
      </w:r>
      <w:r>
        <w:rPr>
          <w:spacing w:val="-55"/>
        </w:rPr>
        <w:t> </w:t>
      </w:r>
      <w:r>
        <w:rPr>
          <w:spacing w:val="-55"/>
        </w:rPr>
      </w:r>
      <w:r>
        <w:rPr/>
        <w:t>收款的依据后确认收入。</w:t>
      </w:r>
    </w:p>
    <w:p>
      <w:pPr>
        <w:pStyle w:val="BodyText"/>
        <w:spacing w:line="297" w:lineRule="auto" w:before="20"/>
        <w:ind w:left="558" w:right="130"/>
        <w:jc w:val="left"/>
      </w:pPr>
      <w:r>
        <w:rPr/>
        <w:t>④对于建造</w:t>
      </w:r>
      <w:r>
        <w:rPr>
          <w:rFonts w:ascii="Times New Roman" w:hAnsi="Times New Roman" w:cs="Times New Roman" w:eastAsia="Times New Roman" w:hint="default"/>
        </w:rPr>
        <w:t>-</w:t>
      </w:r>
      <w:r>
        <w:rPr/>
        <w:t>经营</w:t>
      </w:r>
      <w:r>
        <w:rPr>
          <w:rFonts w:ascii="Times New Roman" w:hAnsi="Times New Roman" w:cs="Times New Roman" w:eastAsia="Times New Roman" w:hint="default"/>
        </w:rPr>
        <w:t>-</w:t>
      </w:r>
      <w:r>
        <w:rPr/>
        <w:t>移交（</w:t>
      </w:r>
      <w:r>
        <w:rPr>
          <w:rFonts w:ascii="Times New Roman" w:hAnsi="Times New Roman" w:cs="Times New Roman" w:eastAsia="Times New Roman" w:hint="default"/>
        </w:rPr>
        <w:t>“BOT”</w:t>
      </w:r>
      <w:r>
        <w:rPr/>
        <w:t>）业务相关收入的确认</w:t>
      </w:r>
      <w:r>
        <w:rPr>
          <w:w w:val="100"/>
        </w:rPr>
        <w:t> </w:t>
      </w:r>
      <w:r>
        <w:rPr>
          <w:spacing w:val="-4"/>
          <w:w w:val="100"/>
        </w:rPr>
        <w:t>公司采用建造</w:t>
      </w:r>
      <w:r>
        <w:rPr>
          <w:rFonts w:ascii="Times New Roman" w:hAnsi="Times New Roman" w:cs="Times New Roman" w:eastAsia="Times New Roman" w:hint="default"/>
          <w:spacing w:val="-4"/>
          <w:w w:val="100"/>
        </w:rPr>
        <w:t>—</w:t>
      </w:r>
      <w:r>
        <w:rPr>
          <w:spacing w:val="-4"/>
          <w:w w:val="100"/>
        </w:rPr>
        <w:t>经营</w:t>
      </w:r>
      <w:r>
        <w:rPr>
          <w:rFonts w:ascii="Times New Roman" w:hAnsi="Times New Roman" w:cs="Times New Roman" w:eastAsia="Times New Roman" w:hint="default"/>
          <w:spacing w:val="-4"/>
          <w:w w:val="100"/>
        </w:rPr>
        <w:t>—</w:t>
      </w:r>
      <w:r>
        <w:rPr>
          <w:spacing w:val="-4"/>
          <w:w w:val="100"/>
        </w:rPr>
        <w:t>移交（</w:t>
      </w:r>
      <w:r>
        <w:rPr>
          <w:rFonts w:ascii="Times New Roman" w:hAnsi="Times New Roman" w:cs="Times New Roman" w:eastAsia="Times New Roman" w:hint="default"/>
          <w:spacing w:val="-4"/>
          <w:w w:val="100"/>
        </w:rPr>
        <w:t>Build</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4"/>
          <w:w w:val="100"/>
        </w:rPr>
        <w:t>Operate</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4"/>
          <w:w w:val="100"/>
        </w:rPr>
        <w:t>Transfer</w:t>
      </w:r>
      <w:r>
        <w:rPr>
          <w:spacing w:val="-4"/>
          <w:w w:val="100"/>
        </w:rPr>
        <w:t>）经营方式（以下简称</w:t>
      </w:r>
      <w:r>
        <w:rPr>
          <w:rFonts w:ascii="Times New Roman" w:hAnsi="Times New Roman" w:cs="Times New Roman" w:eastAsia="Times New Roman" w:hint="default"/>
          <w:spacing w:val="-4"/>
          <w:w w:val="100"/>
        </w:rPr>
        <w:t>“BOT”</w:t>
      </w:r>
      <w:r>
        <w:rPr>
          <w:spacing w:val="-4"/>
          <w:w w:val="100"/>
        </w:rPr>
        <w:t>），是指</w:t>
      </w:r>
    </w:p>
    <w:p>
      <w:pPr>
        <w:spacing w:after="0" w:line="297" w:lineRule="auto"/>
        <w:jc w:val="left"/>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14" w:lineRule="auto" w:before="36"/>
        <w:ind w:left="0" w:right="128"/>
        <w:jc w:val="right"/>
      </w:pPr>
      <w:r>
        <w:rPr>
          <w:spacing w:val="-6"/>
        </w:rPr>
        <w:t>政府将基础设施项目的特许权授予承包商，承包商在特许期内负责项目设计、融资、建设和运营，</w:t>
      </w:r>
      <w:r>
        <w:rPr>
          <w:spacing w:val="-74"/>
        </w:rPr>
        <w:t> </w:t>
      </w:r>
      <w:r>
        <w:rPr>
          <w:spacing w:val="-74"/>
        </w:rPr>
      </w:r>
      <w:r>
        <w:rPr>
          <w:spacing w:val="-2"/>
        </w:rPr>
        <w:t>并回收成本、偿还债务、赚取利润，特许期结束后将项目所有权移交政府。其会计核算方法为：</w:t>
      </w:r>
      <w:r>
        <w:rPr>
          <w:spacing w:val="-52"/>
        </w:rPr>
        <w:t> </w:t>
      </w:r>
      <w:r>
        <w:rPr>
          <w:spacing w:val="-52"/>
        </w:rPr>
      </w:r>
      <w:r>
        <w:rPr>
          <w:rFonts w:ascii="Times New Roman" w:hAnsi="Times New Roman" w:cs="Times New Roman" w:eastAsia="Times New Roman" w:hint="default"/>
        </w:rPr>
        <w:t>A</w:t>
      </w:r>
      <w:r>
        <w:rPr/>
        <w:t>、建造期间，公司对于所提供的建造服务按照正式上线运行前的验收报告确认相关的收入</w:t>
      </w:r>
    </w:p>
    <w:p>
      <w:pPr>
        <w:pStyle w:val="BodyText"/>
        <w:spacing w:line="272" w:lineRule="exact"/>
        <w:ind w:left="138" w:right="130"/>
        <w:jc w:val="left"/>
      </w:pPr>
      <w:r>
        <w:rPr/>
        <w:t>和费用。</w:t>
      </w:r>
    </w:p>
    <w:p>
      <w:pPr>
        <w:pStyle w:val="BodyText"/>
        <w:spacing w:line="304" w:lineRule="auto" w:before="85"/>
        <w:ind w:left="138" w:right="128" w:firstLine="419"/>
        <w:jc w:val="both"/>
      </w:pPr>
      <w:r>
        <w:rPr>
          <w:rFonts w:ascii="Times New Roman" w:hAnsi="Times New Roman" w:cs="Times New Roman" w:eastAsia="Times New Roman" w:hint="default"/>
          <w:spacing w:val="-3"/>
        </w:rPr>
        <w:t>B</w:t>
      </w:r>
      <w:r>
        <w:rPr>
          <w:spacing w:val="-3"/>
        </w:rPr>
        <w:t>、建造完成后，公司按照《企业会计准则第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收入》确认与后续经营服务相关的收</w:t>
      </w:r>
      <w:r>
        <w:rPr>
          <w:w w:val="100"/>
        </w:rPr>
        <w:t> </w:t>
      </w:r>
      <w:r>
        <w:rPr>
          <w:spacing w:val="-1"/>
        </w:rPr>
        <w:t>入。建造合同收入按照收取或应收对价的公允价值计量，并分别以下情况在确认收入的同时，确</w:t>
      </w:r>
      <w:r>
        <w:rPr>
          <w:spacing w:val="-55"/>
        </w:rPr>
        <w:t> </w:t>
      </w:r>
      <w:r>
        <w:rPr>
          <w:spacing w:val="-55"/>
        </w:rPr>
      </w:r>
      <w:r>
        <w:rPr/>
        <w:t>认金融资产或无形资产：</w:t>
      </w:r>
    </w:p>
    <w:p>
      <w:pPr>
        <w:pStyle w:val="BodyText"/>
        <w:spacing w:line="309" w:lineRule="auto" w:before="28"/>
        <w:ind w:left="138" w:right="128" w:firstLine="419"/>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t>合同规定基础设施建成后的一定期间内，公司可以无条件地自合同授予方收取确定金额的</w:t>
      </w:r>
      <w:r>
        <w:rPr>
          <w:w w:val="100"/>
        </w:rPr>
        <w:t> </w:t>
      </w:r>
      <w:r>
        <w:rPr>
          <w:spacing w:val="-1"/>
        </w:rPr>
        <w:t>货币资金或其他金融资产的；或在公司提供经营服务的收费低于某一限定金额的情况下，合同授</w:t>
      </w:r>
      <w:r>
        <w:rPr>
          <w:spacing w:val="-55"/>
        </w:rPr>
        <w:t> </w:t>
      </w:r>
      <w:r>
        <w:rPr>
          <w:spacing w:val="-55"/>
        </w:rPr>
      </w:r>
      <w:r>
        <w:rPr>
          <w:spacing w:val="-1"/>
        </w:rPr>
        <w:t>予方按照合同规定负责将有关差价补偿给公司的，在确认收入的同时确认金融资产，并按照《企</w:t>
      </w:r>
      <w:r>
        <w:rPr>
          <w:spacing w:val="-55"/>
        </w:rPr>
        <w:t> </w:t>
      </w:r>
      <w:r>
        <w:rPr>
          <w:spacing w:val="-55"/>
        </w:rPr>
      </w:r>
      <w:r>
        <w:rPr/>
        <w:t>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金融工具确认和计量》的规定处理。</w:t>
      </w:r>
    </w:p>
    <w:p>
      <w:pPr>
        <w:pStyle w:val="BodyText"/>
        <w:spacing w:line="302" w:lineRule="auto" w:before="2"/>
        <w:ind w:left="138" w:right="127" w:firstLine="419"/>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4"/>
        </w:rPr>
        <w:t> </w:t>
      </w:r>
      <w:r>
        <w:rPr/>
        <w:t>合同规定公司在有关基础设施建成后，从事经营的一定期间内有权利向获取服务的对象收</w:t>
      </w:r>
      <w:r>
        <w:rPr>
          <w:w w:val="100"/>
        </w:rPr>
        <w:t> </w:t>
      </w:r>
      <w:r>
        <w:rPr>
          <w:spacing w:val="-1"/>
        </w:rPr>
        <w:t>取费用，但收费金额不确定的，该权利不构成一项无条件收取现金的权利，公司在确认收入的同</w:t>
      </w:r>
      <w:r>
        <w:rPr>
          <w:spacing w:val="-55"/>
        </w:rPr>
        <w:t> </w:t>
      </w:r>
      <w:r>
        <w:rPr>
          <w:spacing w:val="-55"/>
        </w:rPr>
      </w:r>
      <w:r>
        <w:rPr>
          <w:spacing w:val="-4"/>
        </w:rPr>
        <w:t>时确认无形资产。建造过程如发生借款利息，按照《企业会计准则第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借款费用》的规定</w:t>
      </w:r>
      <w:r>
        <w:rPr>
          <w:spacing w:val="-92"/>
        </w:rPr>
        <w:t> </w:t>
      </w:r>
      <w:r>
        <w:rPr>
          <w:spacing w:val="-92"/>
        </w:rPr>
      </w:r>
      <w:r>
        <w:rPr/>
        <w:t>处理。</w:t>
      </w:r>
    </w:p>
    <w:p>
      <w:pPr>
        <w:pStyle w:val="BodyText"/>
        <w:spacing w:line="297" w:lineRule="auto" w:before="30"/>
        <w:ind w:left="138" w:right="136" w:firstLine="419"/>
        <w:jc w:val="both"/>
      </w:pPr>
      <w:r>
        <w:rPr>
          <w:rFonts w:ascii="Times New Roman" w:hAnsi="Times New Roman" w:cs="Times New Roman" w:eastAsia="Times New Roman" w:hint="default"/>
        </w:rPr>
        <w:t>C</w:t>
      </w:r>
      <w:r>
        <w:rPr/>
        <w:t>、公司未提供实际建造服务，将基础设施建造发包给其他方的，不确认建造服务收入，按</w:t>
      </w:r>
      <w:r>
        <w:rPr>
          <w:w w:val="100"/>
        </w:rPr>
        <w:t> </w:t>
      </w:r>
      <w:r>
        <w:rPr/>
        <w:t>照建造过程中支付的工程价款等考虑合同规定，分别确认为金融资产或无形资产。</w:t>
      </w:r>
    </w:p>
    <w:p>
      <w:pPr>
        <w:pStyle w:val="BodyText"/>
        <w:spacing w:line="297" w:lineRule="auto" w:before="34"/>
        <w:ind w:left="138" w:right="130" w:firstLine="419"/>
        <w:jc w:val="both"/>
      </w:pPr>
      <w:r>
        <w:rPr>
          <w:rFonts w:ascii="Times New Roman" w:hAnsi="Times New Roman" w:cs="Times New Roman" w:eastAsia="Times New Roman" w:hint="default"/>
        </w:rPr>
        <w:t>D</w:t>
      </w:r>
      <w:r>
        <w:rPr/>
        <w:t>、按照合同规定，公司为使有关基础设施保持一定的服务能力或在移交给合同授予方之前</w:t>
      </w:r>
      <w:r>
        <w:rPr>
          <w:w w:val="100"/>
        </w:rPr>
        <w:t> </w:t>
      </w:r>
      <w:r>
        <w:rPr>
          <w:spacing w:val="-4"/>
        </w:rPr>
        <w:t>保持一定的使用状态，预计将发生的支出，按照《企业会计准则第 </w:t>
      </w:r>
      <w:r>
        <w:rPr>
          <w:rFonts w:ascii="Times New Roman" w:hAnsi="Times New Roman" w:cs="Times New Roman" w:eastAsia="Times New Roman" w:hint="default"/>
        </w:rPr>
        <w:t>13 </w:t>
      </w:r>
      <w:r>
        <w:rPr>
          <w:spacing w:val="-4"/>
        </w:rPr>
        <w:t>号</w:t>
      </w:r>
      <w:r>
        <w:rPr>
          <w:rFonts w:ascii="Times New Roman" w:hAnsi="Times New Roman" w:cs="Times New Roman" w:eastAsia="Times New Roman" w:hint="default"/>
          <w:spacing w:val="-4"/>
        </w:rPr>
        <w:t>——</w:t>
      </w:r>
      <w:r>
        <w:rPr>
          <w:spacing w:val="-4"/>
        </w:rPr>
        <w:t>或有事项》的规定处</w:t>
      </w:r>
      <w:r>
        <w:rPr>
          <w:spacing w:val="-96"/>
        </w:rPr>
        <w:t> </w:t>
      </w:r>
      <w:r>
        <w:rPr>
          <w:spacing w:val="-96"/>
        </w:rPr>
      </w:r>
      <w:r>
        <w:rPr/>
        <w:t>理。</w:t>
      </w:r>
    </w:p>
    <w:p>
      <w:pPr>
        <w:pStyle w:val="BodyText"/>
        <w:spacing w:line="304" w:lineRule="auto" w:before="34"/>
        <w:ind w:left="138" w:right="128" w:firstLine="419"/>
        <w:jc w:val="both"/>
      </w:pPr>
      <w:r>
        <w:rPr>
          <w:rFonts w:ascii="Times New Roman" w:hAnsi="Times New Roman" w:cs="Times New Roman" w:eastAsia="Times New Roman" w:hint="default"/>
        </w:rPr>
        <w:t>E</w:t>
      </w:r>
      <w:r>
        <w:rPr/>
        <w:t>、按照特许经营权合同规定，公司应提供不止一项服务（如既提供基础设施建造服务又提</w:t>
      </w:r>
      <w:r>
        <w:rPr>
          <w:w w:val="100"/>
        </w:rPr>
        <w:t> </w:t>
      </w:r>
      <w:r>
        <w:rPr>
          <w:spacing w:val="-1"/>
        </w:rPr>
        <w:t>供建成后经营服务）的，各项服务能够单独区分时，其收取或应收的对价按照各项服务的相对公</w:t>
      </w:r>
      <w:r>
        <w:rPr>
          <w:spacing w:val="-55"/>
        </w:rPr>
        <w:t> </w:t>
      </w:r>
      <w:r>
        <w:rPr>
          <w:spacing w:val="-55"/>
        </w:rPr>
      </w:r>
      <w:r>
        <w:rPr/>
        <w:t>允价值比例分配给所提供的各项服务。</w:t>
      </w:r>
    </w:p>
    <w:p>
      <w:pPr>
        <w:pStyle w:val="BodyText"/>
        <w:spacing w:line="240" w:lineRule="auto" w:before="28"/>
        <w:ind w:left="558" w:right="130"/>
        <w:jc w:val="left"/>
      </w:pPr>
      <w:r>
        <w:rPr>
          <w:rFonts w:ascii="Times New Roman" w:hAnsi="Times New Roman" w:cs="Times New Roman" w:eastAsia="Times New Roman" w:hint="default"/>
        </w:rPr>
        <w:t>F</w:t>
      </w:r>
      <w:r>
        <w:rPr/>
        <w:t>、</w:t>
      </w:r>
      <w:r>
        <w:rPr>
          <w:rFonts w:ascii="Times New Roman" w:hAnsi="Times New Roman" w:cs="Times New Roman" w:eastAsia="Times New Roman" w:hint="default"/>
        </w:rPr>
        <w:t>BOT</w:t>
      </w:r>
      <w:r>
        <w:rPr>
          <w:rFonts w:ascii="Times New Roman" w:hAnsi="Times New Roman" w:cs="Times New Roman" w:eastAsia="Times New Roman" w:hint="default"/>
          <w:spacing w:val="-3"/>
        </w:rPr>
        <w:t> </w:t>
      </w:r>
      <w:r>
        <w:rPr/>
        <w:t>业务所建造基础设施不作为公司的固定资产。</w:t>
      </w:r>
    </w:p>
    <w:p>
      <w:pPr>
        <w:pStyle w:val="BodyText"/>
        <w:spacing w:line="304" w:lineRule="auto" w:before="69"/>
        <w:ind w:left="138" w:right="128" w:firstLine="419"/>
        <w:jc w:val="both"/>
      </w:pPr>
      <w:r>
        <w:rPr>
          <w:rFonts w:ascii="Times New Roman" w:hAnsi="Times New Roman" w:cs="Times New Roman" w:eastAsia="Times New Roman" w:hint="default"/>
          <w:spacing w:val="-5"/>
        </w:rPr>
        <w:t>G</w:t>
      </w:r>
      <w:r>
        <w:rPr>
          <w:spacing w:val="-5"/>
        </w:rPr>
        <w:t>、在 </w:t>
      </w:r>
      <w:r>
        <w:rPr>
          <w:rFonts w:ascii="Times New Roman" w:hAnsi="Times New Roman" w:cs="Times New Roman" w:eastAsia="Times New Roman" w:hint="default"/>
        </w:rPr>
        <w:t>BOT</w:t>
      </w:r>
      <w:r>
        <w:rPr>
          <w:rFonts w:ascii="Times New Roman" w:hAnsi="Times New Roman" w:cs="Times New Roman" w:eastAsia="Times New Roman" w:hint="default"/>
          <w:spacing w:val="16"/>
        </w:rPr>
        <w:t> </w:t>
      </w:r>
      <w:r>
        <w:rPr>
          <w:spacing w:val="-3"/>
        </w:rPr>
        <w:t>业务中，授予方可能向公司提供除基础设施以外其他的资产，如果该资产构成授</w:t>
      </w:r>
      <w:r>
        <w:rPr>
          <w:w w:val="100"/>
        </w:rPr>
        <w:t> </w:t>
      </w:r>
      <w:r>
        <w:rPr>
          <w:spacing w:val="-1"/>
        </w:rPr>
        <w:t>予方应付合同价款的一部分，不作为政府补助处理。公司自授予方取得资产时，以其公允价值确</w:t>
      </w:r>
      <w:r>
        <w:rPr>
          <w:spacing w:val="-55"/>
        </w:rPr>
        <w:t> </w:t>
      </w:r>
      <w:r>
        <w:rPr>
          <w:spacing w:val="-55"/>
        </w:rPr>
      </w:r>
      <w:r>
        <w:rPr/>
        <w:t>认，在未提供与获取该资产相关的服务前确认为一项负债。</w:t>
      </w:r>
    </w:p>
    <w:p>
      <w:pPr>
        <w:pStyle w:val="BodyText"/>
        <w:spacing w:line="240" w:lineRule="auto" w:before="29"/>
        <w:ind w:left="558" w:right="130"/>
        <w:jc w:val="left"/>
      </w:pPr>
      <w:r>
        <w:rPr/>
        <w:t>⑤</w:t>
      </w:r>
      <w:r>
        <w:rPr>
          <w:rFonts w:ascii="Times New Roman" w:hAnsi="Times New Roman" w:cs="Times New Roman" w:eastAsia="Times New Roman" w:hint="default"/>
        </w:rPr>
        <w:t>PPP</w:t>
      </w:r>
      <w:r>
        <w:rPr>
          <w:rFonts w:ascii="Times New Roman" w:hAnsi="Times New Roman" w:cs="Times New Roman" w:eastAsia="Times New Roman" w:hint="default"/>
          <w:spacing w:val="-2"/>
        </w:rPr>
        <w:t> </w:t>
      </w:r>
      <w:r>
        <w:rPr/>
        <w:t>业务会计政策</w:t>
      </w:r>
    </w:p>
    <w:p>
      <w:pPr>
        <w:pStyle w:val="BodyText"/>
        <w:spacing w:line="297" w:lineRule="auto" w:before="69"/>
        <w:ind w:left="138" w:right="127" w:firstLine="419"/>
        <w:jc w:val="both"/>
      </w:pPr>
      <w:r>
        <w:rPr/>
        <w:t>公司承接的</w:t>
      </w:r>
      <w:r>
        <w:rPr>
          <w:spacing w:val="-36"/>
        </w:rPr>
        <w:t> </w:t>
      </w:r>
      <w:r>
        <w:rPr>
          <w:rFonts w:ascii="Times New Roman" w:hAnsi="Times New Roman" w:cs="Times New Roman" w:eastAsia="Times New Roman" w:hint="default"/>
        </w:rPr>
        <w:t>PPP</w:t>
      </w:r>
      <w:r>
        <w:rPr>
          <w:rFonts w:ascii="Times New Roman" w:hAnsi="Times New Roman" w:cs="Times New Roman" w:eastAsia="Times New Roman" w:hint="default"/>
          <w:spacing w:val="19"/>
        </w:rPr>
        <w:t> </w:t>
      </w:r>
      <w:r>
        <w:rPr/>
        <w:t>项目采用政府和社会资本合作的建设模式，运营模式与</w:t>
      </w:r>
      <w:r>
        <w:rPr>
          <w:spacing w:val="-35"/>
        </w:rPr>
        <w:t> </w:t>
      </w:r>
      <w:r>
        <w:rPr>
          <w:rFonts w:ascii="Times New Roman" w:hAnsi="Times New Roman" w:cs="Times New Roman" w:eastAsia="Times New Roman" w:hint="default"/>
        </w:rPr>
        <w:t>BOT</w:t>
      </w:r>
      <w:r>
        <w:rPr>
          <w:rFonts w:ascii="Times New Roman" w:hAnsi="Times New Roman" w:cs="Times New Roman" w:eastAsia="Times New Roman" w:hint="default"/>
          <w:spacing w:val="20"/>
        </w:rPr>
        <w:t> </w:t>
      </w:r>
      <w:r>
        <w:rPr/>
        <w:t>业务相似，收</w:t>
      </w:r>
      <w:r>
        <w:rPr>
          <w:w w:val="100"/>
        </w:rPr>
        <w:t> </w:t>
      </w:r>
      <w:r>
        <w:rPr/>
        <w:t>入的确认参照</w:t>
      </w:r>
      <w:r>
        <w:rPr>
          <w:spacing w:val="-55"/>
        </w:rPr>
        <w:t> </w:t>
      </w:r>
      <w:r>
        <w:rPr>
          <w:rFonts w:ascii="Times New Roman" w:hAnsi="Times New Roman" w:cs="Times New Roman" w:eastAsia="Times New Roman" w:hint="default"/>
        </w:rPr>
        <w:t>BOT</w:t>
      </w:r>
      <w:r>
        <w:rPr>
          <w:rFonts w:ascii="Times New Roman" w:hAnsi="Times New Roman" w:cs="Times New Roman" w:eastAsia="Times New Roman" w:hint="default"/>
          <w:spacing w:val="-2"/>
        </w:rPr>
        <w:t> </w:t>
      </w:r>
      <w:r>
        <w:rPr/>
        <w:t>业务执行。</w:t>
      </w:r>
    </w:p>
    <w:p>
      <w:pPr>
        <w:spacing w:line="240" w:lineRule="auto" w:before="5"/>
        <w:rPr>
          <w:rFonts w:ascii="宋体" w:hAnsi="宋体" w:cs="宋体" w:eastAsia="宋体" w:hint="default"/>
          <w:sz w:val="19"/>
          <w:szCs w:val="19"/>
        </w:rPr>
      </w:pPr>
    </w:p>
    <w:p>
      <w:pPr>
        <w:pStyle w:val="Heading3"/>
        <w:spacing w:line="240" w:lineRule="auto"/>
        <w:ind w:left="138" w:right="13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97" w:lineRule="auto" w:before="135"/>
        <w:ind w:left="558" w:right="130"/>
        <w:jc w:val="left"/>
      </w:pPr>
      <w:r>
        <w:rPr/>
        <w:t>（</w:t>
      </w:r>
      <w:r>
        <w:rPr>
          <w:rFonts w:ascii="Times New Roman" w:hAnsi="Times New Roman" w:cs="Times New Roman" w:eastAsia="Times New Roman" w:hint="default"/>
        </w:rPr>
        <w:t>1</w:t>
      </w:r>
      <w:r>
        <w:rPr/>
        <w:t>）政府补助的类型</w:t>
      </w:r>
      <w:r>
        <w:rPr>
          <w:w w:val="100"/>
        </w:rPr>
        <w:t> </w:t>
      </w:r>
      <w:r>
        <w:rPr>
          <w:spacing w:val="-2"/>
        </w:rPr>
        <w:t>政府补助，是指公司从政府无偿取得的货币性资产或非货币性资产，包括与资产相关的政府</w:t>
      </w:r>
    </w:p>
    <w:p>
      <w:pPr>
        <w:pStyle w:val="BodyText"/>
        <w:spacing w:line="314" w:lineRule="auto" w:before="34"/>
        <w:ind w:left="558" w:right="130" w:hanging="420"/>
        <w:jc w:val="left"/>
      </w:pPr>
      <w:r>
        <w:rPr/>
        <w:t>补助和与收益相关的政府补助。</w:t>
      </w:r>
      <w:r>
        <w:rPr>
          <w:w w:val="100"/>
        </w:rPr>
        <w:t> </w:t>
      </w:r>
      <w:r>
        <w:rPr>
          <w:spacing w:val="-7"/>
          <w:w w:val="100"/>
        </w:rPr>
        <w:t>与资产相关的政府补助，是指公司取得的、用于购建或以其他方式形成长期资产的政府补助。</w:t>
      </w:r>
      <w:r>
        <w:rPr>
          <w:w w:val="100"/>
        </w:rPr>
        <w:t> </w:t>
      </w:r>
      <w:r>
        <w:rPr/>
        <w:t>与收益相关的政府补助，是指除与资产相关的政府补助之外的政府补助。</w:t>
      </w:r>
    </w:p>
    <w:p>
      <w:pPr>
        <w:pStyle w:val="BodyText"/>
        <w:spacing w:line="240" w:lineRule="auto" w:before="20"/>
        <w:ind w:left="558" w:right="130"/>
        <w:jc w:val="left"/>
      </w:pPr>
      <w:r>
        <w:rPr/>
        <w:t>（</w:t>
      </w:r>
      <w:r>
        <w:rPr>
          <w:rFonts w:ascii="Times New Roman" w:hAnsi="Times New Roman" w:cs="Times New Roman" w:eastAsia="Times New Roman" w:hint="default"/>
        </w:rPr>
        <w:t>2</w:t>
      </w:r>
      <w:r>
        <w:rPr/>
        <w:t>）政府补助的确认原则和确认时点</w:t>
      </w:r>
    </w:p>
    <w:p>
      <w:pPr>
        <w:spacing w:after="0" w:line="240" w:lineRule="auto"/>
        <w:jc w:val="left"/>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240" w:lineRule="auto" w:before="36"/>
        <w:ind w:left="558" w:right="130"/>
        <w:jc w:val="left"/>
      </w:pPr>
      <w:r>
        <w:rPr/>
        <w:t>政府补助的确认原则：</w:t>
      </w:r>
    </w:p>
    <w:p>
      <w:pPr>
        <w:pStyle w:val="BodyText"/>
        <w:spacing w:line="240" w:lineRule="auto" w:before="85"/>
        <w:ind w:left="558" w:right="130"/>
        <w:jc w:val="left"/>
      </w:pPr>
      <w:r>
        <w:rPr/>
        <w:t>①公司能够满足政府补助所附条件；</w:t>
      </w:r>
    </w:p>
    <w:p>
      <w:pPr>
        <w:pStyle w:val="BodyText"/>
        <w:spacing w:line="314" w:lineRule="auto" w:before="85"/>
        <w:ind w:left="558" w:right="3467"/>
        <w:jc w:val="left"/>
      </w:pPr>
      <w:r>
        <w:rPr/>
        <w:t>②公司能够收到政府补助。</w:t>
      </w:r>
      <w:r>
        <w:rPr>
          <w:w w:val="100"/>
        </w:rPr>
        <w:t> </w:t>
      </w:r>
      <w:r>
        <w:rPr>
          <w:spacing w:val="-2"/>
        </w:rPr>
        <w:t>政府补助同时满足上述条件时才能予以确认。</w:t>
      </w:r>
    </w:p>
    <w:p>
      <w:pPr>
        <w:pStyle w:val="BodyText"/>
        <w:spacing w:line="240" w:lineRule="auto" w:before="20"/>
        <w:ind w:left="558" w:right="130"/>
        <w:jc w:val="left"/>
      </w:pPr>
      <w:r>
        <w:rPr/>
        <w:t>（</w:t>
      </w:r>
      <w:r>
        <w:rPr>
          <w:rFonts w:ascii="Times New Roman" w:hAnsi="Times New Roman" w:cs="Times New Roman" w:eastAsia="Times New Roman" w:hint="default"/>
        </w:rPr>
        <w:t>3</w:t>
      </w:r>
      <w:r>
        <w:rPr/>
        <w:t>）政府补助的计量</w:t>
      </w:r>
    </w:p>
    <w:p>
      <w:pPr>
        <w:pStyle w:val="BodyText"/>
        <w:spacing w:line="240" w:lineRule="auto" w:before="69"/>
        <w:ind w:left="558" w:right="130"/>
        <w:jc w:val="left"/>
      </w:pPr>
      <w:r>
        <w:rPr/>
        <w:t>①政府补助为货币性资产的，公司按照收到或应收的金额计量。</w:t>
      </w:r>
    </w:p>
    <w:p>
      <w:pPr>
        <w:pStyle w:val="BodyText"/>
        <w:spacing w:line="314" w:lineRule="auto" w:before="85"/>
        <w:ind w:left="138" w:right="130" w:firstLine="419"/>
        <w:jc w:val="left"/>
      </w:pPr>
      <w:r>
        <w:rPr>
          <w:spacing w:val="-2"/>
        </w:rPr>
        <w:t>②政府补助为非货币性资产的，公司按照公允价值计量；公允价值不能可靠取得的，按照名</w:t>
      </w:r>
      <w:r>
        <w:rPr>
          <w:w w:val="100"/>
        </w:rPr>
        <w:t> </w:t>
      </w:r>
      <w:r>
        <w:rPr>
          <w:spacing w:val="-2"/>
          <w:w w:val="100"/>
        </w:rPr>
        <w:t>义金额计量（名义金额为人民币</w:t>
      </w:r>
      <w:r>
        <w:rPr>
          <w:spacing w:val="-4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w w:val="100"/>
        </w:rPr>
        <w:t> </w:t>
      </w:r>
      <w:r>
        <w:rPr>
          <w:spacing w:val="-37"/>
          <w:w w:val="100"/>
        </w:rPr>
        <w:t>元）。</w:t>
      </w:r>
    </w:p>
    <w:p>
      <w:pPr>
        <w:pStyle w:val="BodyText"/>
        <w:spacing w:line="288" w:lineRule="exact"/>
        <w:ind w:left="558" w:right="130"/>
        <w:jc w:val="left"/>
      </w:pPr>
      <w:r>
        <w:rPr/>
        <w:t>（</w:t>
      </w:r>
      <w:r>
        <w:rPr>
          <w:rFonts w:ascii="Times New Roman" w:hAnsi="Times New Roman" w:cs="Times New Roman" w:eastAsia="Times New Roman" w:hint="default"/>
        </w:rPr>
        <w:t>4</w:t>
      </w:r>
      <w:r>
        <w:rPr/>
        <w:t>）政府补助的会计处理方法</w:t>
      </w:r>
    </w:p>
    <w:p>
      <w:pPr>
        <w:pStyle w:val="Heading3"/>
        <w:spacing w:line="240" w:lineRule="auto" w:before="53"/>
        <w:ind w:left="558" w:right="130"/>
        <w:jc w:val="left"/>
        <w:rPr>
          <w:b w:val="0"/>
          <w:bCs w:val="0"/>
        </w:rPr>
      </w:pPr>
      <w:r>
        <w:rPr/>
        <w:t>①与资产相关的政府补助判断依据及会计处理方法</w:t>
      </w:r>
      <w:r>
        <w:rPr>
          <w:b w:val="0"/>
          <w:bCs w:val="0"/>
        </w:rPr>
      </w:r>
    </w:p>
    <w:p>
      <w:pPr>
        <w:pStyle w:val="BodyText"/>
        <w:tabs>
          <w:tab w:pos="1083" w:val="left" w:leader="none"/>
        </w:tabs>
        <w:spacing w:line="304" w:lineRule="auto" w:before="58"/>
        <w:ind w:left="558" w:right="130" w:hanging="420"/>
        <w:jc w:val="left"/>
      </w:pPr>
      <w:r>
        <w:rPr/>
        <w:t>√适用</w:t>
        <w:tab/>
        <w:t>□不适用</w:t>
      </w:r>
      <w:r>
        <w:rPr>
          <w:w w:val="100"/>
        </w:rPr>
        <w:t> </w:t>
      </w:r>
      <w:r>
        <w:rPr>
          <w:spacing w:val="-2"/>
        </w:rPr>
        <w:t>与资产相关的政府补助，在取得时冲减相关资产的账面价值或确认为递延收益。确认为递延</w:t>
      </w:r>
    </w:p>
    <w:p>
      <w:pPr>
        <w:pStyle w:val="BodyText"/>
        <w:spacing w:line="314" w:lineRule="auto" w:before="28"/>
        <w:ind w:left="138" w:right="130"/>
        <w:jc w:val="left"/>
      </w:pPr>
      <w:r>
        <w:rPr>
          <w:spacing w:val="-1"/>
        </w:rPr>
        <w:t>收益的，在相关资产使用寿命内按照合理、系统的方法分期计入损益。按照名义金额计量的政府</w:t>
      </w:r>
      <w:r>
        <w:rPr>
          <w:spacing w:val="-55"/>
        </w:rPr>
        <w:t> </w:t>
      </w:r>
      <w:r>
        <w:rPr>
          <w:spacing w:val="-55"/>
        </w:rPr>
      </w:r>
      <w:r>
        <w:rPr/>
        <w:t>补助，直接计入当期损益。</w:t>
      </w:r>
    </w:p>
    <w:p>
      <w:pPr>
        <w:spacing w:line="240" w:lineRule="auto" w:before="11"/>
        <w:rPr>
          <w:rFonts w:ascii="宋体" w:hAnsi="宋体" w:cs="宋体" w:eastAsia="宋体" w:hint="default"/>
          <w:sz w:val="19"/>
          <w:szCs w:val="19"/>
        </w:rPr>
      </w:pPr>
    </w:p>
    <w:p>
      <w:pPr>
        <w:pStyle w:val="Heading3"/>
        <w:spacing w:line="240" w:lineRule="auto"/>
        <w:ind w:left="558" w:right="130"/>
        <w:jc w:val="left"/>
        <w:rPr>
          <w:b w:val="0"/>
          <w:bCs w:val="0"/>
        </w:rPr>
      </w:pPr>
      <w:r>
        <w:rPr/>
        <w:t>②与收益相关的政府补助判断依据及会计处理方法</w:t>
      </w:r>
      <w:r>
        <w:rPr>
          <w:b w:val="0"/>
          <w:bCs w:val="0"/>
        </w:rPr>
      </w:r>
    </w:p>
    <w:p>
      <w:pPr>
        <w:pStyle w:val="BodyText"/>
        <w:tabs>
          <w:tab w:pos="1083" w:val="left" w:leader="none"/>
        </w:tabs>
        <w:spacing w:line="240" w:lineRule="auto" w:before="58"/>
        <w:ind w:left="138" w:right="130"/>
        <w:jc w:val="left"/>
      </w:pPr>
      <w:r>
        <w:rPr/>
        <w:t>√适用</w:t>
        <w:tab/>
        <w:t>□不适用</w:t>
      </w:r>
    </w:p>
    <w:p>
      <w:pPr>
        <w:pStyle w:val="BodyText"/>
        <w:spacing w:line="297" w:lineRule="auto" w:before="73"/>
        <w:ind w:left="138" w:right="130" w:firstLine="419"/>
        <w:jc w:val="left"/>
      </w:pPr>
      <w:r>
        <w:rPr>
          <w:rFonts w:ascii="Times New Roman" w:hAnsi="Times New Roman" w:cs="Times New Roman" w:eastAsia="Times New Roman" w:hint="default"/>
        </w:rPr>
        <w:t>A</w:t>
      </w:r>
      <w:r>
        <w:rPr/>
        <w:t>、用于补偿公司以后期间的相关成本费用或损失的，在取得时确认为递延收益，并在确认</w:t>
      </w:r>
      <w:r>
        <w:rPr>
          <w:w w:val="100"/>
        </w:rPr>
        <w:t> </w:t>
      </w:r>
      <w:r>
        <w:rPr/>
        <w:t>相关成本费用或损失的期间，计入当期损益或冲减相关成本。</w:t>
      </w:r>
    </w:p>
    <w:p>
      <w:pPr>
        <w:pStyle w:val="BodyText"/>
        <w:spacing w:line="297" w:lineRule="auto" w:before="35"/>
        <w:ind w:left="138" w:right="130" w:firstLine="419"/>
        <w:jc w:val="left"/>
      </w:pPr>
      <w:r>
        <w:rPr>
          <w:rFonts w:ascii="Times New Roman" w:hAnsi="Times New Roman" w:cs="Times New Roman" w:eastAsia="Times New Roman" w:hint="default"/>
        </w:rPr>
        <w:t>B</w:t>
      </w:r>
      <w:r>
        <w:rPr/>
        <w:t>、用于补偿公司已发生的相关成本费用或损失的，在取得时直接计入当期损益或冲减相关</w:t>
      </w:r>
      <w:r>
        <w:rPr>
          <w:w w:val="100"/>
        </w:rPr>
        <w:t> </w:t>
      </w:r>
      <w:r>
        <w:rPr/>
        <w:t>成本。</w:t>
      </w:r>
    </w:p>
    <w:p>
      <w:pPr>
        <w:pStyle w:val="BodyText"/>
        <w:spacing w:line="314" w:lineRule="auto" w:before="34"/>
        <w:ind w:left="138" w:right="130" w:firstLine="419"/>
        <w:jc w:val="left"/>
      </w:pPr>
      <w:r>
        <w:rPr>
          <w:spacing w:val="-2"/>
        </w:rPr>
        <w:t>③对于同时包含于资产相关部分和与收益相关部分的政府补助，可以区分的，则分不同部分</w:t>
      </w:r>
      <w:r>
        <w:rPr>
          <w:w w:val="100"/>
        </w:rPr>
        <w:t> </w:t>
      </w:r>
      <w:r>
        <w:rPr/>
        <w:t>分别进行会计处理；难以区分的，则整体归类为与收益相关的政府补助。</w:t>
      </w:r>
    </w:p>
    <w:p>
      <w:pPr>
        <w:pStyle w:val="BodyText"/>
        <w:spacing w:line="314" w:lineRule="auto" w:before="20"/>
        <w:ind w:left="138" w:right="128" w:firstLine="419"/>
        <w:jc w:val="both"/>
      </w:pPr>
      <w:r>
        <w:rPr>
          <w:spacing w:val="-7"/>
          <w:w w:val="100"/>
        </w:rPr>
        <w:t>④与公司日常经营相关的政府补助，按照经济业务实质，计入其他收益或冲减相关成本费用。</w:t>
      </w:r>
      <w:r>
        <w:rPr>
          <w:w w:val="100"/>
        </w:rPr>
        <w:t> </w:t>
      </w:r>
      <w:r>
        <w:rPr>
          <w:spacing w:val="-1"/>
        </w:rPr>
        <w:t>与公司日常活动无关的政府补助，计入营业外收支。财政将贴息资金直接拨付给公司的，公司将</w:t>
      </w:r>
      <w:r>
        <w:rPr>
          <w:spacing w:val="-55"/>
        </w:rPr>
        <w:t> </w:t>
      </w:r>
      <w:r>
        <w:rPr>
          <w:spacing w:val="-55"/>
        </w:rPr>
      </w:r>
      <w:r>
        <w:rPr/>
        <w:t>对应的贴息冲减相关借款费用。</w:t>
      </w:r>
    </w:p>
    <w:p>
      <w:pPr>
        <w:pStyle w:val="BodyText"/>
        <w:spacing w:line="302" w:lineRule="auto" w:before="20"/>
        <w:ind w:left="558" w:right="130"/>
        <w:jc w:val="left"/>
      </w:pPr>
      <w:r>
        <w:rPr/>
        <w:t>⑤已确认的政府补助需要退回的，分别下列情况处理：</w:t>
      </w:r>
      <w:r>
        <w:rPr>
          <w:w w:val="100"/>
        </w:rPr>
        <w:t> </w:t>
      </w:r>
      <w:r>
        <w:rPr>
          <w:rFonts w:ascii="Times New Roman" w:hAnsi="Times New Roman" w:cs="Times New Roman" w:eastAsia="Times New Roman" w:hint="default"/>
        </w:rPr>
        <w:t>A</w:t>
      </w:r>
      <w:r>
        <w:rPr/>
        <w:t>、初始确认时冲减相关资产账面价值的，调整资产账面价值。</w:t>
      </w:r>
      <w:r>
        <w:rPr>
          <w:w w:val="100"/>
        </w:rPr>
        <w:t> </w:t>
      </w:r>
      <w:r>
        <w:rPr>
          <w:rFonts w:ascii="Times New Roman" w:hAnsi="Times New Roman" w:cs="Times New Roman" w:eastAsia="Times New Roman" w:hint="default"/>
          <w:spacing w:val="-2"/>
        </w:rPr>
        <w:t>B</w:t>
      </w:r>
      <w:r>
        <w:rPr>
          <w:spacing w:val="-2"/>
        </w:rPr>
        <w:t>、存在相关递延收益的，冲减相关递延收益账面金额，超出部分计入当期损益。</w:t>
      </w:r>
      <w:r>
        <w:rPr>
          <w:spacing w:val="-39"/>
        </w:rPr>
        <w:t> </w:t>
      </w:r>
      <w:r>
        <w:rPr>
          <w:spacing w:val="-39"/>
        </w:rPr>
      </w:r>
      <w:r>
        <w:rPr>
          <w:rFonts w:ascii="Times New Roman" w:hAnsi="Times New Roman" w:cs="Times New Roman" w:eastAsia="Times New Roman" w:hint="default"/>
        </w:rPr>
        <w:t>C</w:t>
      </w:r>
      <w:r>
        <w:rPr/>
        <w:t>、属于其他情况的，直接计入当期损益。</w:t>
      </w:r>
    </w:p>
    <w:p>
      <w:pPr>
        <w:spacing w:line="240" w:lineRule="auto" w:before="0"/>
        <w:rPr>
          <w:rFonts w:ascii="宋体" w:hAnsi="宋体" w:cs="宋体" w:eastAsia="宋体" w:hint="default"/>
          <w:sz w:val="19"/>
          <w:szCs w:val="19"/>
        </w:rPr>
      </w:pPr>
    </w:p>
    <w:p>
      <w:pPr>
        <w:pStyle w:val="Heading3"/>
        <w:spacing w:line="240" w:lineRule="auto"/>
        <w:ind w:left="138" w:right="130"/>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1083" w:val="left" w:leader="none"/>
        </w:tabs>
        <w:spacing w:line="307" w:lineRule="auto" w:before="29"/>
        <w:ind w:left="558" w:right="130" w:hanging="420"/>
        <w:jc w:val="left"/>
      </w:pPr>
      <w:r>
        <w:rPr/>
        <w:t>√适用</w:t>
        <w:tab/>
        <w:t>□不适用</w:t>
      </w:r>
      <w:r>
        <w:rPr>
          <w:w w:val="100"/>
        </w:rPr>
        <w:t> </w:t>
      </w:r>
      <w:r>
        <w:rPr>
          <w:spacing w:val="-2"/>
        </w:rPr>
        <w:t>公司在取得资产、负债时，确定其计税基础。资产、负债的账面价值与其计税基础存在的暂</w:t>
      </w:r>
    </w:p>
    <w:p>
      <w:pPr>
        <w:pStyle w:val="BodyText"/>
        <w:spacing w:line="240" w:lineRule="auto" w:before="26"/>
        <w:ind w:left="138" w:right="130"/>
        <w:jc w:val="left"/>
      </w:pPr>
      <w:r>
        <w:rPr/>
        <w:t>时性差异，按照规定确认所产生的递延所得税资产或递延所得税负债。</w:t>
      </w:r>
    </w:p>
    <w:p>
      <w:pPr>
        <w:pStyle w:val="BodyText"/>
        <w:spacing w:line="240" w:lineRule="auto" w:before="85"/>
        <w:ind w:left="558" w:right="130"/>
        <w:jc w:val="left"/>
      </w:pPr>
      <w:r>
        <w:rPr/>
        <w:t>（</w:t>
      </w:r>
      <w:r>
        <w:rPr>
          <w:rFonts w:ascii="Times New Roman" w:hAnsi="Times New Roman" w:cs="Times New Roman" w:eastAsia="Times New Roman" w:hint="default"/>
        </w:rPr>
        <w:t>1</w:t>
      </w:r>
      <w:r>
        <w:rPr/>
        <w:t>）递延所得税资产的确认</w:t>
      </w:r>
    </w:p>
    <w:p>
      <w:pPr>
        <w:pStyle w:val="BodyText"/>
        <w:spacing w:line="314" w:lineRule="auto" w:before="69"/>
        <w:ind w:left="138" w:right="128" w:firstLine="419"/>
        <w:jc w:val="both"/>
      </w:pPr>
      <w:r>
        <w:rPr>
          <w:spacing w:val="-2"/>
        </w:rPr>
        <w:t>①公司以很可能取得用来抵扣可抵扣暂时性差异的应纳税所得额为限，确认由可抵扣暂时性</w:t>
      </w:r>
      <w:r>
        <w:rPr>
          <w:w w:val="100"/>
        </w:rPr>
        <w:t> </w:t>
      </w:r>
      <w:r>
        <w:rPr>
          <w:spacing w:val="-1"/>
        </w:rPr>
        <w:t>差异产生的递延所得税资产。但是，同时具有下列特征的交易中因资产或负债的初始确认所产生</w:t>
      </w:r>
      <w:r>
        <w:rPr>
          <w:spacing w:val="-55"/>
        </w:rPr>
        <w:t> </w:t>
      </w:r>
      <w:r>
        <w:rPr>
          <w:spacing w:val="-55"/>
        </w:rPr>
      </w:r>
      <w:r>
        <w:rPr>
          <w:spacing w:val="-1"/>
        </w:rPr>
        <w:t>的递延所得税资产不予确认：①该项交易不是企业合并；②交易发生时既不影响会计利润也不影</w:t>
      </w:r>
    </w:p>
    <w:p>
      <w:pPr>
        <w:spacing w:after="0" w:line="314" w:lineRule="auto"/>
        <w:jc w:val="both"/>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240" w:lineRule="auto" w:before="36"/>
        <w:ind w:left="138" w:right="130"/>
        <w:jc w:val="left"/>
      </w:pPr>
      <w:r>
        <w:rPr>
          <w:w w:val="100"/>
        </w:rPr>
        <w:t>响应</w:t>
      </w:r>
      <w:r>
        <w:rPr>
          <w:spacing w:val="-3"/>
          <w:w w:val="100"/>
        </w:rPr>
        <w:t>纳</w:t>
      </w:r>
      <w:r>
        <w:rPr>
          <w:w w:val="100"/>
        </w:rPr>
        <w:t>税</w:t>
      </w:r>
      <w:r>
        <w:rPr>
          <w:spacing w:val="-3"/>
          <w:w w:val="100"/>
        </w:rPr>
        <w:t>所</w:t>
      </w:r>
      <w:r>
        <w:rPr>
          <w:w w:val="100"/>
        </w:rPr>
        <w:t>得</w:t>
      </w:r>
      <w:r>
        <w:rPr>
          <w:spacing w:val="-3"/>
          <w:w w:val="100"/>
        </w:rPr>
        <w:t>额</w:t>
      </w:r>
      <w:r>
        <w:rPr>
          <w:w w:val="100"/>
        </w:rPr>
        <w:t>（</w:t>
      </w:r>
      <w:r>
        <w:rPr>
          <w:spacing w:val="-3"/>
          <w:w w:val="100"/>
        </w:rPr>
        <w:t>或</w:t>
      </w:r>
      <w:r>
        <w:rPr>
          <w:w w:val="100"/>
        </w:rPr>
        <w:t>可</w:t>
      </w:r>
      <w:r>
        <w:rPr>
          <w:spacing w:val="-3"/>
          <w:w w:val="100"/>
        </w:rPr>
        <w:t>抵</w:t>
      </w:r>
      <w:r>
        <w:rPr>
          <w:w w:val="100"/>
        </w:rPr>
        <w:t>扣亏</w:t>
      </w:r>
      <w:r>
        <w:rPr>
          <w:spacing w:val="-3"/>
          <w:w w:val="100"/>
        </w:rPr>
        <w:t>损</w:t>
      </w:r>
      <w:r>
        <w:rPr>
          <w:spacing w:val="-106"/>
          <w:w w:val="100"/>
        </w:rPr>
        <w:t>）</w:t>
      </w:r>
      <w:r>
        <w:rPr>
          <w:w w:val="100"/>
        </w:rPr>
        <w:t>。</w:t>
      </w:r>
    </w:p>
    <w:p>
      <w:pPr>
        <w:pStyle w:val="BodyText"/>
        <w:spacing w:line="314" w:lineRule="auto" w:before="85"/>
        <w:ind w:left="138" w:right="127" w:firstLine="419"/>
        <w:jc w:val="both"/>
      </w:pPr>
      <w:r>
        <w:rPr>
          <w:spacing w:val="-2"/>
        </w:rPr>
        <w:t>②公司对与子公司、联营公司及合营企业投资相关的可抵扣暂时性差异，同时满足下列条件</w:t>
      </w:r>
      <w:r>
        <w:rPr>
          <w:w w:val="100"/>
        </w:rPr>
        <w:t> </w:t>
      </w:r>
      <w:r>
        <w:rPr>
          <w:spacing w:val="-1"/>
        </w:rPr>
        <w:t>的，确认相应的递延所得税资产：①暂时性差异在可预见的未来很可能转回；②未来很可能获得</w:t>
      </w:r>
      <w:r>
        <w:rPr>
          <w:spacing w:val="-55"/>
        </w:rPr>
        <w:t> </w:t>
      </w:r>
      <w:r>
        <w:rPr>
          <w:spacing w:val="-55"/>
        </w:rPr>
      </w:r>
      <w:r>
        <w:rPr/>
        <w:t>用来抵扣可抵扣暂时性差异的应纳税所得额。</w:t>
      </w:r>
    </w:p>
    <w:p>
      <w:pPr>
        <w:pStyle w:val="BodyText"/>
        <w:spacing w:line="314" w:lineRule="auto" w:before="20"/>
        <w:ind w:left="138" w:right="128" w:firstLine="419"/>
        <w:jc w:val="both"/>
      </w:pPr>
      <w:r>
        <w:rPr>
          <w:spacing w:val="-2"/>
        </w:rPr>
        <w:t>③对于按照税法规定可以结转以后年度的可抵扣亏损和税款抵减，视同可抵扣暂时性差异处</w:t>
      </w:r>
      <w:r>
        <w:rPr>
          <w:w w:val="100"/>
        </w:rPr>
        <w:t> </w:t>
      </w:r>
      <w:r>
        <w:rPr>
          <w:spacing w:val="-1"/>
        </w:rPr>
        <w:t>理，以很可能获得用来抵扣可抵扣亏损和税款抵减的未来应纳税所得额为限，确认相应的递延所</w:t>
      </w:r>
      <w:r>
        <w:rPr>
          <w:spacing w:val="-55"/>
        </w:rPr>
        <w:t> </w:t>
      </w:r>
      <w:r>
        <w:rPr>
          <w:spacing w:val="-55"/>
        </w:rPr>
      </w:r>
      <w:r>
        <w:rPr/>
        <w:t>得税资产。</w:t>
      </w:r>
    </w:p>
    <w:p>
      <w:pPr>
        <w:pStyle w:val="BodyText"/>
        <w:spacing w:line="240" w:lineRule="auto" w:before="20"/>
        <w:ind w:left="558" w:right="130"/>
        <w:jc w:val="left"/>
      </w:pPr>
      <w:r>
        <w:rPr/>
        <w:t>（</w:t>
      </w:r>
      <w:r>
        <w:rPr>
          <w:rFonts w:ascii="Times New Roman" w:hAnsi="Times New Roman" w:cs="Times New Roman" w:eastAsia="Times New Roman" w:hint="default"/>
        </w:rPr>
        <w:t>2</w:t>
      </w:r>
      <w:r>
        <w:rPr/>
        <w:t>）递延所得税负债的确认</w:t>
      </w:r>
    </w:p>
    <w:p>
      <w:pPr>
        <w:pStyle w:val="BodyText"/>
        <w:spacing w:line="314" w:lineRule="auto" w:before="69"/>
        <w:ind w:left="138" w:right="130" w:firstLine="419"/>
        <w:jc w:val="both"/>
      </w:pPr>
      <w:r>
        <w:rPr>
          <w:spacing w:val="-2"/>
        </w:rPr>
        <w:t>①除下列交易中产生的递延所得税负债以外，公司确认所有应纳税暂时性差异产生的递延所</w:t>
      </w:r>
      <w:r>
        <w:rPr>
          <w:w w:val="100"/>
        </w:rPr>
        <w:t> </w:t>
      </w:r>
      <w:r>
        <w:rPr/>
        <w:t>得税负债：</w:t>
      </w:r>
    </w:p>
    <w:p>
      <w:pPr>
        <w:pStyle w:val="BodyText"/>
        <w:spacing w:line="297" w:lineRule="auto" w:before="20"/>
        <w:ind w:left="558" w:right="130"/>
        <w:jc w:val="left"/>
      </w:pPr>
      <w:r>
        <w:rPr>
          <w:rFonts w:ascii="Times New Roman" w:hAnsi="Times New Roman" w:cs="Times New Roman" w:eastAsia="Times New Roman" w:hint="default"/>
        </w:rPr>
        <w:t>A.</w:t>
      </w:r>
      <w:r>
        <w:rPr/>
        <w:t>商誉的初始确认；</w:t>
      </w:r>
      <w:r>
        <w:rPr>
          <w:w w:val="100"/>
        </w:rPr>
        <w:t> </w:t>
      </w:r>
      <w:r>
        <w:rPr>
          <w:rFonts w:ascii="Times New Roman" w:hAnsi="Times New Roman" w:cs="Times New Roman" w:eastAsia="Times New Roman" w:hint="default"/>
          <w:spacing w:val="-1"/>
        </w:rPr>
        <w:t>B.</w:t>
      </w:r>
      <w:r>
        <w:rPr>
          <w:spacing w:val="-1"/>
        </w:rPr>
        <w:t>同时满足具有下列特征的交易中产生的资产或负债的初始确认：该项交易不是企业合并；</w:t>
      </w:r>
    </w:p>
    <w:p>
      <w:pPr>
        <w:pStyle w:val="BodyText"/>
        <w:spacing w:line="240" w:lineRule="auto" w:before="13"/>
        <w:ind w:left="138" w:right="130"/>
        <w:jc w:val="left"/>
      </w:pPr>
      <w:r>
        <w:rPr>
          <w:w w:val="100"/>
        </w:rPr>
        <w:t>交易</w:t>
      </w:r>
      <w:r>
        <w:rPr>
          <w:spacing w:val="-3"/>
          <w:w w:val="100"/>
        </w:rPr>
        <w:t>发</w:t>
      </w:r>
      <w:r>
        <w:rPr>
          <w:w w:val="100"/>
        </w:rPr>
        <w:t>生</w:t>
      </w:r>
      <w:r>
        <w:rPr>
          <w:spacing w:val="-3"/>
          <w:w w:val="100"/>
        </w:rPr>
        <w:t>时</w:t>
      </w:r>
      <w:r>
        <w:rPr>
          <w:w w:val="100"/>
        </w:rPr>
        <w:t>既</w:t>
      </w:r>
      <w:r>
        <w:rPr>
          <w:spacing w:val="-3"/>
          <w:w w:val="100"/>
        </w:rPr>
        <w:t>不</w:t>
      </w:r>
      <w:r>
        <w:rPr>
          <w:w w:val="100"/>
        </w:rPr>
        <w:t>影</w:t>
      </w:r>
      <w:r>
        <w:rPr>
          <w:spacing w:val="-3"/>
          <w:w w:val="100"/>
        </w:rPr>
        <w:t>响</w:t>
      </w:r>
      <w:r>
        <w:rPr>
          <w:w w:val="100"/>
        </w:rPr>
        <w:t>会</w:t>
      </w:r>
      <w:r>
        <w:rPr>
          <w:spacing w:val="-3"/>
          <w:w w:val="100"/>
        </w:rPr>
        <w:t>计</w:t>
      </w:r>
      <w:r>
        <w:rPr>
          <w:w w:val="100"/>
        </w:rPr>
        <w:t>利润</w:t>
      </w:r>
      <w:r>
        <w:rPr>
          <w:spacing w:val="-3"/>
          <w:w w:val="100"/>
        </w:rPr>
        <w:t>也</w:t>
      </w:r>
      <w:r>
        <w:rPr>
          <w:w w:val="100"/>
        </w:rPr>
        <w:t>不</w:t>
      </w:r>
      <w:r>
        <w:rPr>
          <w:spacing w:val="-3"/>
          <w:w w:val="100"/>
        </w:rPr>
        <w:t>影</w:t>
      </w:r>
      <w:r>
        <w:rPr>
          <w:w w:val="100"/>
        </w:rPr>
        <w:t>响</w:t>
      </w:r>
      <w:r>
        <w:rPr>
          <w:spacing w:val="-3"/>
          <w:w w:val="100"/>
        </w:rPr>
        <w:t>应</w:t>
      </w:r>
      <w:r>
        <w:rPr>
          <w:w w:val="100"/>
        </w:rPr>
        <w:t>纳</w:t>
      </w:r>
      <w:r>
        <w:rPr>
          <w:spacing w:val="-3"/>
          <w:w w:val="100"/>
        </w:rPr>
        <w:t>税</w:t>
      </w:r>
      <w:r>
        <w:rPr>
          <w:w w:val="100"/>
        </w:rPr>
        <w:t>所</w:t>
      </w:r>
      <w:r>
        <w:rPr>
          <w:spacing w:val="-3"/>
          <w:w w:val="100"/>
        </w:rPr>
        <w:t>得</w:t>
      </w:r>
      <w:r>
        <w:rPr>
          <w:w w:val="100"/>
        </w:rPr>
        <w:t>额（</w:t>
      </w:r>
      <w:r>
        <w:rPr>
          <w:spacing w:val="-3"/>
          <w:w w:val="100"/>
        </w:rPr>
        <w:t>或</w:t>
      </w:r>
      <w:r>
        <w:rPr>
          <w:w w:val="100"/>
        </w:rPr>
        <w:t>可</w:t>
      </w:r>
      <w:r>
        <w:rPr>
          <w:spacing w:val="-3"/>
          <w:w w:val="100"/>
        </w:rPr>
        <w:t>抵</w:t>
      </w:r>
      <w:r>
        <w:rPr>
          <w:w w:val="100"/>
        </w:rPr>
        <w:t>扣</w:t>
      </w:r>
      <w:r>
        <w:rPr>
          <w:spacing w:val="-3"/>
          <w:w w:val="100"/>
        </w:rPr>
        <w:t>亏</w:t>
      </w:r>
      <w:r>
        <w:rPr>
          <w:w w:val="100"/>
        </w:rPr>
        <w:t>损</w:t>
      </w:r>
      <w:r>
        <w:rPr>
          <w:spacing w:val="-108"/>
          <w:w w:val="100"/>
        </w:rPr>
        <w:t>）</w:t>
      </w:r>
      <w:r>
        <w:rPr>
          <w:w w:val="100"/>
        </w:rPr>
        <w:t>。</w:t>
      </w:r>
    </w:p>
    <w:p>
      <w:pPr>
        <w:pStyle w:val="BodyText"/>
        <w:spacing w:line="314" w:lineRule="auto" w:before="85"/>
        <w:ind w:left="138" w:right="130" w:firstLine="419"/>
        <w:jc w:val="both"/>
      </w:pPr>
      <w:r>
        <w:rPr>
          <w:spacing w:val="-2"/>
        </w:rPr>
        <w:t>②公司对与子公司、联营公司及合营企业投资相关的应纳税暂时性差异，确认相应的递延所</w:t>
      </w:r>
      <w:r>
        <w:rPr>
          <w:w w:val="100"/>
        </w:rPr>
        <w:t> </w:t>
      </w:r>
      <w:r>
        <w:rPr/>
        <w:t>得税负债。但是，同时满足下列条件的除外：</w:t>
      </w:r>
    </w:p>
    <w:p>
      <w:pPr>
        <w:pStyle w:val="BodyText"/>
        <w:spacing w:line="297" w:lineRule="auto" w:before="20"/>
        <w:ind w:left="558" w:right="130"/>
        <w:jc w:val="left"/>
      </w:pPr>
      <w:r>
        <w:rPr>
          <w:rFonts w:ascii="Times New Roman" w:hAnsi="Times New Roman" w:cs="Times New Roman" w:eastAsia="Times New Roman" w:hint="default"/>
        </w:rPr>
        <w:t>A.</w:t>
      </w:r>
      <w:r>
        <w:rPr/>
        <w:t>投资企业能够控制暂时性差异转回的时间；</w:t>
      </w:r>
      <w:r>
        <w:rPr>
          <w:w w:val="100"/>
        </w:rPr>
        <w:t> </w:t>
      </w:r>
      <w:r>
        <w:rPr>
          <w:rFonts w:ascii="Times New Roman" w:hAnsi="Times New Roman" w:cs="Times New Roman" w:eastAsia="Times New Roman" w:hint="default"/>
        </w:rPr>
        <w:t>B.</w:t>
      </w:r>
      <w:r>
        <w:rPr/>
        <w:t>该暂时性差异在可预见的未来很可能不会转回。</w:t>
      </w:r>
      <w:r>
        <w:rPr>
          <w:w w:val="100"/>
        </w:rPr>
        <w:t> </w:t>
      </w:r>
      <w:r>
        <w:rPr>
          <w:spacing w:val="-2"/>
        </w:rPr>
        <w:t>公司于资产负债表日对递延所得税资产和递延所得税负债，按照预期收回该资产或清偿该负</w:t>
      </w:r>
    </w:p>
    <w:p>
      <w:pPr>
        <w:pStyle w:val="BodyText"/>
        <w:spacing w:line="314" w:lineRule="auto" w:before="35"/>
        <w:ind w:left="558" w:right="130" w:hanging="420"/>
        <w:jc w:val="left"/>
      </w:pPr>
      <w:r>
        <w:rPr/>
        <w:t>债期间的适用税率计量，并反映资产负债表日预期收回资产或清偿负债方式的所得税影响。</w:t>
      </w:r>
      <w:r>
        <w:rPr>
          <w:w w:val="100"/>
        </w:rPr>
        <w:t> </w:t>
      </w:r>
      <w:r>
        <w:rPr>
          <w:spacing w:val="-2"/>
        </w:rPr>
        <w:t>公司于资产负债表日对递延所得税资产的账面价值进行复核。如果未来期间很可能无法获得</w:t>
      </w:r>
    </w:p>
    <w:p>
      <w:pPr>
        <w:pStyle w:val="BodyText"/>
        <w:spacing w:line="314" w:lineRule="auto" w:before="20"/>
        <w:ind w:left="138" w:right="130"/>
        <w:jc w:val="left"/>
      </w:pPr>
      <w:r>
        <w:rPr>
          <w:spacing w:val="-1"/>
        </w:rPr>
        <w:t>足够的应纳税所得额用以抵扣递延所得税资产的利益的，减记递延所得税资产的账面价值。在很</w:t>
      </w:r>
      <w:r>
        <w:rPr>
          <w:spacing w:val="-55"/>
        </w:rPr>
        <w:t> </w:t>
      </w:r>
      <w:r>
        <w:rPr>
          <w:spacing w:val="-55"/>
        </w:rPr>
      </w:r>
      <w:r>
        <w:rPr/>
        <w:t>可能获得足够的应纳税所得额时，减记的金额予以转回。</w:t>
      </w:r>
    </w:p>
    <w:p>
      <w:pPr>
        <w:spacing w:line="240" w:lineRule="auto" w:before="11"/>
        <w:rPr>
          <w:rFonts w:ascii="宋体" w:hAnsi="宋体" w:cs="宋体" w:eastAsia="宋体" w:hint="default"/>
          <w:sz w:val="19"/>
          <w:szCs w:val="19"/>
        </w:rPr>
      </w:pPr>
    </w:p>
    <w:p>
      <w:pPr>
        <w:pStyle w:val="Heading3"/>
        <w:spacing w:line="290" w:lineRule="auto"/>
        <w:ind w:left="138" w:right="61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1083" w:val="left" w:leader="none"/>
        </w:tabs>
        <w:spacing w:line="307" w:lineRule="auto" w:before="12"/>
        <w:ind w:left="558" w:right="130" w:hanging="420"/>
        <w:jc w:val="left"/>
      </w:pPr>
      <w:r>
        <w:rPr/>
        <w:t>√适用</w:t>
        <w:tab/>
        <w:t>□不适用</w:t>
      </w:r>
      <w:r>
        <w:rPr>
          <w:w w:val="100"/>
        </w:rPr>
        <w:t> </w:t>
      </w:r>
      <w:r>
        <w:rPr>
          <w:spacing w:val="-2"/>
        </w:rPr>
        <w:t>对于经营租赁的租金，出租人、承租人在租赁期内各个期间按照直线法确认为当期损益。出</w:t>
      </w:r>
    </w:p>
    <w:p>
      <w:pPr>
        <w:pStyle w:val="BodyText"/>
        <w:spacing w:line="240" w:lineRule="auto" w:before="26"/>
        <w:ind w:left="138" w:right="130"/>
        <w:jc w:val="left"/>
      </w:pPr>
      <w:r>
        <w:rPr/>
        <w:t>租人、承租人发生的初始直接费用，计入当期损益。或有租金在实际发生时计入当期损益。</w:t>
      </w:r>
    </w:p>
    <w:p>
      <w:pPr>
        <w:spacing w:line="240" w:lineRule="auto" w:before="8"/>
        <w:rPr>
          <w:rFonts w:ascii="宋体" w:hAnsi="宋体" w:cs="宋体" w:eastAsia="宋体" w:hint="default"/>
          <w:sz w:val="23"/>
          <w:szCs w:val="23"/>
        </w:rPr>
      </w:pPr>
    </w:p>
    <w:p>
      <w:pPr>
        <w:pStyle w:val="Heading3"/>
        <w:spacing w:line="240" w:lineRule="auto"/>
        <w:ind w:left="138" w:right="130"/>
        <w:jc w:val="left"/>
        <w:rPr>
          <w:b w:val="0"/>
          <w:bCs w:val="0"/>
        </w:rPr>
      </w:pPr>
      <w:r>
        <w:rPr>
          <w:rFonts w:ascii="宋体" w:hAnsi="宋体" w:cs="宋体" w:eastAsia="宋体" w:hint="default"/>
        </w:rPr>
        <w:t>(2)</w:t>
      </w:r>
      <w:r>
        <w:rPr/>
        <w:t>、融资租赁的会计处理方法</w:t>
      </w:r>
      <w:r>
        <w:rPr>
          <w:b w:val="0"/>
          <w:bCs w:val="0"/>
        </w:rPr>
      </w:r>
    </w:p>
    <w:p>
      <w:pPr>
        <w:pStyle w:val="BodyText"/>
        <w:tabs>
          <w:tab w:pos="1083" w:val="left" w:leader="none"/>
        </w:tabs>
        <w:spacing w:line="240" w:lineRule="auto" w:before="58"/>
        <w:ind w:left="138" w:right="130"/>
        <w:jc w:val="left"/>
      </w:pPr>
      <w:r>
        <w:rPr/>
        <w:t>√适用</w:t>
        <w:tab/>
        <w:t>□不适用</w:t>
      </w:r>
    </w:p>
    <w:p>
      <w:pPr>
        <w:pStyle w:val="BodyText"/>
        <w:spacing w:line="314" w:lineRule="auto" w:before="73"/>
        <w:ind w:left="558" w:right="130"/>
        <w:jc w:val="left"/>
      </w:pPr>
      <w:r>
        <w:rPr/>
        <w:t>①公司作为承租人的会计处理</w:t>
      </w:r>
      <w:r>
        <w:rPr>
          <w:w w:val="100"/>
        </w:rPr>
        <w:t> </w:t>
      </w:r>
      <w:r>
        <w:rPr>
          <w:spacing w:val="-2"/>
        </w:rPr>
        <w:t>在融资租赁期开始日，将租赁开始日租赁资产公允价值与最低租赁付款额现值两者中较低者</w:t>
      </w:r>
    </w:p>
    <w:p>
      <w:pPr>
        <w:pStyle w:val="BodyText"/>
        <w:spacing w:line="314" w:lineRule="auto" w:before="20"/>
        <w:ind w:left="138" w:right="128"/>
        <w:jc w:val="both"/>
      </w:pPr>
      <w:r>
        <w:rPr>
          <w:spacing w:val="-1"/>
        </w:rPr>
        <w:t>作为租入资产的入账价值，将最低租赁付款额作为长期应付款的入账价值，其差额作为未确认融</w:t>
      </w:r>
      <w:r>
        <w:rPr>
          <w:spacing w:val="-55"/>
        </w:rPr>
        <w:t> </w:t>
      </w:r>
      <w:r>
        <w:rPr>
          <w:spacing w:val="-55"/>
        </w:rPr>
      </w:r>
      <w:r>
        <w:rPr>
          <w:spacing w:val="-6"/>
        </w:rPr>
        <w:t>资费用。在租赁谈判和签订租赁合同过程中发生的可归属于租赁项目的手续费、律师费、差旅费、</w:t>
      </w:r>
      <w:r>
        <w:rPr>
          <w:spacing w:val="-54"/>
        </w:rPr>
        <w:t> </w:t>
      </w:r>
      <w:r>
        <w:rPr>
          <w:spacing w:val="-54"/>
        </w:rPr>
      </w:r>
      <w:r>
        <w:rPr>
          <w:spacing w:val="-6"/>
          <w:w w:val="100"/>
        </w:rPr>
        <w:t>印花税等初始直接费用（下同），计入租入资产价值。在计算最低租赁付款额的现值时，能够取得</w:t>
      </w:r>
      <w:r>
        <w:rPr>
          <w:w w:val="100"/>
        </w:rPr>
        <w:t> </w:t>
      </w:r>
      <w:r>
        <w:rPr>
          <w:spacing w:val="-1"/>
        </w:rPr>
        <w:t>出租人租赁内含利率的，采用租赁内含利率作为折现率；否则，采用租赁合同规定的利率作为折</w:t>
      </w:r>
      <w:r>
        <w:rPr>
          <w:spacing w:val="-55"/>
        </w:rPr>
        <w:t> </w:t>
      </w:r>
      <w:r>
        <w:rPr>
          <w:spacing w:val="-55"/>
        </w:rPr>
      </w:r>
      <w:r>
        <w:rPr>
          <w:spacing w:val="-1"/>
        </w:rPr>
        <w:t>现率。无法取得出租人的租赁内含利率且租赁合同没有规定利率的，采用同期银行贷款利率作为</w:t>
      </w:r>
      <w:r>
        <w:rPr>
          <w:spacing w:val="-55"/>
        </w:rPr>
        <w:t> </w:t>
      </w:r>
      <w:r>
        <w:rPr>
          <w:spacing w:val="-55"/>
        </w:rPr>
      </w:r>
      <w:r>
        <w:rPr/>
        <w:t>折现率。未确认融资费用在租赁期内按照实际利率法计算确认当期的融资费用。</w:t>
      </w:r>
    </w:p>
    <w:p>
      <w:pPr>
        <w:spacing w:after="0" w:line="314" w:lineRule="auto"/>
        <w:jc w:val="both"/>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14" w:lineRule="auto" w:before="36"/>
        <w:ind w:left="138" w:right="128" w:firstLine="419"/>
        <w:jc w:val="both"/>
      </w:pPr>
      <w:r>
        <w:rPr>
          <w:spacing w:val="-2"/>
        </w:rPr>
        <w:t>公司采用与自有固定资产相一致的折旧政策计提租赁资产折旧。能够合理确定租赁期届满时</w:t>
      </w:r>
      <w:r>
        <w:rPr>
          <w:w w:val="100"/>
        </w:rPr>
        <w:t> </w:t>
      </w:r>
      <w:r>
        <w:rPr>
          <w:spacing w:val="-1"/>
        </w:rPr>
        <w:t>取得租赁资产所有权的，在租赁资产使用寿命内计提折旧。无法合理确定租赁期届满时能够取得</w:t>
      </w:r>
      <w:r>
        <w:rPr>
          <w:spacing w:val="-55"/>
        </w:rPr>
        <w:t> </w:t>
      </w:r>
      <w:r>
        <w:rPr>
          <w:spacing w:val="-55"/>
        </w:rPr>
      </w:r>
      <w:r>
        <w:rPr>
          <w:spacing w:val="-1"/>
        </w:rPr>
        <w:t>租赁资产所有权的，在租赁期与租赁资产使用寿命两者中较短的期间内计提折旧。或有租金在实</w:t>
      </w:r>
      <w:r>
        <w:rPr>
          <w:spacing w:val="-55"/>
        </w:rPr>
        <w:t> </w:t>
      </w:r>
      <w:r>
        <w:rPr>
          <w:spacing w:val="-55"/>
        </w:rPr>
      </w:r>
      <w:r>
        <w:rPr/>
        <w:t>际发生时计入当期损益。</w:t>
      </w:r>
    </w:p>
    <w:p>
      <w:pPr>
        <w:pStyle w:val="BodyText"/>
        <w:spacing w:line="314" w:lineRule="auto" w:before="20"/>
        <w:ind w:left="558" w:right="130"/>
        <w:jc w:val="left"/>
      </w:pPr>
      <w:r>
        <w:rPr/>
        <w:t>②公司作为出租人的会计处理</w:t>
      </w:r>
      <w:r>
        <w:rPr>
          <w:w w:val="100"/>
        </w:rPr>
        <w:t> </w:t>
      </w:r>
      <w:r>
        <w:rPr>
          <w:spacing w:val="-2"/>
        </w:rPr>
        <w:t>在租赁期开始日，出租人将租赁开始日最低租赁收款额与初始直接费用之和作为应收融资租</w:t>
      </w:r>
    </w:p>
    <w:p>
      <w:pPr>
        <w:pStyle w:val="BodyText"/>
        <w:spacing w:line="314" w:lineRule="auto" w:before="20"/>
        <w:ind w:left="138" w:right="127"/>
        <w:jc w:val="both"/>
      </w:pPr>
      <w:r>
        <w:rPr>
          <w:spacing w:val="-1"/>
        </w:rPr>
        <w:t>赁款的入账价值，同时记录未担保余值；将最低租赁收款额、初始直接费用及未担保余值之和与</w:t>
      </w:r>
      <w:r>
        <w:rPr>
          <w:spacing w:val="-55"/>
        </w:rPr>
        <w:t> </w:t>
      </w:r>
      <w:r>
        <w:rPr>
          <w:spacing w:val="-55"/>
        </w:rPr>
      </w:r>
      <w:r>
        <w:rPr/>
        <w:t>其现值之和的差额确认为未实现融资收益。</w:t>
      </w:r>
    </w:p>
    <w:p>
      <w:pPr>
        <w:pStyle w:val="BodyText"/>
        <w:spacing w:line="314" w:lineRule="auto" w:before="20"/>
        <w:ind w:left="558" w:right="130"/>
        <w:jc w:val="left"/>
      </w:pPr>
      <w:r>
        <w:rPr>
          <w:spacing w:val="-2"/>
        </w:rPr>
        <w:t>未实现融资收益在租赁期内按照实际利率法计算确认当期的融资收入。</w:t>
      </w:r>
      <w:r>
        <w:rPr>
          <w:spacing w:val="-45"/>
        </w:rPr>
        <w:t> </w:t>
      </w:r>
      <w:r>
        <w:rPr>
          <w:spacing w:val="-45"/>
        </w:rPr>
      </w:r>
      <w:r>
        <w:rPr/>
        <w:t>或有租金在实际发生时计入当期损益。</w:t>
      </w:r>
    </w:p>
    <w:p>
      <w:pPr>
        <w:spacing w:line="240" w:lineRule="auto" w:before="11"/>
        <w:rPr>
          <w:rFonts w:ascii="宋体" w:hAnsi="宋体" w:cs="宋体" w:eastAsia="宋体" w:hint="default"/>
          <w:sz w:val="19"/>
          <w:szCs w:val="19"/>
        </w:rPr>
      </w:pPr>
    </w:p>
    <w:p>
      <w:pPr>
        <w:pStyle w:val="Heading3"/>
        <w:spacing w:line="240" w:lineRule="auto"/>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8"/>
        <w:ind w:left="138" w:right="0"/>
        <w:jc w:val="both"/>
      </w:pPr>
      <w:r>
        <w:rPr/>
        <w:t>√适用  </w:t>
      </w:r>
      <w:r>
        <w:rPr>
          <w:spacing w:val="1"/>
        </w:rPr>
        <w:t> </w:t>
      </w:r>
      <w:r>
        <w:rPr/>
        <w:t>□不适用</w:t>
      </w:r>
    </w:p>
    <w:p>
      <w:pPr>
        <w:pStyle w:val="BodyText"/>
        <w:spacing w:line="304" w:lineRule="auto" w:before="73"/>
        <w:ind w:left="558" w:right="130"/>
        <w:jc w:val="left"/>
      </w:pPr>
      <w:r>
        <w:rPr/>
        <w:t>（</w:t>
      </w:r>
      <w:r>
        <w:rPr>
          <w:rFonts w:ascii="Times New Roman" w:hAnsi="Times New Roman" w:cs="Times New Roman" w:eastAsia="Times New Roman" w:hint="default"/>
        </w:rPr>
        <w:t>1</w:t>
      </w:r>
      <w:r>
        <w:rPr/>
        <w:t>）回购本公司股份</w:t>
      </w:r>
      <w:r>
        <w:rPr>
          <w:w w:val="100"/>
        </w:rPr>
        <w:t> </w:t>
      </w:r>
      <w:r>
        <w:rPr/>
        <w:t>公司回购自身权益工具支付的对价和交易费用，应当减少所有者权益。</w:t>
      </w:r>
      <w:r>
        <w:rPr>
          <w:w w:val="100"/>
        </w:rPr>
        <w:t> </w:t>
      </w:r>
      <w:r>
        <w:rPr>
          <w:spacing w:val="-2"/>
        </w:rPr>
        <w:t>公司按法定程序报经批准采用收购本公司股票方式减资，按注销股票面值总额减少股本，购</w:t>
      </w:r>
    </w:p>
    <w:p>
      <w:pPr>
        <w:pStyle w:val="BodyText"/>
        <w:spacing w:line="314" w:lineRule="auto" w:before="28"/>
        <w:ind w:left="138" w:right="128"/>
        <w:jc w:val="both"/>
      </w:pPr>
      <w:r>
        <w:rPr>
          <w:spacing w:val="-1"/>
        </w:rPr>
        <w:t>回股票支付的价款（含交易费用）与股票面值的差额调整所有者权益，超过面值总额的部分，依</w:t>
      </w:r>
      <w:r>
        <w:rPr>
          <w:spacing w:val="-55"/>
        </w:rPr>
        <w:t> </w:t>
      </w:r>
      <w:r>
        <w:rPr>
          <w:spacing w:val="-55"/>
        </w:rPr>
      </w:r>
      <w:r>
        <w:rPr>
          <w:spacing w:val="-6"/>
          <w:w w:val="100"/>
        </w:rPr>
        <w:t>次冲减资本公积（股本溢价）、盈余公积和未分配利润；如低于面值总额的，低于面值总额的部分</w:t>
      </w:r>
      <w:r>
        <w:rPr>
          <w:w w:val="100"/>
        </w:rPr>
        <w:t> </w:t>
      </w:r>
      <w:r>
        <w:rPr>
          <w:spacing w:val="-5"/>
          <w:w w:val="100"/>
        </w:rPr>
        <w:t>增加资本公积（股本溢价）。公司回购自身权益工具，不确认利得或损失。</w:t>
      </w:r>
    </w:p>
    <w:p>
      <w:pPr>
        <w:pStyle w:val="BodyText"/>
        <w:spacing w:line="314" w:lineRule="auto" w:before="20"/>
        <w:ind w:left="138" w:right="130" w:firstLine="419"/>
        <w:jc w:val="both"/>
      </w:pPr>
      <w:r>
        <w:rPr>
          <w:spacing w:val="-2"/>
        </w:rPr>
        <w:t>公司回购的股份在注销或者转让之前，作为库存股管理，回购股份的全部支出转作库存股成</w:t>
      </w:r>
      <w:r>
        <w:rPr>
          <w:w w:val="100"/>
        </w:rPr>
        <w:t> </w:t>
      </w:r>
      <w:r>
        <w:rPr/>
        <w:t>本，同时进行备查登记。</w:t>
      </w:r>
    </w:p>
    <w:p>
      <w:pPr>
        <w:pStyle w:val="BodyText"/>
        <w:spacing w:line="297" w:lineRule="auto" w:before="20"/>
        <w:ind w:left="138" w:right="128" w:firstLine="419"/>
        <w:jc w:val="both"/>
      </w:pPr>
      <w:r>
        <w:rPr/>
        <w:t>库存股转让时，转让收入高于库存股成本的部分，增加资本公积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；低于库存股成</w:t>
      </w:r>
      <w:r>
        <w:rPr>
          <w:w w:val="100"/>
        </w:rPr>
        <w:t> </w:t>
      </w:r>
      <w:r>
        <w:rPr/>
        <w:t>本的部分，依次冲减资本公积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、盈余公积、未分配利润。</w:t>
      </w:r>
    </w:p>
    <w:p>
      <w:pPr>
        <w:pStyle w:val="BodyText"/>
        <w:spacing w:line="314" w:lineRule="auto" w:before="13"/>
        <w:ind w:left="138" w:right="130" w:firstLine="419"/>
        <w:jc w:val="both"/>
      </w:pPr>
      <w:r>
        <w:rPr>
          <w:spacing w:val="-2"/>
        </w:rPr>
        <w:t>公司回购其普通股形成的库存股不参与公司利润分配，公司将其作为在资产负债表中所有者</w:t>
      </w:r>
      <w:r>
        <w:rPr>
          <w:w w:val="100"/>
        </w:rPr>
        <w:t> </w:t>
      </w:r>
      <w:r>
        <w:rPr/>
        <w:t>权益的备抵项目列示。</w:t>
      </w:r>
    </w:p>
    <w:p>
      <w:pPr>
        <w:pStyle w:val="BodyText"/>
        <w:spacing w:line="297" w:lineRule="auto" w:before="20"/>
        <w:ind w:left="558" w:right="130"/>
        <w:jc w:val="left"/>
      </w:pPr>
      <w:r>
        <w:rPr/>
        <w:t>（</w:t>
      </w:r>
      <w:r>
        <w:rPr>
          <w:rFonts w:ascii="Times New Roman" w:hAnsi="Times New Roman" w:cs="Times New Roman" w:eastAsia="Times New Roman" w:hint="default"/>
        </w:rPr>
        <w:t>2</w:t>
      </w:r>
      <w:r>
        <w:rPr/>
        <w:t>）资产证券化业务</w:t>
      </w:r>
      <w:r>
        <w:rPr>
          <w:w w:val="100"/>
        </w:rPr>
        <w:t> </w:t>
      </w:r>
      <w:r>
        <w:rPr>
          <w:spacing w:val="-2"/>
        </w:rPr>
        <w:t>公司设立特殊目的主体作为结构化融资的载体，公司把金融资产转移到特殊目的主体，如果</w:t>
      </w:r>
    </w:p>
    <w:p>
      <w:pPr>
        <w:pStyle w:val="BodyText"/>
        <w:spacing w:line="314" w:lineRule="auto" w:before="34"/>
        <w:ind w:left="138" w:right="128"/>
        <w:jc w:val="both"/>
      </w:pPr>
      <w:r>
        <w:rPr>
          <w:spacing w:val="-1"/>
        </w:rPr>
        <w:t>公司能够控制该特殊目的主体，这些特殊目的主体则视同为子公司而纳入公司合并财务报表的范</w:t>
      </w:r>
      <w:r>
        <w:rPr>
          <w:spacing w:val="-55"/>
        </w:rPr>
        <w:t> </w:t>
      </w:r>
      <w:r>
        <w:rPr>
          <w:spacing w:val="-55"/>
        </w:rPr>
      </w:r>
      <w:r>
        <w:rPr/>
        <w:t>围。</w:t>
      </w:r>
    </w:p>
    <w:p>
      <w:pPr>
        <w:pStyle w:val="BodyText"/>
        <w:spacing w:line="314" w:lineRule="auto" w:before="20"/>
        <w:ind w:left="138" w:right="128" w:firstLine="419"/>
        <w:jc w:val="both"/>
      </w:pPr>
      <w:r>
        <w:rPr>
          <w:spacing w:val="-7"/>
          <w:w w:val="100"/>
        </w:rPr>
        <w:t>公司出售金融资产作出承诺，已转移的金融资产将来发生信用损失时，由公司进行全额补偿，</w:t>
      </w:r>
      <w:r>
        <w:rPr>
          <w:w w:val="100"/>
        </w:rPr>
        <w:t> </w:t>
      </w:r>
      <w:r>
        <w:rPr>
          <w:spacing w:val="-1"/>
        </w:rPr>
        <w:t>公司实质上保留了该金融资产所有权上几乎所有的风险和报酬，公司未终止确认所出售的金融资</w:t>
      </w:r>
      <w:r>
        <w:rPr>
          <w:spacing w:val="-55"/>
        </w:rPr>
        <w:t> </w:t>
      </w:r>
      <w:r>
        <w:rPr>
          <w:spacing w:val="-55"/>
        </w:rPr>
      </w:r>
      <w:r>
        <w:rPr/>
        <w:t>产。</w:t>
      </w:r>
    </w:p>
    <w:p>
      <w:pPr>
        <w:pStyle w:val="BodyText"/>
        <w:spacing w:line="314" w:lineRule="auto" w:before="20"/>
        <w:ind w:left="138" w:right="128" w:firstLine="419"/>
        <w:jc w:val="both"/>
      </w:pPr>
      <w:r>
        <w:rPr>
          <w:spacing w:val="-2"/>
        </w:rPr>
        <w:t>资产证券化募集的资金列专项应付款，资产证券化融资费用（包括财务顾问费、银行担保费</w:t>
      </w:r>
      <w:r>
        <w:rPr>
          <w:w w:val="100"/>
        </w:rPr>
        <w:t> </w:t>
      </w:r>
      <w:r>
        <w:rPr>
          <w:spacing w:val="-1"/>
        </w:rPr>
        <w:t>等）列入当期财务费用，收益权与实际募集的委托资金差额列长期待摊费用，在存续期内按证券</w:t>
      </w:r>
      <w:r>
        <w:rPr>
          <w:spacing w:val="-55"/>
        </w:rPr>
        <w:t> </w:t>
      </w:r>
      <w:r>
        <w:rPr>
          <w:spacing w:val="-55"/>
        </w:rPr>
      </w:r>
      <w:r>
        <w:rPr/>
        <w:t>化实施的项目进行摊销列入财务费用。</w:t>
      </w:r>
    </w:p>
    <w:p>
      <w:pPr>
        <w:pStyle w:val="BodyText"/>
        <w:spacing w:line="297" w:lineRule="auto" w:before="20"/>
        <w:ind w:left="558" w:right="130"/>
        <w:jc w:val="left"/>
      </w:pPr>
      <w:r>
        <w:rPr/>
        <w:t>（</w:t>
      </w:r>
      <w:r>
        <w:rPr>
          <w:rFonts w:ascii="Times New Roman" w:hAnsi="Times New Roman" w:cs="Times New Roman" w:eastAsia="Times New Roman" w:hint="default"/>
        </w:rPr>
        <w:t>3</w:t>
      </w:r>
      <w:r>
        <w:rPr/>
        <w:t>）套期会计</w:t>
      </w:r>
      <w:r>
        <w:rPr>
          <w:w w:val="100"/>
        </w:rPr>
        <w:t> </w:t>
      </w:r>
      <w:r>
        <w:rPr>
          <w:spacing w:val="-2"/>
        </w:rPr>
        <w:t>套期会计方法是指在相同会计期间将套期工具和被套期项目公允价值变动的抵销结果计入当</w:t>
      </w:r>
    </w:p>
    <w:p>
      <w:pPr>
        <w:pStyle w:val="BodyText"/>
        <w:spacing w:line="240" w:lineRule="auto" w:before="35"/>
        <w:ind w:left="138" w:right="0"/>
        <w:jc w:val="both"/>
      </w:pPr>
      <w:r>
        <w:rPr/>
        <w:t>期损益的方法。</w:t>
      </w:r>
    </w:p>
    <w:p>
      <w:pPr>
        <w:spacing w:after="0" w:line="240" w:lineRule="auto"/>
        <w:jc w:val="both"/>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14" w:lineRule="auto" w:before="36"/>
        <w:ind w:left="138" w:right="128" w:firstLine="419"/>
        <w:jc w:val="both"/>
      </w:pPr>
      <w:r>
        <w:rPr>
          <w:spacing w:val="-2"/>
        </w:rPr>
        <w:t>套期工具是指公司为规避外汇风险、利率风险、商品价格风险、股票价格风险、信用风险等</w:t>
      </w:r>
      <w:r>
        <w:rPr>
          <w:w w:val="100"/>
        </w:rPr>
        <w:t> </w:t>
      </w:r>
      <w:r>
        <w:rPr>
          <w:spacing w:val="-1"/>
        </w:rPr>
        <w:t>所使用的衍生工具，分为公允价值套期、现金流量套期和境外经营净投资套期。对于同时满足下</w:t>
      </w:r>
      <w:r>
        <w:rPr>
          <w:spacing w:val="-55"/>
        </w:rPr>
        <w:t> </w:t>
      </w:r>
      <w:r>
        <w:rPr>
          <w:spacing w:val="-55"/>
        </w:rPr>
      </w:r>
      <w:r>
        <w:rPr/>
        <w:t>列条件的套期工具，运用套期会计方法进行处理：</w:t>
      </w:r>
    </w:p>
    <w:p>
      <w:pPr>
        <w:pStyle w:val="BodyText"/>
        <w:spacing w:line="297" w:lineRule="auto" w:before="20"/>
        <w:ind w:left="138" w:right="130" w:firstLine="419"/>
        <w:jc w:val="both"/>
      </w:pPr>
      <w:r>
        <w:rPr/>
        <w:t>①在套期开始时，公司对套期关系</w:t>
      </w:r>
      <w:r>
        <w:rPr>
          <w:rFonts w:ascii="Times New Roman" w:hAnsi="Times New Roman" w:cs="Times New Roman" w:eastAsia="Times New Roman" w:hint="default"/>
        </w:rPr>
        <w:t>(</w:t>
      </w:r>
      <w:r>
        <w:rPr/>
        <w:t>即套期工具和被套期项目之间的关系</w:t>
      </w:r>
      <w:r>
        <w:rPr>
          <w:rFonts w:ascii="Times New Roman" w:hAnsi="Times New Roman" w:cs="Times New Roman" w:eastAsia="Times New Roman" w:hint="default"/>
        </w:rPr>
        <w:t>)</w:t>
      </w:r>
      <w:r>
        <w:rPr/>
        <w:t>有正式指定，并准</w:t>
      </w:r>
      <w:r>
        <w:rPr>
          <w:w w:val="100"/>
        </w:rPr>
        <w:t> </w:t>
      </w:r>
      <w:r>
        <w:rPr/>
        <w:t>备了关于套期关系、风险管理目标和套期策略的正式书面文件；</w:t>
      </w:r>
    </w:p>
    <w:p>
      <w:pPr>
        <w:pStyle w:val="BodyText"/>
        <w:spacing w:line="240" w:lineRule="auto" w:before="34"/>
        <w:ind w:left="558" w:right="130"/>
        <w:jc w:val="left"/>
      </w:pPr>
      <w:r>
        <w:rPr/>
        <w:t>②该套期预期高度有效，且符合公司最初为该套期关系所确定的风险管理策略；</w:t>
      </w:r>
    </w:p>
    <w:p>
      <w:pPr>
        <w:pStyle w:val="BodyText"/>
        <w:spacing w:line="314" w:lineRule="auto" w:before="85"/>
        <w:ind w:left="138" w:right="130" w:firstLine="419"/>
        <w:jc w:val="both"/>
      </w:pPr>
      <w:r>
        <w:rPr>
          <w:spacing w:val="-2"/>
        </w:rPr>
        <w:t>③对预期交易的现金流量套期，预期交易应当很可能发生，且必须使公司面临最终将影响损</w:t>
      </w:r>
      <w:r>
        <w:rPr>
          <w:w w:val="100"/>
        </w:rPr>
        <w:t> </w:t>
      </w:r>
      <w:r>
        <w:rPr/>
        <w:t>益的现金流量变动风险；</w:t>
      </w:r>
    </w:p>
    <w:p>
      <w:pPr>
        <w:pStyle w:val="BodyText"/>
        <w:spacing w:line="240" w:lineRule="auto" w:before="20"/>
        <w:ind w:left="558" w:right="130"/>
        <w:jc w:val="left"/>
      </w:pPr>
      <w:r>
        <w:rPr/>
        <w:t>④套期有效性能够可靠地计量；</w:t>
      </w:r>
    </w:p>
    <w:p>
      <w:pPr>
        <w:pStyle w:val="BodyText"/>
        <w:spacing w:line="314" w:lineRule="auto" w:before="85"/>
        <w:ind w:left="138" w:right="130" w:firstLine="419"/>
        <w:jc w:val="both"/>
      </w:pPr>
      <w:r>
        <w:rPr>
          <w:spacing w:val="-2"/>
        </w:rPr>
        <w:t>⑤公司持续地对套期有效性进行评价，并确保该套期在套期关系被指定的会计期间内高度有</w:t>
      </w:r>
      <w:r>
        <w:rPr>
          <w:w w:val="100"/>
        </w:rPr>
        <w:t> </w:t>
      </w:r>
      <w:r>
        <w:rPr/>
        <w:t>效。</w:t>
      </w:r>
    </w:p>
    <w:p>
      <w:pPr>
        <w:pStyle w:val="BodyText"/>
        <w:spacing w:line="314" w:lineRule="auto" w:before="20"/>
        <w:ind w:left="558" w:right="130"/>
        <w:jc w:val="left"/>
      </w:pPr>
      <w:r>
        <w:rPr/>
        <w:t>公允价值套期满足上述条件的，公允价值变动形成的利得或损失计入当期损益。</w:t>
      </w:r>
      <w:r>
        <w:rPr>
          <w:w w:val="100"/>
        </w:rPr>
        <w:t> </w:t>
      </w:r>
      <w:r>
        <w:rPr>
          <w:spacing w:val="-2"/>
        </w:rPr>
        <w:t>现金流量套期满足上述条件的，套期工具利得或损失中属于有效套期的部分计入其他综合收</w:t>
      </w:r>
    </w:p>
    <w:p>
      <w:pPr>
        <w:pStyle w:val="BodyText"/>
        <w:spacing w:line="314" w:lineRule="auto" w:before="20"/>
        <w:ind w:left="138" w:right="128"/>
        <w:jc w:val="both"/>
      </w:pPr>
      <w:r>
        <w:rPr>
          <w:spacing w:val="-1"/>
        </w:rPr>
        <w:t>益，无效部分计入当期损益。对于被套期项目为预期交易且该预期交易使公司随后确认一项金融</w:t>
      </w:r>
      <w:r>
        <w:rPr>
          <w:spacing w:val="-55"/>
        </w:rPr>
        <w:t> </w:t>
      </w:r>
      <w:r>
        <w:rPr>
          <w:spacing w:val="-55"/>
        </w:rPr>
      </w:r>
      <w:r>
        <w:rPr>
          <w:spacing w:val="-1"/>
        </w:rPr>
        <w:t>资产或一项金融负债的，原确认为其他综合收益的相关利得或损失在该金融资产或金融负债影响</w:t>
      </w:r>
      <w:r>
        <w:rPr>
          <w:spacing w:val="-55"/>
        </w:rPr>
        <w:t> </w:t>
      </w:r>
      <w:r>
        <w:rPr>
          <w:spacing w:val="-55"/>
        </w:rPr>
      </w:r>
      <w:r>
        <w:rPr>
          <w:spacing w:val="-1"/>
        </w:rPr>
        <w:t>公司损益的相同期间转出，计入当期损益。但是，公司预期原直接在所有者权益中确认的净损失</w:t>
      </w:r>
      <w:r>
        <w:rPr>
          <w:spacing w:val="-55"/>
        </w:rPr>
        <w:t> </w:t>
      </w:r>
      <w:r>
        <w:rPr>
          <w:spacing w:val="-55"/>
        </w:rPr>
      </w:r>
      <w:r>
        <w:rPr/>
        <w:t>全部或部分在未来会计期间不能弥补时，将不能弥补的部分转出，计入当期损益。</w:t>
      </w:r>
    </w:p>
    <w:p>
      <w:pPr>
        <w:pStyle w:val="BodyText"/>
        <w:spacing w:line="314" w:lineRule="auto" w:before="20"/>
        <w:ind w:left="138" w:right="128" w:firstLine="419"/>
        <w:jc w:val="both"/>
      </w:pPr>
      <w:r>
        <w:rPr>
          <w:spacing w:val="-2"/>
        </w:rPr>
        <w:t>境外经营净投资套期满足上述条件的，公司应按类似于现金流量套期会计的规定处理：套期</w:t>
      </w:r>
      <w:r>
        <w:rPr>
          <w:w w:val="100"/>
        </w:rPr>
        <w:t> </w:t>
      </w:r>
      <w:r>
        <w:rPr>
          <w:spacing w:val="-1"/>
        </w:rPr>
        <w:t>工具形成的利得或损失中属于有效套期的部分，直接确认为所有者权益，并单列项目反映。处置</w:t>
      </w:r>
      <w:r>
        <w:rPr>
          <w:spacing w:val="-55"/>
        </w:rPr>
        <w:t> </w:t>
      </w:r>
      <w:r>
        <w:rPr>
          <w:spacing w:val="-55"/>
        </w:rPr>
      </w:r>
      <w:r>
        <w:rPr>
          <w:spacing w:val="-2"/>
        </w:rPr>
        <w:t>境外经营时，将上述在所有者权益中单列项目反映的套期工具利得或损失转出，计入当期损益。</w:t>
      </w:r>
    </w:p>
    <w:p>
      <w:pPr>
        <w:pStyle w:val="BodyText"/>
        <w:spacing w:line="314" w:lineRule="auto" w:before="20"/>
        <w:ind w:left="558" w:right="130"/>
        <w:jc w:val="left"/>
      </w:pPr>
      <w:r>
        <w:rPr/>
        <w:t>套期工具形成的利得或损失中属于无效套期的部分，计入当期损益。</w:t>
      </w:r>
      <w:r>
        <w:rPr>
          <w:w w:val="100"/>
        </w:rPr>
        <w:t> </w:t>
      </w:r>
      <w:r>
        <w:rPr>
          <w:spacing w:val="-2"/>
        </w:rPr>
        <w:t>不符合上述条件的其他公允价值套期、现金流量套期和境外净投资套期，其公允价值变动直</w:t>
      </w:r>
    </w:p>
    <w:p>
      <w:pPr>
        <w:pStyle w:val="BodyText"/>
        <w:spacing w:line="240" w:lineRule="auto" w:before="20"/>
        <w:ind w:left="138" w:right="0"/>
        <w:jc w:val="both"/>
      </w:pPr>
      <w:r>
        <w:rPr/>
        <w:t>接计入当期损益。</w:t>
      </w:r>
    </w:p>
    <w:p>
      <w:pPr>
        <w:pStyle w:val="BodyText"/>
        <w:spacing w:line="297" w:lineRule="auto" w:before="85"/>
        <w:ind w:left="558" w:right="130"/>
        <w:jc w:val="left"/>
      </w:pPr>
      <w:r>
        <w:rPr/>
        <w:t>（</w:t>
      </w:r>
      <w:r>
        <w:rPr>
          <w:rFonts w:ascii="Times New Roman" w:hAnsi="Times New Roman" w:cs="Times New Roman" w:eastAsia="Times New Roman" w:hint="default"/>
        </w:rPr>
        <w:t>4</w:t>
      </w:r>
      <w:r>
        <w:rPr/>
        <w:t>）建造合同</w:t>
      </w:r>
      <w:r>
        <w:rPr>
          <w:w w:val="100"/>
        </w:rPr>
        <w:t> </w:t>
      </w:r>
      <w:r>
        <w:rPr>
          <w:spacing w:val="-2"/>
        </w:rPr>
        <w:t>在建造合同的结果能够可靠估计的情况下，本公司于资产负债表日按照完工百分比法确认合</w:t>
      </w:r>
    </w:p>
    <w:p>
      <w:pPr>
        <w:pStyle w:val="BodyText"/>
        <w:spacing w:line="314" w:lineRule="auto" w:before="34"/>
        <w:ind w:left="558" w:right="3467" w:hanging="420"/>
        <w:jc w:val="left"/>
      </w:pPr>
      <w:r>
        <w:rPr/>
        <w:t>同收入和合同费用。</w:t>
      </w:r>
      <w:r>
        <w:rPr>
          <w:w w:val="100"/>
        </w:rPr>
        <w:t> </w:t>
      </w:r>
      <w:r>
        <w:rPr>
          <w:spacing w:val="-2"/>
        </w:rPr>
        <w:t>建造合同的结果能够可靠估计是指同时满足：</w:t>
      </w:r>
    </w:p>
    <w:p>
      <w:pPr>
        <w:pStyle w:val="BodyText"/>
        <w:spacing w:line="240" w:lineRule="auto" w:before="20"/>
        <w:ind w:left="558" w:right="130"/>
        <w:jc w:val="left"/>
      </w:pPr>
      <w:r>
        <w:rPr/>
        <w:t>①合同总收入能够可靠地计量；</w:t>
      </w:r>
    </w:p>
    <w:p>
      <w:pPr>
        <w:pStyle w:val="BodyText"/>
        <w:spacing w:line="240" w:lineRule="auto" w:before="85"/>
        <w:ind w:left="558" w:right="130"/>
        <w:jc w:val="left"/>
      </w:pPr>
      <w:r>
        <w:rPr/>
        <w:t>②与合同相关的经济利益很可能流入企业；</w:t>
      </w:r>
    </w:p>
    <w:p>
      <w:pPr>
        <w:pStyle w:val="BodyText"/>
        <w:spacing w:line="240" w:lineRule="auto" w:before="85"/>
        <w:ind w:left="558" w:right="130"/>
        <w:jc w:val="left"/>
      </w:pPr>
      <w:r>
        <w:rPr/>
        <w:t>③实际发生的合同成本能够清楚地区分和可靠地计量；</w:t>
      </w:r>
    </w:p>
    <w:p>
      <w:pPr>
        <w:pStyle w:val="BodyText"/>
        <w:spacing w:line="314" w:lineRule="auto" w:before="85"/>
        <w:ind w:left="558" w:right="130"/>
        <w:jc w:val="left"/>
      </w:pPr>
      <w:r>
        <w:rPr/>
        <w:t>④合同完工进度和为完成合同尚需发生的成本能够可靠地确定。</w:t>
      </w:r>
      <w:r>
        <w:rPr>
          <w:w w:val="100"/>
        </w:rPr>
        <w:t> </w:t>
      </w:r>
      <w:r>
        <w:rPr>
          <w:spacing w:val="-2"/>
        </w:rPr>
        <w:t>本公司于资产负债表日按照合同总收入乘以完工程度扣除以前会计期间累计已确认收入后的</w:t>
      </w:r>
    </w:p>
    <w:p>
      <w:pPr>
        <w:pStyle w:val="BodyText"/>
        <w:spacing w:line="314" w:lineRule="auto" w:before="20"/>
        <w:ind w:left="138" w:right="128"/>
        <w:jc w:val="both"/>
      </w:pPr>
      <w:r>
        <w:rPr>
          <w:spacing w:val="-1"/>
        </w:rPr>
        <w:t>金额，确认为当期合同收入；同时，按照合同预计总成本乘以完工程度扣除以前会计期间累计已</w:t>
      </w:r>
      <w:r>
        <w:rPr>
          <w:spacing w:val="-55"/>
        </w:rPr>
        <w:t> </w:t>
      </w:r>
      <w:r>
        <w:rPr>
          <w:spacing w:val="-55"/>
        </w:rPr>
      </w:r>
      <w:r>
        <w:rPr/>
        <w:t>确认费用后的金额，确认为当期合同费用。</w:t>
      </w:r>
    </w:p>
    <w:p>
      <w:pPr>
        <w:pStyle w:val="BodyText"/>
        <w:spacing w:line="240" w:lineRule="auto" w:before="20"/>
        <w:ind w:left="558" w:right="130"/>
        <w:jc w:val="left"/>
      </w:pPr>
      <w:r>
        <w:rPr/>
        <w:t>合同预计总成本超过合同总收入的，将预计损失确认为当期费用。</w:t>
      </w:r>
    </w:p>
    <w:p>
      <w:pPr>
        <w:pStyle w:val="BodyText"/>
        <w:spacing w:line="297" w:lineRule="auto" w:before="85"/>
        <w:ind w:left="558" w:right="130"/>
        <w:jc w:val="left"/>
      </w:pPr>
      <w:r>
        <w:rPr/>
        <w:t>（</w:t>
      </w:r>
      <w:r>
        <w:rPr>
          <w:rFonts w:ascii="Times New Roman" w:hAnsi="Times New Roman" w:cs="Times New Roman" w:eastAsia="Times New Roman" w:hint="default"/>
        </w:rPr>
        <w:t>5</w:t>
      </w:r>
      <w:r>
        <w:rPr/>
        <w:t>）附回购条件的资产转让</w:t>
      </w:r>
      <w:r>
        <w:rPr>
          <w:w w:val="100"/>
        </w:rPr>
        <w:t> </w:t>
      </w:r>
      <w:r>
        <w:rPr>
          <w:spacing w:val="-2"/>
        </w:rPr>
        <w:t>售后回购是指销售商品的同时，公司同意日后再将同样或类似的商品购回的销售方式。公司</w:t>
      </w:r>
    </w:p>
    <w:p>
      <w:pPr>
        <w:pStyle w:val="BodyText"/>
        <w:spacing w:line="240" w:lineRule="auto" w:before="34"/>
        <w:ind w:left="138" w:right="0"/>
        <w:jc w:val="both"/>
      </w:pPr>
      <w:r>
        <w:rPr/>
        <w:t>根据合同或协议条款判断销售商品是否满足收入确认条件。若售后回购交易属于融资交易的，商</w:t>
      </w:r>
    </w:p>
    <w:p>
      <w:pPr>
        <w:spacing w:after="0" w:line="240" w:lineRule="auto"/>
        <w:jc w:val="both"/>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14" w:lineRule="auto" w:before="36"/>
        <w:ind w:right="123"/>
        <w:jc w:val="left"/>
      </w:pPr>
      <w:r>
        <w:rPr>
          <w:spacing w:val="-1"/>
        </w:rPr>
        <w:t>品所有权上的主要风险和报酬没有转移，不应确认收入；回购价格大于原售价的差额，公司在回</w:t>
      </w:r>
      <w:r>
        <w:rPr>
          <w:spacing w:val="-55"/>
        </w:rPr>
        <w:t> </w:t>
      </w:r>
      <w:r>
        <w:rPr>
          <w:spacing w:val="-55"/>
        </w:rPr>
      </w:r>
      <w:r>
        <w:rPr/>
        <w:t>购期间按期计提利息费用，计入财务费用。</w:t>
      </w:r>
    </w:p>
    <w:p>
      <w:pPr>
        <w:pStyle w:val="BodyText"/>
        <w:spacing w:line="297" w:lineRule="auto" w:before="20"/>
        <w:ind w:left="638" w:right="0"/>
        <w:jc w:val="left"/>
      </w:pPr>
      <w:r>
        <w:rPr/>
        <w:t>（</w:t>
      </w:r>
      <w:r>
        <w:rPr>
          <w:rFonts w:ascii="Times New Roman" w:hAnsi="Times New Roman" w:cs="Times New Roman" w:eastAsia="Times New Roman" w:hint="default"/>
        </w:rPr>
        <w:t>6</w:t>
      </w:r>
      <w:r>
        <w:rPr/>
        <w:t>）衍生金融工具</w:t>
      </w:r>
      <w:r>
        <w:rPr>
          <w:w w:val="100"/>
        </w:rPr>
        <w:t> </w:t>
      </w:r>
      <w:r>
        <w:rPr>
          <w:spacing w:val="-4"/>
          <w:w w:val="100"/>
        </w:rPr>
        <w:t>衍生金融工具初始以衍生交易合同签订当日的公允价值计量，并以其公允价值进行后续计量。</w:t>
      </w:r>
    </w:p>
    <w:p>
      <w:pPr>
        <w:pStyle w:val="BodyText"/>
        <w:spacing w:line="314" w:lineRule="auto" w:before="34"/>
        <w:ind w:right="123"/>
        <w:jc w:val="left"/>
      </w:pPr>
      <w:r>
        <w:rPr>
          <w:spacing w:val="-1"/>
        </w:rPr>
        <w:t>公允价值为正数的衍生金融工具确认为一项资产，公允价值为负数的衍生金融工具确认为一项负</w:t>
      </w:r>
      <w:r>
        <w:rPr>
          <w:spacing w:val="-55"/>
        </w:rPr>
        <w:t> </w:t>
      </w:r>
      <w:r>
        <w:rPr>
          <w:spacing w:val="-55"/>
        </w:rPr>
      </w:r>
      <w:r>
        <w:rPr/>
        <w:t>债。</w:t>
      </w:r>
    </w:p>
    <w:p>
      <w:pPr>
        <w:pStyle w:val="BodyText"/>
        <w:spacing w:line="314" w:lineRule="auto" w:before="20"/>
        <w:ind w:right="230" w:firstLine="419"/>
        <w:jc w:val="both"/>
      </w:pPr>
      <w:r>
        <w:rPr>
          <w:spacing w:val="-2"/>
        </w:rPr>
        <w:t>公司根据政策管理衍生金融工具的应用，并以书面方式列明与公司风险管理策略一致的衍生</w:t>
      </w:r>
      <w:r>
        <w:rPr>
          <w:w w:val="100"/>
        </w:rPr>
        <w:t> </w:t>
      </w:r>
      <w:r>
        <w:rPr/>
        <w:t>金融工具应用原则。</w:t>
      </w:r>
    </w:p>
    <w:p>
      <w:pPr>
        <w:pStyle w:val="BodyText"/>
        <w:spacing w:line="314" w:lineRule="auto" w:before="20"/>
        <w:ind w:right="228" w:firstLine="419"/>
        <w:jc w:val="both"/>
      </w:pPr>
      <w:r>
        <w:rPr>
          <w:spacing w:val="-2"/>
        </w:rPr>
        <w:t>衍生金融工具的后续计量时，因公允价值变动而产生的利得或损失在利润表中确认。对于符</w:t>
      </w:r>
      <w:r>
        <w:rPr>
          <w:w w:val="100"/>
        </w:rPr>
        <w:t> </w:t>
      </w:r>
      <w:r>
        <w:rPr>
          <w:spacing w:val="-1"/>
        </w:rPr>
        <w:t>合套期会计处理的衍生金融工具，确认任何产生的利得或损失取决于被套期项目的性质。不符合</w:t>
      </w:r>
      <w:r>
        <w:rPr>
          <w:spacing w:val="-55"/>
        </w:rPr>
        <w:t> </w:t>
      </w:r>
      <w:r>
        <w:rPr>
          <w:spacing w:val="-55"/>
        </w:rPr>
      </w:r>
      <w:r>
        <w:rPr>
          <w:spacing w:val="-1"/>
        </w:rPr>
        <w:t>套期会计处理的衍生金融工具分类为以公允价值计量且其变动计入当期损益的金融资产及金融负</w:t>
      </w:r>
      <w:r>
        <w:rPr>
          <w:spacing w:val="-55"/>
        </w:rPr>
        <w:t> </w:t>
      </w:r>
      <w:r>
        <w:rPr>
          <w:spacing w:val="-55"/>
        </w:rPr>
      </w:r>
      <w:r>
        <w:rPr/>
        <w:t>债。</w:t>
      </w:r>
    </w:p>
    <w:p>
      <w:pPr>
        <w:spacing w:line="240" w:lineRule="auto" w:before="11"/>
        <w:rPr>
          <w:rFonts w:ascii="宋体" w:hAnsi="宋体" w:cs="宋体" w:eastAsia="宋体" w:hint="default"/>
          <w:sz w:val="19"/>
          <w:szCs w:val="19"/>
        </w:rPr>
      </w:pPr>
    </w:p>
    <w:p>
      <w:pPr>
        <w:pStyle w:val="Heading3"/>
        <w:spacing w:line="290" w:lineRule="auto"/>
        <w:ind w:right="2513"/>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spacing w:val="-1"/>
        </w:rPr>
        <w:t>(1)</w:t>
      </w:r>
      <w:r>
        <w:rPr>
          <w:spacing w:val="-1"/>
        </w:rPr>
        <w:t>、本报告期公司发生重要会计政策变更</w:t>
      </w:r>
      <w:r>
        <w:rPr>
          <w:b w:val="0"/>
          <w:bCs w:val="0"/>
          <w:spacing w:val="-1"/>
        </w:rPr>
      </w:r>
    </w:p>
    <w:p>
      <w:pPr>
        <w:pStyle w:val="BodyText"/>
        <w:spacing w:line="240" w:lineRule="auto" w:before="12"/>
        <w:ind w:right="2513"/>
        <w:jc w:val="left"/>
      </w:pPr>
      <w:r>
        <w:rPr>
          <w:rFonts w:ascii="Calibri" w:hAnsi="Calibri" w:cs="Calibri" w:eastAsia="Calibri" w:hint="default"/>
        </w:rPr>
        <w:t>√</w:t>
      </w: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12"/>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7"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1"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355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根据财政部印发的关于修订</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2" w:lineRule="auto" w:before="5"/>
              <w:ind w:left="103" w:right="-3"/>
              <w:jc w:val="left"/>
              <w:rPr>
                <w:rFonts w:ascii="宋体" w:hAnsi="宋体" w:cs="宋体" w:eastAsia="宋体" w:hint="default"/>
                <w:sz w:val="21"/>
                <w:szCs w:val="21"/>
              </w:rPr>
            </w:pPr>
            <w:r>
              <w:rPr>
                <w:rFonts w:ascii="宋体" w:hAnsi="宋体" w:cs="宋体" w:eastAsia="宋体" w:hint="default"/>
                <w:sz w:val="21"/>
                <w:szCs w:val="21"/>
              </w:rPr>
              <w:t>《企业会计准则第 </w:t>
            </w:r>
            <w:r>
              <w:rPr>
                <w:rFonts w:ascii="Times New Roman" w:hAnsi="Times New Roman" w:cs="Times New Roman" w:eastAsia="Times New Roman" w:hint="default"/>
                <w:sz w:val="21"/>
                <w:szCs w:val="21"/>
              </w:rPr>
              <w:t>16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1"/>
                <w:sz w:val="21"/>
                <w:szCs w:val="21"/>
              </w:rPr>
              <w:t> </w:t>
            </w:r>
            <w:r>
              <w:rPr>
                <w:rFonts w:ascii="宋体" w:hAnsi="宋体" w:cs="宋体" w:eastAsia="宋体" w:hint="default"/>
                <w:spacing w:val="-8"/>
                <w:sz w:val="21"/>
                <w:szCs w:val="21"/>
              </w:rPr>
              <w:t>政府补助》通知（财会〔</w:t>
            </w:r>
            <w:r>
              <w:rPr>
                <w:rFonts w:ascii="Times New Roman" w:hAnsi="Times New Roman" w:cs="Times New Roman" w:eastAsia="Times New Roman" w:hint="default"/>
                <w:spacing w:val="-8"/>
                <w:sz w:val="21"/>
                <w:szCs w:val="21"/>
              </w:rPr>
              <w:t>2017</w:t>
            </w:r>
            <w:r>
              <w:rPr>
                <w:rFonts w:ascii="宋体" w:hAnsi="宋体" w:cs="宋体" w:eastAsia="宋体" w:hint="default"/>
                <w:spacing w:val="-8"/>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15 </w:t>
            </w:r>
            <w:r>
              <w:rPr>
                <w:rFonts w:ascii="宋体" w:hAnsi="宋体" w:cs="宋体" w:eastAsia="宋体" w:hint="default"/>
                <w:spacing w:val="-5"/>
                <w:sz w:val="21"/>
                <w:szCs w:val="21"/>
              </w:rPr>
              <w:t>号）的要求，与企业日常活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动相关的政府补助，应当按照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经济业务实质，计入其他收益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或冲减相关成本费用。与企业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日常活动无关的政府补助，应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当计入营业外收支。在利润表</w:t>
            </w:r>
          </w:p>
          <w:p>
            <w:pPr>
              <w:pStyle w:val="TableParagraph"/>
              <w:spacing w:line="228" w:lineRule="auto" w:before="9"/>
              <w:ind w:left="103" w:right="100"/>
              <w:jc w:val="both"/>
              <w:rPr>
                <w:rFonts w:ascii="宋体" w:hAnsi="宋体" w:cs="宋体" w:eastAsia="宋体" w:hint="default"/>
                <w:sz w:val="21"/>
                <w:szCs w:val="21"/>
              </w:rPr>
            </w:pPr>
            <w:r>
              <w:rPr>
                <w:rFonts w:ascii="宋体" w:hAnsi="宋体" w:cs="宋体" w:eastAsia="宋体" w:hint="default"/>
                <w:sz w:val="21"/>
                <w:szCs w:val="21"/>
              </w:rPr>
              <w:t>中的</w:t>
            </w:r>
            <w:r>
              <w:rPr>
                <w:rFonts w:ascii="Times New Roman" w:hAnsi="Times New Roman" w:cs="Times New Roman" w:eastAsia="Times New Roman" w:hint="default"/>
                <w:sz w:val="21"/>
                <w:szCs w:val="21"/>
              </w:rPr>
              <w:t>“</w:t>
            </w:r>
            <w:r>
              <w:rPr>
                <w:rFonts w:ascii="宋体" w:hAnsi="宋体" w:cs="宋体" w:eastAsia="宋体" w:hint="default"/>
                <w:sz w:val="21"/>
                <w:szCs w:val="21"/>
              </w:rPr>
              <w:t>营业利润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项目之上单独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列报</w:t>
            </w:r>
            <w:r>
              <w:rPr>
                <w:rFonts w:ascii="Times New Roman" w:hAnsi="Times New Roman" w:cs="Times New Roman" w:eastAsia="Times New Roman" w:hint="default"/>
                <w:sz w:val="21"/>
                <w:szCs w:val="21"/>
              </w:rPr>
              <w:t>“</w:t>
            </w:r>
            <w:r>
              <w:rPr>
                <w:rFonts w:ascii="宋体" w:hAnsi="宋体" w:cs="宋体" w:eastAsia="宋体" w:hint="default"/>
                <w:sz w:val="21"/>
                <w:szCs w:val="21"/>
              </w:rPr>
              <w:t>其他收益</w:t>
            </w:r>
            <w:r>
              <w:rPr>
                <w:rFonts w:ascii="Times New Roman" w:hAnsi="Times New Roman" w:cs="Times New Roman" w:eastAsia="Times New Roman" w:hint="default"/>
                <w:sz w:val="21"/>
                <w:szCs w:val="21"/>
              </w:rPr>
              <w:t>”</w:t>
            </w:r>
            <w:r>
              <w:rPr>
                <w:rFonts w:ascii="宋体" w:hAnsi="宋体" w:cs="宋体" w:eastAsia="宋体" w:hint="default"/>
                <w:sz w:val="21"/>
                <w:szCs w:val="21"/>
              </w:rPr>
              <w:t>项目，计入其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他收益的政府补助在该项目中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反映。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30" w:lineRule="auto"/>
              <w:ind w:left="100" w:right="101"/>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日召开第三届董</w:t>
            </w:r>
            <w:r>
              <w:rPr>
                <w:rFonts w:ascii="宋体" w:hAnsi="宋体" w:cs="宋体" w:eastAsia="宋体" w:hint="default"/>
                <w:w w:val="100"/>
                <w:sz w:val="21"/>
                <w:szCs w:val="21"/>
              </w:rPr>
              <w:t> </w:t>
            </w:r>
            <w:r>
              <w:rPr>
                <w:rFonts w:ascii="宋体" w:hAnsi="宋体" w:cs="宋体" w:eastAsia="宋体" w:hint="default"/>
                <w:spacing w:val="-9"/>
                <w:w w:val="100"/>
                <w:sz w:val="21"/>
                <w:szCs w:val="21"/>
              </w:rPr>
              <w:t>事会第六次审议通过《关于会计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政策变更的议案》</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32" w:lineRule="auto"/>
              <w:ind w:left="103" w:right="96"/>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本次政府补助会计政策变更采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用未来适用法，不涉及对以前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年度的追溯调整。报告期内公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司与日常经营活动相关的政府</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补助为 </w:t>
            </w:r>
            <w:r>
              <w:rPr>
                <w:rFonts w:ascii="Times New Roman" w:hAnsi="Times New Roman" w:cs="Times New Roman" w:eastAsia="Times New Roman" w:hint="default"/>
                <w:sz w:val="21"/>
                <w:szCs w:val="21"/>
              </w:rPr>
              <w:t>17,165,233.05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元，变更</w:t>
            </w:r>
            <w:r>
              <w:rPr>
                <w:rFonts w:ascii="宋体" w:hAnsi="宋体" w:cs="宋体" w:eastAsia="宋体" w:hint="default"/>
                <w:w w:val="100"/>
                <w:sz w:val="21"/>
                <w:szCs w:val="21"/>
              </w:rPr>
              <w:t> </w:t>
            </w:r>
            <w:r>
              <w:rPr>
                <w:rFonts w:ascii="宋体" w:hAnsi="宋体" w:cs="宋体" w:eastAsia="宋体" w:hint="default"/>
                <w:sz w:val="21"/>
                <w:szCs w:val="21"/>
              </w:rPr>
              <w:t>后 减 少 当 期 </w:t>
            </w:r>
            <w:r>
              <w:rPr>
                <w:rFonts w:ascii="Times New Roman" w:hAnsi="Times New Roman" w:cs="Times New Roman" w:eastAsia="Times New Roman" w:hint="default"/>
                <w:sz w:val="21"/>
                <w:szCs w:val="21"/>
              </w:rPr>
              <w:t>“ </w:t>
            </w:r>
            <w:r>
              <w:rPr>
                <w:rFonts w:ascii="宋体" w:hAnsi="宋体" w:cs="宋体" w:eastAsia="宋体" w:hint="default"/>
                <w:sz w:val="21"/>
                <w:szCs w:val="21"/>
              </w:rPr>
              <w:t>营 业 外</w:t>
            </w:r>
            <w:r>
              <w:rPr>
                <w:rFonts w:ascii="宋体" w:hAnsi="宋体" w:cs="宋体" w:eastAsia="宋体" w:hint="default"/>
                <w:spacing w:val="-51"/>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Times New Roman" w:hAnsi="Times New Roman" w:cs="Times New Roman" w:eastAsia="Times New Roman" w:hint="default"/>
                <w:sz w:val="21"/>
                <w:szCs w:val="21"/>
              </w:rPr>
              <w:t>”17,165,233.05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元，相应增加</w:t>
            </w:r>
            <w:r>
              <w:rPr>
                <w:rFonts w:ascii="宋体" w:hAnsi="宋体" w:cs="宋体" w:eastAsia="宋体" w:hint="default"/>
                <w:w w:val="100"/>
                <w:sz w:val="21"/>
                <w:szCs w:val="21"/>
              </w:rPr>
              <w:t> </w:t>
            </w:r>
            <w:r>
              <w:rPr>
                <w:rFonts w:ascii="宋体" w:hAnsi="宋体" w:cs="宋体" w:eastAsia="宋体" w:hint="default"/>
                <w:sz w:val="21"/>
                <w:szCs w:val="21"/>
              </w:rPr>
              <w:t>当期</w:t>
            </w:r>
            <w:r>
              <w:rPr>
                <w:rFonts w:ascii="Times New Roman" w:hAnsi="Times New Roman" w:cs="Times New Roman" w:eastAsia="Times New Roman" w:hint="default"/>
                <w:sz w:val="21"/>
                <w:szCs w:val="21"/>
              </w:rPr>
              <w:t>“</w:t>
            </w:r>
            <w:r>
              <w:rPr>
                <w:rFonts w:ascii="宋体" w:hAnsi="宋体" w:cs="宋体" w:eastAsia="宋体" w:hint="default"/>
                <w:sz w:val="21"/>
                <w:szCs w:val="21"/>
              </w:rPr>
              <w:t>其他收益</w:t>
            </w:r>
            <w:r>
              <w:rPr>
                <w:rFonts w:ascii="Times New Roman" w:hAnsi="Times New Roman" w:cs="Times New Roman" w:eastAsia="Times New Roman" w:hint="default"/>
                <w:sz w:val="21"/>
                <w:szCs w:val="21"/>
              </w:rPr>
              <w:t>”</w:t>
            </w:r>
          </w:p>
        </w:tc>
      </w:tr>
      <w:tr>
        <w:trPr>
          <w:trHeight w:val="3279"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根据财政部制定的《企业会计</w:t>
            </w:r>
          </w:p>
          <w:p>
            <w:pPr>
              <w:pStyle w:val="TableParagraph"/>
              <w:spacing w:line="237" w:lineRule="auto" w:before="2"/>
              <w:ind w:left="103" w:right="82"/>
              <w:jc w:val="both"/>
              <w:rPr>
                <w:rFonts w:ascii="宋体" w:hAnsi="宋体" w:cs="宋体" w:eastAsia="宋体" w:hint="default"/>
                <w:sz w:val="21"/>
                <w:szCs w:val="21"/>
              </w:rPr>
            </w:pPr>
            <w:r>
              <w:rPr>
                <w:rFonts w:ascii="宋体" w:hAnsi="宋体" w:cs="宋体" w:eastAsia="宋体" w:hint="default"/>
                <w:sz w:val="21"/>
                <w:szCs w:val="21"/>
              </w:rPr>
              <w:t>准则第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持有待售的</w:t>
            </w:r>
            <w:r>
              <w:rPr>
                <w:rFonts w:ascii="宋体" w:hAnsi="宋体" w:cs="宋体" w:eastAsia="宋体" w:hint="default"/>
                <w:w w:val="100"/>
                <w:sz w:val="21"/>
                <w:szCs w:val="21"/>
              </w:rPr>
              <w:t> </w:t>
            </w:r>
            <w:r>
              <w:rPr>
                <w:rFonts w:ascii="宋体" w:hAnsi="宋体" w:cs="宋体" w:eastAsia="宋体" w:hint="default"/>
                <w:sz w:val="21"/>
                <w:szCs w:val="21"/>
              </w:rPr>
              <w:t>非流动资产、处置组和终止经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营》的规定，施行日存在的持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有待售非流动资产、处置组和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终止经营，应当采用未来适用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法处理，准则规范了持有待售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6"/>
                <w:sz w:val="21"/>
                <w:szCs w:val="21"/>
              </w:rPr>
              <w:t>的非流动资产或处置组的分</w:t>
            </w:r>
            <w:r>
              <w:rPr>
                <w:rFonts w:ascii="宋体" w:hAnsi="宋体" w:cs="宋体" w:eastAsia="宋体" w:hint="default"/>
                <w:spacing w:val="-80"/>
                <w:sz w:val="21"/>
                <w:szCs w:val="21"/>
              </w:rPr>
              <w:t> </w:t>
            </w:r>
            <w:r>
              <w:rPr>
                <w:rFonts w:ascii="宋体" w:hAnsi="宋体" w:cs="宋体" w:eastAsia="宋体" w:hint="default"/>
                <w:sz w:val="21"/>
                <w:szCs w:val="21"/>
              </w:rPr>
              <w:t>类、计量和列报，以及终止经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营的列报。公司于本准则实施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日无持有待售的非流动资产、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处置组和终止经营项目。</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auto"/>
              <w:ind w:left="100" w:right="101"/>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日，公司召开第</w:t>
            </w:r>
            <w:r>
              <w:rPr>
                <w:rFonts w:ascii="宋体" w:hAnsi="宋体" w:cs="宋体" w:eastAsia="宋体" w:hint="default"/>
                <w:w w:val="100"/>
                <w:sz w:val="21"/>
                <w:szCs w:val="21"/>
              </w:rPr>
              <w:t> </w:t>
            </w:r>
            <w:r>
              <w:rPr>
                <w:rFonts w:ascii="宋体" w:hAnsi="宋体" w:cs="宋体" w:eastAsia="宋体" w:hint="default"/>
                <w:spacing w:val="5"/>
                <w:sz w:val="21"/>
                <w:szCs w:val="21"/>
              </w:rPr>
              <w:t>三届董事会第十五次会议审议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通过《关于新增会计政策的议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案》</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auto"/>
              <w:ind w:left="103" w:right="96"/>
              <w:jc w:val="both"/>
              <w:rPr>
                <w:rFonts w:ascii="宋体" w:hAnsi="宋体" w:cs="宋体" w:eastAsia="宋体" w:hint="default"/>
                <w:sz w:val="21"/>
                <w:szCs w:val="21"/>
              </w:rPr>
            </w:pPr>
            <w:r>
              <w:rPr>
                <w:rFonts w:ascii="宋体" w:hAnsi="宋体" w:cs="宋体" w:eastAsia="宋体" w:hint="default"/>
                <w:sz w:val="21"/>
                <w:szCs w:val="21"/>
              </w:rPr>
              <w:t>此项会计政策变更对公司</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年度财务报表无实质性影响，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不会对公司的财务状况、经营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成果和现金流量产生影响。</w:t>
            </w:r>
          </w:p>
        </w:tc>
      </w:tr>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4"/>
              <w:jc w:val="left"/>
              <w:rPr>
                <w:rFonts w:ascii="宋体" w:hAnsi="宋体" w:cs="宋体" w:eastAsia="宋体" w:hint="default"/>
                <w:sz w:val="21"/>
                <w:szCs w:val="21"/>
              </w:rPr>
            </w:pPr>
            <w:r>
              <w:rPr>
                <w:rFonts w:ascii="宋体" w:hAnsi="宋体" w:cs="宋体" w:eastAsia="宋体" w:hint="default"/>
                <w:sz w:val="21"/>
                <w:szCs w:val="21"/>
              </w:rPr>
              <w:t>根据财政部《关于修订印发一</w:t>
            </w:r>
          </w:p>
          <w:p>
            <w:pPr>
              <w:pStyle w:val="TableParagraph"/>
              <w:spacing w:line="273" w:lineRule="exact"/>
              <w:ind w:left="103" w:right="-4"/>
              <w:jc w:val="left"/>
              <w:rPr>
                <w:rFonts w:ascii="宋体" w:hAnsi="宋体" w:cs="宋体" w:eastAsia="宋体" w:hint="default"/>
                <w:sz w:val="21"/>
                <w:szCs w:val="21"/>
              </w:rPr>
            </w:pPr>
            <w:r>
              <w:rPr>
                <w:rFonts w:ascii="宋体" w:hAnsi="宋体" w:cs="宋体" w:eastAsia="宋体" w:hint="default"/>
                <w:spacing w:val="6"/>
                <w:sz w:val="21"/>
                <w:szCs w:val="21"/>
              </w:rPr>
              <w:t>般企业财务报表格式的通知》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 </w:t>
            </w:r>
            <w:r>
              <w:rPr>
                <w:rFonts w:ascii="宋体" w:hAnsi="宋体" w:cs="宋体" w:eastAsia="宋体" w:hint="default"/>
                <w:spacing w:val="-9"/>
                <w:sz w:val="21"/>
                <w:szCs w:val="21"/>
              </w:rPr>
              <w:t>日，公司第三届</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董事会第十九次会议审议通过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此项会计政策采用追溯调</w:t>
            </w:r>
            <w:r>
              <w:rPr>
                <w:rFonts w:ascii="宋体" w:hAnsi="宋体" w:cs="宋体" w:eastAsia="宋体" w:hint="default"/>
                <w:spacing w:val="-45"/>
                <w:sz w:val="21"/>
                <w:szCs w:val="21"/>
              </w:rPr>
              <w:t> </w:t>
            </w:r>
            <w:r>
              <w:rPr>
                <w:rFonts w:ascii="宋体" w:hAnsi="宋体" w:cs="宋体" w:eastAsia="宋体" w:hint="default"/>
                <w:sz w:val="21"/>
                <w:szCs w:val="21"/>
              </w:rPr>
              <w:t>整</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司调</w:t>
            </w:r>
            <w:r>
              <w:rPr>
                <w:rFonts w:ascii="宋体" w:hAnsi="宋体" w:cs="宋体" w:eastAsia="宋体" w:hint="default"/>
                <w:w w:val="100"/>
                <w:sz w:val="21"/>
                <w:szCs w:val="21"/>
              </w:rPr>
              <w:t>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营</w:t>
            </w:r>
            <w:r>
              <w:rPr>
                <w:rFonts w:ascii="宋体" w:hAnsi="宋体" w:cs="宋体" w:eastAsia="宋体" w:hint="default"/>
                <w:w w:val="100"/>
                <w:sz w:val="21"/>
                <w:szCs w:val="21"/>
              </w:rPr>
              <w:t>业外</w:t>
            </w:r>
          </w:p>
        </w:tc>
      </w:tr>
    </w:tbl>
    <w:p>
      <w:pPr>
        <w:spacing w:after="0" w:line="289" w:lineRule="exact"/>
        <w:jc w:val="left"/>
        <w:rPr>
          <w:rFonts w:ascii="宋体" w:hAnsi="宋体" w:cs="宋体" w:eastAsia="宋体" w:hint="default"/>
          <w:sz w:val="21"/>
          <w:szCs w:val="21"/>
        </w:rPr>
        <w:sectPr>
          <w:pgSz w:w="11910" w:h="16840"/>
          <w:pgMar w:header="857" w:footer="979" w:top="1140" w:bottom="116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219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1"/>
                <w:szCs w:val="21"/>
              </w:rPr>
            </w:pPr>
            <w:r>
              <w:rPr>
                <w:rFonts w:ascii="宋体" w:hAnsi="宋体" w:cs="宋体" w:eastAsia="宋体" w:hint="default"/>
                <w:sz w:val="21"/>
                <w:szCs w:val="21"/>
              </w:rPr>
              <w:t>（财会</w:t>
            </w:r>
            <w:r>
              <w:rPr>
                <w:rFonts w:ascii="Times New Roman" w:hAnsi="Times New Roman" w:cs="Times New Roman" w:eastAsia="Times New Roman" w:hint="default"/>
                <w:sz w:val="21"/>
                <w:szCs w:val="21"/>
              </w:rPr>
              <w:t>[2017]30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号）的规定，</w:t>
            </w:r>
          </w:p>
          <w:p>
            <w:pPr>
              <w:pStyle w:val="TableParagraph"/>
              <w:spacing w:line="237" w:lineRule="auto"/>
              <w:ind w:left="103" w:right="82"/>
              <w:jc w:val="both"/>
              <w:rPr>
                <w:rFonts w:ascii="宋体" w:hAnsi="宋体" w:cs="宋体" w:eastAsia="宋体" w:hint="default"/>
                <w:sz w:val="21"/>
                <w:szCs w:val="21"/>
              </w:rPr>
            </w:pPr>
            <w:r>
              <w:rPr>
                <w:rFonts w:ascii="宋体" w:hAnsi="宋体" w:cs="宋体" w:eastAsia="宋体" w:hint="default"/>
                <w:sz w:val="21"/>
                <w:szCs w:val="21"/>
              </w:rPr>
              <w:t>对公司会计政策和相关会计科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6"/>
                <w:sz w:val="21"/>
                <w:szCs w:val="21"/>
              </w:rPr>
              <w:t>目核算进行适当的变更和调</w:t>
            </w:r>
            <w:r>
              <w:rPr>
                <w:rFonts w:ascii="宋体" w:hAnsi="宋体" w:cs="宋体" w:eastAsia="宋体" w:hint="default"/>
                <w:spacing w:val="-80"/>
                <w:sz w:val="21"/>
                <w:szCs w:val="21"/>
              </w:rPr>
              <w:t> </w:t>
            </w:r>
            <w:r>
              <w:rPr>
                <w:rFonts w:ascii="宋体" w:hAnsi="宋体" w:cs="宋体" w:eastAsia="宋体" w:hint="default"/>
                <w:sz w:val="21"/>
                <w:szCs w:val="21"/>
              </w:rPr>
              <w:t>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《关于会计政策变更的议案》</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收入</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73.</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调减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年度</w:t>
            </w:r>
          </w:p>
          <w:p>
            <w:pPr>
              <w:pStyle w:val="TableParagraph"/>
              <w:spacing w:line="225" w:lineRule="auto" w:before="5"/>
              <w:ind w:left="103" w:right="96"/>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营业外收入</w:t>
            </w:r>
            <w:r>
              <w:rPr>
                <w:rFonts w:ascii="Times New Roman" w:hAnsi="Times New Roman" w:cs="Times New Roman" w:eastAsia="Times New Roman" w:hint="default"/>
                <w:spacing w:val="7"/>
                <w:sz w:val="21"/>
                <w:szCs w:val="21"/>
              </w:rPr>
              <w:t>”99.25</w:t>
            </w:r>
            <w:r>
              <w:rPr>
                <w:rFonts w:ascii="Times New Roman" w:hAnsi="Times New Roman" w:cs="Times New Roman" w:eastAsia="Times New Roman" w:hint="default"/>
                <w:spacing w:val="33"/>
                <w:sz w:val="21"/>
                <w:szCs w:val="21"/>
              </w:rPr>
              <w:t> </w:t>
            </w:r>
            <w:r>
              <w:rPr>
                <w:rFonts w:ascii="宋体" w:hAnsi="宋体" w:cs="宋体" w:eastAsia="宋体" w:hint="default"/>
                <w:spacing w:val="10"/>
                <w:sz w:val="21"/>
                <w:szCs w:val="21"/>
              </w:rPr>
              <w:t>元；调减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 </w:t>
            </w:r>
            <w:r>
              <w:rPr>
                <w:rFonts w:ascii="宋体" w:hAnsi="宋体" w:cs="宋体" w:eastAsia="宋体" w:hint="default"/>
                <w:sz w:val="21"/>
                <w:szCs w:val="21"/>
              </w:rPr>
              <w:t>营 业 外</w:t>
            </w:r>
            <w:r>
              <w:rPr>
                <w:rFonts w:ascii="宋体" w:hAnsi="宋体" w:cs="宋体" w:eastAsia="宋体" w:hint="default"/>
                <w:spacing w:val="-3"/>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出</w:t>
            </w:r>
            <w:r>
              <w:rPr>
                <w:rFonts w:ascii="Times New Roman" w:hAnsi="Times New Roman" w:cs="Times New Roman" w:eastAsia="Times New Roman" w:hint="default"/>
                <w:sz w:val="21"/>
                <w:szCs w:val="21"/>
              </w:rPr>
              <w:t>”100,530.03 </w:t>
            </w:r>
            <w:r>
              <w:rPr>
                <w:rFonts w:ascii="宋体" w:hAnsi="宋体" w:cs="宋体" w:eastAsia="宋体" w:hint="default"/>
                <w:spacing w:val="-15"/>
                <w:sz w:val="21"/>
                <w:szCs w:val="21"/>
              </w:rPr>
              <w:t>元，调减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p>
            <w:pPr>
              <w:pStyle w:val="TableParagraph"/>
              <w:spacing w:line="225" w:lineRule="auto"/>
              <w:ind w:left="103" w:right="96"/>
              <w:jc w:val="both"/>
              <w:rPr>
                <w:rFonts w:ascii="宋体" w:hAnsi="宋体" w:cs="宋体" w:eastAsia="宋体" w:hint="default"/>
                <w:sz w:val="21"/>
                <w:szCs w:val="21"/>
              </w:rPr>
            </w:pPr>
            <w:r>
              <w:rPr>
                <w:rFonts w:ascii="宋体" w:hAnsi="宋体" w:cs="宋体" w:eastAsia="宋体" w:hint="default"/>
                <w:sz w:val="21"/>
                <w:szCs w:val="21"/>
              </w:rPr>
              <w:t>度</w:t>
            </w:r>
            <w:r>
              <w:rPr>
                <w:rFonts w:ascii="Times New Roman" w:hAnsi="Times New Roman" w:cs="Times New Roman" w:eastAsia="Times New Roman" w:hint="default"/>
                <w:sz w:val="21"/>
                <w:szCs w:val="21"/>
              </w:rPr>
              <w:t>”</w:t>
            </w:r>
            <w:r>
              <w:rPr>
                <w:rFonts w:ascii="宋体" w:hAnsi="宋体" w:cs="宋体" w:eastAsia="宋体" w:hint="default"/>
                <w:sz w:val="21"/>
                <w:szCs w:val="21"/>
              </w:rPr>
              <w:t>营业外支出</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元；调减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w w:val="100"/>
                <w:sz w:val="21"/>
                <w:szCs w:val="21"/>
              </w:rPr>
              <w:t>2017 </w:t>
            </w:r>
            <w:r>
              <w:rPr>
                <w:rFonts w:ascii="宋体" w:hAnsi="宋体" w:cs="宋体" w:eastAsia="宋体" w:hint="default"/>
                <w:spacing w:val="45"/>
                <w:w w:val="100"/>
                <w:sz w:val="21"/>
                <w:szCs w:val="21"/>
              </w:rPr>
              <w:t>年度</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资 产 处 置</w:t>
            </w:r>
            <w:r>
              <w:rPr>
                <w:rFonts w:ascii="宋体" w:hAnsi="宋体" w:cs="宋体" w:eastAsia="宋体" w:hint="default"/>
                <w:spacing w:val="-3"/>
                <w:w w:val="100"/>
                <w:sz w:val="21"/>
                <w:szCs w:val="21"/>
              </w:rPr>
              <w:t> </w:t>
            </w:r>
            <w:r>
              <w:rPr>
                <w:rFonts w:ascii="宋体" w:hAnsi="宋体" w:cs="宋体" w:eastAsia="宋体" w:hint="default"/>
                <w:w w:val="100"/>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Times New Roman" w:hAnsi="Times New Roman" w:cs="Times New Roman" w:eastAsia="Times New Roman" w:hint="default"/>
                <w:sz w:val="21"/>
                <w:szCs w:val="21"/>
              </w:rPr>
              <w:t>”100,256.61 </w:t>
            </w:r>
            <w:r>
              <w:rPr>
                <w:rFonts w:ascii="宋体" w:hAnsi="宋体" w:cs="宋体" w:eastAsia="宋体" w:hint="default"/>
                <w:spacing w:val="-15"/>
                <w:sz w:val="21"/>
                <w:szCs w:val="21"/>
              </w:rPr>
              <w:t>元，调增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p>
            <w:pPr>
              <w:pStyle w:val="TableParagraph"/>
              <w:spacing w:line="276"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资产处置收益</w:t>
            </w:r>
            <w:r>
              <w:rPr>
                <w:rFonts w:ascii="Times New Roman" w:hAnsi="Times New Roman" w:cs="Times New Roman" w:eastAsia="Times New Roman" w:hint="default"/>
                <w:sz w:val="21"/>
                <w:szCs w:val="21"/>
              </w:rPr>
              <w:t>”99.25 </w:t>
            </w:r>
            <w:r>
              <w:rPr>
                <w:rFonts w:ascii="宋体" w:hAnsi="宋体" w:cs="宋体" w:eastAsia="宋体" w:hint="default"/>
                <w:sz w:val="21"/>
                <w:szCs w:val="21"/>
              </w:rPr>
              <w:t>元。</w:t>
            </w:r>
          </w:p>
        </w:tc>
      </w:tr>
    </w:tbl>
    <w:p>
      <w:pPr>
        <w:spacing w:line="240" w:lineRule="auto" w:before="1"/>
        <w:rPr>
          <w:rFonts w:ascii="宋体" w:hAnsi="宋体" w:cs="宋体" w:eastAsia="宋体" w:hint="default"/>
          <w:sz w:val="14"/>
          <w:szCs w:val="14"/>
        </w:rPr>
      </w:pPr>
    </w:p>
    <w:p>
      <w:pPr>
        <w:pStyle w:val="BodyText"/>
        <w:spacing w:line="240" w:lineRule="auto" w:before="36"/>
        <w:ind w:right="2513"/>
        <w:jc w:val="left"/>
      </w:pPr>
      <w:r>
        <w:rPr>
          <w:w w:val="100"/>
        </w:rPr>
        <w:t>无</w:t>
      </w:r>
    </w:p>
    <w:p>
      <w:pPr>
        <w:spacing w:line="240" w:lineRule="auto" w:before="2"/>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right="2513"/>
        <w:jc w:val="left"/>
      </w:pPr>
      <w:r>
        <w:rPr/>
        <w:t>□适用</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163" w:val="left" w:leader="none"/>
        </w:tabs>
        <w:spacing w:line="240" w:lineRule="auto" w:before="58"/>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tabs>
          <w:tab w:pos="1060" w:val="left" w:leader="none"/>
        </w:tabs>
        <w:spacing w:line="244" w:lineRule="exact"/>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5"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销售货物或提供应税劳务过程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中产生的增值额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Calibri" w:hAnsi="Calibri" w:cs="Calibri" w:eastAsia="Calibri" w:hint="default"/>
                <w:sz w:val="21"/>
                <w:szCs w:val="21"/>
              </w:rPr>
            </w:pP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Calibri" w:hAnsi="Calibri" w:cs="Calibri" w:eastAsia="Calibri" w:hint="default"/>
                <w:spacing w:val="-2"/>
                <w:sz w:val="21"/>
                <w:szCs w:val="21"/>
              </w:rPr>
              <w:t>[</w:t>
            </w:r>
            <w:r>
              <w:rPr>
                <w:rFonts w:ascii="宋体" w:hAnsi="宋体" w:cs="宋体" w:eastAsia="宋体" w:hint="default"/>
                <w:spacing w:val="-2"/>
                <w:sz w:val="21"/>
                <w:szCs w:val="21"/>
              </w:rPr>
              <w:t>注</w:t>
            </w:r>
            <w:r>
              <w:rPr>
                <w:rFonts w:ascii="Calibri" w:hAnsi="Calibri" w:cs="Calibri" w:eastAsia="Calibri" w:hint="default"/>
                <w:spacing w:val="-2"/>
                <w:sz w:val="21"/>
                <w:szCs w:val="21"/>
              </w:rPr>
              <w:t>]</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2%</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0.09%</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3%</w:t>
            </w:r>
          </w:p>
        </w:tc>
      </w:tr>
    </w:tbl>
    <w:p>
      <w:pPr>
        <w:spacing w:line="240" w:lineRule="auto" w:before="4"/>
        <w:rPr>
          <w:rFonts w:ascii="宋体" w:hAnsi="宋体" w:cs="宋体" w:eastAsia="宋体" w:hint="default"/>
          <w:sz w:val="21"/>
          <w:szCs w:val="21"/>
        </w:rPr>
      </w:pPr>
    </w:p>
    <w:p>
      <w:pPr>
        <w:pStyle w:val="BodyText"/>
        <w:spacing w:line="240" w:lineRule="auto" w:before="36"/>
        <w:ind w:left="638" w:right="123"/>
        <w:jc w:val="left"/>
      </w:pPr>
      <w:r>
        <w:rPr>
          <w:spacing w:val="-18"/>
        </w:rPr>
        <w:t>注：自</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4"/>
        </w:rPr>
        <w:t>日营业税改征增值税之后，本公司不动产租金收入按</w:t>
      </w:r>
      <w:r>
        <w:rPr>
          <w:spacing w:val="-48"/>
        </w:rPr>
        <w:t> </w:t>
      </w:r>
      <w:r>
        <w:rPr>
          <w:rFonts w:ascii="Times New Roman" w:hAnsi="Times New Roman" w:cs="Times New Roman" w:eastAsia="Times New Roman" w:hint="default"/>
          <w:spacing w:val="-2"/>
        </w:rPr>
        <w:t>11%</w:t>
      </w:r>
      <w:r>
        <w:rPr>
          <w:spacing w:val="-2"/>
        </w:rPr>
        <w:t>的税率缴纳增</w:t>
      </w:r>
    </w:p>
    <w:p>
      <w:pPr>
        <w:pStyle w:val="BodyText"/>
        <w:spacing w:line="297" w:lineRule="auto" w:before="69"/>
        <w:ind w:right="225"/>
        <w:jc w:val="left"/>
      </w:pPr>
      <w:r>
        <w:rPr/>
        <w:t>值税。公司出租</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日前取得的不动产，选择适用简易计税方法，按</w:t>
      </w:r>
      <w:r>
        <w:rPr>
          <w:spacing w:val="-39"/>
        </w:rPr>
        <w:t> </w:t>
      </w:r>
      <w:r>
        <w:rPr>
          <w:rFonts w:ascii="Times New Roman" w:hAnsi="Times New Roman" w:cs="Times New Roman" w:eastAsia="Times New Roman" w:hint="default"/>
        </w:rPr>
        <w:t>5%</w:t>
      </w:r>
      <w:r>
        <w:rPr/>
        <w:t>的征收率计</w:t>
      </w:r>
      <w:r>
        <w:rPr>
          <w:w w:val="100"/>
        </w:rPr>
        <w:t> </w:t>
      </w:r>
      <w:r>
        <w:rPr/>
        <w:t>算增值税应纳税额。</w:t>
      </w:r>
    </w:p>
    <w:p>
      <w:pPr>
        <w:pStyle w:val="BodyText"/>
        <w:tabs>
          <w:tab w:pos="1060" w:val="left" w:leader="none"/>
        </w:tabs>
        <w:spacing w:line="260"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Heading3"/>
        <w:tabs>
          <w:tab w:pos="642" w:val="left" w:leader="none"/>
        </w:tabs>
        <w:spacing w:line="240" w:lineRule="auto" w:before="32"/>
        <w:ind w:right="2513"/>
        <w:jc w:val="left"/>
        <w:rPr>
          <w:b w:val="0"/>
          <w:bCs w:val="0"/>
        </w:rPr>
      </w:pPr>
      <w:r>
        <w:rPr>
          <w:rFonts w:ascii="宋体" w:hAnsi="宋体" w:cs="宋体" w:eastAsia="宋体" w:hint="default"/>
          <w:w w:val="95"/>
        </w:rPr>
        <w:t>2.</w:t>
        <w:tab/>
      </w:r>
      <w:r>
        <w:rPr/>
        <w:t>税收优惠</w:t>
      </w:r>
      <w:r>
        <w:rPr>
          <w:b w:val="0"/>
          <w:bCs w:val="0"/>
        </w:rPr>
      </w:r>
    </w:p>
    <w:p>
      <w:pPr>
        <w:pStyle w:val="BodyText"/>
        <w:tabs>
          <w:tab w:pos="1163" w:val="left" w:leader="none"/>
        </w:tabs>
        <w:spacing w:line="240" w:lineRule="auto" w:before="56"/>
        <w:ind w:right="2513"/>
        <w:jc w:val="left"/>
      </w:pPr>
      <w:r>
        <w:rPr/>
        <w:t>√适用</w:t>
        <w:tab/>
        <w:t>□不适用</w:t>
      </w:r>
    </w:p>
    <w:p>
      <w:pPr>
        <w:pStyle w:val="BodyText"/>
        <w:spacing w:line="240" w:lineRule="auto" w:before="73"/>
        <w:ind w:left="638" w:right="0"/>
        <w:jc w:val="left"/>
      </w:pPr>
      <w:r>
        <w:rPr>
          <w:w w:val="100"/>
        </w:rPr>
        <w:t>（</w:t>
      </w:r>
      <w:r>
        <w:rPr>
          <w:rFonts w:ascii="Times New Roman" w:hAnsi="Times New Roman" w:cs="Times New Roman" w:eastAsia="Times New Roman" w:hint="default"/>
          <w:w w:val="100"/>
        </w:rPr>
        <w:t>1</w:t>
      </w:r>
      <w:r>
        <w:rPr>
          <w:spacing w:val="-101"/>
          <w:w w:val="100"/>
        </w:rPr>
        <w:t>）</w:t>
      </w:r>
      <w:r>
        <w:rPr>
          <w:w w:val="100"/>
        </w:rPr>
        <w:t>依</w:t>
      </w:r>
      <w:r>
        <w:rPr>
          <w:spacing w:val="-3"/>
          <w:w w:val="100"/>
        </w:rPr>
        <w:t>据</w:t>
      </w:r>
      <w:r>
        <w:rPr>
          <w:w w:val="100"/>
        </w:rPr>
        <w:t>国</w:t>
      </w:r>
      <w:r>
        <w:rPr>
          <w:spacing w:val="-3"/>
          <w:w w:val="100"/>
        </w:rPr>
        <w:t>务</w:t>
      </w:r>
      <w:r>
        <w:rPr>
          <w:w w:val="100"/>
        </w:rPr>
        <w:t>院</w:t>
      </w:r>
      <w:r>
        <w:rPr>
          <w:spacing w:val="-3"/>
          <w:w w:val="100"/>
        </w:rPr>
        <w:t>下</w:t>
      </w:r>
      <w:r>
        <w:rPr>
          <w:w w:val="100"/>
        </w:rPr>
        <w:t>发</w:t>
      </w:r>
      <w:r>
        <w:rPr>
          <w:spacing w:val="-101"/>
          <w:w w:val="100"/>
        </w:rPr>
        <w:t>的</w:t>
      </w:r>
      <w:r>
        <w:rPr>
          <w:w w:val="100"/>
        </w:rPr>
        <w:t>《</w:t>
      </w:r>
      <w:r>
        <w:rPr>
          <w:spacing w:val="-3"/>
          <w:w w:val="100"/>
        </w:rPr>
        <w:t>关</w:t>
      </w:r>
      <w:r>
        <w:rPr>
          <w:w w:val="100"/>
        </w:rPr>
        <w:t>于印</w:t>
      </w:r>
      <w:r>
        <w:rPr>
          <w:spacing w:val="-3"/>
          <w:w w:val="100"/>
        </w:rPr>
        <w:t>发</w:t>
      </w:r>
      <w:r>
        <w:rPr>
          <w:w w:val="100"/>
        </w:rPr>
        <w:t>进</w:t>
      </w:r>
      <w:r>
        <w:rPr>
          <w:spacing w:val="-3"/>
          <w:w w:val="100"/>
        </w:rPr>
        <w:t>一</w:t>
      </w:r>
      <w:r>
        <w:rPr>
          <w:w w:val="100"/>
        </w:rPr>
        <w:t>步</w:t>
      </w:r>
      <w:r>
        <w:rPr>
          <w:spacing w:val="-3"/>
          <w:w w:val="100"/>
        </w:rPr>
        <w:t>鼓</w:t>
      </w:r>
      <w:r>
        <w:rPr>
          <w:w w:val="100"/>
        </w:rPr>
        <w:t>励</w:t>
      </w:r>
      <w:r>
        <w:rPr>
          <w:spacing w:val="-3"/>
          <w:w w:val="100"/>
        </w:rPr>
        <w:t>软</w:t>
      </w:r>
      <w:r>
        <w:rPr>
          <w:w w:val="100"/>
        </w:rPr>
        <w:t>件</w:t>
      </w:r>
      <w:r>
        <w:rPr>
          <w:spacing w:val="-3"/>
          <w:w w:val="100"/>
        </w:rPr>
        <w:t>产</w:t>
      </w:r>
      <w:r>
        <w:rPr>
          <w:w w:val="100"/>
        </w:rPr>
        <w:t>业和</w:t>
      </w:r>
      <w:r>
        <w:rPr>
          <w:spacing w:val="-3"/>
          <w:w w:val="100"/>
        </w:rPr>
        <w:t>集</w:t>
      </w:r>
      <w:r>
        <w:rPr>
          <w:w w:val="100"/>
        </w:rPr>
        <w:t>成</w:t>
      </w:r>
      <w:r>
        <w:rPr>
          <w:spacing w:val="-3"/>
          <w:w w:val="100"/>
        </w:rPr>
        <w:t>电</w:t>
      </w:r>
      <w:r>
        <w:rPr>
          <w:w w:val="100"/>
        </w:rPr>
        <w:t>路</w:t>
      </w:r>
      <w:r>
        <w:rPr>
          <w:spacing w:val="-3"/>
          <w:w w:val="100"/>
        </w:rPr>
        <w:t>产</w:t>
      </w:r>
      <w:r>
        <w:rPr>
          <w:w w:val="100"/>
        </w:rPr>
        <w:t>业</w:t>
      </w:r>
      <w:r>
        <w:rPr>
          <w:spacing w:val="-3"/>
          <w:w w:val="100"/>
        </w:rPr>
        <w:t>发</w:t>
      </w:r>
      <w:r>
        <w:rPr>
          <w:w w:val="100"/>
        </w:rPr>
        <w:t>展</w:t>
      </w:r>
      <w:r>
        <w:rPr>
          <w:spacing w:val="-3"/>
          <w:w w:val="100"/>
        </w:rPr>
        <w:t>若</w:t>
      </w:r>
      <w:r>
        <w:rPr>
          <w:w w:val="100"/>
        </w:rPr>
        <w:t>干政</w:t>
      </w:r>
      <w:r>
        <w:rPr>
          <w:spacing w:val="-3"/>
          <w:w w:val="100"/>
        </w:rPr>
        <w:t>策</w:t>
      </w:r>
      <w:r>
        <w:rPr>
          <w:w w:val="100"/>
        </w:rPr>
        <w:t>的</w:t>
      </w:r>
      <w:r>
        <w:rPr>
          <w:spacing w:val="-3"/>
          <w:w w:val="100"/>
        </w:rPr>
        <w:t>通知</w:t>
      </w:r>
      <w:r>
        <w:rPr>
          <w:w w:val="100"/>
        </w:rPr>
        <w:t>》</w:t>
      </w:r>
    </w:p>
    <w:p>
      <w:pPr>
        <w:pStyle w:val="BodyText"/>
        <w:spacing w:line="240" w:lineRule="auto" w:before="69"/>
        <w:ind w:right="0"/>
        <w:jc w:val="left"/>
      </w:pPr>
      <w:r>
        <w:rPr/>
        <w:t>（国发</w:t>
      </w:r>
      <w:r>
        <w:rPr>
          <w:rFonts w:ascii="Times New Roman" w:hAnsi="Times New Roman" w:cs="Times New Roman" w:eastAsia="Times New Roman" w:hint="default"/>
        </w:rPr>
        <w:t>[2011]4 </w:t>
      </w:r>
      <w:r>
        <w:rPr>
          <w:spacing w:val="-21"/>
        </w:rPr>
        <w:t>号）第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5"/>
        </w:rPr>
        <w:t>条及财政部、国家税务总局联合下发的《关于软件产品增值税政策的通知》</w:t>
      </w:r>
    </w:p>
    <w:p>
      <w:pPr>
        <w:pStyle w:val="BodyText"/>
        <w:spacing w:line="297" w:lineRule="auto" w:before="69"/>
        <w:ind w:right="123"/>
        <w:jc w:val="left"/>
      </w:pPr>
      <w:r>
        <w:rPr/>
        <w:t>（财税</w:t>
      </w:r>
      <w:r>
        <w:rPr>
          <w:rFonts w:ascii="Times New Roman" w:hAnsi="Times New Roman" w:cs="Times New Roman" w:eastAsia="Times New Roman" w:hint="default"/>
        </w:rPr>
        <w:t>[2011]100</w:t>
      </w:r>
      <w:r>
        <w:rPr>
          <w:rFonts w:ascii="Times New Roman" w:hAnsi="Times New Roman" w:cs="Times New Roman" w:eastAsia="Times New Roman" w:hint="default"/>
          <w:spacing w:val="5"/>
        </w:rPr>
        <w:t> </w:t>
      </w:r>
      <w:r>
        <w:rPr>
          <w:spacing w:val="-5"/>
        </w:rPr>
        <w:t>号）的规定，公司销售其自行开发生产的软件产品，按</w:t>
      </w:r>
      <w:r>
        <w:rPr>
          <w:spacing w:val="-44"/>
        </w:rPr>
        <w:t> </w:t>
      </w:r>
      <w:r>
        <w:rPr>
          <w:rFonts w:ascii="Times New Roman" w:hAnsi="Times New Roman" w:cs="Times New Roman" w:eastAsia="Times New Roman" w:hint="default"/>
        </w:rPr>
        <w:t>17%</w:t>
      </w:r>
      <w:r>
        <w:rPr/>
        <w:t>的法定税率征收增值</w:t>
      </w:r>
      <w:r>
        <w:rPr>
          <w:spacing w:val="-102"/>
        </w:rPr>
        <w:t> </w:t>
      </w:r>
      <w:r>
        <w:rPr>
          <w:spacing w:val="-102"/>
        </w:rPr>
      </w:r>
      <w:r>
        <w:rPr>
          <w:spacing w:val="-2"/>
        </w:rPr>
        <w:t>税后，享受增值税实际税负超过</w:t>
      </w:r>
      <w:r>
        <w:rPr>
          <w:spacing w:val="5"/>
        </w:rPr>
        <w:t> </w:t>
      </w:r>
      <w:r>
        <w:rPr>
          <w:rFonts w:ascii="Times New Roman" w:hAnsi="Times New Roman" w:cs="Times New Roman" w:eastAsia="Times New Roman" w:hint="default"/>
          <w:spacing w:val="-2"/>
        </w:rPr>
        <w:t>3%</w:t>
      </w:r>
      <w:r>
        <w:rPr>
          <w:spacing w:val="-2"/>
        </w:rPr>
        <w:t>的部分实行即征即退的优惠政策。</w:t>
      </w:r>
    </w:p>
    <w:p>
      <w:pPr>
        <w:pStyle w:val="BodyText"/>
        <w:spacing w:line="297" w:lineRule="auto" w:before="13"/>
        <w:ind w:right="227" w:firstLine="419"/>
        <w:jc w:val="both"/>
      </w:pPr>
      <w:r>
        <w:rPr>
          <w:spacing w:val="-7"/>
          <w:w w:val="100"/>
        </w:rPr>
        <w:t>（</w:t>
      </w:r>
      <w:r>
        <w:rPr>
          <w:rFonts w:ascii="Times New Roman" w:hAnsi="Times New Roman" w:cs="Times New Roman" w:eastAsia="Times New Roman" w:hint="default"/>
          <w:spacing w:val="-7"/>
          <w:w w:val="100"/>
        </w:rPr>
        <w:t>2</w:t>
      </w:r>
      <w:r>
        <w:rPr>
          <w:spacing w:val="-7"/>
          <w:w w:val="100"/>
        </w:rPr>
        <w:t>）根据《高新技术企业认定管理办法》（国科发火</w:t>
      </w:r>
      <w:r>
        <w:rPr>
          <w:rFonts w:ascii="Times New Roman" w:hAnsi="Times New Roman" w:cs="Times New Roman" w:eastAsia="Times New Roman" w:hint="default"/>
          <w:spacing w:val="-7"/>
          <w:w w:val="100"/>
        </w:rPr>
        <w:t>[2008]172</w:t>
      </w:r>
      <w:r>
        <w:rPr>
          <w:rFonts w:ascii="Times New Roman" w:hAnsi="Times New Roman" w:cs="Times New Roman" w:eastAsia="Times New Roman" w:hint="default"/>
          <w:spacing w:val="24"/>
          <w:w w:val="100"/>
        </w:rPr>
        <w:t> </w:t>
      </w:r>
      <w:r>
        <w:rPr>
          <w:spacing w:val="-18"/>
          <w:w w:val="100"/>
        </w:rPr>
        <w:t>号）、《高新技术企业认定管理</w:t>
      </w:r>
      <w:r>
        <w:rPr>
          <w:w w:val="100"/>
        </w:rPr>
        <w:t> </w:t>
      </w:r>
      <w:r>
        <w:rPr>
          <w:spacing w:val="-9"/>
          <w:w w:val="100"/>
        </w:rPr>
        <w:t>工作指引》（国科发火</w:t>
      </w:r>
      <w:r>
        <w:rPr>
          <w:rFonts w:ascii="Times New Roman" w:hAnsi="Times New Roman" w:cs="Times New Roman" w:eastAsia="Times New Roman" w:hint="default"/>
          <w:spacing w:val="-9"/>
          <w:w w:val="100"/>
        </w:rPr>
        <w:t>[2008]362</w:t>
      </w:r>
      <w:r>
        <w:rPr>
          <w:rFonts w:ascii="Times New Roman" w:hAnsi="Times New Roman" w:cs="Times New Roman" w:eastAsia="Times New Roman" w:hint="default"/>
          <w:spacing w:val="19"/>
          <w:w w:val="100"/>
        </w:rPr>
        <w:t> </w:t>
      </w:r>
      <w:r>
        <w:rPr>
          <w:spacing w:val="-7"/>
          <w:w w:val="100"/>
        </w:rPr>
        <w:t>号），公司原高新技术企业证书有效期满后重新被认定为高新技术</w:t>
      </w:r>
      <w:r>
        <w:rPr>
          <w:spacing w:val="-98"/>
          <w:w w:val="100"/>
        </w:rPr>
        <w:t> </w:t>
      </w:r>
      <w:r>
        <w:rPr>
          <w:spacing w:val="-98"/>
          <w:w w:val="100"/>
        </w:rPr>
      </w:r>
      <w:r>
        <w:rPr>
          <w:spacing w:val="-5"/>
          <w:w w:val="100"/>
        </w:rPr>
        <w:t>企业并取得《高新技术企业证书》，证书编号：</w:t>
      </w:r>
      <w:r>
        <w:rPr>
          <w:rFonts w:ascii="Times New Roman" w:hAnsi="Times New Roman" w:cs="Times New Roman" w:eastAsia="Times New Roman" w:hint="default"/>
          <w:spacing w:val="-5"/>
          <w:w w:val="100"/>
        </w:rPr>
        <w:t>GR201735000086</w:t>
      </w:r>
      <w:r>
        <w:rPr>
          <w:spacing w:val="-5"/>
          <w:w w:val="100"/>
        </w:rPr>
        <w:t>，有效期三年，</w:t>
      </w:r>
      <w:r>
        <w:rPr>
          <w:rFonts w:ascii="Times New Roman" w:hAnsi="Times New Roman" w:cs="Times New Roman" w:eastAsia="Times New Roman" w:hint="default"/>
          <w:spacing w:val="-5"/>
          <w:w w:val="100"/>
        </w:rPr>
        <w:t>2016</w:t>
      </w:r>
      <w:r>
        <w:rPr>
          <w:rFonts w:ascii="Times New Roman" w:hAnsi="Times New Roman" w:cs="Times New Roman" w:eastAsia="Times New Roman" w:hint="default"/>
          <w:spacing w:val="4"/>
          <w:w w:val="100"/>
        </w:rPr>
        <w:t> </w:t>
      </w:r>
      <w:r>
        <w:rPr>
          <w:spacing w:val="-3"/>
          <w:w w:val="100"/>
        </w:rPr>
        <w:t>年、</w:t>
      </w:r>
      <w:r>
        <w:rPr>
          <w:rFonts w:ascii="Times New Roman" w:hAnsi="Times New Roman" w:cs="Times New Roman" w:eastAsia="Times New Roman" w:hint="default"/>
          <w:spacing w:val="-3"/>
          <w:w w:val="100"/>
        </w:rPr>
        <w:t>2017</w:t>
      </w:r>
      <w:r>
        <w:rPr>
          <w:rFonts w:ascii="Times New Roman" w:hAnsi="Times New Roman" w:cs="Times New Roman" w:eastAsia="Times New Roman" w:hint="default"/>
          <w:spacing w:val="4"/>
          <w:w w:val="100"/>
        </w:rPr>
        <w:t> </w:t>
      </w:r>
      <w:r>
        <w:rPr>
          <w:w w:val="100"/>
        </w:rPr>
        <w:t>年</w:t>
      </w:r>
      <w:r>
        <w:rPr>
          <w:spacing w:val="-103"/>
          <w:w w:val="100"/>
        </w:rPr>
        <w:t> </w:t>
      </w:r>
      <w:r>
        <w:rPr/>
        <w:t>企业所得税暂按</w:t>
      </w:r>
      <w:r>
        <w:rPr>
          <w:spacing w:val="-54"/>
        </w:rPr>
        <w:t> </w:t>
      </w:r>
      <w:r>
        <w:rPr>
          <w:rFonts w:ascii="Times New Roman" w:hAnsi="Times New Roman" w:cs="Times New Roman" w:eastAsia="Times New Roman" w:hint="default"/>
        </w:rPr>
        <w:t>15%</w:t>
      </w:r>
      <w:r>
        <w:rPr/>
        <w:t>的所得税税率预缴。</w:t>
      </w:r>
    </w:p>
    <w:p>
      <w:pPr>
        <w:pStyle w:val="BodyText"/>
        <w:spacing w:line="240" w:lineRule="auto" w:before="13"/>
        <w:ind w:left="638" w:right="123"/>
        <w:jc w:val="left"/>
      </w:pPr>
      <w:r>
        <w:rPr/>
        <w:t>（</w:t>
      </w:r>
      <w:r>
        <w:rPr>
          <w:rFonts w:ascii="Times New Roman" w:hAnsi="Times New Roman" w:cs="Times New Roman" w:eastAsia="Times New Roman" w:hint="default"/>
        </w:rPr>
        <w:t>3</w:t>
      </w:r>
      <w:r>
        <w:rPr/>
        <w:t>）公司之子公司福建南威软件有限公司于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年被认定为高新技术企业，取得《高新技</w:t>
      </w:r>
    </w:p>
    <w:p>
      <w:pPr>
        <w:spacing w:after="0" w:line="240" w:lineRule="auto"/>
        <w:jc w:val="left"/>
        <w:sectPr>
          <w:pgSz w:w="11910" w:h="16840"/>
          <w:pgMar w:header="857" w:footer="979" w:top="1140" w:bottom="1160" w:left="1580" w:right="1040"/>
        </w:sectPr>
      </w:pPr>
    </w:p>
    <w:p>
      <w:pPr>
        <w:spacing w:line="240" w:lineRule="auto" w:before="2"/>
        <w:rPr>
          <w:rFonts w:ascii="宋体" w:hAnsi="宋体" w:cs="宋体" w:eastAsia="宋体" w:hint="default"/>
          <w:sz w:val="29"/>
          <w:szCs w:val="29"/>
        </w:rPr>
      </w:pPr>
    </w:p>
    <w:p>
      <w:pPr>
        <w:pStyle w:val="BodyText"/>
        <w:spacing w:line="297" w:lineRule="auto" w:before="36"/>
        <w:ind w:right="123"/>
        <w:jc w:val="left"/>
      </w:pPr>
      <w:r>
        <w:rPr>
          <w:spacing w:val="-5"/>
          <w:w w:val="100"/>
        </w:rPr>
        <w:t>术企业证书》，证书编号：</w:t>
      </w:r>
      <w:r>
        <w:rPr>
          <w:rFonts w:ascii="Times New Roman" w:hAnsi="Times New Roman" w:cs="Times New Roman" w:eastAsia="Times New Roman" w:hint="default"/>
          <w:spacing w:val="-5"/>
          <w:w w:val="100"/>
        </w:rPr>
        <w:t>GR201635000402</w:t>
      </w:r>
      <w:r>
        <w:rPr>
          <w:spacing w:val="-5"/>
          <w:w w:val="100"/>
        </w:rPr>
        <w:t>，有效期三年，</w:t>
      </w:r>
      <w:r>
        <w:rPr>
          <w:rFonts w:ascii="Times New Roman" w:hAnsi="Times New Roman" w:cs="Times New Roman" w:eastAsia="Times New Roman" w:hint="default"/>
          <w:spacing w:val="-5"/>
          <w:w w:val="100"/>
        </w:rPr>
        <w:t>2017</w:t>
      </w:r>
      <w:r>
        <w:rPr>
          <w:rFonts w:ascii="Times New Roman" w:hAnsi="Times New Roman" w:cs="Times New Roman" w:eastAsia="Times New Roman" w:hint="default"/>
          <w:spacing w:val="3"/>
          <w:w w:val="100"/>
        </w:rPr>
        <w:t> </w:t>
      </w:r>
      <w:r>
        <w:rPr>
          <w:spacing w:val="-2"/>
          <w:w w:val="100"/>
        </w:rPr>
        <w:t>年企业所得税暂按</w:t>
      </w:r>
      <w:r>
        <w:rPr>
          <w:spacing w:val="-46"/>
          <w:w w:val="100"/>
        </w:rPr>
        <w:t> </w:t>
      </w:r>
      <w:r>
        <w:rPr>
          <w:rFonts w:ascii="Times New Roman" w:hAnsi="Times New Roman" w:cs="Times New Roman" w:eastAsia="Times New Roman" w:hint="default"/>
          <w:spacing w:val="-2"/>
          <w:w w:val="100"/>
        </w:rPr>
        <w:t>15%</w:t>
      </w:r>
      <w:r>
        <w:rPr>
          <w:spacing w:val="-2"/>
          <w:w w:val="100"/>
        </w:rPr>
        <w:t>的所得税</w:t>
      </w:r>
      <w:r>
        <w:rPr>
          <w:spacing w:val="-103"/>
          <w:w w:val="100"/>
        </w:rPr>
        <w:t> </w:t>
      </w:r>
      <w:r>
        <w:rPr>
          <w:spacing w:val="-103"/>
          <w:w w:val="100"/>
        </w:rPr>
      </w:r>
      <w:r>
        <w:rPr/>
        <w:t>税率预缴。</w:t>
      </w:r>
    </w:p>
    <w:p>
      <w:pPr>
        <w:pStyle w:val="BodyText"/>
        <w:spacing w:line="304" w:lineRule="auto" w:before="34"/>
        <w:ind w:right="228" w:firstLine="419"/>
        <w:jc w:val="both"/>
      </w:pPr>
      <w:r>
        <w:rPr/>
        <w:t>（</w:t>
      </w:r>
      <w:r>
        <w:rPr>
          <w:rFonts w:ascii="Times New Roman" w:hAnsi="Times New Roman" w:cs="Times New Roman" w:eastAsia="Times New Roman" w:hint="default"/>
        </w:rPr>
        <w:t>4</w:t>
      </w:r>
      <w:r>
        <w:rPr/>
        <w:t>）根据财税字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24"/>
        </w:rPr>
        <w:t> </w:t>
      </w:r>
      <w:r>
        <w:rPr/>
        <w:t>号，财政部、国家税务总局关于贯彻落实《中共中央国务院关于</w:t>
      </w:r>
      <w:r>
        <w:rPr>
          <w:w w:val="100"/>
        </w:rPr>
        <w:t> </w:t>
      </w:r>
      <w:r>
        <w:rPr>
          <w:spacing w:val="-1"/>
        </w:rPr>
        <w:t>加强技术创新，发展高科技，实现产业化的决定》有关税收问题的通知的规定，公司取得的经税</w:t>
      </w:r>
      <w:r>
        <w:rPr>
          <w:spacing w:val="-55"/>
        </w:rPr>
        <w:t> </w:t>
      </w:r>
      <w:r>
        <w:rPr>
          <w:spacing w:val="-55"/>
        </w:rPr>
      </w:r>
      <w:r>
        <w:rPr>
          <w:spacing w:val="-1"/>
        </w:rPr>
        <w:t>务主管部门核准后的技术转让、技术开发业务和与之相关的技术咨询、技术服务业务收入免征营</w:t>
      </w:r>
      <w:r>
        <w:rPr>
          <w:spacing w:val="-55"/>
        </w:rPr>
        <w:t> </w:t>
      </w:r>
      <w:r>
        <w:rPr>
          <w:spacing w:val="-55"/>
        </w:rPr>
      </w:r>
      <w:r>
        <w:rPr>
          <w:spacing w:val="-4"/>
        </w:rPr>
        <w:t>业税。根据财税</w:t>
      </w:r>
      <w:r>
        <w:rPr>
          <w:rFonts w:ascii="Times New Roman" w:hAnsi="Times New Roman" w:cs="Times New Roman" w:eastAsia="Times New Roman" w:hint="default"/>
          <w:spacing w:val="-4"/>
        </w:rPr>
        <w:t>[2011]111 </w:t>
      </w:r>
      <w:r>
        <w:rPr>
          <w:spacing w:val="-3"/>
        </w:rPr>
        <w:t>号文规定，营改增后经税务主管部门核准后的技术转让、技术开发业务</w:t>
      </w:r>
      <w:r>
        <w:rPr>
          <w:spacing w:val="-80"/>
        </w:rPr>
        <w:t> </w:t>
      </w:r>
      <w:r>
        <w:rPr>
          <w:spacing w:val="-80"/>
        </w:rPr>
      </w:r>
      <w:r>
        <w:rPr/>
        <w:t>和与之相关的技术咨询、技术服务业务收入免征增值税。</w:t>
      </w:r>
    </w:p>
    <w:p>
      <w:pPr>
        <w:pStyle w:val="BodyText"/>
        <w:spacing w:line="297" w:lineRule="auto" w:before="28"/>
        <w:ind w:right="123" w:firstLine="419"/>
        <w:jc w:val="left"/>
      </w:pPr>
      <w:r>
        <w:rPr/>
        <w:t>（</w:t>
      </w:r>
      <w:r>
        <w:rPr>
          <w:rFonts w:ascii="Times New Roman" w:hAnsi="Times New Roman" w:cs="Times New Roman" w:eastAsia="Times New Roman" w:hint="default"/>
        </w:rPr>
        <w:t>5</w:t>
      </w:r>
      <w:r>
        <w:rPr/>
        <w:t>）根据昌吉市国家税务局</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月昌市国税减免备字〔</w:t>
      </w:r>
      <w:r>
        <w:rPr>
          <w:rFonts w:ascii="Times New Roman" w:hAnsi="Times New Roman" w:cs="Times New Roman" w:eastAsia="Times New Roman" w:hint="default"/>
        </w:rPr>
        <w:t>2012</w:t>
      </w:r>
      <w:r>
        <w:rPr/>
        <w:t>〕年</w:t>
      </w:r>
      <w:r>
        <w:rPr>
          <w:spacing w:val="-50"/>
        </w:rPr>
        <w:t> </w:t>
      </w:r>
      <w:r>
        <w:rPr>
          <w:rFonts w:ascii="Times New Roman" w:hAnsi="Times New Roman" w:cs="Times New Roman" w:eastAsia="Times New Roman" w:hint="default"/>
        </w:rPr>
        <w:t>59 </w:t>
      </w:r>
      <w:r>
        <w:rPr/>
        <w:t>号税收减免登记</w:t>
      </w:r>
      <w:r>
        <w:rPr>
          <w:w w:val="100"/>
        </w:rPr>
        <w:t> </w:t>
      </w:r>
      <w:r>
        <w:rPr>
          <w:spacing w:val="-3"/>
        </w:rPr>
        <w:t>备案告知书文，公司子公司昌吉州南威软件有限公司享受新办企业</w:t>
      </w:r>
      <w:r>
        <w:rPr>
          <w:rFonts w:ascii="Times New Roman" w:hAnsi="Times New Roman" w:cs="Times New Roman" w:eastAsia="Times New Roman" w:hint="default"/>
          <w:spacing w:val="-3"/>
        </w:rPr>
        <w:t>“</w:t>
      </w:r>
      <w:r>
        <w:rPr>
          <w:spacing w:val="-3"/>
        </w:rPr>
        <w:t>两免三减半</w:t>
      </w:r>
      <w:r>
        <w:rPr>
          <w:rFonts w:ascii="Times New Roman" w:hAnsi="Times New Roman" w:cs="Times New Roman" w:eastAsia="Times New Roman" w:hint="default"/>
          <w:spacing w:val="-3"/>
        </w:rPr>
        <w:t>”</w:t>
      </w:r>
      <w:r>
        <w:rPr>
          <w:spacing w:val="-3"/>
        </w:rPr>
        <w:t>所得税优惠政策。</w:t>
      </w:r>
      <w:r>
        <w:rPr>
          <w:spacing w:val="-49"/>
        </w:rPr>
        <w:t> </w:t>
      </w:r>
      <w:r>
        <w:rPr>
          <w:spacing w:val="-49"/>
        </w:rPr>
      </w:r>
      <w:r>
        <w:rPr/>
        <w:t>该税收优惠政策自</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月至</w:t>
      </w:r>
      <w:r>
        <w:rPr>
          <w:spacing w:val="-45"/>
        </w:rPr>
        <w:t> </w:t>
      </w:r>
      <w:r>
        <w:rPr>
          <w:rFonts w:ascii="Times New Roman" w:hAnsi="Times New Roman" w:cs="Times New Roman" w:eastAsia="Times New Roman" w:hint="default"/>
        </w:rPr>
        <w:t>2022</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月取得软件销售收入执行。报告期内，公司自</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t>年始享受两免三减半所得税优惠。</w:t>
      </w:r>
    </w:p>
    <w:p>
      <w:pPr>
        <w:pStyle w:val="BodyText"/>
        <w:spacing w:line="240" w:lineRule="auto" w:before="34"/>
        <w:ind w:left="638" w:right="123"/>
        <w:jc w:val="left"/>
      </w:pPr>
      <w:r>
        <w:rPr/>
        <w:t>（</w:t>
      </w:r>
      <w:r>
        <w:rPr>
          <w:rFonts w:ascii="Times New Roman" w:hAnsi="Times New Roman" w:cs="Times New Roman" w:eastAsia="Times New Roman" w:hint="default"/>
        </w:rPr>
        <w:t>6</w:t>
      </w:r>
      <w:r>
        <w:rPr/>
        <w:t>）根据西安经济技术开发区国家税务局</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月经开国税备字（</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017</w:t>
      </w:r>
      <w:r>
        <w:rPr>
          <w:rFonts w:ascii="Times New Roman" w:hAnsi="Times New Roman" w:cs="Times New Roman" w:eastAsia="Times New Roman" w:hint="default"/>
          <w:spacing w:val="11"/>
        </w:rPr>
        <w:t> </w:t>
      </w:r>
      <w:r>
        <w:rPr/>
        <w:t>号企业所</w:t>
      </w:r>
    </w:p>
    <w:p>
      <w:pPr>
        <w:pStyle w:val="BodyText"/>
        <w:spacing w:line="297" w:lineRule="auto" w:before="69"/>
        <w:ind w:right="123"/>
        <w:jc w:val="left"/>
      </w:pPr>
      <w:r>
        <w:rPr>
          <w:spacing w:val="-5"/>
          <w:w w:val="100"/>
        </w:rPr>
        <w:t>得税优惠政策备案通知书文，公司子公司西安南威信息科技有限责任公司自</w:t>
      </w:r>
      <w:r>
        <w:rPr>
          <w:spacing w:val="-39"/>
          <w:w w:val="100"/>
        </w:rPr>
        <w:t> </w:t>
      </w:r>
      <w:r>
        <w:rPr>
          <w:rFonts w:ascii="Times New Roman" w:hAnsi="Times New Roman" w:cs="Times New Roman" w:eastAsia="Times New Roman" w:hint="default"/>
          <w:spacing w:val="-2"/>
          <w:w w:val="100"/>
        </w:rPr>
        <w:t>2013</w:t>
      </w:r>
      <w:r>
        <w:rPr>
          <w:rFonts w:ascii="Times New Roman" w:hAnsi="Times New Roman" w:cs="Times New Roman" w:eastAsia="Times New Roman" w:hint="default"/>
          <w:spacing w:val="14"/>
          <w:w w:val="100"/>
        </w:rPr>
        <w:t> </w:t>
      </w:r>
      <w:r>
        <w:rPr>
          <w:spacing w:val="-2"/>
          <w:w w:val="100"/>
        </w:rPr>
        <w:t>年始享受两免三</w:t>
      </w:r>
      <w:r>
        <w:rPr>
          <w:spacing w:val="-100"/>
          <w:w w:val="100"/>
        </w:rPr>
        <w:t> </w:t>
      </w:r>
      <w:r>
        <w:rPr>
          <w:spacing w:val="-100"/>
          <w:w w:val="100"/>
        </w:rPr>
      </w:r>
      <w:r>
        <w:rPr/>
        <w:t>减半所得税优惠。</w:t>
      </w:r>
    </w:p>
    <w:p>
      <w:pPr>
        <w:spacing w:line="240" w:lineRule="auto" w:before="4"/>
        <w:rPr>
          <w:rFonts w:ascii="宋体" w:hAnsi="宋体" w:cs="宋体" w:eastAsia="宋体" w:hint="default"/>
          <w:sz w:val="22"/>
          <w:szCs w:val="22"/>
        </w:rPr>
      </w:pPr>
    </w:p>
    <w:p>
      <w:pPr>
        <w:pStyle w:val="Heading3"/>
        <w:tabs>
          <w:tab w:pos="642" w:val="left" w:leader="none"/>
        </w:tabs>
        <w:spacing w:line="240" w:lineRule="auto"/>
        <w:ind w:right="2513"/>
        <w:jc w:val="left"/>
        <w:rPr>
          <w:b w:val="0"/>
          <w:bCs w:val="0"/>
        </w:rPr>
      </w:pPr>
      <w:r>
        <w:rPr>
          <w:rFonts w:ascii="宋体" w:hAnsi="宋体" w:cs="宋体" w:eastAsia="宋体" w:hint="default"/>
          <w:w w:val="95"/>
        </w:rPr>
        <w:t>3.</w:t>
        <w:tab/>
      </w:r>
      <w:r>
        <w:rPr/>
        <w:t>其他</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7" w:footer="979" w:top="1140" w:bottom="1160" w:left="1580" w:right="1040"/>
        </w:sectPr>
      </w:pPr>
    </w:p>
    <w:p>
      <w:pPr>
        <w:pStyle w:val="Heading3"/>
        <w:spacing w:line="290" w:lineRule="auto" w:before="36"/>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163" w:val="left" w:leader="none"/>
        </w:tabs>
        <w:spacing w:line="240" w:lineRule="auto" w:before="14"/>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753" w:space="3980"/>
            <w:col w:w="2557"/>
          </w:cols>
        </w:sectPr>
      </w:pP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223"/>
        <w:gridCol w:w="3298"/>
        <w:gridCol w:w="3325"/>
      </w:tblGrid>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4,379.40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47,904.40</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161,883,232.97</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256,539,947.35</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126,480,829.83</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81,518,150.19</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288,368,442.20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338,106,001.94</w:t>
            </w:r>
          </w:p>
        </w:tc>
      </w:tr>
      <w:tr>
        <w:trPr>
          <w:trHeight w:val="55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w w:val="100"/>
                <w:sz w:val="21"/>
              </w:rPr>
              <w:t>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1" w:lineRule="exact"/>
        <w:ind w:right="2513"/>
        <w:jc w:val="left"/>
      </w:pPr>
      <w:r>
        <w:rPr/>
        <w:t>其他说明</w:t>
      </w:r>
    </w:p>
    <w:p>
      <w:pPr>
        <w:pStyle w:val="BodyText"/>
        <w:spacing w:line="240" w:lineRule="auto" w:before="76"/>
        <w:ind w:left="638" w:right="123"/>
        <w:jc w:val="left"/>
        <w:rPr>
          <w:rFonts w:ascii="Times New Roman" w:hAnsi="Times New Roman" w:cs="Times New Roman" w:eastAsia="Times New Roman" w:hint="default"/>
        </w:rPr>
      </w:pPr>
      <w:r>
        <w:rPr/>
        <w:t>其他货币资金期末余额为人民币</w:t>
      </w:r>
      <w:r>
        <w:rPr>
          <w:spacing w:val="-51"/>
        </w:rPr>
        <w:t> </w:t>
      </w:r>
      <w:r>
        <w:rPr>
          <w:rFonts w:ascii="Times New Roman" w:hAnsi="Times New Roman" w:cs="Times New Roman" w:eastAsia="Times New Roman" w:hint="default"/>
        </w:rPr>
        <w:t>126,480,829.83</w:t>
      </w:r>
      <w:r>
        <w:rPr>
          <w:rFonts w:ascii="Times New Roman" w:hAnsi="Times New Roman" w:cs="Times New Roman" w:eastAsia="Times New Roman" w:hint="default"/>
          <w:spacing w:val="-1"/>
        </w:rPr>
        <w:t> </w:t>
      </w:r>
      <w:r>
        <w:rPr/>
        <w:t>元，其中：支付宝及微信账户资金</w:t>
      </w:r>
      <w:r>
        <w:rPr>
          <w:spacing w:val="-51"/>
        </w:rPr>
        <w:t> </w:t>
      </w:r>
      <w:r>
        <w:rPr>
          <w:rFonts w:ascii="Times New Roman" w:hAnsi="Times New Roman" w:cs="Times New Roman" w:eastAsia="Times New Roman" w:hint="default"/>
        </w:rPr>
        <w:t>61,731.71</w:t>
      </w:r>
    </w:p>
    <w:p>
      <w:pPr>
        <w:pStyle w:val="BodyText"/>
        <w:spacing w:line="240" w:lineRule="auto" w:before="69"/>
        <w:ind w:right="123"/>
        <w:jc w:val="left"/>
      </w:pPr>
      <w:r>
        <w:rPr>
          <w:spacing w:val="-5"/>
        </w:rPr>
        <w:t>元；票据保证金为人民</w:t>
      </w:r>
      <w:r>
        <w:rPr>
          <w:spacing w:val="-44"/>
        </w:rPr>
        <w:t> </w:t>
      </w:r>
      <w:r>
        <w:rPr>
          <w:rFonts w:ascii="Times New Roman" w:hAnsi="Times New Roman" w:cs="Times New Roman" w:eastAsia="Times New Roman" w:hint="default"/>
        </w:rPr>
        <w:t>84,611,584.72</w:t>
      </w:r>
      <w:r>
        <w:rPr>
          <w:rFonts w:ascii="Times New Roman" w:hAnsi="Times New Roman" w:cs="Times New Roman" w:eastAsia="Times New Roman" w:hint="default"/>
          <w:spacing w:val="9"/>
        </w:rPr>
        <w:t> </w:t>
      </w:r>
      <w:r>
        <w:rPr>
          <w:spacing w:val="-4"/>
        </w:rPr>
        <w:t>元，保函保证金为人民币</w:t>
      </w:r>
      <w:r>
        <w:rPr>
          <w:spacing w:val="-44"/>
        </w:rPr>
        <w:t> </w:t>
      </w:r>
      <w:r>
        <w:rPr>
          <w:rFonts w:ascii="Times New Roman" w:hAnsi="Times New Roman" w:cs="Times New Roman" w:eastAsia="Times New Roman" w:hint="default"/>
        </w:rPr>
        <w:t>15,323,312.02</w:t>
      </w:r>
      <w:r>
        <w:rPr>
          <w:rFonts w:ascii="Times New Roman" w:hAnsi="Times New Roman" w:cs="Times New Roman" w:eastAsia="Times New Roman" w:hint="default"/>
          <w:spacing w:val="5"/>
        </w:rPr>
        <w:t> </w:t>
      </w:r>
      <w:r>
        <w:rPr>
          <w:spacing w:val="-5"/>
        </w:rPr>
        <w:t>元；存出投资款为人</w:t>
      </w:r>
    </w:p>
    <w:p>
      <w:pPr>
        <w:pStyle w:val="BodyText"/>
        <w:spacing w:line="240" w:lineRule="auto" w:before="69"/>
        <w:ind w:right="2513"/>
        <w:jc w:val="left"/>
      </w:pPr>
      <w:r>
        <w:rPr/>
        <w:t>民币</w:t>
      </w:r>
      <w:r>
        <w:rPr>
          <w:spacing w:val="-52"/>
        </w:rPr>
        <w:t> </w:t>
      </w:r>
      <w:r>
        <w:rPr>
          <w:rFonts w:ascii="Times New Roman" w:hAnsi="Times New Roman" w:cs="Times New Roman" w:eastAsia="Times New Roman" w:hint="default"/>
        </w:rPr>
        <w:t>26,484,201.38</w:t>
      </w:r>
      <w:r>
        <w:rPr>
          <w:rFonts w:ascii="Times New Roman" w:hAnsi="Times New Roman" w:cs="Times New Roman" w:eastAsia="Times New Roman" w:hint="default"/>
          <w:spacing w:val="-2"/>
        </w:rPr>
        <w:t> </w:t>
      </w:r>
      <w:r>
        <w:rPr/>
        <w:t>元。</w:t>
      </w:r>
    </w:p>
    <w:p>
      <w:pPr>
        <w:pStyle w:val="BodyText"/>
        <w:spacing w:line="314" w:lineRule="auto" w:before="69"/>
        <w:ind w:right="123" w:firstLine="419"/>
        <w:jc w:val="left"/>
      </w:pPr>
      <w:r>
        <w:rPr>
          <w:spacing w:val="-2"/>
        </w:rPr>
        <w:t>货币资金中除票据保证金及保函保证金使用受限外，公司无其他因抵押、质押或冻结等对使</w:t>
      </w:r>
      <w:r>
        <w:rPr>
          <w:w w:val="100"/>
        </w:rPr>
        <w:t> </w:t>
      </w:r>
      <w:r>
        <w:rPr/>
        <w:t>用有限制、存放在境外、有潜在回收风险的货币资金。</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right="-18"/>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5278" w:space="1455"/>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78" w:right="0"/>
              <w:jc w:val="left"/>
              <w:rPr>
                <w:rFonts w:ascii="Times New Roman" w:hAnsi="Times New Roman" w:cs="Times New Roman" w:eastAsia="Times New Roman" w:hint="default"/>
                <w:sz w:val="21"/>
                <w:szCs w:val="21"/>
              </w:rPr>
            </w:pPr>
            <w:r>
              <w:rPr>
                <w:rFonts w:ascii="Times New Roman"/>
                <w:sz w:val="21"/>
              </w:rPr>
              <w:t>113,710,759.27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03" w:right="0"/>
              <w:jc w:val="left"/>
              <w:rPr>
                <w:rFonts w:ascii="Times New Roman" w:hAnsi="Times New Roman" w:cs="Times New Roman" w:eastAsia="Times New Roman" w:hint="default"/>
                <w:sz w:val="21"/>
                <w:szCs w:val="21"/>
              </w:rPr>
            </w:pPr>
            <w:r>
              <w:rPr>
                <w:rFonts w:ascii="Times New Roman"/>
                <w:sz w:val="21"/>
              </w:rPr>
              <w:t>1,321,283.18</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nil" w:sz="6" w:space="0" w:color="auto"/>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113,710,759.27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1,321,283.18</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指定以公允价值计量且其变动</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113,710,759.27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1,321,283.18</w:t>
            </w:r>
          </w:p>
        </w:tc>
      </w:tr>
    </w:tbl>
    <w:p>
      <w:pPr>
        <w:spacing w:line="240" w:lineRule="auto" w:before="3"/>
        <w:rPr>
          <w:rFonts w:ascii="宋体" w:hAnsi="宋体" w:cs="宋体" w:eastAsia="宋体" w:hint="default"/>
          <w:sz w:val="14"/>
          <w:szCs w:val="14"/>
        </w:rPr>
      </w:pPr>
    </w:p>
    <w:p>
      <w:pPr>
        <w:pStyle w:val="BodyText"/>
        <w:spacing w:line="240" w:lineRule="auto" w:before="36"/>
        <w:ind w:left="258" w:right="0"/>
        <w:jc w:val="left"/>
      </w:pPr>
      <w:r>
        <w:rPr/>
        <w:t>其他说明：</w:t>
      </w:r>
    </w:p>
    <w:p>
      <w:pPr>
        <w:pStyle w:val="BodyText"/>
        <w:spacing w:line="240" w:lineRule="auto" w:before="73"/>
        <w:ind w:left="678" w:right="0"/>
        <w:jc w:val="left"/>
      </w:pPr>
      <w:r>
        <w:rPr>
          <w:rFonts w:ascii="Calibri" w:hAnsi="Calibri" w:cs="Calibri" w:eastAsia="Calibri" w:hint="default"/>
        </w:rPr>
        <w:t>1</w:t>
      </w:r>
      <w:r>
        <w:rPr/>
        <w:t>、期末交易性金融资产投资变现不存在重大限制。</w:t>
      </w:r>
    </w:p>
    <w:p>
      <w:pPr>
        <w:pStyle w:val="BodyText"/>
        <w:spacing w:line="240" w:lineRule="auto" w:before="59"/>
        <w:ind w:left="678" w:right="0"/>
        <w:jc w:val="left"/>
      </w:pPr>
      <w:r>
        <w:rPr>
          <w:rFonts w:ascii="Calibri" w:hAnsi="Calibri" w:cs="Calibri" w:eastAsia="Calibri" w:hint="default"/>
        </w:rPr>
        <w:t>2</w:t>
      </w:r>
      <w:r>
        <w:rPr/>
        <w:t>、本期公允价值变动损益金额为</w:t>
      </w:r>
      <w:r>
        <w:rPr>
          <w:rFonts w:ascii="Times New Roman" w:hAnsi="Times New Roman" w:cs="Times New Roman" w:eastAsia="Times New Roman" w:hint="default"/>
        </w:rPr>
        <w:t>-5,610,523.91</w:t>
      </w:r>
      <w:r>
        <w:rPr>
          <w:rFonts w:ascii="Times New Roman" w:hAnsi="Times New Roman" w:cs="Times New Roman" w:eastAsia="Times New Roman" w:hint="default"/>
          <w:spacing w:val="-4"/>
        </w:rPr>
        <w:t> </w:t>
      </w:r>
      <w:r>
        <w:rPr/>
        <w:t>元。</w:t>
      </w:r>
    </w:p>
    <w:p>
      <w:pPr>
        <w:spacing w:line="240" w:lineRule="auto" w:before="10"/>
        <w:rPr>
          <w:rFonts w:ascii="宋体" w:hAnsi="宋体" w:cs="宋体" w:eastAsia="宋体" w:hint="default"/>
          <w:sz w:val="22"/>
          <w:szCs w:val="22"/>
        </w:rPr>
      </w:pPr>
    </w:p>
    <w:p>
      <w:pPr>
        <w:pStyle w:val="Heading3"/>
        <w:spacing w:line="240" w:lineRule="auto"/>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tabs>
          <w:tab w:pos="1100" w:val="left" w:leader="none"/>
        </w:tabs>
        <w:spacing w:line="240" w:lineRule="auto" w:before="58"/>
        <w:ind w:left="258" w:right="0"/>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40" w:right="1040"/>
        </w:sectPr>
      </w:pPr>
    </w:p>
    <w:p>
      <w:pPr>
        <w:pStyle w:val="Heading3"/>
        <w:spacing w:line="240" w:lineRule="auto" w:before="36"/>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3"/>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tabs>
          <w:tab w:pos="1100" w:val="left" w:leader="none"/>
        </w:tabs>
        <w:spacing w:line="240" w:lineRule="auto" w:before="56"/>
        <w:ind w:left="258" w:right="-2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580" w:bottom="280" w:left="1540" w:right="1040"/>
          <w:cols w:num="2" w:equalWidth="0">
            <w:col w:w="2476" w:space="4257"/>
            <w:col w:w="259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500,000.00</w:t>
            </w:r>
          </w:p>
        </w:tc>
      </w:tr>
    </w:tbl>
    <w:p>
      <w:pPr>
        <w:spacing w:line="240" w:lineRule="auto" w:before="11"/>
        <w:rPr>
          <w:rFonts w:ascii="宋体" w:hAnsi="宋体" w:cs="宋体" w:eastAsia="宋体" w:hint="default"/>
          <w:sz w:val="18"/>
          <w:szCs w:val="18"/>
        </w:rPr>
      </w:pPr>
    </w:p>
    <w:p>
      <w:pPr>
        <w:pStyle w:val="Heading3"/>
        <w:spacing w:line="240" w:lineRule="auto" w:before="36"/>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tabs>
          <w:tab w:pos="1100" w:val="left" w:leader="none"/>
        </w:tabs>
        <w:spacing w:line="240" w:lineRule="auto" w:before="56"/>
        <w:ind w:left="258" w:right="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25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tabs>
          <w:tab w:pos="1100" w:val="left" w:leader="none"/>
        </w:tabs>
        <w:spacing w:line="240" w:lineRule="auto" w:before="58"/>
        <w:ind w:left="258" w:right="0"/>
        <w:jc w:val="left"/>
      </w:pPr>
      <w:r>
        <w:rPr/>
        <w:t>□适用</w:t>
        <w:tab/>
      </w:r>
      <w:r>
        <w:rPr>
          <w:rFonts w:ascii="Calibri" w:hAnsi="Calibri" w:cs="Calibri" w:eastAsia="Calibri" w:hint="default"/>
        </w:rPr>
        <w:t>√</w:t>
      </w:r>
      <w:r>
        <w:rPr/>
        <w:t>不适用</w:t>
      </w:r>
    </w:p>
    <w:p>
      <w:pPr>
        <w:spacing w:line="240" w:lineRule="auto" w:before="10"/>
        <w:rPr>
          <w:rFonts w:ascii="宋体" w:hAnsi="宋体" w:cs="宋体" w:eastAsia="宋体" w:hint="default"/>
          <w:sz w:val="20"/>
          <w:szCs w:val="20"/>
        </w:rPr>
      </w:pPr>
    </w:p>
    <w:p>
      <w:pPr>
        <w:pStyle w:val="Heading3"/>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tabs>
          <w:tab w:pos="1100" w:val="left" w:leader="none"/>
        </w:tabs>
        <w:spacing w:line="240" w:lineRule="auto" w:before="57"/>
        <w:ind w:left="258" w:right="0"/>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BodyText"/>
        <w:spacing w:line="273" w:lineRule="exact"/>
        <w:ind w:left="258" w:right="0"/>
        <w:jc w:val="left"/>
      </w:pPr>
      <w:r>
        <w:rPr/>
        <w:t>其他说明</w:t>
      </w:r>
    </w:p>
    <w:p>
      <w:pPr>
        <w:pStyle w:val="BodyText"/>
        <w:tabs>
          <w:tab w:pos="1100" w:val="left" w:leader="none"/>
        </w:tabs>
        <w:spacing w:line="300" w:lineRule="exact"/>
        <w:ind w:left="258" w:right="0"/>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40" w:right="1040"/>
        </w:sectPr>
      </w:pPr>
    </w:p>
    <w:p>
      <w:pPr>
        <w:pStyle w:val="Heading3"/>
        <w:spacing w:line="240" w:lineRule="auto" w:before="36"/>
        <w:ind w:left="25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3"/>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tabs>
          <w:tab w:pos="1100" w:val="left" w:leader="none"/>
        </w:tabs>
        <w:spacing w:line="240" w:lineRule="auto" w:before="56"/>
        <w:ind w:left="258" w:right="-2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580" w:bottom="280" w:left="1540" w:right="1040"/>
          <w:cols w:num="2" w:equalWidth="0">
            <w:col w:w="2522" w:space="4108"/>
            <w:col w:w="2700"/>
          </w:cols>
        </w:sectPr>
      </w:pPr>
    </w:p>
    <w:p>
      <w:pPr>
        <w:spacing w:line="240" w:lineRule="auto" w:before="4"/>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739"/>
        <w:gridCol w:w="1421"/>
        <w:gridCol w:w="1558"/>
        <w:gridCol w:w="994"/>
        <w:gridCol w:w="1572"/>
        <w:gridCol w:w="1450"/>
        <w:gridCol w:w="1162"/>
      </w:tblGrid>
      <w:tr>
        <w:trPr>
          <w:trHeight w:val="283"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107"/>
              <w:ind w:left="15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39"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1" w:lineRule="exact"/>
        <w:jc w:val="left"/>
        <w:rPr>
          <w:rFonts w:ascii="宋体" w:hAnsi="宋体" w:cs="宋体" w:eastAsia="宋体" w:hint="default"/>
          <w:sz w:val="21"/>
          <w:szCs w:val="21"/>
        </w:rPr>
        <w:sectPr>
          <w:type w:val="continuous"/>
          <w:pgSz w:w="11910" w:h="16840"/>
          <w:pgMar w:top="1580" w:bottom="280" w:left="1540" w:right="1040"/>
        </w:sectPr>
      </w:pPr>
    </w:p>
    <w:p>
      <w:pPr>
        <w:spacing w:line="240" w:lineRule="auto" w:before="8"/>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739"/>
        <w:gridCol w:w="710"/>
        <w:gridCol w:w="711"/>
        <w:gridCol w:w="989"/>
        <w:gridCol w:w="569"/>
        <w:gridCol w:w="994"/>
        <w:gridCol w:w="1111"/>
        <w:gridCol w:w="461"/>
        <w:gridCol w:w="1078"/>
        <w:gridCol w:w="372"/>
        <w:gridCol w:w="1162"/>
      </w:tblGrid>
      <w:tr>
        <w:trPr>
          <w:trHeight w:val="1356" w:hRule="exact"/>
        </w:trPr>
        <w:tc>
          <w:tcPr>
            <w:tcW w:w="73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211" w:right="0"/>
              <w:jc w:val="left"/>
              <w:rPr>
                <w:rFonts w:ascii="Calibri" w:hAnsi="Calibri" w:cs="Calibri" w:eastAsia="Calibri" w:hint="default"/>
                <w:sz w:val="21"/>
                <w:szCs w:val="21"/>
              </w:rPr>
            </w:pPr>
            <w:r>
              <w:rPr>
                <w:rFonts w:ascii="Calibri"/>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52" w:lineRule="auto"/>
              <w:ind w:left="69" w:right="65"/>
              <w:jc w:val="both"/>
              <w:rPr>
                <w:rFonts w:ascii="Calibri" w:hAnsi="Calibri" w:cs="Calibri" w:eastAsia="Calibri"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Calibri" w:hAnsi="Calibri" w:cs="Calibri" w:eastAsia="Calibri"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52" w:lineRule="auto"/>
              <w:ind w:left="86" w:right="83" w:firstLine="33"/>
              <w:jc w:val="both"/>
              <w:rPr>
                <w:rFonts w:ascii="Calibri" w:hAnsi="Calibri" w:cs="Calibri" w:eastAsia="Calibri"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38" w:right="42" w:firstLine="33"/>
              <w:jc w:val="both"/>
              <w:rPr>
                <w:rFonts w:ascii="Calibri" w:hAnsi="Calibri" w:cs="Calibri" w:eastAsia="Calibri"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4"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191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4"/>
                <w:sz w:val="21"/>
                <w:szCs w:val="21"/>
              </w:rPr>
              <w:t>单项金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pacing w:val="14"/>
                <w:sz w:val="21"/>
                <w:szCs w:val="21"/>
              </w:rPr>
              <w:t>额重大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并单独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的应收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4"/>
                <w:sz w:val="21"/>
                <w:szCs w:val="21"/>
              </w:rPr>
              <w:t>按信用</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pacing w:val="14"/>
                <w:sz w:val="21"/>
                <w:szCs w:val="21"/>
              </w:rPr>
              <w:t>风险特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征组合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的应收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313,55</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z w:val="21"/>
              </w:rPr>
              <w:t>9,480.7</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99.85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1" w:lineRule="exact"/>
              <w:ind w:left="112" w:right="0"/>
              <w:jc w:val="left"/>
              <w:rPr>
                <w:rFonts w:ascii="Times New Roman" w:hAnsi="Times New Roman" w:cs="Times New Roman" w:eastAsia="Times New Roman" w:hint="default"/>
                <w:sz w:val="21"/>
                <w:szCs w:val="21"/>
              </w:rPr>
            </w:pPr>
            <w:r>
              <w:rPr>
                <w:rFonts w:ascii="Times New Roman"/>
                <w:sz w:val="21"/>
              </w:rPr>
              <w:t>34,893,54</w:t>
            </w:r>
          </w:p>
          <w:p>
            <w:pPr>
              <w:pStyle w:val="TableParagraph"/>
              <w:spacing w:line="241" w:lineRule="exact"/>
              <w:ind w:left="585" w:right="0"/>
              <w:jc w:val="left"/>
              <w:rPr>
                <w:rFonts w:ascii="Times New Roman" w:hAnsi="Times New Roman" w:cs="Times New Roman" w:eastAsia="Times New Roman" w:hint="default"/>
                <w:sz w:val="21"/>
                <w:szCs w:val="21"/>
              </w:rPr>
            </w:pPr>
            <w:r>
              <w:rPr>
                <w:rFonts w:ascii="Times New Roman"/>
                <w:sz w:val="21"/>
              </w:rPr>
              <w:t>8.64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11.13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278,665,9</w:t>
            </w:r>
          </w:p>
          <w:p>
            <w:pPr>
              <w:pStyle w:val="TableParagraph"/>
              <w:spacing w:line="241" w:lineRule="exact"/>
              <w:ind w:left="484" w:right="0"/>
              <w:jc w:val="left"/>
              <w:rPr>
                <w:rFonts w:ascii="Times New Roman" w:hAnsi="Times New Roman" w:cs="Times New Roman" w:eastAsia="Times New Roman" w:hint="default"/>
                <w:sz w:val="21"/>
                <w:szCs w:val="21"/>
              </w:rPr>
            </w:pPr>
            <w:r>
              <w:rPr>
                <w:rFonts w:ascii="Times New Roman"/>
                <w:sz w:val="21"/>
              </w:rPr>
              <w:t>32.12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pacing w:val="-1"/>
                <w:sz w:val="21"/>
              </w:rPr>
              <w:t>229,604,877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.39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99.7</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21,461,871.</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27</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1" w:lineRule="exact"/>
              <w:ind w:left="45" w:right="0"/>
              <w:jc w:val="center"/>
              <w:rPr>
                <w:rFonts w:ascii="Times New Roman" w:hAnsi="Times New Roman" w:cs="Times New Roman" w:eastAsia="Times New Roman" w:hint="default"/>
                <w:sz w:val="21"/>
                <w:szCs w:val="21"/>
              </w:rPr>
            </w:pPr>
            <w:r>
              <w:rPr>
                <w:rFonts w:ascii="Times New Roman"/>
                <w:sz w:val="21"/>
              </w:rPr>
              <w:t>9.3</w:t>
            </w:r>
          </w:p>
          <w:p>
            <w:pPr>
              <w:pStyle w:val="TableParagraph"/>
              <w:spacing w:line="241" w:lineRule="exact"/>
              <w:ind w:left="199" w:right="0"/>
              <w:jc w:val="center"/>
              <w:rPr>
                <w:rFonts w:ascii="Times New Roman" w:hAnsi="Times New Roman" w:cs="Times New Roman" w:eastAsia="Times New Roman" w:hint="default"/>
                <w:sz w:val="21"/>
                <w:szCs w:val="21"/>
              </w:rPr>
            </w:pPr>
            <w:r>
              <w:rPr>
                <w:rFonts w:ascii="Times New Roman"/>
                <w:w w:val="100"/>
                <w:sz w:val="21"/>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208,143,006</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.12</w:t>
            </w:r>
          </w:p>
        </w:tc>
      </w:tr>
      <w:tr>
        <w:trPr>
          <w:trHeight w:val="191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4"/>
                <w:sz w:val="21"/>
                <w:szCs w:val="21"/>
              </w:rPr>
              <w:t>单项金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pacing w:val="14"/>
                <w:sz w:val="21"/>
                <w:szCs w:val="21"/>
              </w:rPr>
              <w:t>额不重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大但单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独计提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坏账准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备的应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收账款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Times New Roman"/>
                <w:sz w:val="21"/>
              </w:rPr>
              <w:t>474,80</w:t>
            </w:r>
          </w:p>
          <w:p>
            <w:pPr>
              <w:pStyle w:val="TableParagraph"/>
              <w:spacing w:line="240" w:lineRule="auto" w:before="1"/>
              <w:ind w:left="307" w:right="0"/>
              <w:jc w:val="left"/>
              <w:rPr>
                <w:rFonts w:ascii="Times New Roman" w:hAnsi="Times New Roman" w:cs="Times New Roman" w:eastAsia="Times New Roman" w:hint="default"/>
                <w:sz w:val="21"/>
                <w:szCs w:val="21"/>
              </w:rPr>
            </w:pPr>
            <w:r>
              <w:rPr>
                <w:rFonts w:ascii="Times New Roman"/>
                <w:sz w:val="21"/>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31" w:right="0"/>
              <w:jc w:val="left"/>
              <w:rPr>
                <w:rFonts w:ascii="Times New Roman" w:hAnsi="Times New Roman" w:cs="Times New Roman" w:eastAsia="Times New Roman" w:hint="default"/>
                <w:sz w:val="21"/>
                <w:szCs w:val="21"/>
              </w:rPr>
            </w:pPr>
            <w:r>
              <w:rPr>
                <w:rFonts w:ascii="Times New Roman"/>
                <w:sz w:val="21"/>
              </w:rPr>
              <w:t>474,800.00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66" w:right="0"/>
              <w:jc w:val="center"/>
              <w:rPr>
                <w:rFonts w:ascii="Times New Roman" w:hAnsi="Times New Roman" w:cs="Times New Roman" w:eastAsia="Times New Roman" w:hint="default"/>
                <w:sz w:val="21"/>
                <w:szCs w:val="21"/>
              </w:rPr>
            </w:pPr>
            <w:r>
              <w:rPr>
                <w:rFonts w:ascii="Times New Roman"/>
                <w:sz w:val="21"/>
              </w:rPr>
              <w:t>474,800.00</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3" w:right="0"/>
              <w:jc w:val="center"/>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1"/>
              <w:ind w:left="199" w:right="0"/>
              <w:jc w:val="center"/>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73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314,03</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z w:val="21"/>
              </w:rPr>
              <w:t>4,280.7</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2" w:right="0"/>
              <w:jc w:val="left"/>
              <w:rPr>
                <w:rFonts w:ascii="Times New Roman" w:hAnsi="Times New Roman" w:cs="Times New Roman" w:eastAsia="Times New Roman" w:hint="default"/>
                <w:sz w:val="21"/>
                <w:szCs w:val="21"/>
              </w:rPr>
            </w:pPr>
            <w:r>
              <w:rPr>
                <w:rFonts w:ascii="Times New Roman"/>
                <w:sz w:val="21"/>
              </w:rPr>
              <w:t>35,368,34</w:t>
            </w:r>
          </w:p>
          <w:p>
            <w:pPr>
              <w:pStyle w:val="TableParagraph"/>
              <w:spacing w:line="240" w:lineRule="auto" w:before="1"/>
              <w:ind w:left="585" w:right="0"/>
              <w:jc w:val="left"/>
              <w:rPr>
                <w:rFonts w:ascii="Times New Roman" w:hAnsi="Times New Roman" w:cs="Times New Roman" w:eastAsia="Times New Roman" w:hint="default"/>
                <w:sz w:val="21"/>
                <w:szCs w:val="21"/>
              </w:rPr>
            </w:pPr>
            <w:r>
              <w:rPr>
                <w:rFonts w:ascii="Times New Roman"/>
                <w:sz w:val="21"/>
              </w:rPr>
              <w:t>8.64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278,665,9</w:t>
            </w:r>
          </w:p>
          <w:p>
            <w:pPr>
              <w:pStyle w:val="TableParagraph"/>
              <w:spacing w:line="240" w:lineRule="auto" w:before="1"/>
              <w:ind w:left="484" w:right="0"/>
              <w:jc w:val="left"/>
              <w:rPr>
                <w:rFonts w:ascii="Times New Roman" w:hAnsi="Times New Roman" w:cs="Times New Roman" w:eastAsia="Times New Roman" w:hint="default"/>
                <w:sz w:val="21"/>
                <w:szCs w:val="21"/>
              </w:rPr>
            </w:pPr>
            <w:r>
              <w:rPr>
                <w:rFonts w:ascii="Times New Roman"/>
                <w:sz w:val="21"/>
              </w:rPr>
              <w:t>32.12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230,079,677</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.39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Times New Roman" w:hAnsi="Times New Roman" w:cs="Times New Roman" w:eastAsia="Times New Roman" w:hint="default"/>
                <w:sz w:val="21"/>
                <w:szCs w:val="21"/>
              </w:rPr>
            </w:pPr>
            <w:r>
              <w:rPr>
                <w:rFonts w:ascii="Times New Roman"/>
                <w:spacing w:val="-1"/>
                <w:sz w:val="21"/>
              </w:rPr>
              <w:t>21,936,671.</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27</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spacing w:val="-1"/>
                <w:sz w:val="21"/>
              </w:rPr>
              <w:t>208,143,006</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.12</w:t>
            </w:r>
          </w:p>
        </w:tc>
      </w:tr>
    </w:tbl>
    <w:p>
      <w:pPr>
        <w:spacing w:line="240" w:lineRule="auto" w:before="3"/>
        <w:rPr>
          <w:rFonts w:ascii="宋体" w:hAnsi="宋体" w:cs="宋体" w:eastAsia="宋体" w:hint="default"/>
          <w:sz w:val="14"/>
          <w:szCs w:val="14"/>
        </w:rPr>
      </w:pPr>
    </w:p>
    <w:p>
      <w:pPr>
        <w:pStyle w:val="BodyText"/>
        <w:spacing w:line="273" w:lineRule="exact" w:before="36"/>
        <w:ind w:left="138" w:right="47"/>
        <w:jc w:val="left"/>
      </w:pPr>
      <w:r>
        <w:rPr/>
        <w:t>期末单项金额重大或不重大并单项计提坏帐准备的应收账款</w:t>
      </w:r>
    </w:p>
    <w:p>
      <w:pPr>
        <w:pStyle w:val="BodyText"/>
        <w:tabs>
          <w:tab w:pos="980" w:val="left" w:leader="none"/>
        </w:tabs>
        <w:spacing w:line="300"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7" w:footer="979" w:top="1140" w:bottom="1160" w:left="1660" w:right="1120"/>
        </w:sectPr>
      </w:pPr>
    </w:p>
    <w:p>
      <w:pPr>
        <w:pStyle w:val="BodyText"/>
        <w:spacing w:line="273" w:lineRule="exact" w:before="36"/>
        <w:ind w:left="138" w:right="0"/>
        <w:jc w:val="left"/>
      </w:pPr>
      <w:r>
        <w:rPr>
          <w:spacing w:val="-2"/>
        </w:rPr>
        <w:t>组合中，按账龄分析法计提坏账准备的应收账款：</w:t>
      </w:r>
    </w:p>
    <w:p>
      <w:pPr>
        <w:pStyle w:val="BodyText"/>
        <w:spacing w:line="273"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4764" w:space="1969"/>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4"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225,127,556.15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6,753,826.69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3.00</w:t>
            </w:r>
          </w:p>
        </w:tc>
      </w:tr>
      <w:tr>
        <w:trPr>
          <w:trHeight w:val="25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225,127,556.15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6,753,826.69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3.00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33,917,234.39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3,391,723.44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21,104,097.17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4,220,819.43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22,402,125.51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2"/>
                <w:sz w:val="21"/>
              </w:rPr>
              <w:t>11,201,062.76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8,411,756.08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6,729,404.86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2"/>
                <w:sz w:val="21"/>
              </w:rPr>
              <w:t>2,596,711.46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2"/>
                <w:sz w:val="21"/>
              </w:rPr>
              <w:t>2,596,711.46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313,559,480.76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34,893,548.64</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20"/>
        </w:sectPr>
      </w:pPr>
    </w:p>
    <w:p>
      <w:pPr>
        <w:spacing w:line="240" w:lineRule="auto" w:before="4"/>
        <w:rPr>
          <w:rFonts w:ascii="宋体" w:hAnsi="宋体" w:cs="宋体" w:eastAsia="宋体" w:hint="default"/>
          <w:sz w:val="23"/>
          <w:szCs w:val="23"/>
        </w:rPr>
      </w:pPr>
    </w:p>
    <w:p>
      <w:pPr>
        <w:pStyle w:val="BodyText"/>
        <w:spacing w:line="240" w:lineRule="auto" w:before="36"/>
        <w:ind w:right="6740"/>
        <w:jc w:val="left"/>
      </w:pPr>
      <w:r>
        <w:rPr>
          <w:spacing w:val="-2"/>
        </w:rPr>
        <w:t>确定该组合依据的说明：</w:t>
      </w:r>
      <w:r>
        <w:rPr>
          <w:spacing w:val="-83"/>
        </w:rPr>
        <w:t> </w:t>
      </w:r>
      <w:r>
        <w:rPr>
          <w:spacing w:val="-83"/>
        </w:rPr>
      </w:r>
      <w:r>
        <w:rPr/>
        <w:t>无</w:t>
      </w:r>
    </w:p>
    <w:p>
      <w:pPr>
        <w:spacing w:line="240" w:lineRule="auto" w:before="5"/>
        <w:rPr>
          <w:rFonts w:ascii="宋体" w:hAnsi="宋体" w:cs="宋体" w:eastAsia="宋体" w:hint="default"/>
          <w:sz w:val="19"/>
          <w:szCs w:val="19"/>
        </w:rPr>
      </w:pPr>
    </w:p>
    <w:p>
      <w:pPr>
        <w:pStyle w:val="BodyText"/>
        <w:spacing w:line="274" w:lineRule="exact"/>
        <w:ind w:right="2513"/>
        <w:jc w:val="left"/>
      </w:pPr>
      <w:r>
        <w:rPr/>
        <w:t>组合中，采用余额百分比法计提坏账准备的应收账款：</w:t>
      </w:r>
    </w:p>
    <w:p>
      <w:pPr>
        <w:pStyle w:val="BodyText"/>
        <w:tabs>
          <w:tab w:pos="1060" w:val="left" w:leader="none"/>
        </w:tabs>
        <w:spacing w:line="274" w:lineRule="exact"/>
        <w:ind w:right="2513"/>
        <w:jc w:val="left"/>
      </w:pPr>
      <w:r>
        <w:rPr/>
        <w:t>□适用</w:t>
        <w:tab/>
        <w:t>√不适用</w:t>
      </w:r>
    </w:p>
    <w:p>
      <w:pPr>
        <w:spacing w:line="240" w:lineRule="auto" w:before="5"/>
        <w:rPr>
          <w:rFonts w:ascii="宋体" w:hAnsi="宋体" w:cs="宋体" w:eastAsia="宋体" w:hint="default"/>
          <w:sz w:val="19"/>
          <w:szCs w:val="19"/>
        </w:rPr>
      </w:pPr>
    </w:p>
    <w:p>
      <w:pPr>
        <w:pStyle w:val="BodyText"/>
        <w:spacing w:line="273" w:lineRule="exact"/>
        <w:ind w:right="2513"/>
        <w:jc w:val="left"/>
      </w:pPr>
      <w:r>
        <w:rPr/>
        <w:t>组合中，采用其他方法计提坏账准备的应收账款：</w:t>
      </w:r>
    </w:p>
    <w:p>
      <w:pPr>
        <w:pStyle w:val="BodyText"/>
        <w:tabs>
          <w:tab w:pos="1163" w:val="left" w:leader="none"/>
        </w:tabs>
        <w:spacing w:line="273" w:lineRule="exact"/>
        <w:ind w:right="2513"/>
        <w:jc w:val="left"/>
      </w:pPr>
      <w:r>
        <w:rPr/>
        <w:t>□适用</w:t>
        <w:tab/>
        <w:t>√不适用</w:t>
      </w:r>
    </w:p>
    <w:p>
      <w:pPr>
        <w:spacing w:line="240" w:lineRule="auto" w:before="2"/>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right="123"/>
        <w:jc w:val="left"/>
      </w:pPr>
      <w:r>
        <w:rPr/>
        <w:t>本期计提坏账准备金额</w:t>
      </w:r>
      <w:r>
        <w:rPr>
          <w:spacing w:val="-54"/>
        </w:rPr>
        <w:t> </w:t>
      </w:r>
      <w:r>
        <w:rPr>
          <w:rFonts w:ascii="Times New Roman" w:hAnsi="Times New Roman" w:cs="Times New Roman" w:eastAsia="Times New Roman" w:hint="default"/>
        </w:rPr>
        <w:t>13,771,452.36</w:t>
      </w:r>
      <w:r>
        <w:rPr>
          <w:rFonts w:ascii="Times New Roman" w:hAnsi="Times New Roman" w:cs="Times New Roman" w:eastAsia="Times New Roman" w:hint="default"/>
          <w:spacing w:val="-5"/>
        </w:rPr>
        <w:t> </w:t>
      </w:r>
      <w:r>
        <w:rPr/>
        <w:t>元；本期无收回或转回坏账准备金额</w:t>
      </w:r>
      <w:r>
        <w:rPr>
          <w:spacing w:val="-57"/>
        </w:rPr>
        <w:t> </w:t>
      </w:r>
      <w:r>
        <w:rPr>
          <w:rFonts w:ascii="Calibri" w:hAnsi="Calibri" w:cs="Calibri" w:eastAsia="Calibri" w:hint="default"/>
        </w:rPr>
        <w:t>0</w:t>
      </w:r>
      <w:r>
        <w:rPr/>
        <w:t>。</w:t>
      </w:r>
    </w:p>
    <w:p>
      <w:pPr>
        <w:spacing w:line="240" w:lineRule="auto" w:before="4"/>
        <w:rPr>
          <w:rFonts w:ascii="宋体" w:hAnsi="宋体" w:cs="宋体" w:eastAsia="宋体" w:hint="default"/>
          <w:sz w:val="17"/>
          <w:szCs w:val="17"/>
        </w:rPr>
      </w:pPr>
    </w:p>
    <w:p>
      <w:pPr>
        <w:pStyle w:val="BodyText"/>
        <w:spacing w:line="274" w:lineRule="exact"/>
        <w:ind w:right="2513"/>
        <w:jc w:val="left"/>
      </w:pPr>
      <w:r>
        <w:rPr/>
        <w:t>其中本期坏账准备收回或转回金额重要的：</w:t>
      </w:r>
    </w:p>
    <w:p>
      <w:pPr>
        <w:pStyle w:val="BodyText"/>
        <w:tabs>
          <w:tab w:pos="1060" w:val="left" w:leader="none"/>
        </w:tabs>
        <w:spacing w:line="301" w:lineRule="exact"/>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tabs>
          <w:tab w:pos="1060" w:val="left" w:leader="none"/>
        </w:tabs>
        <w:spacing w:line="240" w:lineRule="auto" w:before="58"/>
        <w:ind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534" w:space="319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339,774.99</w:t>
            </w:r>
          </w:p>
        </w:tc>
      </w:tr>
    </w:tbl>
    <w:p>
      <w:pPr>
        <w:spacing w:line="240" w:lineRule="auto" w:before="3"/>
        <w:rPr>
          <w:rFonts w:ascii="宋体" w:hAnsi="宋体" w:cs="宋体" w:eastAsia="宋体" w:hint="default"/>
          <w:sz w:val="14"/>
          <w:szCs w:val="14"/>
        </w:rPr>
      </w:pPr>
    </w:p>
    <w:p>
      <w:pPr>
        <w:pStyle w:val="BodyText"/>
        <w:spacing w:line="273" w:lineRule="exact" w:before="36"/>
        <w:ind w:right="2513"/>
        <w:jc w:val="left"/>
      </w:pPr>
      <w:r>
        <w:rPr/>
        <w:t>其中重要的应收账款核销情况</w:t>
      </w:r>
    </w:p>
    <w:p>
      <w:pPr>
        <w:pStyle w:val="BodyText"/>
        <w:tabs>
          <w:tab w:pos="1060" w:val="left" w:leader="none"/>
        </w:tabs>
        <w:spacing w:line="274" w:lineRule="exact" w:before="24"/>
        <w:ind w:right="7172"/>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r>
        <w:rPr>
          <w:w w:val="100"/>
        </w:rPr>
        <w:t> </w:t>
      </w:r>
      <w:r>
        <w:rPr>
          <w:spacing w:val="-1"/>
        </w:rPr>
        <w:t>应收账款核销说明：</w:t>
      </w:r>
    </w:p>
    <w:p>
      <w:pPr>
        <w:pStyle w:val="BodyText"/>
        <w:tabs>
          <w:tab w:pos="1060" w:val="left" w:leader="none"/>
        </w:tabs>
        <w:spacing w:line="273"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3"/>
        <w:spacing w:line="240" w:lineRule="auto"/>
        <w:ind w:right="2513"/>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163" w:val="left" w:leader="none"/>
        </w:tabs>
        <w:spacing w:line="240" w:lineRule="auto" w:before="58"/>
        <w:ind w:right="2513"/>
        <w:jc w:val="left"/>
      </w:pPr>
      <w:r>
        <w:rPr/>
        <w:t>√适用</w:t>
        <w:tab/>
        <w:t>□不适用</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206"/>
        <w:gridCol w:w="2206"/>
        <w:gridCol w:w="2206"/>
        <w:gridCol w:w="2206"/>
      </w:tblGrid>
      <w:tr>
        <w:trPr>
          <w:trHeight w:val="55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占应收账款余额的比</w:t>
            </w:r>
          </w:p>
          <w:p>
            <w:pPr>
              <w:pStyle w:val="TableParagraph"/>
              <w:spacing w:line="301" w:lineRule="exact"/>
              <w:ind w:left="2" w:right="0"/>
              <w:jc w:val="center"/>
              <w:rPr>
                <w:rFonts w:ascii="宋体" w:hAnsi="宋体" w:cs="宋体" w:eastAsia="宋体" w:hint="default"/>
                <w:sz w:val="21"/>
                <w:szCs w:val="21"/>
              </w:rPr>
            </w:pPr>
            <w:r>
              <w:rPr>
                <w:rFonts w:ascii="宋体" w:hAnsi="宋体" w:cs="宋体" w:eastAsia="宋体" w:hint="default"/>
                <w:sz w:val="21"/>
                <w:szCs w:val="21"/>
              </w:rPr>
              <w:t>例（</w:t>
            </w:r>
            <w:r>
              <w:rPr>
                <w:rFonts w:ascii="Calibri" w:hAnsi="Calibri" w:cs="Calibri" w:eastAsia="Calibri" w:hint="default"/>
                <w:sz w:val="21"/>
                <w:szCs w:val="21"/>
              </w:rPr>
              <w:t>%</w:t>
            </w:r>
            <w:r>
              <w:rPr>
                <w:rFonts w:ascii="宋体" w:hAnsi="宋体" w:cs="宋体" w:eastAsia="宋体"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55,650,000.00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17.72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1,669,500.00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13,330,908.20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4.25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399,927.25</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11,925,638.00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3.80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357,769.14</w:t>
            </w:r>
          </w:p>
        </w:tc>
      </w:tr>
      <w:tr>
        <w:trPr>
          <w:trHeight w:val="28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2"/>
                <w:sz w:val="21"/>
              </w:rPr>
              <w:t>11,020,129.82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3.51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553,808.80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9,590,000.00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3.05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287,700.00</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101,516,676.02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32.33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3,268,705.19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163"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3"/>
        <w:rPr>
          <w:rFonts w:ascii="宋体" w:hAnsi="宋体" w:cs="宋体" w:eastAsia="宋体" w:hint="default"/>
          <w:sz w:val="16"/>
          <w:szCs w:val="16"/>
        </w:rPr>
      </w:pPr>
    </w:p>
    <w:p>
      <w:pPr>
        <w:pStyle w:val="BodyText"/>
        <w:spacing w:line="274" w:lineRule="exact"/>
        <w:ind w:right="2513"/>
        <w:jc w:val="left"/>
      </w:pPr>
      <w:r>
        <w:rPr/>
        <w:t>其他说明：</w:t>
      </w:r>
    </w:p>
    <w:p>
      <w:pPr>
        <w:pStyle w:val="BodyText"/>
        <w:tabs>
          <w:tab w:pos="1163" w:val="left" w:leader="none"/>
        </w:tabs>
        <w:spacing w:line="301" w:lineRule="exact"/>
        <w:ind w:right="2513"/>
        <w:jc w:val="left"/>
      </w:pPr>
      <w:r>
        <w:rPr/>
        <w:t>□适用</w:t>
        <w:tab/>
      </w:r>
      <w:r>
        <w:rPr>
          <w:rFonts w:ascii="Calibri" w:hAnsi="Calibri" w:cs="Calibri" w:eastAsia="Calibri" w:hint="default"/>
        </w:rPr>
        <w:t>√</w:t>
      </w:r>
      <w:r>
        <w:rPr/>
        <w:t>不适用</w:t>
      </w:r>
    </w:p>
    <w:p>
      <w:pPr>
        <w:spacing w:after="0" w:line="301" w:lineRule="exact"/>
        <w:jc w:val="left"/>
        <w:sectPr>
          <w:type w:val="continuous"/>
          <w:pgSz w:w="11910" w:h="16840"/>
          <w:pgMar w:top="1580" w:bottom="280" w:left="1580" w:right="1040"/>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979" w:top="1140" w:bottom="1160" w:left="1580" w:right="1120"/>
        </w:sectPr>
      </w:pPr>
    </w:p>
    <w:p>
      <w:pPr>
        <w:pStyle w:val="Heading3"/>
        <w:spacing w:line="240" w:lineRule="auto" w:before="36"/>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163" w:val="left" w:leader="none"/>
        </w:tabs>
        <w:spacing w:line="240" w:lineRule="auto" w:before="56"/>
        <w:ind w:right="-19"/>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120"/>
          <w:cols w:num="2" w:equalWidth="0">
            <w:col w:w="2736" w:space="3997"/>
            <w:col w:w="247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80"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88"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11,897,058.65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94.40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8,432,263.57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97.32</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547,131.75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4.34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146,012.48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1.69</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88,971.77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0.71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53,213.87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0.61</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69,522.90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0.55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32,845.40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0.38</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12,602,685.07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8,664,335.32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16" w:lineRule="auto"/>
        <w:ind w:right="3300"/>
        <w:jc w:val="left"/>
      </w:pPr>
      <w:r>
        <w:rPr/>
        <w:t>账龄超过</w:t>
      </w:r>
      <w:r>
        <w:rPr>
          <w:spacing w:val="-56"/>
        </w:rPr>
        <w:t> </w:t>
      </w:r>
      <w:r>
        <w:rPr>
          <w:rFonts w:ascii="Calibri" w:hAnsi="Calibri" w:cs="Calibri" w:eastAsia="Calibri" w:hint="default"/>
        </w:rPr>
        <w:t>1</w:t>
      </w:r>
      <w:r>
        <w:rPr>
          <w:rFonts w:ascii="Calibri" w:hAnsi="Calibri" w:cs="Calibri" w:eastAsia="Calibri" w:hint="default"/>
          <w:spacing w:val="5"/>
        </w:rPr>
        <w:t> </w:t>
      </w:r>
      <w:r>
        <w:rPr/>
        <w:t>年且金额重要的预付款项未及时结算原因的说明：</w:t>
      </w:r>
      <w:r>
        <w:rPr>
          <w:w w:val="100"/>
        </w:rPr>
        <w:t> </w:t>
      </w:r>
      <w:r>
        <w:rPr/>
        <w:t>无</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163" w:val="left" w:leader="none"/>
        </w:tabs>
        <w:spacing w:line="240" w:lineRule="auto" w:before="56"/>
        <w:ind w:right="0"/>
        <w:jc w:val="left"/>
      </w:pPr>
      <w:r>
        <w:rPr/>
        <w:t>√适用</w:t>
        <w:tab/>
        <w:t>□不适用</w:t>
      </w:r>
    </w:p>
    <w:p>
      <w:pPr>
        <w:spacing w:line="240" w:lineRule="auto" w:before="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941"/>
        <w:gridCol w:w="2943"/>
        <w:gridCol w:w="2941"/>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占预付账款合计数的比例（</w:t>
            </w:r>
            <w:r>
              <w:rPr>
                <w:rFonts w:ascii="Calibri" w:hAnsi="Calibri" w:cs="Calibri" w:eastAsia="Calibri" w:hint="default"/>
                <w:spacing w:val="-5"/>
                <w:sz w:val="21"/>
                <w:szCs w:val="21"/>
              </w:rPr>
              <w:t>%</w:t>
            </w:r>
            <w:r>
              <w:rPr>
                <w:rFonts w:ascii="宋体" w:hAnsi="宋体" w:cs="宋体" w:eastAsia="宋体" w:hint="default"/>
                <w:spacing w:val="-5"/>
                <w:sz w:val="21"/>
                <w:szCs w:val="21"/>
              </w:rPr>
              <w:t>）</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预付供应商一</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3,087,322.75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24.5</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预付供应商二</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1,247,604.00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9.9</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预付供应商三</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1,020,000.00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8.09</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预付供应商四</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913,187.99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7.25</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预付供应商五</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833,335.50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6.61</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7,101,450.24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56.35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before="36"/>
        <w:ind w:right="0"/>
        <w:jc w:val="left"/>
      </w:pPr>
      <w:r>
        <w:rPr/>
        <w:t>其他说明</w:t>
      </w:r>
    </w:p>
    <w:p>
      <w:pPr>
        <w:pStyle w:val="BodyText"/>
        <w:tabs>
          <w:tab w:pos="1163" w:val="left" w:leader="none"/>
        </w:tabs>
        <w:spacing w:line="273" w:lineRule="exact"/>
        <w:ind w:right="0"/>
        <w:jc w:val="left"/>
      </w:pPr>
      <w:r>
        <w:rPr/>
        <w:t>□适用</w:t>
        <w:tab/>
        <w:t>√不适用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120"/>
        </w:sectPr>
      </w:pPr>
    </w:p>
    <w:p>
      <w:pPr>
        <w:pStyle w:val="Heading3"/>
        <w:spacing w:line="240" w:lineRule="auto" w:before="36"/>
        <w:ind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tabs>
          <w:tab w:pos="1060" w:val="left" w:leader="none"/>
        </w:tabs>
        <w:spacing w:line="240" w:lineRule="auto" w:before="58"/>
        <w:ind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120"/>
          <w:cols w:num="2" w:equalWidth="0">
            <w:col w:w="2033" w:space="4700"/>
            <w:col w:w="247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5"/>
              <w:jc w:val="right"/>
              <w:rPr>
                <w:rFonts w:ascii="Times New Roman" w:hAnsi="Times New Roman" w:cs="Times New Roman" w:eastAsia="Times New Roman" w:hint="default"/>
                <w:sz w:val="21"/>
                <w:szCs w:val="21"/>
              </w:rPr>
            </w:pPr>
            <w:r>
              <w:rPr>
                <w:rFonts w:ascii="Times New Roman"/>
                <w:sz w:val="21"/>
              </w:rPr>
              <w:t>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5"/>
              <w:jc w:val="right"/>
              <w:rPr>
                <w:rFonts w:ascii="Times New Roman" w:hAnsi="Times New Roman" w:cs="Times New Roman" w:eastAsia="Times New Roman" w:hint="default"/>
                <w:sz w:val="21"/>
                <w:szCs w:val="21"/>
              </w:rPr>
            </w:pPr>
            <w:r>
              <w:rPr>
                <w:rFonts w:ascii="Times New Roman"/>
                <w:spacing w:val="-1"/>
                <w:sz w:val="21"/>
              </w:rPr>
              <w:t>43,081.63</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z w:val="21"/>
              </w:rPr>
              <w:t>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43,081.63</w:t>
            </w:r>
          </w:p>
        </w:tc>
      </w:tr>
    </w:tbl>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tabs>
          <w:tab w:pos="1060" w:val="left" w:leader="none"/>
        </w:tabs>
        <w:spacing w:line="240" w:lineRule="auto" w:before="56"/>
        <w:ind w:right="0"/>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0"/>
        <w:jc w:val="left"/>
      </w:pPr>
      <w:r>
        <w:rPr/>
        <w:t>其他说明：</w:t>
      </w:r>
    </w:p>
    <w:p>
      <w:pPr>
        <w:pStyle w:val="BodyText"/>
        <w:tabs>
          <w:tab w:pos="1163" w:val="left" w:leader="none"/>
        </w:tabs>
        <w:spacing w:line="274" w:lineRule="exact"/>
        <w:ind w:right="0"/>
        <w:jc w:val="left"/>
      </w:pPr>
      <w:r>
        <w:rPr/>
        <w:t>□适用</w:t>
        <w:tab/>
        <w:t>√不适用</w:t>
      </w:r>
    </w:p>
    <w:p>
      <w:pPr>
        <w:spacing w:after="0" w:line="274" w:lineRule="exact"/>
        <w:jc w:val="left"/>
        <w:sectPr>
          <w:type w:val="continuous"/>
          <w:pgSz w:w="11910" w:h="16840"/>
          <w:pgMar w:top="1580" w:bottom="280" w:left="1580" w:right="1120"/>
        </w:sectPr>
      </w:pPr>
    </w:p>
    <w:p>
      <w:pPr>
        <w:spacing w:line="240" w:lineRule="auto" w:before="4"/>
        <w:rPr>
          <w:rFonts w:ascii="宋体" w:hAnsi="宋体" w:cs="宋体" w:eastAsia="宋体" w:hint="default"/>
          <w:sz w:val="23"/>
          <w:szCs w:val="23"/>
        </w:rPr>
      </w:pPr>
    </w:p>
    <w:p>
      <w:pPr>
        <w:pStyle w:val="Heading3"/>
        <w:spacing w:line="290" w:lineRule="auto" w:before="36"/>
        <w:ind w:left="138" w:right="756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tabs>
          <w:tab w:pos="980" w:val="left" w:leader="none"/>
        </w:tabs>
        <w:spacing w:line="240" w:lineRule="auto" w:before="12"/>
        <w:ind w:left="138" w:right="47"/>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left="138" w:right="47"/>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tabs>
          <w:tab w:pos="980" w:val="left" w:leader="none"/>
        </w:tabs>
        <w:spacing w:line="240" w:lineRule="auto" w:before="39"/>
        <w:ind w:left="138" w:right="47"/>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left="138" w:right="47"/>
        <w:jc w:val="left"/>
      </w:pPr>
      <w:r>
        <w:rPr/>
        <w:t>其他说明：</w:t>
      </w:r>
    </w:p>
    <w:p>
      <w:pPr>
        <w:pStyle w:val="BodyText"/>
        <w:tabs>
          <w:tab w:pos="980" w:val="left" w:leader="none"/>
        </w:tabs>
        <w:spacing w:line="301"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660" w:right="1120"/>
        </w:sectPr>
      </w:pPr>
    </w:p>
    <w:p>
      <w:pPr>
        <w:pStyle w:val="Heading3"/>
        <w:spacing w:line="240" w:lineRule="auto" w:before="36"/>
        <w:ind w:left="13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3"/>
        <w:spacing w:line="240" w:lineRule="auto" w:before="59"/>
        <w:ind w:left="1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tabs>
          <w:tab w:pos="980" w:val="left" w:leader="none"/>
        </w:tabs>
        <w:spacing w:line="240" w:lineRule="auto" w:before="56"/>
        <w:ind w:left="138"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2627" w:space="4002"/>
            <w:col w:w="250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25"/>
        <w:gridCol w:w="569"/>
        <w:gridCol w:w="709"/>
        <w:gridCol w:w="746"/>
        <w:gridCol w:w="814"/>
        <w:gridCol w:w="994"/>
        <w:gridCol w:w="996"/>
        <w:gridCol w:w="420"/>
        <w:gridCol w:w="987"/>
        <w:gridCol w:w="490"/>
        <w:gridCol w:w="1147"/>
      </w:tblGrid>
      <w:tr>
        <w:trPr>
          <w:trHeight w:val="293"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8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025" w:type="dxa"/>
            <w:vMerge/>
            <w:tcBorders>
              <w:left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80" w:right="27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7"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11" w:hRule="exact"/>
        </w:trPr>
        <w:tc>
          <w:tcPr>
            <w:tcW w:w="1025"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208" w:right="0"/>
              <w:jc w:val="left"/>
              <w:rPr>
                <w:rFonts w:ascii="Calibri" w:hAnsi="Calibri" w:cs="Calibri" w:eastAsia="Calibri" w:hint="default"/>
                <w:sz w:val="21"/>
                <w:szCs w:val="21"/>
              </w:rPr>
            </w:pPr>
            <w:r>
              <w:rPr>
                <w:rFonts w:ascii="Calibri"/>
                <w:sz w:val="21"/>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83" w:hanging="72"/>
              <w:jc w:val="left"/>
              <w:rPr>
                <w:rFonts w:ascii="Calibri" w:hAnsi="Calibri" w:cs="Calibri" w:eastAsia="Calibri"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Calibri" w:hAnsi="Calibri" w:cs="Calibri" w:eastAsia="Calibri" w:hint="default"/>
                <w:sz w:val="21"/>
                <w:szCs w:val="21"/>
              </w:rPr>
              <w:t>(%)</w:t>
            </w:r>
          </w:p>
        </w:tc>
        <w:tc>
          <w:tcPr>
            <w:tcW w:w="994"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9"/>
              <w:ind w:left="62" w:right="0"/>
              <w:jc w:val="left"/>
              <w:rPr>
                <w:rFonts w:ascii="Calibri" w:hAnsi="Calibri" w:cs="Calibri" w:eastAsia="Calibri" w:hint="default"/>
                <w:sz w:val="21"/>
                <w:szCs w:val="21"/>
              </w:rPr>
            </w:pPr>
            <w:r>
              <w:rPr>
                <w:rFonts w:ascii="Calibri"/>
                <w:sz w:val="21"/>
              </w:rPr>
              <w:t>(%)</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9"/>
              <w:ind w:left="100" w:right="0"/>
              <w:jc w:val="left"/>
              <w:rPr>
                <w:rFonts w:ascii="Calibri" w:hAnsi="Calibri" w:cs="Calibri" w:eastAsia="Calibri" w:hint="default"/>
                <w:sz w:val="21"/>
                <w:szCs w:val="21"/>
              </w:rPr>
            </w:pPr>
            <w:r>
              <w:rPr>
                <w:rFonts w:ascii="Calibri"/>
                <w:sz w:val="21"/>
              </w:rPr>
              <w:t>(%)</w:t>
            </w:r>
          </w:p>
        </w:tc>
        <w:tc>
          <w:tcPr>
            <w:tcW w:w="1147" w:type="dxa"/>
            <w:vMerge/>
            <w:tcBorders>
              <w:left w:val="single" w:sz="4" w:space="0" w:color="000000"/>
              <w:bottom w:val="single" w:sz="4" w:space="0" w:color="000000"/>
              <w:right w:val="single" w:sz="4" w:space="0" w:color="000000"/>
            </w:tcBorders>
          </w:tcPr>
          <w:p>
            <w:pPr/>
          </w:p>
        </w:tc>
      </w:tr>
      <w:tr>
        <w:trPr>
          <w:trHeight w:val="164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额</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64"/>
                <w:sz w:val="21"/>
                <w:szCs w:val="21"/>
              </w:rPr>
              <w:t> </w:t>
            </w:r>
            <w:r>
              <w:rPr>
                <w:rFonts w:ascii="宋体" w:hAnsi="宋体" w:cs="宋体" w:eastAsia="宋体" w:hint="default"/>
                <w:sz w:val="21"/>
                <w:szCs w:val="21"/>
              </w:rPr>
              <w:t>大</w:t>
            </w:r>
            <w:r>
              <w:rPr>
                <w:rFonts w:ascii="宋体" w:hAnsi="宋体" w:cs="宋体" w:eastAsia="宋体" w:hint="default"/>
                <w:spacing w:val="-64"/>
                <w:sz w:val="21"/>
                <w:szCs w:val="21"/>
              </w:rPr>
              <w:t> </w:t>
            </w:r>
            <w:r>
              <w:rPr>
                <w:rFonts w:ascii="宋体" w:hAnsi="宋体" w:cs="宋体" w:eastAsia="宋体" w:hint="default"/>
                <w:sz w:val="21"/>
                <w:szCs w:val="21"/>
              </w:rPr>
              <w:t>并</w:t>
            </w:r>
            <w:r>
              <w:rPr>
                <w:rFonts w:ascii="宋体" w:hAnsi="宋体" w:cs="宋体" w:eastAsia="宋体" w:hint="default"/>
                <w:spacing w:val="-66"/>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准</w:t>
            </w:r>
            <w:r>
              <w:rPr>
                <w:rFonts w:ascii="宋体" w:hAnsi="宋体" w:cs="宋体" w:eastAsia="宋体" w:hint="default"/>
                <w:spacing w:val="-64"/>
                <w:sz w:val="21"/>
                <w:szCs w:val="21"/>
              </w:rPr>
              <w:t> </w:t>
            </w:r>
            <w:r>
              <w:rPr>
                <w:rFonts w:ascii="宋体" w:hAnsi="宋体" w:cs="宋体" w:eastAsia="宋体" w:hint="default"/>
                <w:sz w:val="21"/>
                <w:szCs w:val="21"/>
              </w:rPr>
              <w:t>备</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spacing w:val="-64"/>
                <w:sz w:val="21"/>
                <w:szCs w:val="21"/>
              </w:rPr>
              <w:t> </w:t>
            </w:r>
            <w:r>
              <w:rPr>
                <w:rFonts w:ascii="宋体" w:hAnsi="宋体" w:cs="宋体" w:eastAsia="宋体" w:hint="default"/>
                <w:sz w:val="21"/>
                <w:szCs w:val="21"/>
              </w:rPr>
              <w:t>他</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5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164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26"/>
                <w:sz w:val="21"/>
                <w:szCs w:val="21"/>
              </w:rPr>
              <w:t>按信用</w:t>
            </w:r>
            <w:r>
              <w:rPr>
                <w:rFonts w:ascii="宋体" w:hAnsi="宋体" w:cs="宋体" w:eastAsia="宋体" w:hint="default"/>
                <w:spacing w:val="-61"/>
                <w:sz w:val="21"/>
                <w:szCs w:val="21"/>
              </w:rPr>
              <w:t> </w:t>
            </w:r>
            <w:r>
              <w:rPr>
                <w:rFonts w:ascii="宋体" w:hAnsi="宋体" w:cs="宋体" w:eastAsia="宋体" w:hint="default"/>
                <w:sz w:val="21"/>
                <w:szCs w:val="21"/>
              </w:rPr>
              <w:t>风</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险</w:t>
            </w:r>
            <w:r>
              <w:rPr>
                <w:rFonts w:ascii="宋体" w:hAnsi="宋体" w:cs="宋体" w:eastAsia="宋体" w:hint="default"/>
                <w:spacing w:val="-64"/>
                <w:sz w:val="21"/>
                <w:szCs w:val="21"/>
              </w:rPr>
              <w:t> </w:t>
            </w:r>
            <w:r>
              <w:rPr>
                <w:rFonts w:ascii="宋体" w:hAnsi="宋体" w:cs="宋体" w:eastAsia="宋体" w:hint="default"/>
                <w:sz w:val="21"/>
                <w:szCs w:val="21"/>
              </w:rPr>
              <w:t>特</w:t>
            </w:r>
            <w:r>
              <w:rPr>
                <w:rFonts w:ascii="宋体" w:hAnsi="宋体" w:cs="宋体" w:eastAsia="宋体" w:hint="default"/>
                <w:spacing w:val="-64"/>
                <w:sz w:val="21"/>
                <w:szCs w:val="21"/>
              </w:rPr>
              <w:t> </w:t>
            </w:r>
            <w:r>
              <w:rPr>
                <w:rFonts w:ascii="宋体" w:hAnsi="宋体" w:cs="宋体" w:eastAsia="宋体" w:hint="default"/>
                <w:sz w:val="21"/>
                <w:szCs w:val="21"/>
              </w:rPr>
              <w:t>征</w:t>
            </w:r>
            <w:r>
              <w:rPr>
                <w:rFonts w:ascii="宋体" w:hAnsi="宋体" w:cs="宋体" w:eastAsia="宋体" w:hint="default"/>
                <w:spacing w:val="-66"/>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准</w:t>
            </w:r>
            <w:r>
              <w:rPr>
                <w:rFonts w:ascii="宋体" w:hAnsi="宋体" w:cs="宋体" w:eastAsia="宋体" w:hint="default"/>
                <w:spacing w:val="-64"/>
                <w:sz w:val="21"/>
                <w:szCs w:val="21"/>
              </w:rPr>
              <w:t> </w:t>
            </w:r>
            <w:r>
              <w:rPr>
                <w:rFonts w:ascii="宋体" w:hAnsi="宋体" w:cs="宋体" w:eastAsia="宋体" w:hint="default"/>
                <w:sz w:val="21"/>
                <w:szCs w:val="21"/>
              </w:rPr>
              <w:t>备</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spacing w:val="-64"/>
                <w:sz w:val="21"/>
                <w:szCs w:val="21"/>
              </w:rPr>
              <w:t> </w:t>
            </w:r>
            <w:r>
              <w:rPr>
                <w:rFonts w:ascii="宋体" w:hAnsi="宋体" w:cs="宋体" w:eastAsia="宋体" w:hint="default"/>
                <w:sz w:val="21"/>
                <w:szCs w:val="21"/>
              </w:rPr>
              <w:t>他</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9" w:right="0"/>
              <w:jc w:val="left"/>
              <w:rPr>
                <w:rFonts w:ascii="Times New Roman" w:hAnsi="Times New Roman" w:cs="Times New Roman" w:eastAsia="Times New Roman" w:hint="default"/>
                <w:sz w:val="21"/>
                <w:szCs w:val="21"/>
              </w:rPr>
            </w:pPr>
            <w:r>
              <w:rPr>
                <w:rFonts w:ascii="Times New Roman"/>
                <w:sz w:val="21"/>
              </w:rPr>
              <w:t>54,93</w:t>
            </w:r>
          </w:p>
          <w:p>
            <w:pPr>
              <w:pStyle w:val="TableParagraph"/>
              <w:spacing w:line="240" w:lineRule="auto" w:before="1"/>
              <w:ind w:left="59" w:right="0"/>
              <w:jc w:val="left"/>
              <w:rPr>
                <w:rFonts w:ascii="Times New Roman" w:hAnsi="Times New Roman" w:cs="Times New Roman" w:eastAsia="Times New Roman" w:hint="default"/>
                <w:sz w:val="21"/>
                <w:szCs w:val="21"/>
              </w:rPr>
            </w:pPr>
            <w:r>
              <w:rPr>
                <w:rFonts w:ascii="Times New Roman"/>
                <w:sz w:val="21"/>
              </w:rPr>
              <w:t>4,992</w:t>
            </w:r>
          </w:p>
          <w:p>
            <w:pPr>
              <w:pStyle w:val="TableParagraph"/>
              <w:spacing w:line="240" w:lineRule="auto" w:before="1"/>
              <w:ind w:left="271" w:right="0"/>
              <w:jc w:val="left"/>
              <w:rPr>
                <w:rFonts w:ascii="Times New Roman" w:hAnsi="Times New Roman" w:cs="Times New Roman" w:eastAsia="Times New Roman" w:hint="default"/>
                <w:sz w:val="21"/>
                <w:szCs w:val="21"/>
              </w:rPr>
            </w:pPr>
            <w:r>
              <w:rPr>
                <w:rFonts w:ascii="Times New Roman"/>
                <w:sz w:val="21"/>
              </w:rPr>
              <w:t>.35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z w:val="21"/>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1" w:lineRule="exact"/>
              <w:ind w:left="55" w:right="0"/>
              <w:jc w:val="center"/>
              <w:rPr>
                <w:rFonts w:ascii="Times New Roman" w:hAnsi="Times New Roman" w:cs="Times New Roman" w:eastAsia="Times New Roman" w:hint="default"/>
                <w:sz w:val="21"/>
                <w:szCs w:val="21"/>
              </w:rPr>
            </w:pPr>
            <w:r>
              <w:rPr>
                <w:rFonts w:ascii="Times New Roman"/>
                <w:sz w:val="21"/>
              </w:rPr>
              <w:t>5,723,7</w:t>
            </w:r>
          </w:p>
          <w:p>
            <w:pPr>
              <w:pStyle w:val="TableParagraph"/>
              <w:spacing w:line="241" w:lineRule="exact"/>
              <w:ind w:left="213" w:right="0"/>
              <w:jc w:val="center"/>
              <w:rPr>
                <w:rFonts w:ascii="Times New Roman" w:hAnsi="Times New Roman" w:cs="Times New Roman" w:eastAsia="Times New Roman" w:hint="default"/>
                <w:sz w:val="21"/>
                <w:szCs w:val="21"/>
              </w:rPr>
            </w:pPr>
            <w:r>
              <w:rPr>
                <w:rFonts w:ascii="Times New Roman"/>
                <w:sz w:val="21"/>
              </w:rPr>
              <w:t>32.71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sz w:val="21"/>
              </w:rPr>
              <w:t>10.42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49,211,25</w:t>
            </w:r>
          </w:p>
          <w:p>
            <w:pPr>
              <w:pStyle w:val="TableParagraph"/>
              <w:spacing w:line="241" w:lineRule="exact"/>
              <w:ind w:left="590" w:right="0"/>
              <w:jc w:val="left"/>
              <w:rPr>
                <w:rFonts w:ascii="Times New Roman" w:hAnsi="Times New Roman" w:cs="Times New Roman" w:eastAsia="Times New Roman" w:hint="default"/>
                <w:sz w:val="21"/>
                <w:szCs w:val="21"/>
              </w:rPr>
            </w:pPr>
            <w:r>
              <w:rPr>
                <w:rFonts w:ascii="Times New Roman"/>
                <w:sz w:val="21"/>
              </w:rPr>
              <w:t>9.64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41,617,06</w:t>
            </w:r>
          </w:p>
          <w:p>
            <w:pPr>
              <w:pStyle w:val="TableParagraph"/>
              <w:spacing w:line="241" w:lineRule="exact"/>
              <w:ind w:left="590" w:right="0"/>
              <w:jc w:val="left"/>
              <w:rPr>
                <w:rFonts w:ascii="Times New Roman" w:hAnsi="Times New Roman" w:cs="Times New Roman" w:eastAsia="Times New Roman" w:hint="default"/>
                <w:sz w:val="21"/>
                <w:szCs w:val="21"/>
              </w:rPr>
            </w:pPr>
            <w:r>
              <w:rPr>
                <w:rFonts w:ascii="Times New Roman"/>
                <w:sz w:val="21"/>
              </w:rPr>
              <w:t>5.40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4"/>
              <w:jc w:val="right"/>
              <w:rPr>
                <w:rFonts w:ascii="Times New Roman" w:hAnsi="Times New Roman" w:cs="Times New Roman" w:eastAsia="Times New Roman" w:hint="default"/>
                <w:sz w:val="21"/>
                <w:szCs w:val="21"/>
              </w:rPr>
            </w:pPr>
            <w:r>
              <w:rPr>
                <w:rFonts w:ascii="Times New Roman"/>
                <w:sz w:val="21"/>
              </w:rPr>
              <w:t>100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pacing w:val="-1"/>
                <w:sz w:val="21"/>
              </w:rPr>
              <w:t>4,572,977.</w:t>
            </w:r>
          </w:p>
          <w:p>
            <w:pPr>
              <w:pStyle w:val="TableParagraph"/>
              <w:spacing w:line="241" w:lineRule="exact"/>
              <w:ind w:right="27"/>
              <w:jc w:val="right"/>
              <w:rPr>
                <w:rFonts w:ascii="Times New Roman" w:hAnsi="Times New Roman" w:cs="Times New Roman" w:eastAsia="Times New Roman" w:hint="default"/>
                <w:sz w:val="21"/>
                <w:szCs w:val="21"/>
              </w:rPr>
            </w:pPr>
            <w:r>
              <w:rPr>
                <w:rFonts w:ascii="Times New Roman"/>
                <w:sz w:val="21"/>
              </w:rPr>
              <w:t>15</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10.9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37,044,088.</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25</w:t>
            </w:r>
          </w:p>
        </w:tc>
      </w:tr>
      <w:tr>
        <w:trPr>
          <w:trHeight w:val="16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额</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64"/>
                <w:sz w:val="21"/>
                <w:szCs w:val="21"/>
              </w:rPr>
              <w:t> </w:t>
            </w:r>
            <w:r>
              <w:rPr>
                <w:rFonts w:ascii="宋体" w:hAnsi="宋体" w:cs="宋体" w:eastAsia="宋体" w:hint="default"/>
                <w:sz w:val="21"/>
                <w:szCs w:val="21"/>
              </w:rPr>
              <w:t>重</w:t>
            </w:r>
            <w:r>
              <w:rPr>
                <w:rFonts w:ascii="宋体" w:hAnsi="宋体" w:cs="宋体" w:eastAsia="宋体" w:hint="default"/>
                <w:spacing w:val="-64"/>
                <w:sz w:val="21"/>
                <w:szCs w:val="21"/>
              </w:rPr>
              <w:t> </w:t>
            </w: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spacing w:val="-64"/>
                <w:sz w:val="21"/>
                <w:szCs w:val="21"/>
              </w:rPr>
              <w:t> </w:t>
            </w:r>
            <w:r>
              <w:rPr>
                <w:rFonts w:ascii="宋体" w:hAnsi="宋体" w:cs="宋体" w:eastAsia="宋体" w:hint="default"/>
                <w:sz w:val="21"/>
                <w:szCs w:val="21"/>
              </w:rPr>
              <w:t>独</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spacing w:val="-64"/>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准</w:t>
            </w:r>
            <w:r>
              <w:rPr>
                <w:rFonts w:ascii="宋体" w:hAnsi="宋体" w:cs="宋体" w:eastAsia="宋体" w:hint="default"/>
                <w:spacing w:val="-66"/>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其</w:t>
            </w:r>
            <w:r>
              <w:rPr>
                <w:rFonts w:ascii="宋体" w:hAnsi="宋体" w:cs="宋体" w:eastAsia="宋体" w:hint="default"/>
                <w:spacing w:val="-64"/>
                <w:sz w:val="21"/>
                <w:szCs w:val="21"/>
              </w:rPr>
              <w:t> </w:t>
            </w:r>
            <w:r>
              <w:rPr>
                <w:rFonts w:ascii="宋体" w:hAnsi="宋体" w:cs="宋体" w:eastAsia="宋体" w:hint="default"/>
                <w:sz w:val="21"/>
                <w:szCs w:val="21"/>
              </w:rPr>
              <w:t>他</w:t>
            </w:r>
            <w:r>
              <w:rPr>
                <w:rFonts w:ascii="宋体" w:hAnsi="宋体" w:cs="宋体" w:eastAsia="宋体" w:hint="default"/>
                <w:spacing w:val="-66"/>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收款</w:t>
            </w:r>
          </w:p>
        </w:tc>
        <w:tc>
          <w:tcPr>
            <w:tcW w:w="56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 w:right="0"/>
              <w:jc w:val="left"/>
              <w:rPr>
                <w:rFonts w:ascii="Times New Roman" w:hAnsi="Times New Roman" w:cs="Times New Roman" w:eastAsia="Times New Roman" w:hint="default"/>
                <w:sz w:val="21"/>
                <w:szCs w:val="21"/>
              </w:rPr>
            </w:pPr>
            <w:r>
              <w:rPr>
                <w:rFonts w:ascii="Times New Roman"/>
                <w:sz w:val="21"/>
              </w:rPr>
              <w:t>54,93</w:t>
            </w:r>
          </w:p>
          <w:p>
            <w:pPr>
              <w:pStyle w:val="TableParagraph"/>
              <w:spacing w:line="241" w:lineRule="exact" w:before="1"/>
              <w:ind w:left="59" w:right="0"/>
              <w:jc w:val="left"/>
              <w:rPr>
                <w:rFonts w:ascii="Times New Roman" w:hAnsi="Times New Roman" w:cs="Times New Roman" w:eastAsia="Times New Roman" w:hint="default"/>
                <w:sz w:val="21"/>
                <w:szCs w:val="21"/>
              </w:rPr>
            </w:pPr>
            <w:r>
              <w:rPr>
                <w:rFonts w:ascii="Times New Roman"/>
                <w:sz w:val="21"/>
              </w:rPr>
              <w:t>4,992</w:t>
            </w:r>
          </w:p>
          <w:p>
            <w:pPr>
              <w:pStyle w:val="TableParagraph"/>
              <w:spacing w:line="241" w:lineRule="exact"/>
              <w:ind w:left="271" w:right="0"/>
              <w:jc w:val="left"/>
              <w:rPr>
                <w:rFonts w:ascii="Times New Roman" w:hAnsi="Times New Roman" w:cs="Times New Roman" w:eastAsia="Times New Roman" w:hint="default"/>
                <w:sz w:val="21"/>
                <w:szCs w:val="21"/>
              </w:rPr>
            </w:pPr>
            <w:r>
              <w:rPr>
                <w:rFonts w:ascii="Times New Roman"/>
                <w:sz w:val="21"/>
              </w:rPr>
              <w:t>.35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5" w:right="0"/>
              <w:jc w:val="center"/>
              <w:rPr>
                <w:rFonts w:ascii="Times New Roman" w:hAnsi="Times New Roman" w:cs="Times New Roman" w:eastAsia="Times New Roman" w:hint="default"/>
                <w:sz w:val="21"/>
                <w:szCs w:val="21"/>
              </w:rPr>
            </w:pPr>
            <w:r>
              <w:rPr>
                <w:rFonts w:ascii="Times New Roman"/>
                <w:sz w:val="21"/>
              </w:rPr>
              <w:t>5,723,7</w:t>
            </w:r>
          </w:p>
          <w:p>
            <w:pPr>
              <w:pStyle w:val="TableParagraph"/>
              <w:spacing w:line="240" w:lineRule="auto" w:before="1"/>
              <w:ind w:left="213" w:right="0"/>
              <w:jc w:val="center"/>
              <w:rPr>
                <w:rFonts w:ascii="Times New Roman" w:hAnsi="Times New Roman" w:cs="Times New Roman" w:eastAsia="Times New Roman" w:hint="default"/>
                <w:sz w:val="21"/>
                <w:szCs w:val="21"/>
              </w:rPr>
            </w:pPr>
            <w:r>
              <w:rPr>
                <w:rFonts w:ascii="Times New Roman"/>
                <w:sz w:val="21"/>
              </w:rPr>
              <w:t>32.71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4" w:right="0"/>
              <w:jc w:val="left"/>
              <w:rPr>
                <w:rFonts w:ascii="Times New Roman" w:hAnsi="Times New Roman" w:cs="Times New Roman" w:eastAsia="Times New Roman" w:hint="default"/>
                <w:sz w:val="21"/>
                <w:szCs w:val="21"/>
              </w:rPr>
            </w:pPr>
            <w:r>
              <w:rPr>
                <w:rFonts w:ascii="Times New Roman"/>
                <w:sz w:val="21"/>
              </w:rPr>
              <w:t>49,211,25</w:t>
            </w:r>
          </w:p>
          <w:p>
            <w:pPr>
              <w:pStyle w:val="TableParagraph"/>
              <w:spacing w:line="240" w:lineRule="auto" w:before="1"/>
              <w:ind w:left="590" w:right="0"/>
              <w:jc w:val="left"/>
              <w:rPr>
                <w:rFonts w:ascii="Times New Roman" w:hAnsi="Times New Roman" w:cs="Times New Roman" w:eastAsia="Times New Roman" w:hint="default"/>
                <w:sz w:val="21"/>
                <w:szCs w:val="21"/>
              </w:rPr>
            </w:pPr>
            <w:r>
              <w:rPr>
                <w:rFonts w:ascii="Times New Roman"/>
                <w:sz w:val="21"/>
              </w:rPr>
              <w:t>9.64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41,617,06</w:t>
            </w:r>
          </w:p>
          <w:p>
            <w:pPr>
              <w:pStyle w:val="TableParagraph"/>
              <w:spacing w:line="240" w:lineRule="auto" w:before="1"/>
              <w:ind w:left="590" w:right="0"/>
              <w:jc w:val="left"/>
              <w:rPr>
                <w:rFonts w:ascii="Times New Roman" w:hAnsi="Times New Roman" w:cs="Times New Roman" w:eastAsia="Times New Roman" w:hint="default"/>
                <w:sz w:val="21"/>
                <w:szCs w:val="21"/>
              </w:rPr>
            </w:pPr>
            <w:r>
              <w:rPr>
                <w:rFonts w:ascii="Times New Roman"/>
                <w:sz w:val="21"/>
              </w:rPr>
              <w:t>5.40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Times New Roman" w:hAnsi="Times New Roman" w:cs="Times New Roman" w:eastAsia="Times New Roman" w:hint="default"/>
                <w:sz w:val="21"/>
                <w:szCs w:val="21"/>
              </w:rPr>
            </w:pPr>
            <w:r>
              <w:rPr>
                <w:rFonts w:ascii="Times New Roman"/>
                <w:spacing w:val="-1"/>
                <w:sz w:val="21"/>
              </w:rPr>
              <w:t>4,572,977.</w:t>
            </w:r>
          </w:p>
          <w:p>
            <w:pPr>
              <w:pStyle w:val="TableParagraph"/>
              <w:spacing w:line="240" w:lineRule="auto" w:before="1"/>
              <w:ind w:right="27"/>
              <w:jc w:val="right"/>
              <w:rPr>
                <w:rFonts w:ascii="Times New Roman" w:hAnsi="Times New Roman" w:cs="Times New Roman" w:eastAsia="Times New Roman" w:hint="default"/>
                <w:sz w:val="21"/>
                <w:szCs w:val="21"/>
              </w:rPr>
            </w:pPr>
            <w:r>
              <w:rPr>
                <w:rFonts w:ascii="Times New Roman"/>
                <w:sz w:val="21"/>
              </w:rPr>
              <w:t>15</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spacing w:val="-1"/>
                <w:sz w:val="21"/>
              </w:rPr>
              <w:t>37,044,088.</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25</w:t>
            </w:r>
          </w:p>
        </w:tc>
      </w:tr>
    </w:tbl>
    <w:p>
      <w:pPr>
        <w:spacing w:line="240" w:lineRule="auto" w:before="3"/>
        <w:rPr>
          <w:rFonts w:ascii="宋体" w:hAnsi="宋体" w:cs="宋体" w:eastAsia="宋体" w:hint="default"/>
          <w:sz w:val="14"/>
          <w:szCs w:val="14"/>
        </w:rPr>
      </w:pPr>
    </w:p>
    <w:p>
      <w:pPr>
        <w:pStyle w:val="BodyText"/>
        <w:spacing w:line="273" w:lineRule="exact" w:before="36"/>
        <w:ind w:left="138" w:right="47"/>
        <w:jc w:val="left"/>
      </w:pPr>
      <w:r>
        <w:rPr/>
        <w:t>期末单项金额重大并单项计提坏帐准备的其他应收款</w:t>
      </w:r>
    </w:p>
    <w:p>
      <w:pPr>
        <w:pStyle w:val="BodyText"/>
        <w:tabs>
          <w:tab w:pos="980" w:val="left" w:leader="none"/>
        </w:tabs>
        <w:spacing w:line="300"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280" w:left="1660" w:right="1120"/>
        </w:sectPr>
      </w:pPr>
    </w:p>
    <w:p>
      <w:pPr>
        <w:pStyle w:val="BodyText"/>
        <w:spacing w:line="273" w:lineRule="exact" w:before="36"/>
        <w:ind w:left="138" w:right="0"/>
        <w:jc w:val="left"/>
      </w:pPr>
      <w:r>
        <w:rPr>
          <w:spacing w:val="-2"/>
        </w:rPr>
        <w:t>组合中，按账龄分析法计提坏账准备的其他应收款：</w:t>
      </w:r>
    </w:p>
    <w:p>
      <w:pPr>
        <w:pStyle w:val="BodyText"/>
        <w:tabs>
          <w:tab w:pos="980" w:val="left" w:leader="none"/>
        </w:tabs>
        <w:spacing w:line="273" w:lineRule="exact"/>
        <w:ind w:left="1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4973" w:space="1760"/>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bl>
    <w:p>
      <w:pPr>
        <w:spacing w:after="0" w:line="268" w:lineRule="exact"/>
        <w:jc w:val="left"/>
        <w:rPr>
          <w:rFonts w:ascii="宋体" w:hAnsi="宋体" w:cs="宋体" w:eastAsia="宋体" w:hint="default"/>
          <w:sz w:val="21"/>
          <w:szCs w:val="21"/>
        </w:rPr>
        <w:sectPr>
          <w:type w:val="continuous"/>
          <w:pgSz w:w="11910" w:h="16840"/>
          <w:pgMar w:top="1580" w:bottom="280" w:left="1660" w:right="1120"/>
        </w:sectPr>
      </w:pPr>
    </w:p>
    <w:p>
      <w:pPr>
        <w:spacing w:line="240" w:lineRule="auto" w:before="8"/>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36,217,555.21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1,086,526.68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36,217,555.21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1,086,526.68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9,854,347.45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985,434.75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10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5,067,644.62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1,013,528.92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2,212,242.76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1,106,121.38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50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255,406.63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204,325.30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1,327,795.68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1,327,795.68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54,934,992.35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5,723,732.71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10.42</w:t>
            </w:r>
          </w:p>
        </w:tc>
      </w:tr>
    </w:tbl>
    <w:p>
      <w:pPr>
        <w:pStyle w:val="BodyText"/>
        <w:spacing w:line="239" w:lineRule="exact"/>
        <w:ind w:right="2513"/>
        <w:jc w:val="left"/>
      </w:pPr>
      <w:r>
        <w:rPr/>
        <w:t>确定该组合依据的说明：</w:t>
      </w:r>
    </w:p>
    <w:p>
      <w:pPr>
        <w:pStyle w:val="BodyText"/>
        <w:spacing w:line="273" w:lineRule="exact"/>
        <w:ind w:right="2513"/>
        <w:jc w:val="left"/>
      </w:pPr>
      <w:r>
        <w:rPr>
          <w:w w:val="100"/>
        </w:rPr>
        <w:t>无</w:t>
      </w:r>
    </w:p>
    <w:p>
      <w:pPr>
        <w:spacing w:line="240" w:lineRule="auto" w:before="5"/>
        <w:rPr>
          <w:rFonts w:ascii="宋体" w:hAnsi="宋体" w:cs="宋体" w:eastAsia="宋体" w:hint="default"/>
          <w:sz w:val="19"/>
          <w:szCs w:val="19"/>
        </w:rPr>
      </w:pPr>
    </w:p>
    <w:p>
      <w:pPr>
        <w:pStyle w:val="BodyText"/>
        <w:spacing w:line="274" w:lineRule="exact"/>
        <w:ind w:right="2513"/>
        <w:jc w:val="left"/>
      </w:pPr>
      <w:r>
        <w:rPr/>
        <w:t>组合中，采用余额百分比法计提坏账准备的其他应收款：</w:t>
      </w:r>
    </w:p>
    <w:p>
      <w:pPr>
        <w:pStyle w:val="BodyText"/>
        <w:tabs>
          <w:tab w:pos="1060" w:val="left" w:leader="none"/>
        </w:tabs>
        <w:spacing w:line="274" w:lineRule="exact"/>
        <w:ind w:right="2513"/>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right="2513"/>
        <w:jc w:val="left"/>
      </w:pPr>
      <w:r>
        <w:rPr/>
        <w:t>组合中，采用其他方法计提坏账准备的其他应收款：</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133"/>
        <w:ind w:left="638" w:right="123"/>
        <w:jc w:val="left"/>
      </w:pPr>
      <w:r>
        <w:rPr/>
        <w:t>本期计提坏账准备金额</w:t>
      </w:r>
      <w:r>
        <w:rPr>
          <w:spacing w:val="-39"/>
        </w:rPr>
        <w:t> </w:t>
      </w:r>
      <w:r>
        <w:rPr>
          <w:rFonts w:ascii="Times New Roman" w:hAnsi="Times New Roman" w:cs="Times New Roman" w:eastAsia="Times New Roman" w:hint="default"/>
        </w:rPr>
        <w:t>1,578,317.41</w:t>
      </w:r>
      <w:r>
        <w:rPr>
          <w:rFonts w:ascii="Times New Roman" w:hAnsi="Times New Roman" w:cs="Times New Roman" w:eastAsia="Times New Roman" w:hint="default"/>
          <w:spacing w:val="11"/>
        </w:rPr>
        <w:t> </w:t>
      </w:r>
      <w:r>
        <w:rPr/>
        <w:t>元；本期收回或转回坏账准备金额</w:t>
      </w:r>
      <w:r>
        <w:rPr>
          <w:spacing w:val="-39"/>
        </w:rPr>
        <w:t> </w:t>
      </w:r>
      <w:r>
        <w:rPr>
          <w:rFonts w:ascii="Times New Roman" w:hAnsi="Times New Roman" w:cs="Times New Roman" w:eastAsia="Times New Roman" w:hint="default"/>
        </w:rPr>
        <w:t>204,623.02</w:t>
      </w:r>
      <w:r>
        <w:rPr>
          <w:rFonts w:ascii="Times New Roman" w:hAnsi="Times New Roman" w:cs="Times New Roman" w:eastAsia="Times New Roman" w:hint="default"/>
          <w:spacing w:val="14"/>
        </w:rPr>
        <w:t> </w:t>
      </w:r>
      <w:r>
        <w:rPr/>
        <w:t>元，转至</w:t>
      </w:r>
    </w:p>
    <w:p>
      <w:pPr>
        <w:pStyle w:val="BodyText"/>
        <w:spacing w:line="297" w:lineRule="auto" w:before="69"/>
        <w:ind w:right="2513"/>
        <w:jc w:val="left"/>
      </w:pPr>
      <w:r>
        <w:rPr/>
        <w:t>持有待售资产</w:t>
      </w:r>
      <w:r>
        <w:rPr>
          <w:spacing w:val="-53"/>
        </w:rPr>
        <w:t> </w:t>
      </w:r>
      <w:r>
        <w:rPr>
          <w:rFonts w:ascii="Times New Roman" w:hAnsi="Times New Roman" w:cs="Times New Roman" w:eastAsia="Times New Roman" w:hint="default"/>
        </w:rPr>
        <w:t>14,638.83</w:t>
      </w:r>
      <w:r>
        <w:rPr>
          <w:rFonts w:ascii="Times New Roman" w:hAnsi="Times New Roman" w:cs="Times New Roman" w:eastAsia="Times New Roman" w:hint="default"/>
          <w:spacing w:val="-2"/>
        </w:rPr>
        <w:t> </w:t>
      </w:r>
      <w:r>
        <w:rPr/>
        <w:t>元。</w:t>
      </w:r>
      <w:r>
        <w:rPr>
          <w:w w:val="100"/>
        </w:rPr>
        <w:t> </w:t>
      </w:r>
      <w:r>
        <w:rPr>
          <w:spacing w:val="-2"/>
        </w:rPr>
        <w:t>其中本期坏账准备转回或收回金额重要的：</w:t>
      </w:r>
    </w:p>
    <w:p>
      <w:pPr>
        <w:pStyle w:val="BodyText"/>
        <w:tabs>
          <w:tab w:pos="1060" w:val="left" w:leader="none"/>
        </w:tabs>
        <w:spacing w:line="260"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tabs>
          <w:tab w:pos="954" w:val="left" w:leader="none"/>
        </w:tabs>
        <w:spacing w:line="240" w:lineRule="auto" w:before="56"/>
        <w:ind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759" w:space="2974"/>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208,300.00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5" w:lineRule="exact"/>
        <w:ind w:right="2513"/>
        <w:jc w:val="left"/>
      </w:pPr>
      <w:r>
        <w:rPr/>
        <w:t>其中重要的其他应收款核销情况：</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2513"/>
        <w:jc w:val="left"/>
      </w:pPr>
      <w:r>
        <w:rPr/>
        <w:t>其他应收款核销说明：</w:t>
      </w:r>
    </w:p>
    <w:p>
      <w:pPr>
        <w:pStyle w:val="BodyText"/>
        <w:tabs>
          <w:tab w:pos="1060" w:val="left" w:leader="none"/>
        </w:tabs>
        <w:spacing w:line="300"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31,276,219.40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21,397,571.15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往来款及日常业务暂付款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2,743,582.47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2,583,803.87</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18,588,861.30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9,238,623.19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999,667.05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712,514.41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1,326,662.13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7,684,552.78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658" w:right="0"/>
              <w:jc w:val="left"/>
              <w:rPr>
                <w:rFonts w:ascii="Times New Roman" w:hAnsi="Times New Roman" w:cs="Times New Roman" w:eastAsia="Times New Roman" w:hint="default"/>
                <w:sz w:val="21"/>
                <w:szCs w:val="21"/>
              </w:rPr>
            </w:pPr>
            <w:r>
              <w:rPr>
                <w:rFonts w:ascii="Times New Roman"/>
                <w:sz w:val="21"/>
              </w:rPr>
              <w:t>54,934,992.35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1" w:right="0"/>
              <w:jc w:val="left"/>
              <w:rPr>
                <w:rFonts w:ascii="Times New Roman" w:hAnsi="Times New Roman" w:cs="Times New Roman" w:eastAsia="Times New Roman" w:hint="default"/>
                <w:sz w:val="21"/>
                <w:szCs w:val="21"/>
              </w:rPr>
            </w:pPr>
            <w:r>
              <w:rPr>
                <w:rFonts w:ascii="Times New Roman"/>
                <w:sz w:val="21"/>
              </w:rPr>
              <w:t>41,617,065.40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40"/>
        </w:sectPr>
      </w:pPr>
    </w:p>
    <w:p>
      <w:pPr>
        <w:pStyle w:val="Heading3"/>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tabs>
          <w:tab w:pos="1060" w:val="left" w:leader="none"/>
        </w:tabs>
        <w:spacing w:line="240" w:lineRule="auto" w:before="58"/>
        <w:ind w:right="-16"/>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5655" w:space="1078"/>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1"/>
        <w:gridCol w:w="1299"/>
        <w:gridCol w:w="1512"/>
        <w:gridCol w:w="1275"/>
        <w:gridCol w:w="1709"/>
        <w:gridCol w:w="1620"/>
      </w:tblGrid>
      <w:tr>
        <w:trPr>
          <w:trHeight w:val="82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55"/>
              <w:jc w:val="right"/>
              <w:rPr>
                <w:rFonts w:ascii="宋体" w:hAnsi="宋体" w:cs="宋体" w:eastAsia="宋体" w:hint="default"/>
                <w:sz w:val="21"/>
                <w:szCs w:val="21"/>
              </w:rPr>
            </w:pPr>
            <w:r>
              <w:rPr>
                <w:rFonts w:ascii="宋体" w:hAnsi="宋体" w:cs="宋体" w:eastAsia="宋体" w:hint="default"/>
                <w:sz w:val="21"/>
                <w:szCs w:val="21"/>
              </w:rPr>
              <w:t>账龄</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9" w:right="111" w:hanging="387"/>
              <w:jc w:val="left"/>
              <w:rPr>
                <w:rFonts w:ascii="Calibri" w:hAnsi="Calibri" w:cs="Calibri" w:eastAsia="Calibri"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Calibri" w:hAnsi="Calibri" w:cs="Calibri" w:eastAsia="Calibri"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37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一</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5,991,500.00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10.91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179,745.00</w:t>
            </w:r>
          </w:p>
        </w:tc>
      </w:tr>
      <w:tr>
        <w:trPr>
          <w:trHeight w:val="55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二</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5,030,787.00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年以内及</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9.16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155,250.62</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三</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5.46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90,000.00</w:t>
            </w:r>
          </w:p>
        </w:tc>
      </w:tr>
      <w:tr>
        <w:trPr>
          <w:trHeight w:val="55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四</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2,748,860.50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274,886.05</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五</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2,327,149.00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年以内及</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p>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4.24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216,068.90</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1"/>
              <w:jc w:val="center"/>
              <w:rPr>
                <w:rFonts w:ascii="Calibri" w:hAnsi="Calibri" w:cs="Calibri" w:eastAsia="Calibri" w:hint="default"/>
                <w:sz w:val="21"/>
                <w:szCs w:val="21"/>
              </w:rPr>
            </w:pPr>
            <w:r>
              <w:rPr>
                <w:rFonts w:ascii="Calibri"/>
                <w:w w:val="100"/>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19,098,296.50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
              <w:jc w:val="center"/>
              <w:rPr>
                <w:rFonts w:ascii="Calibri" w:hAnsi="Calibri" w:cs="Calibri" w:eastAsia="Calibri" w:hint="default"/>
                <w:sz w:val="21"/>
                <w:szCs w:val="21"/>
              </w:rPr>
            </w:pPr>
            <w:r>
              <w:rPr>
                <w:rFonts w:ascii="Calibri"/>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34.77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915,950.57</w:t>
            </w: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pStyle w:val="Heading3"/>
        <w:spacing w:line="240" w:lineRule="auto" w:before="29"/>
        <w:ind w:right="2513"/>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163" w:val="left" w:leader="none"/>
        </w:tabs>
        <w:spacing w:line="240" w:lineRule="auto" w:before="59"/>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7"/>
        <w:rPr>
          <w:rFonts w:ascii="宋体" w:hAnsi="宋体" w:cs="宋体" w:eastAsia="宋体" w:hint="default"/>
          <w:sz w:val="19"/>
          <w:szCs w:val="19"/>
        </w:rPr>
      </w:pPr>
    </w:p>
    <w:p>
      <w:pPr>
        <w:pStyle w:val="BodyText"/>
        <w:spacing w:line="273" w:lineRule="exact"/>
        <w:ind w:right="2513"/>
        <w:jc w:val="left"/>
      </w:pPr>
      <w:r>
        <w:rPr/>
        <w:t>其他说明：</w:t>
      </w:r>
    </w:p>
    <w:p>
      <w:pPr>
        <w:pStyle w:val="BodyText"/>
        <w:tabs>
          <w:tab w:pos="1163" w:val="left" w:leader="none"/>
        </w:tabs>
        <w:spacing w:line="273" w:lineRule="exact"/>
        <w:ind w:right="2513"/>
        <w:jc w:val="left"/>
      </w:pPr>
      <w:r>
        <w:rPr/>
        <w:t>□适用</w:t>
        <w:tab/>
        <w:t>√不适用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10</w:t>
      </w:r>
      <w:r>
        <w:rPr/>
        <w:t>、存货</w:t>
      </w:r>
      <w:r>
        <w:rPr>
          <w:b w:val="0"/>
          <w:bCs w:val="0"/>
        </w:rPr>
      </w:r>
    </w:p>
    <w:p>
      <w:pPr>
        <w:pStyle w:val="Heading3"/>
        <w:tabs>
          <w:tab w:pos="849" w:val="left" w:leader="none"/>
        </w:tabs>
        <w:spacing w:line="240" w:lineRule="auto" w:before="56"/>
        <w:ind w:right="-18"/>
        <w:jc w:val="left"/>
        <w:rPr>
          <w:b w:val="0"/>
          <w:bCs w:val="0"/>
        </w:rPr>
      </w:pPr>
      <w:r>
        <w:rPr>
          <w:rFonts w:ascii="宋体" w:hAnsi="宋体" w:cs="宋体" w:eastAsia="宋体" w:hint="default"/>
          <w:w w:val="95"/>
        </w:rPr>
        <w:t>(1).</w:t>
        <w:tab/>
      </w:r>
      <w:r>
        <w:rPr/>
        <w:t>存货分类</w:t>
      </w:r>
      <w:r>
        <w:rPr>
          <w:b w:val="0"/>
          <w:bCs w:val="0"/>
        </w:rPr>
      </w:r>
    </w:p>
    <w:p>
      <w:pPr>
        <w:pStyle w:val="BodyText"/>
        <w:tabs>
          <w:tab w:pos="1060" w:val="left" w:leader="none"/>
        </w:tabs>
        <w:spacing w:line="240" w:lineRule="auto" w:before="57"/>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83"/>
        <w:gridCol w:w="1419"/>
        <w:gridCol w:w="922"/>
        <w:gridCol w:w="1395"/>
        <w:gridCol w:w="1495"/>
        <w:gridCol w:w="1285"/>
        <w:gridCol w:w="1498"/>
      </w:tblGrid>
      <w:tr>
        <w:trPr>
          <w:trHeight w:val="283" w:hRule="exact"/>
        </w:trPr>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7"/>
              <w:ind w:left="2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883"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w w:val="100"/>
                <w:sz w:val="21"/>
              </w:rPr>
              <w:t>-</w:t>
            </w:r>
          </w:p>
        </w:tc>
        <w:tc>
          <w:tcPr>
            <w:tcW w:w="14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w:t>
            </w:r>
          </w:p>
        </w:tc>
        <w:tc>
          <w:tcPr>
            <w:tcW w:w="14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库 存</w:t>
            </w:r>
            <w:r>
              <w:rPr>
                <w:rFonts w:ascii="宋体" w:hAnsi="宋体" w:cs="宋体" w:eastAsia="宋体" w:hint="default"/>
                <w:spacing w:val="-23"/>
                <w:sz w:val="21"/>
                <w:szCs w:val="21"/>
              </w:rPr>
              <w:t> </w:t>
            </w:r>
            <w:r>
              <w:rPr>
                <w:rFonts w:ascii="宋体" w:hAnsi="宋体" w:cs="宋体" w:eastAsia="宋体" w:hint="default"/>
                <w:sz w:val="21"/>
                <w:szCs w:val="21"/>
              </w:rPr>
              <w:t>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5" w:right="0"/>
              <w:jc w:val="left"/>
              <w:rPr>
                <w:rFonts w:ascii="Times New Roman" w:hAnsi="Times New Roman" w:cs="Times New Roman" w:eastAsia="Times New Roman" w:hint="default"/>
                <w:sz w:val="21"/>
                <w:szCs w:val="21"/>
              </w:rPr>
            </w:pPr>
            <w:r>
              <w:rPr>
                <w:rFonts w:ascii="Times New Roman"/>
                <w:sz w:val="21"/>
              </w:rPr>
              <w:t>33,022,515.86</w:t>
            </w: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33,022,515.86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7" w:right="0"/>
              <w:jc w:val="left"/>
              <w:rPr>
                <w:rFonts w:ascii="Times New Roman" w:hAnsi="Times New Roman" w:cs="Times New Roman" w:eastAsia="Times New Roman" w:hint="default"/>
                <w:sz w:val="21"/>
                <w:szCs w:val="21"/>
              </w:rPr>
            </w:pPr>
            <w:r>
              <w:rPr>
                <w:rFonts w:ascii="Times New Roman"/>
                <w:sz w:val="21"/>
              </w:rPr>
              <w:t>13,310,172.07</w:t>
            </w:r>
          </w:p>
        </w:tc>
        <w:tc>
          <w:tcPr>
            <w:tcW w:w="128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9" w:right="0"/>
              <w:jc w:val="left"/>
              <w:rPr>
                <w:rFonts w:ascii="Times New Roman" w:hAnsi="Times New Roman" w:cs="Times New Roman" w:eastAsia="Times New Roman" w:hint="default"/>
                <w:sz w:val="21"/>
                <w:szCs w:val="21"/>
              </w:rPr>
            </w:pPr>
            <w:r>
              <w:rPr>
                <w:rFonts w:ascii="Times New Roman"/>
                <w:sz w:val="21"/>
              </w:rPr>
              <w:t>13,310,172.07</w:t>
            </w:r>
          </w:p>
        </w:tc>
      </w:tr>
      <w:tr>
        <w:trPr>
          <w:trHeight w:val="55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周 转</w:t>
            </w:r>
            <w:r>
              <w:rPr>
                <w:rFonts w:ascii="宋体" w:hAnsi="宋体" w:cs="宋体" w:eastAsia="宋体" w:hint="default"/>
                <w:spacing w:val="-19"/>
                <w:sz w:val="21"/>
                <w:szCs w:val="21"/>
              </w:rPr>
              <w:t> </w:t>
            </w:r>
            <w:r>
              <w:rPr>
                <w:rFonts w:ascii="宋体" w:hAnsi="宋体" w:cs="宋体" w:eastAsia="宋体" w:hint="default"/>
                <w:sz w:val="21"/>
                <w:szCs w:val="21"/>
              </w:rPr>
              <w:t>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41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消 耗</w:t>
            </w:r>
            <w:r>
              <w:rPr>
                <w:rFonts w:ascii="宋体" w:hAnsi="宋体" w:cs="宋体" w:eastAsia="宋体" w:hint="default"/>
                <w:spacing w:val="-19"/>
                <w:sz w:val="21"/>
                <w:szCs w:val="21"/>
              </w:rPr>
              <w:t> </w:t>
            </w:r>
            <w:r>
              <w:rPr>
                <w:rFonts w:ascii="宋体" w:hAnsi="宋体" w:cs="宋体" w:eastAsia="宋体" w:hint="default"/>
                <w:sz w:val="21"/>
                <w:szCs w:val="21"/>
              </w:rPr>
              <w:t>性</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生 物</w:t>
            </w:r>
            <w:r>
              <w:rPr>
                <w:rFonts w:ascii="宋体" w:hAnsi="宋体" w:cs="宋体" w:eastAsia="宋体" w:hint="default"/>
                <w:spacing w:val="-1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883"/>
        <w:gridCol w:w="1419"/>
        <w:gridCol w:w="922"/>
        <w:gridCol w:w="1395"/>
        <w:gridCol w:w="1495"/>
        <w:gridCol w:w="1285"/>
        <w:gridCol w:w="1498"/>
      </w:tblGrid>
      <w:tr>
        <w:trPr>
          <w:trHeight w:val="1373"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建 造</w:t>
            </w:r>
            <w:r>
              <w:rPr>
                <w:rFonts w:ascii="宋体" w:hAnsi="宋体" w:cs="宋体" w:eastAsia="宋体" w:hint="default"/>
                <w:spacing w:val="-19"/>
                <w:sz w:val="21"/>
                <w:szCs w:val="21"/>
              </w:rPr>
              <w:t> </w:t>
            </w:r>
            <w:r>
              <w:rPr>
                <w:rFonts w:ascii="宋体" w:hAnsi="宋体" w:cs="宋体" w:eastAsia="宋体" w:hint="default"/>
                <w:sz w:val="21"/>
                <w:szCs w:val="21"/>
              </w:rPr>
              <w:t>合</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同 形</w:t>
            </w:r>
            <w:r>
              <w:rPr>
                <w:rFonts w:ascii="宋体" w:hAnsi="宋体" w:cs="宋体" w:eastAsia="宋体" w:hint="default"/>
                <w:spacing w:val="-19"/>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的 已</w:t>
            </w:r>
            <w:r>
              <w:rPr>
                <w:rFonts w:ascii="宋体" w:hAnsi="宋体" w:cs="宋体" w:eastAsia="宋体" w:hint="default"/>
                <w:spacing w:val="-19"/>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工 未</w:t>
            </w:r>
            <w:r>
              <w:rPr>
                <w:rFonts w:ascii="宋体" w:hAnsi="宋体" w:cs="宋体" w:eastAsia="宋体" w:hint="default"/>
                <w:spacing w:val="-19"/>
                <w:sz w:val="21"/>
                <w:szCs w:val="21"/>
              </w:rPr>
              <w:t> </w:t>
            </w: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419" w:type="dxa"/>
            <w:tcBorders>
              <w:top w:val="nil" w:sz="6" w:space="0" w:color="auto"/>
              <w:left w:val="single" w:sz="4" w:space="0" w:color="000000"/>
              <w:bottom w:val="single" w:sz="4" w:space="0" w:color="000000"/>
              <w:right w:val="single" w:sz="4" w:space="0" w:color="000000"/>
            </w:tcBorders>
          </w:tcPr>
          <w:p>
            <w:pPr/>
          </w:p>
        </w:tc>
        <w:tc>
          <w:tcPr>
            <w:tcW w:w="922" w:type="dxa"/>
            <w:tcBorders>
              <w:top w:val="single" w:sz="4" w:space="0" w:color="FFFFFF"/>
              <w:left w:val="single" w:sz="4" w:space="0" w:color="000000"/>
              <w:bottom w:val="single" w:sz="4" w:space="0" w:color="000000"/>
              <w:right w:val="single" w:sz="4" w:space="0" w:color="000000"/>
            </w:tcBorders>
          </w:tcPr>
          <w:p>
            <w:pPr/>
          </w:p>
        </w:tc>
        <w:tc>
          <w:tcPr>
            <w:tcW w:w="1395" w:type="dxa"/>
            <w:tcBorders>
              <w:top w:val="single" w:sz="4" w:space="0" w:color="FFFFFF"/>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在 途</w:t>
            </w:r>
            <w:r>
              <w:rPr>
                <w:rFonts w:ascii="宋体" w:hAnsi="宋体" w:cs="宋体" w:eastAsia="宋体" w:hint="default"/>
                <w:spacing w:val="-23"/>
                <w:sz w:val="21"/>
                <w:szCs w:val="21"/>
              </w:rPr>
              <w:t> </w:t>
            </w:r>
            <w:r>
              <w:rPr>
                <w:rFonts w:ascii="宋体" w:hAnsi="宋体" w:cs="宋体" w:eastAsia="宋体" w:hint="default"/>
                <w:sz w:val="21"/>
                <w:szCs w:val="21"/>
              </w:rPr>
              <w:t>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
                <w:sz w:val="21"/>
              </w:rPr>
              <w:t>2,528.12</w:t>
            </w:r>
          </w:p>
        </w:tc>
        <w:tc>
          <w:tcPr>
            <w:tcW w:w="128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
                <w:sz w:val="21"/>
              </w:rPr>
              <w:t>2,528.12</w:t>
            </w:r>
          </w:p>
        </w:tc>
      </w:tr>
      <w:tr>
        <w:trPr>
          <w:trHeight w:val="55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在 建</w:t>
            </w:r>
            <w:r>
              <w:rPr>
                <w:rFonts w:ascii="宋体" w:hAnsi="宋体" w:cs="宋体" w:eastAsia="宋体" w:hint="default"/>
                <w:spacing w:val="-23"/>
                <w:sz w:val="21"/>
                <w:szCs w:val="21"/>
              </w:rPr>
              <w:t> </w:t>
            </w:r>
            <w:r>
              <w:rPr>
                <w:rFonts w:ascii="宋体" w:hAnsi="宋体" w:cs="宋体" w:eastAsia="宋体" w:hint="default"/>
                <w:sz w:val="21"/>
                <w:szCs w:val="21"/>
              </w:rPr>
              <w:t>系</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 w:right="0"/>
              <w:jc w:val="center"/>
              <w:rPr>
                <w:rFonts w:ascii="Times New Roman" w:hAnsi="Times New Roman" w:cs="Times New Roman" w:eastAsia="Times New Roman" w:hint="default"/>
                <w:sz w:val="21"/>
                <w:szCs w:val="21"/>
              </w:rPr>
            </w:pPr>
            <w:r>
              <w:rPr>
                <w:rFonts w:ascii="Times New Roman"/>
                <w:sz w:val="21"/>
              </w:rPr>
              <w:t>258,685,123.88</w:t>
            </w: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center"/>
              <w:rPr>
                <w:rFonts w:ascii="Times New Roman" w:hAnsi="Times New Roman" w:cs="Times New Roman" w:eastAsia="Times New Roman" w:hint="default"/>
                <w:sz w:val="21"/>
                <w:szCs w:val="21"/>
              </w:rPr>
            </w:pPr>
            <w:r>
              <w:rPr>
                <w:rFonts w:ascii="Times New Roman"/>
                <w:sz w:val="21"/>
              </w:rPr>
              <w:t>258,685,123.88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
                <w:sz w:val="21"/>
              </w:rPr>
              <w:t>222,818,881.58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2" w:right="0"/>
              <w:jc w:val="center"/>
              <w:rPr>
                <w:rFonts w:ascii="Times New Roman" w:hAnsi="Times New Roman" w:cs="Times New Roman" w:eastAsia="Times New Roman" w:hint="default"/>
                <w:sz w:val="21"/>
                <w:szCs w:val="21"/>
              </w:rPr>
            </w:pPr>
            <w:r>
              <w:rPr>
                <w:rFonts w:ascii="Times New Roman"/>
                <w:sz w:val="21"/>
              </w:rPr>
              <w:t>3,690,000.00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
                <w:sz w:val="21"/>
              </w:rPr>
              <w:t>219,128,881.58</w:t>
            </w:r>
          </w:p>
        </w:tc>
      </w:tr>
      <w:tr>
        <w:trPr>
          <w:trHeight w:val="283"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Times New Roman" w:hAnsi="Times New Roman" w:cs="Times New Roman" w:eastAsia="Times New Roman" w:hint="default"/>
                <w:sz w:val="21"/>
                <w:szCs w:val="21"/>
              </w:rPr>
            </w:pPr>
            <w:r>
              <w:rPr>
                <w:rFonts w:ascii="Times New Roman"/>
                <w:sz w:val="21"/>
              </w:rPr>
              <w:t>291,707,639.74</w:t>
            </w:r>
          </w:p>
        </w:tc>
        <w:tc>
          <w:tcPr>
            <w:tcW w:w="92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center"/>
              <w:rPr>
                <w:rFonts w:ascii="Times New Roman" w:hAnsi="Times New Roman" w:cs="Times New Roman" w:eastAsia="Times New Roman" w:hint="default"/>
                <w:sz w:val="21"/>
                <w:szCs w:val="21"/>
              </w:rPr>
            </w:pPr>
            <w:r>
              <w:rPr>
                <w:rFonts w:ascii="Times New Roman"/>
                <w:sz w:val="21"/>
              </w:rPr>
              <w:t>291,707,639.74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
                <w:sz w:val="21"/>
              </w:rPr>
              <w:t>236,131,581.77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center"/>
              <w:rPr>
                <w:rFonts w:ascii="Times New Roman" w:hAnsi="Times New Roman" w:cs="Times New Roman" w:eastAsia="Times New Roman" w:hint="default"/>
                <w:sz w:val="21"/>
                <w:szCs w:val="21"/>
              </w:rPr>
            </w:pPr>
            <w:r>
              <w:rPr>
                <w:rFonts w:ascii="Times New Roman"/>
                <w:sz w:val="21"/>
              </w:rPr>
              <w:t>3,690,000.00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
                <w:sz w:val="21"/>
              </w:rPr>
              <w:t>232,441,581.77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40"/>
        </w:sectPr>
      </w:pPr>
    </w:p>
    <w:p>
      <w:pPr>
        <w:pStyle w:val="Heading3"/>
        <w:tabs>
          <w:tab w:pos="849" w:val="left" w:leader="none"/>
        </w:tabs>
        <w:spacing w:line="240" w:lineRule="auto" w:before="36"/>
        <w:ind w:right="-18"/>
        <w:jc w:val="left"/>
        <w:rPr>
          <w:b w:val="0"/>
          <w:bCs w:val="0"/>
        </w:rPr>
      </w:pPr>
      <w:r>
        <w:rPr>
          <w:rFonts w:ascii="宋体" w:hAnsi="宋体" w:cs="宋体" w:eastAsia="宋体" w:hint="default"/>
          <w:w w:val="95"/>
        </w:rPr>
        <w:t>(2).</w:t>
        <w:tab/>
      </w:r>
      <w:r>
        <w:rPr/>
        <w:t>存货跌价准备</w:t>
      </w:r>
      <w:r>
        <w:rPr>
          <w:b w:val="0"/>
          <w:bCs w:val="0"/>
        </w:rPr>
      </w:r>
    </w:p>
    <w:p>
      <w:pPr>
        <w:pStyle w:val="BodyText"/>
        <w:tabs>
          <w:tab w:pos="1060" w:val="left" w:leader="none"/>
        </w:tabs>
        <w:spacing w:line="240" w:lineRule="auto" w:before="57"/>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117" w:space="461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174"/>
        <w:gridCol w:w="1190"/>
        <w:gridCol w:w="1191"/>
        <w:gridCol w:w="1202"/>
        <w:gridCol w:w="1193"/>
        <w:gridCol w:w="1183"/>
      </w:tblGrid>
      <w:tr>
        <w:trPr>
          <w:trHeight w:val="283"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在建系统集成</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3,690,000.</w:t>
            </w:r>
          </w:p>
          <w:p>
            <w:pPr>
              <w:pStyle w:val="TableParagraph"/>
              <w:spacing w:line="241" w:lineRule="exact"/>
              <w:ind w:right="108"/>
              <w:jc w:val="right"/>
              <w:rPr>
                <w:rFonts w:ascii="Times New Roman" w:hAnsi="Times New Roman" w:cs="Times New Roman" w:eastAsia="Times New Roman" w:hint="default"/>
                <w:sz w:val="21"/>
                <w:szCs w:val="21"/>
              </w:rPr>
            </w:pPr>
            <w:r>
              <w:rPr>
                <w:rFonts w:ascii="Times New Roman"/>
                <w:sz w:val="21"/>
              </w:rPr>
              <w:t>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3,354,289.</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z w:val="21"/>
              </w:rPr>
              <w:t>99</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7,044,289.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99</w:t>
            </w: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3,690,000.</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sz w:val="21"/>
              </w:rPr>
              <w:t>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3,354,289.</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99</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7,044,289.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99</w:t>
            </w:r>
          </w:p>
        </w:tc>
        <w:tc>
          <w:tcPr>
            <w:tcW w:w="1183" w:type="dxa"/>
            <w:tcBorders>
              <w:top w:val="single" w:sz="4" w:space="0" w:color="000000"/>
              <w:left w:val="single" w:sz="4" w:space="0" w:color="000000"/>
              <w:bottom w:val="single" w:sz="4" w:space="0" w:color="000000"/>
              <w:right w:val="single" w:sz="4" w:space="0" w:color="000000"/>
            </w:tcBorders>
          </w:tcPr>
          <w:p>
            <w:pPr/>
          </w:p>
        </w:tc>
      </w:tr>
    </w:tbl>
    <w:p>
      <w:pPr>
        <w:tabs>
          <w:tab w:pos="849" w:val="left" w:leader="none"/>
        </w:tabs>
        <w:spacing w:line="300" w:lineRule="auto" w:before="42"/>
        <w:ind w:left="218" w:right="4006" w:firstLine="0"/>
        <w:jc w:val="left"/>
        <w:rPr>
          <w:rFonts w:ascii="宋体" w:hAnsi="宋体" w:cs="宋体" w:eastAsia="宋体" w:hint="default"/>
          <w:sz w:val="21"/>
          <w:szCs w:val="21"/>
        </w:rPr>
      </w:pPr>
      <w:r>
        <w:rPr>
          <w:rFonts w:ascii="宋体" w:hAnsi="宋体" w:cs="宋体" w:eastAsia="宋体" w:hint="default"/>
          <w:sz w:val="21"/>
          <w:szCs w:val="21"/>
        </w:rPr>
        <w:t>注：本期存货跌价准备其他减少系转至持有待售资产</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pacing w:val="-1"/>
          <w:sz w:val="21"/>
          <w:szCs w:val="21"/>
        </w:rPr>
        <w:t>存货期末余额含有借款费用资本化金额的说明：</w:t>
      </w:r>
      <w:r>
        <w:rPr>
          <w:rFonts w:ascii="宋体" w:hAnsi="宋体" w:cs="宋体" w:eastAsia="宋体" w:hint="default"/>
          <w:spacing w:val="-1"/>
          <w:sz w:val="21"/>
          <w:szCs w:val="21"/>
        </w:rPr>
      </w:r>
    </w:p>
    <w:p>
      <w:pPr>
        <w:pStyle w:val="BodyText"/>
        <w:tabs>
          <w:tab w:pos="1163" w:val="left" w:leader="none"/>
        </w:tabs>
        <w:spacing w:line="240" w:lineRule="auto" w:before="6"/>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49" w:val="left" w:leader="none"/>
        </w:tabs>
        <w:spacing w:line="240" w:lineRule="auto"/>
        <w:ind w:right="2513"/>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2513"/>
        <w:jc w:val="left"/>
      </w:pPr>
      <w:r>
        <w:rPr/>
        <w:t>其他说明</w:t>
      </w:r>
    </w:p>
    <w:p>
      <w:pPr>
        <w:pStyle w:val="BodyText"/>
        <w:tabs>
          <w:tab w:pos="1163"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1"/>
        <w:gridCol w:w="1699"/>
        <w:gridCol w:w="1661"/>
        <w:gridCol w:w="1671"/>
        <w:gridCol w:w="1757"/>
      </w:tblGrid>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10,047,684.69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10,047,684.69</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679,803.64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679,803.64</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473,322.21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473,322.21</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69,741,200.50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69,741,200.50</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1,410,490.11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1,410,490.11</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756,426.07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756,426.07</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bl>
    <w:p>
      <w:pPr>
        <w:spacing w:after="0" w:line="268"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261"/>
        <w:gridCol w:w="1699"/>
        <w:gridCol w:w="1661"/>
        <w:gridCol w:w="1671"/>
        <w:gridCol w:w="1757"/>
      </w:tblGrid>
      <w:tr>
        <w:trPr>
          <w:trHeight w:val="28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3,630,283.88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3,630,283.88</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48,719.33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48,719.33</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4,692,913.39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4,692,913.39</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91,480,843.82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91,480,843.82</w:t>
            </w: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w:t>
            </w:r>
          </w:p>
        </w:tc>
      </w:tr>
    </w:tbl>
    <w:p>
      <w:pPr>
        <w:pStyle w:val="BodyText"/>
        <w:spacing w:line="241" w:lineRule="exact"/>
        <w:ind w:right="2513"/>
        <w:jc w:val="left"/>
      </w:pPr>
      <w:r>
        <w:rPr/>
        <w:t>其他说明：</w:t>
      </w:r>
    </w:p>
    <w:p>
      <w:pPr>
        <w:pStyle w:val="BodyText"/>
        <w:spacing w:line="240" w:lineRule="auto" w:before="75"/>
        <w:ind w:left="638" w:right="123"/>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7"/>
        </w:rPr>
        <w:t> </w:t>
      </w:r>
      <w:r>
        <w:rPr>
          <w:w w:val="100"/>
        </w:rPr>
        <w:t>年</w:t>
      </w:r>
      <w:r>
        <w:rPr>
          <w:spacing w:val="-36"/>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7"/>
        </w:rPr>
        <w:t> </w:t>
      </w:r>
      <w:r>
        <w:rPr>
          <w:w w:val="100"/>
        </w:rPr>
        <w:t>月</w:t>
      </w:r>
      <w:r>
        <w:rPr>
          <w:spacing w:val="-38"/>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17"/>
        </w:rPr>
        <w:t> </w:t>
      </w:r>
      <w:r>
        <w:rPr>
          <w:w w:val="100"/>
        </w:rPr>
        <w:t>日</w:t>
      </w:r>
      <w:r>
        <w:rPr>
          <w:spacing w:val="-3"/>
          <w:w w:val="100"/>
        </w:rPr>
        <w:t>，</w:t>
      </w:r>
      <w:r>
        <w:rPr>
          <w:w w:val="100"/>
        </w:rPr>
        <w:t>公</w:t>
      </w:r>
      <w:r>
        <w:rPr>
          <w:spacing w:val="-3"/>
          <w:w w:val="100"/>
        </w:rPr>
        <w:t>司</w:t>
      </w:r>
      <w:r>
        <w:rPr>
          <w:w w:val="100"/>
        </w:rPr>
        <w:t>与珠</w:t>
      </w:r>
      <w:r>
        <w:rPr>
          <w:spacing w:val="-3"/>
          <w:w w:val="100"/>
        </w:rPr>
        <w:t>海</w:t>
      </w:r>
      <w:r>
        <w:rPr>
          <w:w w:val="100"/>
        </w:rPr>
        <w:t>汇</w:t>
      </w:r>
      <w:r>
        <w:rPr>
          <w:spacing w:val="-3"/>
          <w:w w:val="100"/>
        </w:rPr>
        <w:t>垠</w:t>
      </w:r>
      <w:r>
        <w:rPr>
          <w:w w:val="100"/>
        </w:rPr>
        <w:t>意</w:t>
      </w:r>
      <w:r>
        <w:rPr>
          <w:spacing w:val="-3"/>
          <w:w w:val="100"/>
        </w:rPr>
        <w:t>中</w:t>
      </w:r>
      <w:r>
        <w:rPr>
          <w:w w:val="100"/>
        </w:rPr>
        <w:t>投</w:t>
      </w:r>
      <w:r>
        <w:rPr>
          <w:spacing w:val="-3"/>
          <w:w w:val="100"/>
        </w:rPr>
        <w:t>资</w:t>
      </w:r>
      <w:r>
        <w:rPr>
          <w:w w:val="100"/>
        </w:rPr>
        <w:t>合</w:t>
      </w:r>
      <w:r>
        <w:rPr>
          <w:spacing w:val="-3"/>
          <w:w w:val="100"/>
        </w:rPr>
        <w:t>伙</w:t>
      </w:r>
      <w:r>
        <w:rPr>
          <w:w w:val="100"/>
        </w:rPr>
        <w:t>企业</w:t>
      </w:r>
      <w:r>
        <w:rPr>
          <w:spacing w:val="-3"/>
          <w:w w:val="100"/>
        </w:rPr>
        <w:t>（</w:t>
      </w:r>
      <w:r>
        <w:rPr>
          <w:w w:val="100"/>
        </w:rPr>
        <w:t>有</w:t>
      </w:r>
      <w:r>
        <w:rPr>
          <w:spacing w:val="-3"/>
          <w:w w:val="100"/>
        </w:rPr>
        <w:t>限</w:t>
      </w:r>
      <w:r>
        <w:rPr>
          <w:w w:val="100"/>
        </w:rPr>
        <w:t>合</w:t>
      </w:r>
      <w:r>
        <w:rPr>
          <w:spacing w:val="-3"/>
          <w:w w:val="100"/>
        </w:rPr>
        <w:t>伙</w:t>
      </w:r>
      <w:r>
        <w:rPr>
          <w:spacing w:val="-106"/>
          <w:w w:val="100"/>
        </w:rPr>
        <w:t>）</w:t>
      </w:r>
      <w:r>
        <w:rPr>
          <w:spacing w:val="-3"/>
          <w:w w:val="100"/>
        </w:rPr>
        <w:t>（</w:t>
      </w:r>
      <w:r>
        <w:rPr>
          <w:w w:val="100"/>
        </w:rPr>
        <w:t>以</w:t>
      </w:r>
      <w:r>
        <w:rPr>
          <w:spacing w:val="-3"/>
          <w:w w:val="100"/>
        </w:rPr>
        <w:t>下简</w:t>
      </w:r>
      <w:r>
        <w:rPr>
          <w:w w:val="100"/>
        </w:rPr>
        <w:t>称</w:t>
      </w:r>
      <w:r>
        <w:rPr>
          <w:rFonts w:ascii="Times New Roman" w:hAnsi="Times New Roman" w:cs="Times New Roman" w:eastAsia="Times New Roman" w:hint="default"/>
          <w:spacing w:val="-1"/>
          <w:w w:val="100"/>
        </w:rPr>
        <w:t>“</w:t>
      </w:r>
      <w:r>
        <w:rPr>
          <w:spacing w:val="-3"/>
          <w:w w:val="100"/>
        </w:rPr>
        <w:t>乙</w:t>
      </w:r>
      <w:r>
        <w:rPr>
          <w:w w:val="100"/>
        </w:rPr>
        <w:t>方</w:t>
      </w:r>
      <w:r>
        <w:rPr>
          <w:rFonts w:ascii="Times New Roman" w:hAnsi="Times New Roman" w:cs="Times New Roman" w:eastAsia="Times New Roman" w:hint="default"/>
          <w:spacing w:val="-1"/>
          <w:w w:val="100"/>
        </w:rPr>
        <w:t>”</w:t>
      </w:r>
      <w:r>
        <w:rPr>
          <w:spacing w:val="-3"/>
          <w:w w:val="100"/>
        </w:rPr>
        <w:t>）签</w:t>
      </w:r>
      <w:r>
        <w:rPr>
          <w:w w:val="100"/>
        </w:rPr>
      </w:r>
    </w:p>
    <w:p>
      <w:pPr>
        <w:pStyle w:val="BodyText"/>
        <w:spacing w:line="297" w:lineRule="auto" w:before="69"/>
        <w:ind w:right="123"/>
        <w:jc w:val="left"/>
      </w:pPr>
      <w:r>
        <w:rPr>
          <w:spacing w:val="-10"/>
          <w:w w:val="100"/>
        </w:rPr>
        <w:t>订了《股权转让协议》，乙方以人民币</w:t>
      </w:r>
      <w:r>
        <w:rPr>
          <w:spacing w:val="-47"/>
          <w:w w:val="100"/>
        </w:rPr>
        <w:t> </w:t>
      </w:r>
      <w:r>
        <w:rPr>
          <w:rFonts w:ascii="Times New Roman" w:hAnsi="Times New Roman" w:cs="Times New Roman" w:eastAsia="Times New Roman" w:hint="default"/>
          <w:spacing w:val="-1"/>
          <w:w w:val="100"/>
        </w:rPr>
        <w:t>2,550</w:t>
      </w:r>
      <w:r>
        <w:rPr>
          <w:rFonts w:ascii="Times New Roman" w:hAnsi="Times New Roman" w:cs="Times New Roman" w:eastAsia="Times New Roman" w:hint="default"/>
          <w:spacing w:val="6"/>
          <w:w w:val="100"/>
        </w:rPr>
        <w:t> </w:t>
      </w:r>
      <w:r>
        <w:rPr>
          <w:spacing w:val="-2"/>
          <w:w w:val="100"/>
        </w:rPr>
        <w:t>万元受让本公司之子公司福建神威系统集成有限责任</w:t>
      </w:r>
      <w:r>
        <w:rPr>
          <w:spacing w:val="-103"/>
          <w:w w:val="100"/>
        </w:rPr>
        <w:t> </w:t>
      </w:r>
      <w:r>
        <w:rPr>
          <w:spacing w:val="-103"/>
          <w:w w:val="100"/>
        </w:rPr>
      </w:r>
      <w:r>
        <w:rPr/>
        <w:t>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福建神威</w:t>
      </w:r>
      <w:r>
        <w:rPr>
          <w:rFonts w:ascii="Times New Roman" w:hAnsi="Times New Roman" w:cs="Times New Roman" w:eastAsia="Times New Roman" w:hint="default"/>
        </w:rPr>
        <w:t>”)51%</w:t>
      </w:r>
      <w:r>
        <w:rPr/>
        <w:t>的股权。</w:t>
      </w:r>
    </w:p>
    <w:p>
      <w:pPr>
        <w:pStyle w:val="BodyText"/>
        <w:spacing w:line="297" w:lineRule="auto" w:before="13"/>
        <w:ind w:right="227" w:firstLine="419"/>
        <w:jc w:val="both"/>
      </w:pPr>
      <w:r>
        <w:rPr/>
        <w:t>合同约定乙方应在股权转让协议议签署后 </w:t>
      </w:r>
      <w:r>
        <w:rPr>
          <w:rFonts w:ascii="Times New Roman" w:hAnsi="Times New Roman" w:cs="Times New Roman" w:eastAsia="Times New Roman" w:hint="default"/>
        </w:rPr>
        <w:t>15 </w:t>
      </w:r>
      <w:r>
        <w:rPr/>
        <w:t>个工作日内向公司以货币方式支付</w:t>
      </w:r>
      <w:r>
        <w:rPr>
          <w:spacing w:val="-46"/>
        </w:rPr>
        <w:t> </w:t>
      </w:r>
      <w:r>
        <w:rPr>
          <w:rFonts w:ascii="Times New Roman" w:hAnsi="Times New Roman" w:cs="Times New Roman" w:eastAsia="Times New Roman" w:hint="default"/>
        </w:rPr>
        <w:t>50</w:t>
      </w:r>
      <w:r>
        <w:rPr/>
        <w:t>％的股权</w:t>
      </w:r>
      <w:r>
        <w:rPr>
          <w:w w:val="100"/>
        </w:rPr>
        <w:t> </w:t>
      </w:r>
      <w:r>
        <w:rPr>
          <w:spacing w:val="-4"/>
          <w:w w:val="100"/>
        </w:rPr>
        <w:t>转让款（即</w:t>
      </w:r>
      <w:r>
        <w:rPr>
          <w:spacing w:val="-50"/>
          <w:w w:val="100"/>
        </w:rPr>
        <w:t> </w:t>
      </w:r>
      <w:r>
        <w:rPr>
          <w:rFonts w:ascii="Times New Roman" w:hAnsi="Times New Roman" w:cs="Times New Roman" w:eastAsia="Times New Roman" w:hint="default"/>
          <w:spacing w:val="-1"/>
          <w:w w:val="100"/>
        </w:rPr>
        <w:t>1,275</w:t>
      </w:r>
      <w:r>
        <w:rPr>
          <w:rFonts w:ascii="Times New Roman" w:hAnsi="Times New Roman" w:cs="Times New Roman" w:eastAsia="Times New Roman" w:hint="default"/>
          <w:spacing w:val="3"/>
          <w:w w:val="100"/>
        </w:rPr>
        <w:t> </w:t>
      </w:r>
      <w:r>
        <w:rPr>
          <w:spacing w:val="-8"/>
          <w:w w:val="100"/>
        </w:rPr>
        <w:t>万元，大写：人民币壹仟贰佰柒拾伍万元整），剩余</w:t>
      </w:r>
      <w:r>
        <w:rPr>
          <w:spacing w:val="-49"/>
          <w:w w:val="100"/>
        </w:rPr>
        <w:t> </w:t>
      </w:r>
      <w:r>
        <w:rPr>
          <w:rFonts w:ascii="Times New Roman" w:hAnsi="Times New Roman" w:cs="Times New Roman" w:eastAsia="Times New Roman" w:hint="default"/>
          <w:spacing w:val="-2"/>
          <w:w w:val="100"/>
        </w:rPr>
        <w:t>50%</w:t>
      </w:r>
      <w:r>
        <w:rPr>
          <w:spacing w:val="-2"/>
          <w:w w:val="100"/>
        </w:rPr>
        <w:t>的股权转让款在本次股</w:t>
      </w:r>
      <w:r>
        <w:rPr>
          <w:w w:val="100"/>
        </w:rPr>
        <w:t> </w:t>
      </w:r>
      <w:r>
        <w:rPr>
          <w:spacing w:val="-3"/>
        </w:rPr>
        <w:t>权转让完成工商变更登记手续之日（以下简称</w:t>
      </w:r>
      <w:r>
        <w:rPr>
          <w:rFonts w:ascii="Times New Roman" w:hAnsi="Times New Roman" w:cs="Times New Roman" w:eastAsia="Times New Roman" w:hint="default"/>
          <w:spacing w:val="-3"/>
        </w:rPr>
        <w:t>“</w:t>
      </w:r>
      <w:r>
        <w:rPr>
          <w:spacing w:val="-3"/>
        </w:rPr>
        <w:t>交割日</w:t>
      </w:r>
      <w:r>
        <w:rPr>
          <w:rFonts w:ascii="Times New Roman" w:hAnsi="Times New Roman" w:cs="Times New Roman" w:eastAsia="Times New Roman" w:hint="default"/>
          <w:spacing w:val="-3"/>
        </w:rPr>
        <w:t>”</w:t>
      </w:r>
      <w:r>
        <w:rPr>
          <w:spacing w:val="-3"/>
        </w:rPr>
        <w:t>）后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3"/>
        </w:rPr>
        <w:t>个工作日内支付完毕。公司应在收</w:t>
      </w:r>
    </w:p>
    <w:p>
      <w:pPr>
        <w:pStyle w:val="BodyText"/>
        <w:spacing w:line="240" w:lineRule="auto" w:before="13"/>
        <w:ind w:right="123"/>
        <w:jc w:val="left"/>
      </w:pPr>
      <w:r>
        <w:rPr/>
        <w:t>到乙方首期股权转让款后的</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日内，完成股权过户的工商变更登记等相关工作。</w:t>
      </w:r>
    </w:p>
    <w:p>
      <w:pPr>
        <w:pStyle w:val="BodyText"/>
        <w:spacing w:line="297" w:lineRule="auto" w:before="69"/>
        <w:ind w:right="228" w:firstLine="419"/>
        <w:jc w:val="both"/>
      </w:pPr>
      <w:r>
        <w:rPr/>
        <w:t>截止</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日，公司已收到乙方股权受让款</w:t>
      </w:r>
      <w:r>
        <w:rPr>
          <w:spacing w:val="-48"/>
        </w:rPr>
        <w:t> </w:t>
      </w:r>
      <w:r>
        <w:rPr>
          <w:rFonts w:ascii="Times New Roman" w:hAnsi="Times New Roman" w:cs="Times New Roman" w:eastAsia="Times New Roman" w:hint="default"/>
        </w:rPr>
        <w:t>1,275</w:t>
      </w:r>
      <w:r>
        <w:rPr>
          <w:rFonts w:ascii="Times New Roman" w:hAnsi="Times New Roman" w:cs="Times New Roman" w:eastAsia="Times New Roman" w:hint="default"/>
          <w:spacing w:val="5"/>
        </w:rPr>
        <w:t> </w:t>
      </w:r>
      <w:r>
        <w:rPr/>
        <w:t>万元。并于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日完</w:t>
      </w:r>
      <w:r>
        <w:rPr>
          <w:w w:val="100"/>
        </w:rPr>
        <w:t> </w:t>
      </w:r>
      <w:r>
        <w:rPr/>
        <w:t>成本次股权转让的工商变更登记手续。</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240" w:lineRule="auto"/>
        <w:ind w:right="2513"/>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1,115,278.47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1,760,696.42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宽带费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预缴房产税</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116,299,599.77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180,300,000.00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预缴增值税及待抵扣进项税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43,277,943.56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3,690,596.54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37,325.25</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81,487.06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229,478.01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160,774,308.86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186,018,096.22</w:t>
            </w:r>
          </w:p>
        </w:tc>
      </w:tr>
    </w:tbl>
    <w:p>
      <w:pPr>
        <w:pStyle w:val="BodyText"/>
        <w:spacing w:line="241" w:lineRule="exact"/>
        <w:ind w:right="2513"/>
        <w:jc w:val="left"/>
      </w:pPr>
      <w:r>
        <w:rPr/>
        <w:t>其他说明</w:t>
      </w:r>
    </w:p>
    <w:p>
      <w:pPr>
        <w:pStyle w:val="BodyText"/>
        <w:spacing w:line="274" w:lineRule="exact"/>
        <w:ind w:right="2513"/>
        <w:jc w:val="left"/>
      </w:pPr>
      <w:r>
        <w:rPr>
          <w:w w:val="100"/>
        </w:rPr>
        <w:t>无</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3"/>
        <w:tabs>
          <w:tab w:pos="861" w:val="left" w:leader="none"/>
        </w:tabs>
        <w:spacing w:line="240" w:lineRule="auto" w:before="56"/>
        <w:ind w:right="2513"/>
        <w:jc w:val="left"/>
        <w:rPr>
          <w:b w:val="0"/>
          <w:bCs w:val="0"/>
        </w:rPr>
      </w:pPr>
      <w:r>
        <w:rPr>
          <w:rFonts w:ascii="宋体" w:hAnsi="宋体" w:cs="宋体" w:eastAsia="宋体" w:hint="default"/>
          <w:w w:val="95"/>
        </w:rPr>
        <w:t>(1).</w:t>
        <w:tab/>
      </w:r>
      <w:r>
        <w:rPr/>
        <w:t>可供出售金融资产情况</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61" w:val="left" w:leader="none"/>
        </w:tabs>
        <w:spacing w:line="240" w:lineRule="auto"/>
        <w:ind w:right="2513"/>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61" w:val="left" w:leader="none"/>
        </w:tabs>
        <w:spacing w:line="240" w:lineRule="auto"/>
        <w:ind w:right="2513"/>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after="0" w:line="240" w:lineRule="auto"/>
        <w:jc w:val="left"/>
        <w:sectPr>
          <w:type w:val="continuous"/>
          <w:pgSz w:w="11910" w:h="16840"/>
          <w:pgMar w:top="1580" w:bottom="280" w:left="1580" w:right="1040"/>
        </w:sectPr>
      </w:pPr>
    </w:p>
    <w:p>
      <w:pPr>
        <w:spacing w:line="240" w:lineRule="auto" w:before="4"/>
        <w:rPr>
          <w:rFonts w:ascii="宋体" w:hAnsi="宋体" w:cs="宋体" w:eastAsia="宋体" w:hint="default"/>
          <w:sz w:val="23"/>
          <w:szCs w:val="23"/>
        </w:rPr>
      </w:pPr>
    </w:p>
    <w:p>
      <w:pPr>
        <w:pStyle w:val="Heading3"/>
        <w:tabs>
          <w:tab w:pos="861" w:val="left" w:leader="none"/>
        </w:tabs>
        <w:spacing w:line="240" w:lineRule="auto" w:before="36"/>
        <w:ind w:right="2513"/>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61" w:val="left" w:leader="none"/>
        </w:tabs>
        <w:spacing w:line="240" w:lineRule="auto"/>
        <w:ind w:right="123"/>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2513"/>
        <w:jc w:val="left"/>
      </w:pPr>
      <w:r>
        <w:rPr/>
        <w:t>其他说明</w:t>
      </w:r>
    </w:p>
    <w:p>
      <w:pPr>
        <w:pStyle w:val="BodyText"/>
        <w:tabs>
          <w:tab w:pos="1060"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90" w:lineRule="auto"/>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tabs>
          <w:tab w:pos="1060" w:val="left" w:leader="none"/>
        </w:tabs>
        <w:spacing w:line="257"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Heading3"/>
        <w:spacing w:line="273" w:lineRule="exact"/>
        <w:ind w:right="2513"/>
        <w:jc w:val="left"/>
        <w:rPr>
          <w:b w:val="0"/>
          <w:bCs w:val="0"/>
        </w:rPr>
      </w:pPr>
      <w:r>
        <w:rPr>
          <w:rFonts w:ascii="宋体" w:hAnsi="宋体" w:cs="宋体" w:eastAsia="宋体" w:hint="default"/>
        </w:rPr>
        <w:t>(2).</w:t>
      </w:r>
      <w:r>
        <w:rPr/>
        <w:t>期末重要的持有至到期投资：</w:t>
      </w:r>
      <w:r>
        <w:rPr>
          <w:b w:val="0"/>
          <w:bCs w:val="0"/>
        </w:rPr>
      </w:r>
    </w:p>
    <w:p>
      <w:pPr>
        <w:pStyle w:val="BodyText"/>
        <w:tabs>
          <w:tab w:pos="1060"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Heading3"/>
        <w:spacing w:line="273" w:lineRule="exact"/>
        <w:ind w:right="2513"/>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1163"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513"/>
        <w:jc w:val="left"/>
      </w:pPr>
      <w:r>
        <w:rPr/>
        <w:t>其他说明：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3"/>
        <w:spacing w:line="240" w:lineRule="auto" w:before="59"/>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tabs>
          <w:tab w:pos="1060" w:val="left" w:leader="none"/>
        </w:tabs>
        <w:spacing w:line="240" w:lineRule="auto" w:before="56"/>
        <w:ind w:right="-2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333" w:space="4400"/>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53"/>
        <w:gridCol w:w="2269"/>
        <w:gridCol w:w="430"/>
        <w:gridCol w:w="2345"/>
        <w:gridCol w:w="1006"/>
        <w:gridCol w:w="433"/>
        <w:gridCol w:w="1010"/>
        <w:gridCol w:w="605"/>
      </w:tblGrid>
      <w:tr>
        <w:trPr>
          <w:trHeight w:val="286" w:hRule="exact"/>
        </w:trPr>
        <w:tc>
          <w:tcPr>
            <w:tcW w:w="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043"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4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605" w:type="dxa"/>
            <w:vMerge w:val="restart"/>
            <w:tcBorders>
              <w:top w:val="single" w:sz="4" w:space="0" w:color="000000"/>
              <w:left w:val="single" w:sz="4" w:space="0" w:color="000000"/>
              <w:right w:val="single" w:sz="4" w:space="0" w:color="000000"/>
            </w:tcBorders>
          </w:tcPr>
          <w:p>
            <w:pPr>
              <w:pStyle w:val="TableParagraph"/>
              <w:spacing w:line="247" w:lineRule="exact"/>
              <w:ind w:left="191"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before="2"/>
              <w:ind w:left="191" w:right="191"/>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p>
        </w:tc>
      </w:tr>
      <w:tr>
        <w:trPr>
          <w:trHeight w:val="1104" w:hRule="exact"/>
        </w:trPr>
        <w:tc>
          <w:tcPr>
            <w:tcW w:w="953" w:type="dxa"/>
            <w:vMerge/>
            <w:tcBorders>
              <w:left w:val="single" w:sz="4" w:space="0" w:color="000000"/>
              <w:bottom w:val="single" w:sz="6" w:space="0" w:color="000000"/>
              <w:right w:val="single" w:sz="4" w:space="0" w:color="000000"/>
            </w:tcBorders>
          </w:tcPr>
          <w:p>
            <w:pP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72" w:lineRule="exact" w:before="27"/>
              <w:ind w:left="98" w:right="103"/>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4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72" w:lineRule="exact" w:before="27"/>
              <w:ind w:left="103" w:right="101"/>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0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605" w:type="dxa"/>
            <w:vMerge/>
            <w:tcBorders>
              <w:left w:val="single" w:sz="4" w:space="0" w:color="000000"/>
              <w:bottom w:val="single" w:sz="6" w:space="0" w:color="000000"/>
              <w:right w:val="single" w:sz="4" w:space="0" w:color="000000"/>
            </w:tcBorders>
          </w:tcPr>
          <w:p>
            <w:pPr/>
          </w:p>
        </w:tc>
      </w:tr>
      <w:tr>
        <w:trPr>
          <w:trHeight w:val="559"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融资租赁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154,810.00</w:t>
            </w:r>
          </w:p>
        </w:tc>
        <w:tc>
          <w:tcPr>
            <w:tcW w:w="430"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154,810.00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309,620.00</w:t>
            </w:r>
          </w:p>
        </w:tc>
        <w:tc>
          <w:tcPr>
            <w:tcW w:w="433"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309,620.00</w:t>
            </w:r>
          </w:p>
        </w:tc>
        <w:tc>
          <w:tcPr>
            <w:tcW w:w="6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6.37%</w:t>
            </w:r>
          </w:p>
        </w:tc>
      </w:tr>
      <w:tr>
        <w:trPr>
          <w:trHeight w:val="1105"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23" w:right="21"/>
              <w:jc w:val="both"/>
              <w:rPr>
                <w:rFonts w:ascii="宋体" w:hAnsi="宋体" w:cs="宋体" w:eastAsia="宋体" w:hint="default"/>
                <w:sz w:val="21"/>
                <w:szCs w:val="21"/>
              </w:rPr>
            </w:pPr>
            <w:r>
              <w:rPr>
                <w:rFonts w:ascii="宋体" w:hAnsi="宋体" w:cs="宋体" w:eastAsia="宋体" w:hint="default"/>
                <w:spacing w:val="10"/>
                <w:sz w:val="21"/>
                <w:szCs w:val="21"/>
              </w:rPr>
              <w:t>中：未实</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现融资收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sz w:val="21"/>
              </w:rPr>
              <w:t>0.00</w:t>
            </w:r>
          </w:p>
        </w:tc>
        <w:tc>
          <w:tcPr>
            <w:tcW w:w="430"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30"/>
              <w:jc w:val="right"/>
              <w:rPr>
                <w:rFonts w:ascii="Times New Roman" w:hAnsi="Times New Roman" w:cs="Times New Roman" w:eastAsia="Times New Roman" w:hint="default"/>
                <w:sz w:val="21"/>
                <w:szCs w:val="21"/>
              </w:rPr>
            </w:pPr>
            <w:r>
              <w:rPr>
                <w:rFonts w:ascii="Times New Roman"/>
                <w:sz w:val="21"/>
              </w:rPr>
              <w:t>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4" w:space="0" w:color="000000"/>
            </w:tcBorders>
          </w:tcPr>
          <w:p>
            <w:pPr/>
          </w:p>
        </w:tc>
        <w:tc>
          <w:tcPr>
            <w:tcW w:w="605" w:type="dxa"/>
            <w:tcBorders>
              <w:top w:val="single" w:sz="6" w:space="0" w:color="000000"/>
              <w:left w:val="single" w:sz="4" w:space="0" w:color="000000"/>
              <w:bottom w:val="single" w:sz="6" w:space="0" w:color="000000"/>
              <w:right w:val="single" w:sz="6" w:space="0" w:color="000000"/>
            </w:tcBorders>
          </w:tcPr>
          <w:p>
            <w:pPr/>
          </w:p>
        </w:tc>
      </w:tr>
      <w:tr>
        <w:trPr>
          <w:trHeight w:val="562"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分期收款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206,895,264.30</w:t>
            </w:r>
          </w:p>
        </w:tc>
        <w:tc>
          <w:tcPr>
            <w:tcW w:w="430"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206,895,264.30</w:t>
            </w:r>
          </w:p>
        </w:tc>
        <w:tc>
          <w:tcPr>
            <w:tcW w:w="1006"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4" w:space="0" w:color="000000"/>
            </w:tcBorders>
          </w:tcPr>
          <w:p>
            <w:pPr/>
          </w:p>
        </w:tc>
        <w:tc>
          <w:tcPr>
            <w:tcW w:w="605" w:type="dxa"/>
            <w:tcBorders>
              <w:top w:val="single" w:sz="6" w:space="0" w:color="000000"/>
              <w:left w:val="single" w:sz="4" w:space="0" w:color="000000"/>
              <w:bottom w:val="single" w:sz="6" w:space="0" w:color="000000"/>
              <w:right w:val="single" w:sz="6" w:space="0" w:color="000000"/>
            </w:tcBorders>
          </w:tcPr>
          <w:p>
            <w:pPr/>
          </w:p>
        </w:tc>
      </w:tr>
      <w:tr>
        <w:trPr>
          <w:trHeight w:val="830"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其中：未</w:t>
            </w:r>
          </w:p>
          <w:p>
            <w:pPr>
              <w:pStyle w:val="TableParagraph"/>
              <w:spacing w:line="240" w:lineRule="auto"/>
              <w:ind w:left="23" w:right="21"/>
              <w:jc w:val="left"/>
              <w:rPr>
                <w:rFonts w:ascii="宋体" w:hAnsi="宋体" w:cs="宋体" w:eastAsia="宋体" w:hint="default"/>
                <w:sz w:val="21"/>
                <w:szCs w:val="21"/>
              </w:rPr>
            </w:pPr>
            <w:r>
              <w:rPr>
                <w:rFonts w:ascii="宋体" w:hAnsi="宋体" w:cs="宋体" w:eastAsia="宋体" w:hint="default"/>
                <w:spacing w:val="10"/>
                <w:sz w:val="21"/>
                <w:szCs w:val="21"/>
              </w:rPr>
              <w:t>实现融资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收益</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38,153,604.67</w:t>
            </w:r>
          </w:p>
        </w:tc>
        <w:tc>
          <w:tcPr>
            <w:tcW w:w="430"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38,153,604.67</w:t>
            </w:r>
          </w:p>
        </w:tc>
        <w:tc>
          <w:tcPr>
            <w:tcW w:w="1006"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4" w:space="0" w:color="000000"/>
            </w:tcBorders>
          </w:tcPr>
          <w:p>
            <w:pPr/>
          </w:p>
        </w:tc>
        <w:tc>
          <w:tcPr>
            <w:tcW w:w="605"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分期收款</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269"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234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433"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4" w:space="0" w:color="000000"/>
            </w:tcBorders>
          </w:tcPr>
          <w:p>
            <w:pPr/>
          </w:p>
        </w:tc>
        <w:tc>
          <w:tcPr>
            <w:tcW w:w="60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207,050,074.30</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0.00</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207,050,074.30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309,620.00</w:t>
            </w:r>
          </w:p>
        </w:tc>
        <w:tc>
          <w:tcPr>
            <w:tcW w:w="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0.00</w:t>
            </w:r>
          </w:p>
        </w:tc>
        <w:tc>
          <w:tcPr>
            <w:tcW w:w="10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309,620.00</w:t>
            </w:r>
          </w:p>
        </w:tc>
        <w:tc>
          <w:tcPr>
            <w:tcW w:w="6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4"/>
        <w:rPr>
          <w:rFonts w:ascii="宋体" w:hAnsi="宋体" w:cs="宋体" w:eastAsia="宋体" w:hint="default"/>
          <w:sz w:val="23"/>
          <w:szCs w:val="23"/>
        </w:rPr>
      </w:pPr>
    </w:p>
    <w:p>
      <w:pPr>
        <w:pStyle w:val="Heading3"/>
        <w:spacing w:line="240" w:lineRule="auto" w:before="36"/>
        <w:ind w:right="2513"/>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163" w:val="left" w:leader="none"/>
        </w:tabs>
        <w:spacing w:line="240" w:lineRule="auto" w:before="58"/>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163"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2513"/>
        <w:jc w:val="left"/>
      </w:pPr>
      <w:r>
        <w:rPr/>
        <w:t>其他说明</w:t>
      </w:r>
    </w:p>
    <w:p>
      <w:pPr>
        <w:pStyle w:val="BodyText"/>
        <w:tabs>
          <w:tab w:pos="1060" w:val="left" w:leader="none"/>
        </w:tabs>
        <w:spacing w:line="300"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6"/>
        <w:ind w:right="-18"/>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617"/>
        <w:gridCol w:w="761"/>
        <w:gridCol w:w="670"/>
        <w:gridCol w:w="787"/>
        <w:gridCol w:w="706"/>
        <w:gridCol w:w="713"/>
        <w:gridCol w:w="782"/>
        <w:gridCol w:w="775"/>
        <w:gridCol w:w="757"/>
        <w:gridCol w:w="773"/>
        <w:gridCol w:w="749"/>
      </w:tblGrid>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64" w:right="156"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61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96" w:right="19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0" w:right="16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8" w:right="156"/>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960"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5"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7"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4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3" w:type="dxa"/>
            <w:vMerge/>
            <w:tcBorders>
              <w:left w:val="single" w:sz="4" w:space="0" w:color="000000"/>
              <w:bottom w:val="single" w:sz="4" w:space="0" w:color="000000"/>
              <w:right w:val="single" w:sz="4" w:space="0" w:color="000000"/>
            </w:tcBorders>
          </w:tcPr>
          <w:p>
            <w:pPr/>
          </w:p>
        </w:tc>
        <w:tc>
          <w:tcPr>
            <w:tcW w:w="749" w:type="dxa"/>
            <w:vMerge/>
            <w:tcBorders>
              <w:left w:val="single" w:sz="4" w:space="0" w:color="000000"/>
              <w:bottom w:val="single" w:sz="4" w:space="0" w:color="000000"/>
              <w:right w:val="single" w:sz="4" w:space="0" w:color="000000"/>
            </w:tcBorders>
          </w:tcPr>
          <w:p>
            <w:pPr/>
          </w:p>
        </w:tc>
      </w:tr>
      <w:tr>
        <w:trPr>
          <w:trHeight w:val="281"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66"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61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47"/>
                <w:sz w:val="21"/>
                <w:szCs w:val="21"/>
              </w:rPr>
              <w:t> </w:t>
            </w:r>
            <w:r>
              <w:rPr>
                <w:rFonts w:ascii="宋体" w:hAnsi="宋体" w:cs="宋体" w:eastAsia="宋体" w:hint="default"/>
                <w:sz w:val="21"/>
                <w:szCs w:val="21"/>
              </w:rPr>
              <w:t>京</w:t>
            </w:r>
            <w:r>
              <w:rPr>
                <w:rFonts w:ascii="宋体" w:hAnsi="宋体" w:cs="宋体" w:eastAsia="宋体" w:hint="default"/>
                <w:spacing w:val="-50"/>
                <w:sz w:val="21"/>
                <w:szCs w:val="21"/>
              </w:rPr>
              <w:t> </w:t>
            </w:r>
            <w:r>
              <w:rPr>
                <w:rFonts w:ascii="宋体" w:hAnsi="宋体" w:cs="宋体" w:eastAsia="宋体" w:hint="default"/>
                <w:sz w:val="21"/>
                <w:szCs w:val="21"/>
              </w:rPr>
              <w:t>伍</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47"/>
                <w:sz w:val="21"/>
                <w:szCs w:val="21"/>
              </w:rPr>
              <w:t> </w:t>
            </w:r>
            <w:r>
              <w:rPr>
                <w:rFonts w:ascii="宋体" w:hAnsi="宋体" w:cs="宋体" w:eastAsia="宋体" w:hint="default"/>
                <w:sz w:val="21"/>
                <w:szCs w:val="21"/>
              </w:rPr>
              <w:t>信</w:t>
            </w:r>
            <w:r>
              <w:rPr>
                <w:rFonts w:ascii="宋体" w:hAnsi="宋体" w:cs="宋体" w:eastAsia="宋体" w:hint="default"/>
                <w:spacing w:val="-5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47"/>
                <w:sz w:val="21"/>
                <w:szCs w:val="21"/>
              </w:rPr>
              <w:t> </w:t>
            </w:r>
            <w:r>
              <w:rPr>
                <w:rFonts w:ascii="宋体" w:hAnsi="宋体" w:cs="宋体" w:eastAsia="宋体" w:hint="default"/>
                <w:sz w:val="21"/>
                <w:szCs w:val="21"/>
              </w:rPr>
              <w:t>技</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36" w:right="0"/>
              <w:jc w:val="center"/>
              <w:rPr>
                <w:rFonts w:ascii="Times New Roman" w:hAnsi="Times New Roman" w:cs="Times New Roman" w:eastAsia="Times New Roman" w:hint="default"/>
                <w:sz w:val="21"/>
                <w:szCs w:val="21"/>
              </w:rPr>
            </w:pPr>
            <w:r>
              <w:rPr>
                <w:rFonts w:ascii="Times New Roman"/>
                <w:sz w:val="21"/>
              </w:rPr>
              <w:t>154,</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576.</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56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01" w:right="0"/>
              <w:jc w:val="left"/>
              <w:rPr>
                <w:rFonts w:ascii="Times New Roman" w:hAnsi="Times New Roman" w:cs="Times New Roman" w:eastAsia="Times New Roman" w:hint="default"/>
                <w:sz w:val="21"/>
                <w:szCs w:val="21"/>
              </w:rPr>
            </w:pPr>
            <w:r>
              <w:rPr>
                <w:rFonts w:ascii="Times New Roman"/>
                <w:sz w:val="21"/>
              </w:rPr>
              <w:t>55.00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154,6</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31.56</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8"/>
                <w:sz w:val="21"/>
                <w:szCs w:val="21"/>
              </w:rPr>
              <w:t>厦门</w:t>
            </w:r>
            <w:r>
              <w:rPr>
                <w:rFonts w:ascii="宋体" w:hAnsi="宋体" w:cs="宋体" w:eastAsia="宋体" w:hint="default"/>
                <w:spacing w:val="-46"/>
                <w:sz w:val="21"/>
                <w:szCs w:val="21"/>
              </w:rPr>
              <w:t> </w:t>
            </w:r>
            <w:r>
              <w:rPr>
                <w:rFonts w:ascii="宋体" w:hAnsi="宋体" w:cs="宋体" w:eastAsia="宋体" w:hint="default"/>
                <w:sz w:val="21"/>
                <w:szCs w:val="21"/>
              </w:rPr>
              <w:t>会</w:t>
            </w:r>
          </w:p>
          <w:p>
            <w:pPr>
              <w:pStyle w:val="TableParagraph"/>
              <w:spacing w:line="237" w:lineRule="auto"/>
              <w:ind w:left="103" w:right="2"/>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48"/>
                <w:sz w:val="21"/>
                <w:szCs w:val="21"/>
              </w:rPr>
              <w:t> </w:t>
            </w:r>
            <w:r>
              <w:rPr>
                <w:rFonts w:ascii="宋体" w:hAnsi="宋体" w:cs="宋体" w:eastAsia="宋体" w:hint="default"/>
                <w:sz w:val="21"/>
                <w:szCs w:val="21"/>
              </w:rPr>
              <w:t>鼎</w:t>
            </w:r>
            <w:r>
              <w:rPr>
                <w:rFonts w:ascii="宋体" w:hAnsi="宋体" w:cs="宋体" w:eastAsia="宋体" w:hint="default"/>
                <w:spacing w:val="-51"/>
                <w:sz w:val="21"/>
                <w:szCs w:val="21"/>
              </w:rPr>
              <w:t> </w:t>
            </w:r>
            <w:r>
              <w:rPr>
                <w:rFonts w:ascii="宋体" w:hAnsi="宋体" w:cs="宋体" w:eastAsia="宋体" w:hint="default"/>
                <w:sz w:val="21"/>
                <w:szCs w:val="21"/>
              </w:rPr>
              <w:t>盛</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48"/>
                <w:sz w:val="21"/>
                <w:szCs w:val="21"/>
              </w:rPr>
              <w:t> </w:t>
            </w:r>
            <w:r>
              <w:rPr>
                <w:rFonts w:ascii="宋体" w:hAnsi="宋体" w:cs="宋体" w:eastAsia="宋体" w:hint="default"/>
                <w:sz w:val="21"/>
                <w:szCs w:val="21"/>
              </w:rPr>
              <w:t>权</w:t>
            </w:r>
            <w:r>
              <w:rPr>
                <w:rFonts w:ascii="宋体" w:hAnsi="宋体" w:cs="宋体" w:eastAsia="宋体" w:hint="default"/>
                <w:spacing w:val="-51"/>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48"/>
                <w:sz w:val="21"/>
                <w:szCs w:val="21"/>
              </w:rPr>
              <w:t> </w:t>
            </w:r>
            <w:r>
              <w:rPr>
                <w:rFonts w:ascii="宋体" w:hAnsi="宋体" w:cs="宋体" w:eastAsia="宋体" w:hint="default"/>
                <w:sz w:val="21"/>
                <w:szCs w:val="21"/>
              </w:rPr>
              <w:t>合</w:t>
            </w:r>
            <w:r>
              <w:rPr>
                <w:rFonts w:ascii="宋体" w:hAnsi="宋体" w:cs="宋体" w:eastAsia="宋体" w:hint="default"/>
                <w:spacing w:val="-51"/>
                <w:sz w:val="21"/>
                <w:szCs w:val="21"/>
              </w:rPr>
              <w:t> </w:t>
            </w:r>
            <w:r>
              <w:rPr>
                <w:rFonts w:ascii="宋体" w:hAnsi="宋体" w:cs="宋体" w:eastAsia="宋体" w:hint="default"/>
                <w:sz w:val="21"/>
                <w:szCs w:val="21"/>
              </w:rPr>
              <w:t>伙</w:t>
            </w:r>
            <w:r>
              <w:rPr>
                <w:rFonts w:ascii="宋体" w:hAnsi="宋体" w:cs="宋体" w:eastAsia="宋体" w:hint="default"/>
                <w:w w:val="100"/>
                <w:sz w:val="21"/>
                <w:szCs w:val="21"/>
              </w:rPr>
              <w:t> </w:t>
            </w:r>
            <w:r>
              <w:rPr>
                <w:rFonts w:ascii="宋体" w:hAnsi="宋体" w:cs="宋体" w:eastAsia="宋体" w:hint="default"/>
                <w:spacing w:val="-25"/>
                <w:w w:val="100"/>
                <w:sz w:val="21"/>
                <w:szCs w:val="21"/>
              </w:rPr>
              <w:t>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61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9,500,</w:t>
            </w:r>
          </w:p>
          <w:p>
            <w:pPr>
              <w:pStyle w:val="TableParagraph"/>
              <w:spacing w:line="240" w:lineRule="auto" w:before="1"/>
              <w:ind w:right="9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-2,193</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,440.2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7,306,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559.7</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4</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8"/>
                <w:sz w:val="21"/>
                <w:szCs w:val="21"/>
              </w:rPr>
              <w:t>福建</w:t>
            </w:r>
            <w:r>
              <w:rPr>
                <w:rFonts w:ascii="宋体" w:hAnsi="宋体" w:cs="宋体" w:eastAsia="宋体" w:hint="default"/>
                <w:spacing w:val="-46"/>
                <w:sz w:val="21"/>
                <w:szCs w:val="21"/>
              </w:rPr>
              <w:t> </w:t>
            </w:r>
            <w:r>
              <w:rPr>
                <w:rFonts w:ascii="宋体" w:hAnsi="宋体" w:cs="宋体" w:eastAsia="宋体" w:hint="default"/>
                <w:sz w:val="21"/>
                <w:szCs w:val="21"/>
              </w:rPr>
              <w:t>省</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7"/>
                <w:sz w:val="21"/>
                <w:szCs w:val="21"/>
              </w:rPr>
              <w:t> </w:t>
            </w:r>
            <w:r>
              <w:rPr>
                <w:rFonts w:ascii="宋体" w:hAnsi="宋体" w:cs="宋体" w:eastAsia="宋体" w:hint="default"/>
                <w:sz w:val="21"/>
                <w:szCs w:val="21"/>
              </w:rPr>
              <w:t>急</w:t>
            </w:r>
            <w:r>
              <w:rPr>
                <w:rFonts w:ascii="宋体" w:hAnsi="宋体" w:cs="宋体" w:eastAsia="宋体" w:hint="default"/>
                <w:spacing w:val="-5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pacing w:val="-47"/>
                <w:sz w:val="21"/>
                <w:szCs w:val="21"/>
              </w:rPr>
              <w:t> </w:t>
            </w:r>
            <w:r>
              <w:rPr>
                <w:rFonts w:ascii="宋体" w:hAnsi="宋体" w:cs="宋体" w:eastAsia="宋体" w:hint="default"/>
                <w:sz w:val="21"/>
                <w:szCs w:val="21"/>
              </w:rPr>
              <w:t>运</w:t>
            </w:r>
            <w:r>
              <w:rPr>
                <w:rFonts w:ascii="宋体" w:hAnsi="宋体" w:cs="宋体" w:eastAsia="宋体" w:hint="default"/>
                <w:spacing w:val="-5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47"/>
                <w:sz w:val="21"/>
                <w:szCs w:val="21"/>
              </w:rPr>
              <w:t> </w:t>
            </w:r>
            <w:r>
              <w:rPr>
                <w:rFonts w:ascii="宋体" w:hAnsi="宋体" w:cs="宋体" w:eastAsia="宋体" w:hint="default"/>
                <w:sz w:val="21"/>
                <w:szCs w:val="21"/>
              </w:rPr>
              <w:t>限</w:t>
            </w:r>
            <w:r>
              <w:rPr>
                <w:rFonts w:ascii="宋体" w:hAnsi="宋体" w:cs="宋体" w:eastAsia="宋体" w:hint="default"/>
                <w:spacing w:val="-5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1" w:lineRule="exact"/>
              <w:ind w:left="175" w:right="0"/>
              <w:jc w:val="left"/>
              <w:rPr>
                <w:rFonts w:ascii="Times New Roman" w:hAnsi="Times New Roman" w:cs="Times New Roman" w:eastAsia="Times New Roman" w:hint="default"/>
                <w:sz w:val="21"/>
                <w:szCs w:val="21"/>
              </w:rPr>
            </w:pPr>
            <w:r>
              <w:rPr>
                <w:rFonts w:ascii="Times New Roman"/>
                <w:sz w:val="21"/>
              </w:rPr>
              <w:t>79,69</w:t>
            </w:r>
          </w:p>
          <w:p>
            <w:pPr>
              <w:pStyle w:val="TableParagraph"/>
              <w:spacing w:line="241" w:lineRule="exact"/>
              <w:ind w:left="122" w:right="0"/>
              <w:jc w:val="left"/>
              <w:rPr>
                <w:rFonts w:ascii="Times New Roman" w:hAnsi="Times New Roman" w:cs="Times New Roman" w:eastAsia="Times New Roman" w:hint="default"/>
                <w:sz w:val="21"/>
                <w:szCs w:val="21"/>
              </w:rPr>
            </w:pPr>
            <w:r>
              <w:rPr>
                <w:rFonts w:ascii="Times New Roman"/>
                <w:sz w:val="21"/>
              </w:rPr>
              <w:t>6,540.</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1,039,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852.9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80,73</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6,392.</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98</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8"/>
                <w:sz w:val="21"/>
                <w:szCs w:val="21"/>
              </w:rPr>
              <w:t>宁波</w:t>
            </w:r>
            <w:r>
              <w:rPr>
                <w:rFonts w:ascii="宋体" w:hAnsi="宋体" w:cs="宋体" w:eastAsia="宋体" w:hint="default"/>
                <w:spacing w:val="-46"/>
                <w:sz w:val="21"/>
                <w:szCs w:val="21"/>
              </w:rPr>
              <w:t> </w:t>
            </w:r>
            <w:r>
              <w:rPr>
                <w:rFonts w:ascii="宋体" w:hAnsi="宋体" w:cs="宋体" w:eastAsia="宋体" w:hint="default"/>
                <w:sz w:val="21"/>
                <w:szCs w:val="21"/>
              </w:rPr>
              <w:t>梅</w:t>
            </w:r>
          </w:p>
          <w:p>
            <w:pPr>
              <w:pStyle w:val="TableParagraph"/>
              <w:spacing w:line="237" w:lineRule="auto"/>
              <w:ind w:left="103" w:right="2"/>
              <w:jc w:val="both"/>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48"/>
                <w:sz w:val="21"/>
                <w:szCs w:val="21"/>
              </w:rPr>
              <w:t> </w:t>
            </w:r>
            <w:r>
              <w:rPr>
                <w:rFonts w:ascii="宋体" w:hAnsi="宋体" w:cs="宋体" w:eastAsia="宋体" w:hint="default"/>
                <w:sz w:val="21"/>
                <w:szCs w:val="21"/>
              </w:rPr>
              <w:t>保</w:t>
            </w:r>
            <w:r>
              <w:rPr>
                <w:rFonts w:ascii="宋体" w:hAnsi="宋体" w:cs="宋体" w:eastAsia="宋体" w:hint="default"/>
                <w:spacing w:val="-51"/>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spacing w:val="-48"/>
                <w:sz w:val="21"/>
                <w:szCs w:val="21"/>
              </w:rPr>
              <w:t> </w:t>
            </w:r>
            <w:r>
              <w:rPr>
                <w:rFonts w:ascii="宋体" w:hAnsi="宋体" w:cs="宋体" w:eastAsia="宋体" w:hint="default"/>
                <w:sz w:val="21"/>
                <w:szCs w:val="21"/>
              </w:rPr>
              <w:t>区</w:t>
            </w:r>
            <w:r>
              <w:rPr>
                <w:rFonts w:ascii="宋体" w:hAnsi="宋体" w:cs="宋体" w:eastAsia="宋体" w:hint="default"/>
                <w:spacing w:val="-51"/>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威</w:t>
            </w:r>
            <w:r>
              <w:rPr>
                <w:rFonts w:ascii="宋体" w:hAnsi="宋体" w:cs="宋体" w:eastAsia="宋体" w:hint="default"/>
                <w:spacing w:val="-48"/>
                <w:sz w:val="21"/>
                <w:szCs w:val="21"/>
              </w:rPr>
              <w:t> </w:t>
            </w:r>
            <w:r>
              <w:rPr>
                <w:rFonts w:ascii="宋体" w:hAnsi="宋体" w:cs="宋体" w:eastAsia="宋体" w:hint="default"/>
                <w:sz w:val="21"/>
                <w:szCs w:val="21"/>
              </w:rPr>
              <w:t>道</w:t>
            </w:r>
            <w:r>
              <w:rPr>
                <w:rFonts w:ascii="宋体" w:hAnsi="宋体" w:cs="宋体" w:eastAsia="宋体" w:hint="default"/>
                <w:spacing w:val="-51"/>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48"/>
                <w:sz w:val="21"/>
                <w:szCs w:val="21"/>
              </w:rPr>
              <w:t> </w:t>
            </w:r>
            <w:r>
              <w:rPr>
                <w:rFonts w:ascii="宋体" w:hAnsi="宋体" w:cs="宋体" w:eastAsia="宋体" w:hint="default"/>
                <w:sz w:val="21"/>
                <w:szCs w:val="21"/>
              </w:rPr>
              <w:t>资</w:t>
            </w:r>
            <w:r>
              <w:rPr>
                <w:rFonts w:ascii="宋体" w:hAnsi="宋体" w:cs="宋体" w:eastAsia="宋体" w:hint="default"/>
                <w:spacing w:val="-51"/>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pacing w:val="-48"/>
                <w:sz w:val="21"/>
                <w:szCs w:val="21"/>
              </w:rPr>
              <w:t> </w:t>
            </w:r>
            <w:r>
              <w:rPr>
                <w:rFonts w:ascii="宋体" w:hAnsi="宋体" w:cs="宋体" w:eastAsia="宋体" w:hint="default"/>
                <w:sz w:val="21"/>
                <w:szCs w:val="21"/>
              </w:rPr>
              <w:t>合</w:t>
            </w:r>
            <w:r>
              <w:rPr>
                <w:rFonts w:ascii="宋体" w:hAnsi="宋体" w:cs="宋体" w:eastAsia="宋体" w:hint="default"/>
                <w:spacing w:val="-51"/>
                <w:sz w:val="21"/>
                <w:szCs w:val="21"/>
              </w:rPr>
              <w:t> </w:t>
            </w:r>
            <w:r>
              <w:rPr>
                <w:rFonts w:ascii="宋体" w:hAnsi="宋体" w:cs="宋体" w:eastAsia="宋体" w:hint="default"/>
                <w:sz w:val="21"/>
                <w:szCs w:val="21"/>
              </w:rPr>
              <w:t>伙</w:t>
            </w:r>
            <w:r>
              <w:rPr>
                <w:rFonts w:ascii="宋体" w:hAnsi="宋体" w:cs="宋体" w:eastAsia="宋体" w:hint="default"/>
                <w:w w:val="100"/>
                <w:sz w:val="21"/>
                <w:szCs w:val="21"/>
              </w:rPr>
              <w:t> </w:t>
            </w:r>
            <w:r>
              <w:rPr>
                <w:rFonts w:ascii="宋体" w:hAnsi="宋体" w:cs="宋体" w:eastAsia="宋体" w:hint="default"/>
                <w:spacing w:val="-25"/>
                <w:w w:val="100"/>
                <w:sz w:val="21"/>
                <w:szCs w:val="21"/>
              </w:rPr>
              <w:t>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61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right="9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1" w:lineRule="exact"/>
              <w:ind w:left="148" w:right="0"/>
              <w:jc w:val="left"/>
              <w:rPr>
                <w:rFonts w:ascii="Times New Roman" w:hAnsi="Times New Roman" w:cs="Times New Roman" w:eastAsia="Times New Roman" w:hint="default"/>
                <w:sz w:val="21"/>
                <w:szCs w:val="21"/>
              </w:rPr>
            </w:pPr>
            <w:r>
              <w:rPr>
                <w:rFonts w:ascii="Times New Roman"/>
                <w:sz w:val="21"/>
              </w:rPr>
              <w:t>1,524.</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96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524.9</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6</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154,</w:t>
            </w:r>
          </w:p>
          <w:p>
            <w:pPr>
              <w:pStyle w:val="TableParagraph"/>
              <w:spacing w:line="240" w:lineRule="auto" w:before="1"/>
              <w:ind w:left="136" w:right="0"/>
              <w:jc w:val="left"/>
              <w:rPr>
                <w:rFonts w:ascii="Times New Roman" w:hAnsi="Times New Roman" w:cs="Times New Roman" w:eastAsia="Times New Roman" w:hint="default"/>
                <w:sz w:val="21"/>
                <w:szCs w:val="21"/>
              </w:rPr>
            </w:pPr>
            <w:r>
              <w:rPr>
                <w:rFonts w:ascii="Times New Roman"/>
                <w:sz w:val="21"/>
              </w:rPr>
              <w:t>576.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90,19</w:t>
            </w:r>
          </w:p>
          <w:p>
            <w:pPr>
              <w:pStyle w:val="TableParagraph"/>
              <w:spacing w:line="240" w:lineRule="auto" w:before="1"/>
              <w:ind w:left="122" w:right="0"/>
              <w:jc w:val="left"/>
              <w:rPr>
                <w:rFonts w:ascii="Times New Roman" w:hAnsi="Times New Roman" w:cs="Times New Roman" w:eastAsia="Times New Roman" w:hint="default"/>
                <w:sz w:val="21"/>
                <w:szCs w:val="21"/>
              </w:rPr>
            </w:pPr>
            <w:r>
              <w:rPr>
                <w:rFonts w:ascii="Times New Roman"/>
                <w:sz w:val="21"/>
              </w:rPr>
              <w:t>6,540.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-1,152</w:t>
            </w:r>
          </w:p>
          <w:p>
            <w:pPr>
              <w:pStyle w:val="TableParagraph"/>
              <w:spacing w:line="240" w:lineRule="auto" w:before="1"/>
              <w:ind w:left="148" w:right="0"/>
              <w:jc w:val="left"/>
              <w:rPr>
                <w:rFonts w:ascii="Times New Roman" w:hAnsi="Times New Roman" w:cs="Times New Roman" w:eastAsia="Times New Roman" w:hint="default"/>
                <w:sz w:val="21"/>
                <w:szCs w:val="21"/>
              </w:rPr>
            </w:pPr>
            <w:r>
              <w:rPr>
                <w:rFonts w:ascii="Times New Roman"/>
                <w:sz w:val="21"/>
              </w:rPr>
              <w:t>,007.3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89,19</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9,109.</w:t>
            </w:r>
          </w:p>
        </w:tc>
        <w:tc>
          <w:tcPr>
            <w:tcW w:w="7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960"/>
        <w:gridCol w:w="617"/>
        <w:gridCol w:w="761"/>
        <w:gridCol w:w="670"/>
        <w:gridCol w:w="787"/>
        <w:gridCol w:w="706"/>
        <w:gridCol w:w="713"/>
        <w:gridCol w:w="782"/>
        <w:gridCol w:w="775"/>
        <w:gridCol w:w="757"/>
        <w:gridCol w:w="773"/>
        <w:gridCol w:w="749"/>
      </w:tblGrid>
      <w:tr>
        <w:trPr>
          <w:trHeight w:val="252"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92" w:right="0"/>
              <w:jc w:val="left"/>
              <w:rPr>
                <w:rFonts w:ascii="Times New Roman" w:hAnsi="Times New Roman" w:cs="Times New Roman" w:eastAsia="Times New Roman" w:hint="default"/>
                <w:sz w:val="21"/>
                <w:szCs w:val="21"/>
              </w:rPr>
            </w:pPr>
            <w:r>
              <w:rPr>
                <w:rFonts w:ascii="Times New Roman"/>
                <w:sz w:val="21"/>
              </w:rPr>
              <w:t>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36" w:right="0"/>
              <w:jc w:val="left"/>
              <w:rPr>
                <w:rFonts w:ascii="Times New Roman" w:hAnsi="Times New Roman" w:cs="Times New Roman" w:eastAsia="Times New Roman" w:hint="default"/>
                <w:sz w:val="21"/>
                <w:szCs w:val="21"/>
              </w:rPr>
            </w:pPr>
            <w:r>
              <w:rPr>
                <w:rFonts w:ascii="Times New Roman"/>
                <w:sz w:val="21"/>
              </w:rPr>
              <w:t>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6" w:right="0"/>
              <w:jc w:val="left"/>
              <w:rPr>
                <w:rFonts w:ascii="Times New Roman" w:hAnsi="Times New Roman" w:cs="Times New Roman" w:eastAsia="Times New Roman" w:hint="default"/>
                <w:sz w:val="21"/>
                <w:szCs w:val="21"/>
              </w:rPr>
            </w:pPr>
            <w:r>
              <w:rPr>
                <w:rFonts w:ascii="Times New Roman"/>
                <w:sz w:val="21"/>
              </w:rPr>
              <w:t>24</w:t>
            </w: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154,</w:t>
            </w:r>
          </w:p>
          <w:p>
            <w:pPr>
              <w:pStyle w:val="TableParagraph"/>
              <w:spacing w:line="240" w:lineRule="auto" w:before="1"/>
              <w:ind w:left="36" w:right="0"/>
              <w:jc w:val="center"/>
              <w:rPr>
                <w:rFonts w:ascii="Times New Roman" w:hAnsi="Times New Roman" w:cs="Times New Roman" w:eastAsia="Times New Roman" w:hint="default"/>
                <w:sz w:val="21"/>
                <w:szCs w:val="21"/>
              </w:rPr>
            </w:pPr>
            <w:r>
              <w:rPr>
                <w:rFonts w:ascii="Times New Roman"/>
                <w:sz w:val="21"/>
              </w:rPr>
              <w:t>576.</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90,19</w:t>
            </w:r>
          </w:p>
          <w:p>
            <w:pPr>
              <w:pStyle w:val="TableParagraph"/>
              <w:spacing w:line="240" w:lineRule="auto" w:before="1"/>
              <w:ind w:left="122" w:right="0"/>
              <w:jc w:val="left"/>
              <w:rPr>
                <w:rFonts w:ascii="Times New Roman" w:hAnsi="Times New Roman" w:cs="Times New Roman" w:eastAsia="Times New Roman" w:hint="default"/>
                <w:sz w:val="21"/>
                <w:szCs w:val="21"/>
              </w:rPr>
            </w:pPr>
            <w:r>
              <w:rPr>
                <w:rFonts w:ascii="Times New Roman"/>
                <w:sz w:val="21"/>
              </w:rPr>
              <w:t>6,540.</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00</w:t>
            </w: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-1,152</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,007.3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89,19</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9,109.</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24</w:t>
            </w:r>
          </w:p>
        </w:tc>
        <w:tc>
          <w:tcPr>
            <w:tcW w:w="7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40" w:lineRule="auto" w:before="36"/>
        <w:ind w:right="8208"/>
        <w:jc w:val="left"/>
      </w:pPr>
      <w:r>
        <w:rPr/>
        <w:t>其他说明</w:t>
      </w:r>
      <w:r>
        <w:rPr>
          <w:w w:val="100"/>
        </w:rPr>
        <w:t> </w:t>
      </w:r>
      <w:r>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7" w:footer="979" w:top="1140" w:bottom="116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3"/>
        <w:spacing w:line="240" w:lineRule="auto" w:before="14"/>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999" w:space="27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2"/>
        <w:gridCol w:w="1466"/>
        <w:gridCol w:w="1155"/>
        <w:gridCol w:w="1171"/>
        <w:gridCol w:w="1412"/>
        <w:gridCol w:w="1423"/>
      </w:tblGrid>
      <w:tr>
        <w:trPr>
          <w:trHeight w:val="55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pacing w:val="-3"/>
                <w:sz w:val="21"/>
                <w:szCs w:val="21"/>
              </w:rPr>
              <w:t>房屋、建筑物</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权</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改良支出</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36,434,226.13</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36,434,226.13</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957,908.21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957,908.21</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）存货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固定资产</w:t>
            </w:r>
            <w:r>
              <w:rPr>
                <w:rFonts w:ascii="Times New Roman" w:hAnsi="Times New Roman" w:cs="Times New Roman" w:eastAsia="Times New Roman" w:hint="default"/>
                <w:spacing w:val="-3"/>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在建工程转入</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957,908.21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957,908.21</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2,739,416.13</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2,739,416.13</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）转至固定资产</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2,739,416.13</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2,739,416.13</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33,694,810.00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957,908.21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34,652,718.21</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累</w:t>
            </w:r>
            <w:r>
              <w:rPr>
                <w:rFonts w:ascii="宋体" w:hAnsi="宋体" w:cs="宋体" w:eastAsia="宋体" w:hint="default"/>
                <w:w w:val="100"/>
                <w:sz w:val="21"/>
                <w:szCs w:val="21"/>
              </w:rPr>
              <w:t>计</w:t>
            </w:r>
            <w:r>
              <w:rPr>
                <w:rFonts w:ascii="宋体" w:hAnsi="宋体" w:cs="宋体" w:eastAsia="宋体" w:hint="default"/>
                <w:spacing w:val="-3"/>
                <w:w w:val="100"/>
                <w:sz w:val="21"/>
                <w:szCs w:val="21"/>
              </w:rPr>
              <w:t>折</w:t>
            </w:r>
            <w:r>
              <w:rPr>
                <w:rFonts w:ascii="宋体" w:hAnsi="宋体" w:cs="宋体" w:eastAsia="宋体" w:hint="default"/>
                <w:w w:val="100"/>
                <w:sz w:val="21"/>
                <w:szCs w:val="21"/>
              </w:rPr>
              <w:t>旧</w:t>
            </w:r>
            <w:r>
              <w:rPr>
                <w:rFonts w:ascii="宋体" w:hAnsi="宋体" w:cs="宋体" w:eastAsia="宋体" w:hint="default"/>
                <w:spacing w:val="-3"/>
                <w:w w:val="100"/>
                <w:sz w:val="21"/>
                <w:szCs w:val="21"/>
              </w:rPr>
              <w:t>和</w:t>
            </w:r>
            <w:r>
              <w:rPr>
                <w:rFonts w:ascii="宋体" w:hAnsi="宋体" w:cs="宋体" w:eastAsia="宋体" w:hint="default"/>
                <w:w w:val="100"/>
                <w:sz w:val="21"/>
                <w:szCs w:val="21"/>
              </w:rPr>
              <w:t>累</w:t>
            </w:r>
            <w:r>
              <w:rPr>
                <w:rFonts w:ascii="宋体" w:hAnsi="宋体" w:cs="宋体" w:eastAsia="宋体" w:hint="default"/>
                <w:spacing w:val="-3"/>
                <w:w w:val="100"/>
                <w:sz w:val="21"/>
                <w:szCs w:val="21"/>
              </w:rPr>
              <w:t>计</w:t>
            </w:r>
            <w:r>
              <w:rPr>
                <w:rFonts w:ascii="宋体" w:hAnsi="宋体" w:cs="宋体" w:eastAsia="宋体" w:hint="default"/>
                <w:w w:val="100"/>
                <w:sz w:val="21"/>
                <w:szCs w:val="21"/>
              </w:rPr>
              <w:t>摊销</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2,870,706.03</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2,870,706.03</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971,908.18</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15,166.88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987,075.06</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971,908.18</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15,166.88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987,075.06</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277,511.87</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277,511.87</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转至累计折旧</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277,511.87</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277,511.87</w:t>
            </w: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3,565,102.34</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15,166.88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3,580,269.22</w:t>
            </w: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30,129,707.66</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942,741.33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31,072,448.99</w:t>
            </w:r>
          </w:p>
        </w:tc>
      </w:tr>
      <w:tr>
        <w:trPr>
          <w:trHeight w:val="300"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33,563,520.10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33,563,520.10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7" w:footer="979" w:top="1140" w:bottom="1160" w:left="1100" w:right="580"/>
        </w:sectPr>
      </w:pPr>
    </w:p>
    <w:p>
      <w:pPr>
        <w:pStyle w:val="Heading3"/>
        <w:spacing w:line="240" w:lineRule="auto" w:before="36"/>
        <w:ind w:left="698"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tabs>
          <w:tab w:pos="1540" w:val="left" w:leader="none"/>
        </w:tabs>
        <w:spacing w:line="240" w:lineRule="auto" w:before="58"/>
        <w:ind w:left="69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98" w:right="0"/>
        <w:jc w:val="left"/>
      </w:pPr>
      <w:r>
        <w:rPr/>
        <w:t>单位：元币种：人民币</w:t>
      </w:r>
    </w:p>
    <w:p>
      <w:pPr>
        <w:spacing w:after="0" w:line="240" w:lineRule="auto"/>
        <w:jc w:val="left"/>
        <w:sectPr>
          <w:type w:val="continuous"/>
          <w:pgSz w:w="11910" w:h="16840"/>
          <w:pgMar w:top="1580" w:bottom="280" w:left="1100" w:right="580"/>
          <w:cols w:num="2" w:equalWidth="0">
            <w:col w:w="4901" w:space="1832"/>
            <w:col w:w="3497"/>
          </w:cols>
        </w:sectPr>
      </w:pPr>
    </w:p>
    <w:p>
      <w:pPr>
        <w:spacing w:line="240" w:lineRule="auto" w:before="7"/>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30,129,707.66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房产证办理中</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30,129,707.66</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3" w:lineRule="exact" w:before="36"/>
        <w:ind w:left="654" w:right="0"/>
        <w:jc w:val="left"/>
      </w:pPr>
      <w:r>
        <w:rPr/>
        <w:t>其他说明</w:t>
      </w:r>
    </w:p>
    <w:p>
      <w:pPr>
        <w:pStyle w:val="BodyText"/>
        <w:tabs>
          <w:tab w:pos="1497" w:val="left" w:leader="none"/>
        </w:tabs>
        <w:spacing w:line="300" w:lineRule="exact"/>
        <w:ind w:left="654"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100" w:right="580"/>
        </w:sectPr>
      </w:pPr>
    </w:p>
    <w:p>
      <w:pPr>
        <w:pStyle w:val="Heading3"/>
        <w:spacing w:line="240" w:lineRule="auto" w:before="36"/>
        <w:ind w:left="69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3"/>
        <w:spacing w:line="240" w:lineRule="auto" w:before="58"/>
        <w:ind w:left="69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tabs>
          <w:tab w:pos="1540" w:val="left" w:leader="none"/>
        </w:tabs>
        <w:spacing w:line="240" w:lineRule="auto" w:before="56"/>
        <w:ind w:left="698"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698" w:right="0"/>
        <w:jc w:val="left"/>
      </w:pPr>
      <w:r>
        <w:rPr/>
        <w:t>单位：元币种：人民币</w:t>
      </w:r>
    </w:p>
    <w:p>
      <w:pPr>
        <w:spacing w:after="0" w:line="240" w:lineRule="auto"/>
        <w:jc w:val="left"/>
        <w:sectPr>
          <w:type w:val="continuous"/>
          <w:pgSz w:w="11910" w:h="16840"/>
          <w:pgMar w:top="1580" w:bottom="280" w:left="1100" w:right="580"/>
          <w:cols w:num="2" w:equalWidth="0">
            <w:col w:w="2554" w:space="4179"/>
            <w:col w:w="3497"/>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11"/>
        <w:gridCol w:w="1289"/>
        <w:gridCol w:w="1294"/>
        <w:gridCol w:w="1430"/>
        <w:gridCol w:w="1282"/>
        <w:gridCol w:w="1284"/>
        <w:gridCol w:w="1280"/>
        <w:gridCol w:w="1430"/>
      </w:tblGrid>
      <w:tr>
        <w:trPr>
          <w:trHeight w:val="55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软件开发设</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办公设备及其</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他</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道路及绿化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建设工程</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改良支出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一、账</w:t>
            </w:r>
            <w:r>
              <w:rPr>
                <w:rFonts w:ascii="宋体" w:hAnsi="宋体" w:cs="宋体" w:eastAsia="宋体" w:hint="default"/>
                <w:sz w:val="21"/>
                <w:szCs w:val="21"/>
              </w:rPr>
            </w:r>
          </w:p>
          <w:p>
            <w:pPr>
              <w:pStyle w:val="TableParagraph"/>
              <w:tabs>
                <w:tab w:pos="465" w:val="left" w:leader="none"/>
              </w:tabs>
              <w:spacing w:line="272" w:lineRule="exact" w:before="26"/>
              <w:ind w:left="24" w:right="22"/>
              <w:jc w:val="left"/>
              <w:rPr>
                <w:rFonts w:ascii="宋体" w:hAnsi="宋体" w:cs="宋体" w:eastAsia="宋体" w:hint="default"/>
                <w:sz w:val="21"/>
                <w:szCs w:val="21"/>
              </w:rPr>
            </w:pPr>
            <w:r>
              <w:rPr>
                <w:rFonts w:ascii="宋体" w:hAnsi="宋体" w:cs="宋体" w:eastAsia="宋体" w:hint="default"/>
                <w:sz w:val="21"/>
                <w:szCs w:val="21"/>
              </w:rPr>
              <w:t>面</w:t>
              <w:tab/>
              <w:t>原</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1.</w:t>
            </w:r>
          </w:p>
          <w:p>
            <w:pPr>
              <w:pStyle w:val="TableParagraph"/>
              <w:spacing w:line="272" w:lineRule="exact" w:before="12"/>
              <w:ind w:left="24" w:right="12"/>
              <w:jc w:val="left"/>
              <w:rPr>
                <w:rFonts w:ascii="宋体" w:hAnsi="宋体" w:cs="宋体" w:eastAsia="宋体" w:hint="default"/>
                <w:sz w:val="21"/>
                <w:szCs w:val="21"/>
              </w:rPr>
            </w:pPr>
            <w:r>
              <w:rPr>
                <w:rFonts w:ascii="宋体" w:hAnsi="宋体" w:cs="宋体" w:eastAsia="宋体" w:hint="default"/>
                <w:spacing w:val="8"/>
                <w:sz w:val="21"/>
                <w:szCs w:val="21"/>
              </w:rPr>
              <w:t>期初余</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94,486,456.59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12,244,248.69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17,576,850.56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9,663,528.81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1,564,000.00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2,448,379.23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137,983,463.88</w:t>
            </w:r>
          </w:p>
        </w:tc>
      </w:tr>
      <w:tr>
        <w:trPr>
          <w:trHeight w:val="81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2.</w:t>
            </w:r>
          </w:p>
          <w:p>
            <w:pPr>
              <w:pStyle w:val="TableParagraph"/>
              <w:spacing w:line="272" w:lineRule="exact" w:before="12"/>
              <w:ind w:left="24" w:right="12"/>
              <w:jc w:val="left"/>
              <w:rPr>
                <w:rFonts w:ascii="宋体" w:hAnsi="宋体" w:cs="宋体" w:eastAsia="宋体" w:hint="default"/>
                <w:sz w:val="21"/>
                <w:szCs w:val="21"/>
              </w:rPr>
            </w:pPr>
            <w:r>
              <w:rPr>
                <w:rFonts w:ascii="宋体" w:hAnsi="宋体" w:cs="宋体" w:eastAsia="宋体" w:hint="default"/>
                <w:spacing w:val="8"/>
                <w:sz w:val="21"/>
                <w:szCs w:val="21"/>
              </w:rPr>
              <w:t>本期增</w:t>
            </w:r>
            <w:r>
              <w:rPr>
                <w:rFonts w:ascii="宋体" w:hAnsi="宋体" w:cs="宋体" w:eastAsia="宋体" w:hint="default"/>
                <w:spacing w:val="-99"/>
                <w:sz w:val="21"/>
                <w:szCs w:val="21"/>
              </w:rPr>
              <w:t> </w:t>
            </w:r>
            <w:r>
              <w:rPr>
                <w:rFonts w:ascii="宋体" w:hAnsi="宋体" w:cs="宋体" w:eastAsia="宋体" w:hint="default"/>
                <w:sz w:val="21"/>
                <w:szCs w:val="21"/>
              </w:rPr>
              <w:t>加金额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40,196,558.98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2,621,671.64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3,005,850.80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2,439,560.98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9,113,496.29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57,377,138.69</w:t>
            </w:r>
          </w:p>
        </w:tc>
      </w:tr>
      <w:tr>
        <w:trPr>
          <w:trHeight w:val="55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pacing w:val="1"/>
                <w:w w:val="100"/>
                <w:sz w:val="21"/>
                <w:szCs w:val="21"/>
              </w:rPr>
              <w:t>1</w:t>
            </w:r>
            <w:r>
              <w:rPr>
                <w:rFonts w:ascii="宋体" w:hAnsi="宋体" w:cs="宋体" w:eastAsia="宋体" w:hint="default"/>
                <w:spacing w:val="-89"/>
                <w:w w:val="100"/>
                <w:sz w:val="21"/>
                <w:szCs w:val="21"/>
              </w:rPr>
              <w:t>）</w:t>
            </w:r>
            <w:r>
              <w:rPr>
                <w:rFonts w:ascii="宋体" w:hAnsi="宋体" w:cs="宋体" w:eastAsia="宋体" w:hint="default"/>
                <w:w w:val="100"/>
                <w:sz w:val="21"/>
                <w:szCs w:val="21"/>
              </w:rPr>
              <w:t>购置</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37,457,142.85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1,305,489.42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2,035,393.32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2,439,560.98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43,237,586.57</w:t>
            </w:r>
          </w:p>
        </w:tc>
      </w:tr>
      <w:tr>
        <w:trPr>
          <w:trHeight w:val="109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28" w:lineRule="auto"/>
              <w:ind w:left="24" w:right="12"/>
              <w:jc w:val="both"/>
              <w:rPr>
                <w:rFonts w:ascii="宋体" w:hAnsi="宋体" w:cs="宋体" w:eastAsia="宋体" w:hint="default"/>
                <w:sz w:val="21"/>
                <w:szCs w:val="21"/>
              </w:rPr>
            </w:pPr>
            <w:r>
              <w:rPr>
                <w:rFonts w:ascii="Calibri" w:hAnsi="Calibri" w:cs="Calibri" w:eastAsia="Calibri" w:hint="default"/>
                <w:spacing w:val="-22"/>
                <w:w w:val="100"/>
                <w:sz w:val="21"/>
                <w:szCs w:val="21"/>
              </w:rPr>
              <w:t>2</w:t>
            </w:r>
            <w:r>
              <w:rPr>
                <w:rFonts w:ascii="宋体" w:hAnsi="宋体" w:cs="宋体" w:eastAsia="宋体" w:hint="default"/>
                <w:spacing w:val="-22"/>
                <w:w w:val="100"/>
                <w:sz w:val="21"/>
                <w:szCs w:val="21"/>
              </w:rPr>
              <w:t>）在建</w:t>
            </w:r>
            <w:r>
              <w:rPr>
                <w:rFonts w:ascii="宋体" w:hAnsi="宋体" w:cs="宋体" w:eastAsia="宋体" w:hint="default"/>
                <w:w w:val="100"/>
                <w:sz w:val="21"/>
                <w:szCs w:val="21"/>
              </w:rPr>
              <w:t> </w:t>
            </w:r>
            <w:r>
              <w:rPr>
                <w:rFonts w:ascii="宋体" w:hAnsi="宋体" w:cs="宋体" w:eastAsia="宋体" w:hint="default"/>
                <w:spacing w:val="8"/>
                <w:sz w:val="21"/>
                <w:szCs w:val="21"/>
              </w:rPr>
              <w:t>工程转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2"/>
              <w:jc w:val="right"/>
              <w:rPr>
                <w:rFonts w:ascii="Times New Roman" w:hAnsi="Times New Roman" w:cs="Times New Roman" w:eastAsia="Times New Roman" w:hint="default"/>
                <w:sz w:val="21"/>
                <w:szCs w:val="21"/>
              </w:rPr>
            </w:pPr>
            <w:r>
              <w:rPr>
                <w:rFonts w:ascii="Times New Roman"/>
                <w:spacing w:val="-1"/>
                <w:sz w:val="21"/>
              </w:rPr>
              <w:t>1,316,182.22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970,457.48</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2"/>
              <w:jc w:val="right"/>
              <w:rPr>
                <w:rFonts w:ascii="Times New Roman" w:hAnsi="Times New Roman" w:cs="Times New Roman" w:eastAsia="Times New Roman" w:hint="default"/>
                <w:sz w:val="21"/>
                <w:szCs w:val="21"/>
              </w:rPr>
            </w:pPr>
            <w:r>
              <w:rPr>
                <w:rFonts w:ascii="Times New Roman"/>
                <w:spacing w:val="-2"/>
                <w:sz w:val="21"/>
              </w:rPr>
              <w:t>9,113,496.29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2"/>
                <w:sz w:val="21"/>
              </w:rPr>
              <w:t>11,400,135.99</w:t>
            </w:r>
          </w:p>
        </w:tc>
      </w:tr>
      <w:tr>
        <w:trPr>
          <w:trHeight w:val="110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28" w:lineRule="auto"/>
              <w:ind w:left="24" w:right="21"/>
              <w:jc w:val="both"/>
              <w:rPr>
                <w:rFonts w:ascii="宋体" w:hAnsi="宋体" w:cs="宋体" w:eastAsia="宋体" w:hint="default"/>
                <w:sz w:val="21"/>
                <w:szCs w:val="21"/>
              </w:rPr>
            </w:pPr>
            <w:r>
              <w:rPr>
                <w:rFonts w:ascii="Calibri" w:hAnsi="Calibri" w:cs="Calibri" w:eastAsia="Calibri" w:hint="default"/>
                <w:spacing w:val="-22"/>
                <w:w w:val="100"/>
                <w:sz w:val="21"/>
                <w:szCs w:val="21"/>
              </w:rPr>
              <w:t>3</w:t>
            </w:r>
            <w:r>
              <w:rPr>
                <w:rFonts w:ascii="宋体" w:hAnsi="宋体" w:cs="宋体" w:eastAsia="宋体" w:hint="default"/>
                <w:spacing w:val="-22"/>
                <w:w w:val="100"/>
                <w:sz w:val="21"/>
                <w:szCs w:val="21"/>
              </w:rPr>
              <w:t>）企业</w:t>
            </w:r>
            <w:r>
              <w:rPr>
                <w:rFonts w:ascii="宋体" w:hAnsi="宋体" w:cs="宋体" w:eastAsia="宋体" w:hint="default"/>
                <w:w w:val="100"/>
                <w:sz w:val="21"/>
                <w:szCs w:val="21"/>
              </w:rPr>
              <w:t> </w:t>
            </w:r>
            <w:r>
              <w:rPr>
                <w:rFonts w:ascii="宋体" w:hAnsi="宋体" w:cs="宋体" w:eastAsia="宋体" w:hint="default"/>
                <w:spacing w:val="5"/>
                <w:sz w:val="21"/>
                <w:szCs w:val="21"/>
              </w:rPr>
              <w:t>合并增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加</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108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28" w:lineRule="auto"/>
              <w:ind w:left="24" w:right="12"/>
              <w:jc w:val="both"/>
              <w:rPr>
                <w:rFonts w:ascii="宋体" w:hAnsi="宋体" w:cs="宋体" w:eastAsia="宋体" w:hint="default"/>
                <w:sz w:val="21"/>
                <w:szCs w:val="21"/>
              </w:rPr>
            </w:pPr>
            <w:r>
              <w:rPr>
                <w:rFonts w:ascii="Calibri" w:hAnsi="Calibri" w:cs="Calibri" w:eastAsia="Calibri" w:hint="default"/>
                <w:spacing w:val="-22"/>
                <w:w w:val="100"/>
                <w:sz w:val="21"/>
                <w:szCs w:val="21"/>
              </w:rPr>
              <w:t>4</w:t>
            </w:r>
            <w:r>
              <w:rPr>
                <w:rFonts w:ascii="宋体" w:hAnsi="宋体" w:cs="宋体" w:eastAsia="宋体" w:hint="default"/>
                <w:spacing w:val="-22"/>
                <w:w w:val="100"/>
                <w:sz w:val="21"/>
                <w:szCs w:val="21"/>
              </w:rPr>
              <w:t>）投资</w:t>
            </w:r>
            <w:r>
              <w:rPr>
                <w:rFonts w:ascii="宋体" w:hAnsi="宋体" w:cs="宋体" w:eastAsia="宋体" w:hint="default"/>
                <w:w w:val="100"/>
                <w:sz w:val="21"/>
                <w:szCs w:val="21"/>
              </w:rPr>
              <w:t> </w:t>
            </w:r>
            <w:r>
              <w:rPr>
                <w:rFonts w:ascii="宋体" w:hAnsi="宋体" w:cs="宋体" w:eastAsia="宋体" w:hint="default"/>
                <w:spacing w:val="8"/>
                <w:sz w:val="21"/>
                <w:szCs w:val="21"/>
              </w:rPr>
              <w:t>性房地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产转入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2,739,416.13</w:t>
            </w: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2,739,416.13</w:t>
            </w:r>
          </w:p>
        </w:tc>
      </w:tr>
      <w:tr>
        <w:trPr>
          <w:trHeight w:val="108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42"/>
              <w:jc w:val="right"/>
              <w:rPr>
                <w:rFonts w:ascii="Calibri" w:hAnsi="Calibri" w:cs="Calibri" w:eastAsia="Calibri" w:hint="default"/>
                <w:sz w:val="21"/>
                <w:szCs w:val="21"/>
              </w:rPr>
            </w:pPr>
            <w:r>
              <w:rPr>
                <w:rFonts w:ascii="Calibri"/>
                <w:w w:val="100"/>
                <w:sz w:val="21"/>
              </w:rPr>
              <w:t>3</w:t>
            </w:r>
          </w:p>
          <w:p>
            <w:pPr>
              <w:pStyle w:val="TableParagraph"/>
              <w:spacing w:line="228" w:lineRule="auto"/>
              <w:ind w:left="24" w:right="12"/>
              <w:jc w:val="both"/>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本</w:t>
            </w:r>
            <w:r>
              <w:rPr>
                <w:rFonts w:ascii="宋体" w:hAnsi="宋体" w:cs="宋体" w:eastAsia="宋体" w:hint="default"/>
                <w:spacing w:val="-22"/>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pacing w:val="8"/>
                <w:sz w:val="21"/>
                <w:szCs w:val="21"/>
              </w:rPr>
              <w:t>减少金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260,603.05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1,943,012.95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1,405,139.20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w w:val="100"/>
                <w:sz w:val="21"/>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3,608,755.20</w:t>
            </w:r>
          </w:p>
        </w:tc>
      </w:tr>
      <w:tr>
        <w:trPr>
          <w:trHeight w:val="82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 w:right="21"/>
              <w:jc w:val="left"/>
              <w:rPr>
                <w:rFonts w:ascii="宋体" w:hAnsi="宋体" w:cs="宋体" w:eastAsia="宋体" w:hint="default"/>
                <w:sz w:val="21"/>
                <w:szCs w:val="21"/>
              </w:rPr>
            </w:pPr>
            <w:r>
              <w:rPr>
                <w:rFonts w:ascii="Calibri" w:hAnsi="Calibri" w:cs="Calibri" w:eastAsia="Calibri" w:hint="default"/>
                <w:spacing w:val="-22"/>
                <w:w w:val="100"/>
                <w:sz w:val="21"/>
                <w:szCs w:val="21"/>
              </w:rPr>
              <w:t>1</w:t>
            </w:r>
            <w:r>
              <w:rPr>
                <w:rFonts w:ascii="宋体" w:hAnsi="宋体" w:cs="宋体" w:eastAsia="宋体" w:hint="default"/>
                <w:spacing w:val="-22"/>
                <w:w w:val="100"/>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29,663.25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591,864.32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952,100.74</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1,573,628.31</w:t>
            </w:r>
          </w:p>
        </w:tc>
      </w:tr>
      <w:tr>
        <w:trPr>
          <w:trHeight w:val="55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pacing w:val="1"/>
                <w:w w:val="100"/>
                <w:sz w:val="21"/>
                <w:szCs w:val="21"/>
              </w:rPr>
              <w:t>2</w:t>
            </w:r>
            <w:r>
              <w:rPr>
                <w:rFonts w:ascii="宋体" w:hAnsi="宋体" w:cs="宋体" w:eastAsia="宋体" w:hint="default"/>
                <w:spacing w:val="-89"/>
                <w:w w:val="100"/>
                <w:sz w:val="21"/>
                <w:szCs w:val="21"/>
              </w:rPr>
              <w:t>）</w:t>
            </w:r>
            <w:r>
              <w:rPr>
                <w:rFonts w:ascii="宋体" w:hAnsi="宋体" w:cs="宋体" w:eastAsia="宋体" w:hint="default"/>
                <w:w w:val="100"/>
                <w:sz w:val="21"/>
                <w:szCs w:val="21"/>
              </w:rPr>
              <w:t>转至</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230,939.8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1,351,148.63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453,038.46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w w:val="100"/>
                <w:sz w:val="21"/>
              </w:rPr>
              <w:t>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2,035,126.89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100" w:right="5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11"/>
        <w:gridCol w:w="1289"/>
        <w:gridCol w:w="1294"/>
        <w:gridCol w:w="1430"/>
        <w:gridCol w:w="1282"/>
        <w:gridCol w:w="1284"/>
        <w:gridCol w:w="1280"/>
        <w:gridCol w:w="1430"/>
      </w:tblGrid>
      <w:tr>
        <w:trPr>
          <w:trHeight w:val="55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持有待</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售资产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4.</w:t>
            </w:r>
          </w:p>
          <w:p>
            <w:pPr>
              <w:pStyle w:val="TableParagraph"/>
              <w:spacing w:line="272" w:lineRule="exact" w:before="12"/>
              <w:ind w:left="24" w:right="12"/>
              <w:jc w:val="left"/>
              <w:rPr>
                <w:rFonts w:ascii="宋体" w:hAnsi="宋体" w:cs="宋体" w:eastAsia="宋体" w:hint="default"/>
                <w:sz w:val="21"/>
                <w:szCs w:val="21"/>
              </w:rPr>
            </w:pPr>
            <w:r>
              <w:rPr>
                <w:rFonts w:ascii="宋体" w:hAnsi="宋体" w:cs="宋体" w:eastAsia="宋体" w:hint="default"/>
                <w:spacing w:val="8"/>
                <w:sz w:val="21"/>
                <w:szCs w:val="21"/>
              </w:rPr>
              <w:t>期末余</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134,683,015.5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14,605,317.28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18,639,688.41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10,697,950.59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1,564,000.00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11,561,875.52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191,751,847.37</w:t>
            </w:r>
          </w:p>
        </w:tc>
      </w:tr>
      <w:tr>
        <w:trPr>
          <w:trHeight w:val="55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二、累</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计折旧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1.</w:t>
            </w:r>
          </w:p>
          <w:p>
            <w:pPr>
              <w:pStyle w:val="TableParagraph"/>
              <w:spacing w:line="272" w:lineRule="exact" w:before="12"/>
              <w:ind w:left="24" w:right="12"/>
              <w:jc w:val="left"/>
              <w:rPr>
                <w:rFonts w:ascii="宋体" w:hAnsi="宋体" w:cs="宋体" w:eastAsia="宋体" w:hint="default"/>
                <w:sz w:val="21"/>
                <w:szCs w:val="21"/>
              </w:rPr>
            </w:pPr>
            <w:r>
              <w:rPr>
                <w:rFonts w:ascii="宋体" w:hAnsi="宋体" w:cs="宋体" w:eastAsia="宋体" w:hint="default"/>
                <w:spacing w:val="8"/>
                <w:sz w:val="21"/>
                <w:szCs w:val="21"/>
              </w:rPr>
              <w:t>期初余</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5,255,056.40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4,796,813.73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8,173,091.81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3,683,728.84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123,229.78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22,031,920.56</w:t>
            </w:r>
          </w:p>
        </w:tc>
      </w:tr>
      <w:tr>
        <w:trPr>
          <w:trHeight w:val="80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44" w:right="0"/>
              <w:jc w:val="left"/>
              <w:rPr>
                <w:rFonts w:ascii="Calibri" w:hAnsi="Calibri" w:cs="Calibri" w:eastAsia="Calibri" w:hint="default"/>
                <w:sz w:val="21"/>
                <w:szCs w:val="21"/>
              </w:rPr>
            </w:pPr>
            <w:r>
              <w:rPr>
                <w:rFonts w:ascii="Calibri"/>
                <w:sz w:val="21"/>
              </w:rPr>
              <w:t>2.</w:t>
            </w:r>
          </w:p>
          <w:p>
            <w:pPr>
              <w:pStyle w:val="TableParagraph"/>
              <w:spacing w:line="274" w:lineRule="exact" w:before="9"/>
              <w:ind w:left="24" w:right="12"/>
              <w:jc w:val="left"/>
              <w:rPr>
                <w:rFonts w:ascii="宋体" w:hAnsi="宋体" w:cs="宋体" w:eastAsia="宋体" w:hint="default"/>
                <w:sz w:val="21"/>
                <w:szCs w:val="21"/>
              </w:rPr>
            </w:pPr>
            <w:r>
              <w:rPr>
                <w:rFonts w:ascii="宋体" w:hAnsi="宋体" w:cs="宋体" w:eastAsia="宋体" w:hint="default"/>
                <w:spacing w:val="8"/>
                <w:sz w:val="21"/>
                <w:szCs w:val="21"/>
              </w:rPr>
              <w:t>本期增</w:t>
            </w:r>
            <w:r>
              <w:rPr>
                <w:rFonts w:ascii="宋体" w:hAnsi="宋体" w:cs="宋体" w:eastAsia="宋体" w:hint="default"/>
                <w:spacing w:val="-99"/>
                <w:sz w:val="21"/>
                <w:szCs w:val="21"/>
              </w:rPr>
              <w:t> </w:t>
            </w:r>
            <w:r>
              <w:rPr>
                <w:rFonts w:ascii="宋体" w:hAnsi="宋体" w:cs="宋体" w:eastAsia="宋体" w:hint="default"/>
                <w:sz w:val="21"/>
                <w:szCs w:val="21"/>
              </w:rPr>
              <w:t>加金额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3,430,357.54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1,994,648.57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3,057,289.46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1,208,231.68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42,250.20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948,313.23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10,681,090.68</w:t>
            </w:r>
          </w:p>
        </w:tc>
      </w:tr>
      <w:tr>
        <w:trPr>
          <w:trHeight w:val="55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Calibri" w:hAnsi="Calibri" w:cs="Calibri" w:eastAsia="Calibri" w:hint="default"/>
                <w:spacing w:val="1"/>
                <w:w w:val="100"/>
                <w:sz w:val="21"/>
                <w:szCs w:val="21"/>
              </w:rPr>
              <w:t>1</w:t>
            </w:r>
            <w:r>
              <w:rPr>
                <w:rFonts w:ascii="宋体" w:hAnsi="宋体" w:cs="宋体" w:eastAsia="宋体" w:hint="default"/>
                <w:spacing w:val="-89"/>
                <w:w w:val="100"/>
                <w:sz w:val="21"/>
                <w:szCs w:val="21"/>
              </w:rPr>
              <w:t>）</w:t>
            </w:r>
            <w:r>
              <w:rPr>
                <w:rFonts w:ascii="宋体" w:hAnsi="宋体" w:cs="宋体" w:eastAsia="宋体" w:hint="default"/>
                <w:w w:val="100"/>
                <w:sz w:val="21"/>
                <w:szCs w:val="21"/>
              </w:rPr>
              <w:t>计提</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3,152,845.67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1,994,648.57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3,057,289.46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1,208,231.68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42,250.20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948,313.23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10,403,578.81</w:t>
            </w:r>
          </w:p>
        </w:tc>
      </w:tr>
      <w:tr>
        <w:trPr>
          <w:trHeight w:val="109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28" w:lineRule="auto"/>
              <w:ind w:left="24" w:right="12"/>
              <w:jc w:val="both"/>
              <w:rPr>
                <w:rFonts w:ascii="宋体" w:hAnsi="宋体" w:cs="宋体" w:eastAsia="宋体" w:hint="default"/>
                <w:sz w:val="21"/>
                <w:szCs w:val="21"/>
              </w:rPr>
            </w:pPr>
            <w:r>
              <w:rPr>
                <w:rFonts w:ascii="Calibri" w:hAnsi="Calibri" w:cs="Calibri" w:eastAsia="Calibri" w:hint="default"/>
                <w:spacing w:val="-22"/>
                <w:w w:val="100"/>
                <w:sz w:val="21"/>
                <w:szCs w:val="21"/>
              </w:rPr>
              <w:t>2</w:t>
            </w:r>
            <w:r>
              <w:rPr>
                <w:rFonts w:ascii="宋体" w:hAnsi="宋体" w:cs="宋体" w:eastAsia="宋体" w:hint="default"/>
                <w:spacing w:val="-22"/>
                <w:w w:val="100"/>
                <w:sz w:val="21"/>
                <w:szCs w:val="21"/>
              </w:rPr>
              <w:t>）投资</w:t>
            </w:r>
            <w:r>
              <w:rPr>
                <w:rFonts w:ascii="宋体" w:hAnsi="宋体" w:cs="宋体" w:eastAsia="宋体" w:hint="default"/>
                <w:w w:val="100"/>
                <w:sz w:val="21"/>
                <w:szCs w:val="21"/>
              </w:rPr>
              <w:t> </w:t>
            </w:r>
            <w:r>
              <w:rPr>
                <w:rFonts w:ascii="宋体" w:hAnsi="宋体" w:cs="宋体" w:eastAsia="宋体" w:hint="default"/>
                <w:spacing w:val="8"/>
                <w:sz w:val="21"/>
                <w:szCs w:val="21"/>
              </w:rPr>
              <w:t>性房地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产转入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277,511.87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277,511.87</w:t>
            </w:r>
          </w:p>
        </w:tc>
      </w:tr>
      <w:tr>
        <w:trPr>
          <w:trHeight w:val="8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3.</w:t>
            </w:r>
          </w:p>
          <w:p>
            <w:pPr>
              <w:pStyle w:val="TableParagraph"/>
              <w:spacing w:line="272" w:lineRule="exact" w:before="12"/>
              <w:ind w:left="24" w:right="12"/>
              <w:jc w:val="left"/>
              <w:rPr>
                <w:rFonts w:ascii="宋体" w:hAnsi="宋体" w:cs="宋体" w:eastAsia="宋体" w:hint="default"/>
                <w:sz w:val="21"/>
                <w:szCs w:val="21"/>
              </w:rPr>
            </w:pPr>
            <w:r>
              <w:rPr>
                <w:rFonts w:ascii="宋体" w:hAnsi="宋体" w:cs="宋体" w:eastAsia="宋体" w:hint="default"/>
                <w:spacing w:val="8"/>
                <w:sz w:val="21"/>
                <w:szCs w:val="21"/>
              </w:rPr>
              <w:t>本期减</w:t>
            </w:r>
            <w:r>
              <w:rPr>
                <w:rFonts w:ascii="宋体" w:hAnsi="宋体" w:cs="宋体" w:eastAsia="宋体" w:hint="default"/>
                <w:spacing w:val="-99"/>
                <w:sz w:val="21"/>
                <w:szCs w:val="21"/>
              </w:rPr>
              <w:t> </w:t>
            </w:r>
            <w:r>
              <w:rPr>
                <w:rFonts w:ascii="宋体" w:hAnsi="宋体" w:cs="宋体" w:eastAsia="宋体" w:hint="default"/>
                <w:sz w:val="21"/>
                <w:szCs w:val="21"/>
              </w:rPr>
              <w:t>少金额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45,117.33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1,555,453.91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765,346.87</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2,365,918.11</w:t>
            </w:r>
          </w:p>
        </w:tc>
      </w:tr>
      <w:tr>
        <w:trPr>
          <w:trHeight w:val="82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4" w:lineRule="exact"/>
              <w:ind w:left="24" w:right="21"/>
              <w:jc w:val="left"/>
              <w:rPr>
                <w:rFonts w:ascii="宋体" w:hAnsi="宋体" w:cs="宋体" w:eastAsia="宋体" w:hint="default"/>
                <w:sz w:val="21"/>
                <w:szCs w:val="21"/>
              </w:rPr>
            </w:pPr>
            <w:r>
              <w:rPr>
                <w:rFonts w:ascii="Calibri" w:hAnsi="Calibri" w:cs="Calibri" w:eastAsia="Calibri" w:hint="default"/>
                <w:spacing w:val="-22"/>
                <w:w w:val="100"/>
                <w:sz w:val="21"/>
                <w:szCs w:val="21"/>
              </w:rPr>
              <w:t>1</w:t>
            </w:r>
            <w:r>
              <w:rPr>
                <w:rFonts w:ascii="宋体" w:hAnsi="宋体" w:cs="宋体" w:eastAsia="宋体" w:hint="default"/>
                <w:spacing w:val="-22"/>
                <w:w w:val="100"/>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24,560.88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458,450.99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604,205.42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1,087,217.29</w:t>
            </w:r>
          </w:p>
        </w:tc>
      </w:tr>
      <w:tr>
        <w:trPr>
          <w:trHeight w:val="109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28" w:lineRule="auto"/>
              <w:ind w:left="24" w:right="12"/>
              <w:jc w:val="both"/>
              <w:rPr>
                <w:rFonts w:ascii="宋体" w:hAnsi="宋体" w:cs="宋体" w:eastAsia="宋体" w:hint="default"/>
                <w:sz w:val="21"/>
                <w:szCs w:val="21"/>
              </w:rPr>
            </w:pPr>
            <w:r>
              <w:rPr>
                <w:rFonts w:ascii="Calibri" w:hAnsi="Calibri" w:cs="Calibri" w:eastAsia="Calibri" w:hint="default"/>
                <w:spacing w:val="-22"/>
                <w:w w:val="100"/>
                <w:sz w:val="21"/>
                <w:szCs w:val="21"/>
              </w:rPr>
              <w:t>2</w:t>
            </w:r>
            <w:r>
              <w:rPr>
                <w:rFonts w:ascii="宋体" w:hAnsi="宋体" w:cs="宋体" w:eastAsia="宋体" w:hint="default"/>
                <w:spacing w:val="-22"/>
                <w:w w:val="100"/>
                <w:sz w:val="21"/>
                <w:szCs w:val="21"/>
              </w:rPr>
              <w:t>）转至</w:t>
            </w:r>
            <w:r>
              <w:rPr>
                <w:rFonts w:ascii="宋体" w:hAnsi="宋体" w:cs="宋体" w:eastAsia="宋体" w:hint="default"/>
                <w:w w:val="100"/>
                <w:sz w:val="21"/>
                <w:szCs w:val="21"/>
              </w:rPr>
              <w:t> </w:t>
            </w:r>
            <w:r>
              <w:rPr>
                <w:rFonts w:ascii="宋体" w:hAnsi="宋体" w:cs="宋体" w:eastAsia="宋体" w:hint="default"/>
                <w:spacing w:val="8"/>
                <w:sz w:val="21"/>
                <w:szCs w:val="21"/>
              </w:rPr>
              <w:t>持有待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售资产</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20,556.45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1,097,002.92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161,141.45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1,278,700.82</w:t>
            </w:r>
          </w:p>
        </w:tc>
      </w:tr>
      <w:tr>
        <w:trPr>
          <w:trHeight w:val="8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4.</w:t>
            </w:r>
          </w:p>
          <w:p>
            <w:pPr>
              <w:pStyle w:val="TableParagraph"/>
              <w:spacing w:line="274" w:lineRule="exact" w:before="11"/>
              <w:ind w:left="24" w:right="12"/>
              <w:jc w:val="left"/>
              <w:rPr>
                <w:rFonts w:ascii="宋体" w:hAnsi="宋体" w:cs="宋体" w:eastAsia="宋体" w:hint="default"/>
                <w:sz w:val="21"/>
                <w:szCs w:val="21"/>
              </w:rPr>
            </w:pPr>
            <w:r>
              <w:rPr>
                <w:rFonts w:ascii="宋体" w:hAnsi="宋体" w:cs="宋体" w:eastAsia="宋体" w:hint="default"/>
                <w:spacing w:val="8"/>
                <w:sz w:val="21"/>
                <w:szCs w:val="21"/>
              </w:rPr>
              <w:t>期末余</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8,685,413.94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6,746,344.97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9,674,927.36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4,126,613.65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165,479.98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948,313.23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30,347,093.13</w:t>
            </w:r>
          </w:p>
        </w:tc>
      </w:tr>
      <w:tr>
        <w:trPr>
          <w:trHeight w:val="55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三、减</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1.</w:t>
            </w:r>
          </w:p>
          <w:p>
            <w:pPr>
              <w:pStyle w:val="TableParagraph"/>
              <w:spacing w:line="274" w:lineRule="exact" w:before="11"/>
              <w:ind w:left="24" w:right="12"/>
              <w:jc w:val="left"/>
              <w:rPr>
                <w:rFonts w:ascii="宋体" w:hAnsi="宋体" w:cs="宋体" w:eastAsia="宋体" w:hint="default"/>
                <w:sz w:val="21"/>
                <w:szCs w:val="21"/>
              </w:rPr>
            </w:pPr>
            <w:r>
              <w:rPr>
                <w:rFonts w:ascii="宋体" w:hAnsi="宋体" w:cs="宋体" w:eastAsia="宋体" w:hint="default"/>
                <w:spacing w:val="8"/>
                <w:sz w:val="21"/>
                <w:szCs w:val="21"/>
              </w:rPr>
              <w:t>期初余</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r>
      <w:tr>
        <w:trPr>
          <w:trHeight w:val="8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2.</w:t>
            </w:r>
          </w:p>
          <w:p>
            <w:pPr>
              <w:pStyle w:val="TableParagraph"/>
              <w:spacing w:line="274" w:lineRule="exact" w:before="11"/>
              <w:ind w:left="24" w:right="12"/>
              <w:jc w:val="left"/>
              <w:rPr>
                <w:rFonts w:ascii="宋体" w:hAnsi="宋体" w:cs="宋体" w:eastAsia="宋体" w:hint="default"/>
                <w:sz w:val="21"/>
                <w:szCs w:val="21"/>
              </w:rPr>
            </w:pPr>
            <w:r>
              <w:rPr>
                <w:rFonts w:ascii="宋体" w:hAnsi="宋体" w:cs="宋体" w:eastAsia="宋体" w:hint="default"/>
                <w:spacing w:val="8"/>
                <w:sz w:val="21"/>
                <w:szCs w:val="21"/>
              </w:rPr>
              <w:t>本期增</w:t>
            </w:r>
            <w:r>
              <w:rPr>
                <w:rFonts w:ascii="宋体" w:hAnsi="宋体" w:cs="宋体" w:eastAsia="宋体" w:hint="default"/>
                <w:spacing w:val="-99"/>
                <w:sz w:val="21"/>
                <w:szCs w:val="21"/>
              </w:rPr>
              <w:t> </w:t>
            </w:r>
            <w:r>
              <w:rPr>
                <w:rFonts w:ascii="宋体" w:hAnsi="宋体" w:cs="宋体" w:eastAsia="宋体" w:hint="default"/>
                <w:sz w:val="21"/>
                <w:szCs w:val="21"/>
              </w:rPr>
              <w:t>加金额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Calibri" w:hAnsi="Calibri" w:cs="Calibri" w:eastAsia="Calibri" w:hint="default"/>
                <w:spacing w:val="1"/>
                <w:w w:val="100"/>
                <w:sz w:val="21"/>
                <w:szCs w:val="21"/>
              </w:rPr>
              <w:t>1</w:t>
            </w:r>
            <w:r>
              <w:rPr>
                <w:rFonts w:ascii="宋体" w:hAnsi="宋体" w:cs="宋体" w:eastAsia="宋体" w:hint="default"/>
                <w:spacing w:val="-89"/>
                <w:w w:val="100"/>
                <w:sz w:val="21"/>
                <w:szCs w:val="21"/>
              </w:rPr>
              <w:t>）</w:t>
            </w:r>
            <w:r>
              <w:rPr>
                <w:rFonts w:ascii="宋体" w:hAnsi="宋体" w:cs="宋体" w:eastAsia="宋体" w:hint="default"/>
                <w:w w:val="100"/>
                <w:sz w:val="21"/>
                <w:szCs w:val="21"/>
              </w:rPr>
              <w:t>计提</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0.00</w:t>
            </w:r>
          </w:p>
        </w:tc>
      </w:tr>
      <w:tr>
        <w:trPr>
          <w:trHeight w:val="8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3.</w:t>
            </w:r>
          </w:p>
          <w:p>
            <w:pPr>
              <w:pStyle w:val="TableParagraph"/>
              <w:spacing w:line="274" w:lineRule="exact" w:before="11"/>
              <w:ind w:left="24" w:right="12"/>
              <w:jc w:val="left"/>
              <w:rPr>
                <w:rFonts w:ascii="宋体" w:hAnsi="宋体" w:cs="宋体" w:eastAsia="宋体" w:hint="default"/>
                <w:sz w:val="21"/>
                <w:szCs w:val="21"/>
              </w:rPr>
            </w:pPr>
            <w:r>
              <w:rPr>
                <w:rFonts w:ascii="宋体" w:hAnsi="宋体" w:cs="宋体" w:eastAsia="宋体" w:hint="default"/>
                <w:spacing w:val="8"/>
                <w:sz w:val="21"/>
                <w:szCs w:val="21"/>
              </w:rPr>
              <w:t>本期减</w:t>
            </w:r>
            <w:r>
              <w:rPr>
                <w:rFonts w:ascii="宋体" w:hAnsi="宋体" w:cs="宋体" w:eastAsia="宋体" w:hint="default"/>
                <w:spacing w:val="-99"/>
                <w:sz w:val="21"/>
                <w:szCs w:val="21"/>
              </w:rPr>
              <w:t> </w:t>
            </w:r>
            <w:r>
              <w:rPr>
                <w:rFonts w:ascii="宋体" w:hAnsi="宋体" w:cs="宋体" w:eastAsia="宋体" w:hint="default"/>
                <w:sz w:val="21"/>
                <w:szCs w:val="21"/>
              </w:rPr>
              <w:t>少金额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r>
      <w:tr>
        <w:trPr>
          <w:trHeight w:val="8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24" w:right="21"/>
              <w:jc w:val="left"/>
              <w:rPr>
                <w:rFonts w:ascii="宋体" w:hAnsi="宋体" w:cs="宋体" w:eastAsia="宋体" w:hint="default"/>
                <w:sz w:val="21"/>
                <w:szCs w:val="21"/>
              </w:rPr>
            </w:pPr>
            <w:r>
              <w:rPr>
                <w:rFonts w:ascii="Calibri" w:hAnsi="Calibri" w:cs="Calibri" w:eastAsia="Calibri" w:hint="default"/>
                <w:spacing w:val="-22"/>
                <w:w w:val="100"/>
                <w:sz w:val="21"/>
                <w:szCs w:val="21"/>
              </w:rPr>
              <w:t>1</w:t>
            </w:r>
            <w:r>
              <w:rPr>
                <w:rFonts w:ascii="宋体" w:hAnsi="宋体" w:cs="宋体" w:eastAsia="宋体" w:hint="default"/>
                <w:spacing w:val="-22"/>
                <w:w w:val="100"/>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r>
      <w:tr>
        <w:trPr>
          <w:trHeight w:val="55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Calibri" w:hAnsi="Calibri" w:cs="Calibri" w:eastAsia="Calibri" w:hint="default"/>
                <w:spacing w:val="1"/>
                <w:w w:val="100"/>
                <w:sz w:val="21"/>
                <w:szCs w:val="21"/>
              </w:rPr>
              <w:t>2</w:t>
            </w:r>
            <w:r>
              <w:rPr>
                <w:rFonts w:ascii="宋体" w:hAnsi="宋体" w:cs="宋体" w:eastAsia="宋体" w:hint="default"/>
                <w:spacing w:val="-89"/>
                <w:w w:val="100"/>
                <w:sz w:val="21"/>
                <w:szCs w:val="21"/>
              </w:rPr>
              <w:t>）</w:t>
            </w:r>
            <w:r>
              <w:rPr>
                <w:rFonts w:ascii="宋体" w:hAnsi="宋体" w:cs="宋体" w:eastAsia="宋体" w:hint="default"/>
                <w:w w:val="100"/>
                <w:sz w:val="21"/>
                <w:szCs w:val="21"/>
              </w:rPr>
              <w:t>转入</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979" w:top="1140" w:bottom="1160" w:left="1100" w:right="5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11"/>
        <w:gridCol w:w="1289"/>
        <w:gridCol w:w="1294"/>
        <w:gridCol w:w="1430"/>
        <w:gridCol w:w="1282"/>
        <w:gridCol w:w="1284"/>
        <w:gridCol w:w="1280"/>
        <w:gridCol w:w="1430"/>
      </w:tblGrid>
      <w:tr>
        <w:trPr>
          <w:trHeight w:val="55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持有待</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售资产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4.</w:t>
            </w:r>
          </w:p>
          <w:p>
            <w:pPr>
              <w:pStyle w:val="TableParagraph"/>
              <w:spacing w:line="272" w:lineRule="exact" w:before="12"/>
              <w:ind w:left="24" w:right="12"/>
              <w:jc w:val="left"/>
              <w:rPr>
                <w:rFonts w:ascii="宋体" w:hAnsi="宋体" w:cs="宋体" w:eastAsia="宋体" w:hint="default"/>
                <w:sz w:val="21"/>
                <w:szCs w:val="21"/>
              </w:rPr>
            </w:pPr>
            <w:r>
              <w:rPr>
                <w:rFonts w:ascii="宋体" w:hAnsi="宋体" w:cs="宋体" w:eastAsia="宋体" w:hint="default"/>
                <w:spacing w:val="8"/>
                <w:sz w:val="21"/>
                <w:szCs w:val="21"/>
              </w:rPr>
              <w:t>期末余</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r>
      <w:tr>
        <w:trPr>
          <w:trHeight w:val="55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四、账</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4" w:right="0"/>
              <w:jc w:val="left"/>
              <w:rPr>
                <w:rFonts w:ascii="Calibri" w:hAnsi="Calibri" w:cs="Calibri" w:eastAsia="Calibri" w:hint="default"/>
                <w:sz w:val="21"/>
                <w:szCs w:val="21"/>
              </w:rPr>
            </w:pPr>
            <w:r>
              <w:rPr>
                <w:rFonts w:ascii="Calibri"/>
                <w:sz w:val="21"/>
              </w:rPr>
              <w:t>1.</w:t>
            </w:r>
          </w:p>
          <w:p>
            <w:pPr>
              <w:pStyle w:val="TableParagraph"/>
              <w:spacing w:line="272" w:lineRule="exact" w:before="12"/>
              <w:ind w:left="24" w:right="12"/>
              <w:jc w:val="left"/>
              <w:rPr>
                <w:rFonts w:ascii="宋体" w:hAnsi="宋体" w:cs="宋体" w:eastAsia="宋体" w:hint="default"/>
                <w:sz w:val="21"/>
                <w:szCs w:val="21"/>
              </w:rPr>
            </w:pPr>
            <w:r>
              <w:rPr>
                <w:rFonts w:ascii="宋体" w:hAnsi="宋体" w:cs="宋体" w:eastAsia="宋体" w:hint="default"/>
                <w:spacing w:val="8"/>
                <w:sz w:val="21"/>
                <w:szCs w:val="21"/>
              </w:rPr>
              <w:t>期末账</w:t>
            </w:r>
            <w:r>
              <w:rPr>
                <w:rFonts w:ascii="宋体" w:hAnsi="宋体" w:cs="宋体" w:eastAsia="宋体" w:hint="default"/>
                <w:spacing w:val="-99"/>
                <w:sz w:val="21"/>
                <w:szCs w:val="21"/>
              </w:rPr>
              <w:t> </w:t>
            </w:r>
            <w:r>
              <w:rPr>
                <w:rFonts w:ascii="宋体" w:hAnsi="宋体" w:cs="宋体" w:eastAsia="宋体" w:hint="default"/>
                <w:sz w:val="21"/>
                <w:szCs w:val="21"/>
              </w:rPr>
              <w:t>面价值</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125,997,601.6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7,858,972.31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8,964,761.05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6,571,336.94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1,398,520.02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10,613,562.29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161,404,754.24</w:t>
            </w:r>
          </w:p>
        </w:tc>
      </w:tr>
      <w:tr>
        <w:trPr>
          <w:trHeight w:val="81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44" w:right="0"/>
              <w:jc w:val="left"/>
              <w:rPr>
                <w:rFonts w:ascii="Calibri" w:hAnsi="Calibri" w:cs="Calibri" w:eastAsia="Calibri" w:hint="default"/>
                <w:sz w:val="21"/>
                <w:szCs w:val="21"/>
              </w:rPr>
            </w:pPr>
            <w:r>
              <w:rPr>
                <w:rFonts w:ascii="Calibri"/>
                <w:sz w:val="21"/>
              </w:rPr>
              <w:t>2.</w:t>
            </w:r>
          </w:p>
          <w:p>
            <w:pPr>
              <w:pStyle w:val="TableParagraph"/>
              <w:spacing w:line="274" w:lineRule="exact" w:before="9"/>
              <w:ind w:left="24" w:right="12"/>
              <w:jc w:val="left"/>
              <w:rPr>
                <w:rFonts w:ascii="宋体" w:hAnsi="宋体" w:cs="宋体" w:eastAsia="宋体" w:hint="default"/>
                <w:sz w:val="21"/>
                <w:szCs w:val="21"/>
              </w:rPr>
            </w:pPr>
            <w:r>
              <w:rPr>
                <w:rFonts w:ascii="宋体" w:hAnsi="宋体" w:cs="宋体" w:eastAsia="宋体" w:hint="default"/>
                <w:spacing w:val="8"/>
                <w:sz w:val="21"/>
                <w:szCs w:val="21"/>
              </w:rPr>
              <w:t>期初账</w:t>
            </w:r>
            <w:r>
              <w:rPr>
                <w:rFonts w:ascii="宋体" w:hAnsi="宋体" w:cs="宋体" w:eastAsia="宋体" w:hint="default"/>
                <w:spacing w:val="-99"/>
                <w:sz w:val="21"/>
                <w:szCs w:val="21"/>
              </w:rPr>
              <w:t> </w:t>
            </w:r>
            <w:r>
              <w:rPr>
                <w:rFonts w:ascii="宋体" w:hAnsi="宋体" w:cs="宋体" w:eastAsia="宋体" w:hint="default"/>
                <w:sz w:val="21"/>
                <w:szCs w:val="21"/>
              </w:rPr>
              <w:t>面价值</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89,231,400.19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7,447,434.96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9,403,758.75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5,979,799.97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1,440,770.22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2,448,379.23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115,951,543.32</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6"/>
        <w:ind w:left="698"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tabs>
          <w:tab w:pos="1540" w:val="left" w:leader="none"/>
        </w:tabs>
        <w:spacing w:line="240" w:lineRule="auto" w:before="58"/>
        <w:ind w:left="698" w:right="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698" w:right="0"/>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tabs>
          <w:tab w:pos="1540" w:val="left" w:leader="none"/>
        </w:tabs>
        <w:spacing w:line="240" w:lineRule="auto" w:before="56"/>
        <w:ind w:left="698" w:right="0"/>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left="698" w:right="0"/>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tabs>
          <w:tab w:pos="1540" w:val="left" w:leader="none"/>
        </w:tabs>
        <w:spacing w:line="240" w:lineRule="auto" w:before="56"/>
        <w:ind w:left="698" w:right="0"/>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100" w:right="580"/>
        </w:sectPr>
      </w:pPr>
    </w:p>
    <w:p>
      <w:pPr>
        <w:pStyle w:val="Heading3"/>
        <w:spacing w:line="240" w:lineRule="auto" w:before="36"/>
        <w:ind w:left="698"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tabs>
          <w:tab w:pos="1540" w:val="left" w:leader="none"/>
        </w:tabs>
        <w:spacing w:line="240" w:lineRule="auto" w:before="56"/>
        <w:ind w:left="69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698" w:right="0"/>
        <w:jc w:val="left"/>
      </w:pPr>
      <w:r>
        <w:rPr/>
        <w:t>单位：元币种：人民币</w:t>
      </w:r>
    </w:p>
    <w:p>
      <w:pPr>
        <w:spacing w:after="0" w:line="240" w:lineRule="auto"/>
        <w:jc w:val="left"/>
        <w:sectPr>
          <w:type w:val="continuous"/>
          <w:pgSz w:w="11910" w:h="16840"/>
          <w:pgMar w:top="1580" w:bottom="280" w:left="1100" w:right="580"/>
          <w:cols w:num="2" w:equalWidth="0">
            <w:col w:w="4239" w:space="2494"/>
            <w:col w:w="3497"/>
          </w:cols>
        </w:sectPr>
      </w:pPr>
    </w:p>
    <w:p>
      <w:pPr>
        <w:spacing w:line="240" w:lineRule="auto" w:before="7"/>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62,113,402.27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房产证办理中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福州软件园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26,501,190.44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福州软件园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F</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号楼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6-8 </w:t>
            </w:r>
            <w:r>
              <w:rPr>
                <w:rFonts w:ascii="宋体" w:hAnsi="宋体" w:cs="宋体" w:eastAsia="宋体" w:hint="default"/>
                <w:sz w:val="21"/>
                <w:szCs w:val="21"/>
              </w:rPr>
              <w:t>层</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37,383,008.92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125,997,601.63</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left="698" w:right="0"/>
        <w:jc w:val="left"/>
      </w:pPr>
      <w:r>
        <w:rPr/>
        <w:t>其他说明：</w:t>
      </w:r>
    </w:p>
    <w:p>
      <w:pPr>
        <w:pStyle w:val="BodyText"/>
        <w:tabs>
          <w:tab w:pos="1540" w:val="left" w:leader="none"/>
        </w:tabs>
        <w:spacing w:line="301" w:lineRule="exact"/>
        <w:ind w:left="69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100" w:right="580"/>
        </w:sectPr>
      </w:pPr>
    </w:p>
    <w:p>
      <w:pPr>
        <w:pStyle w:val="Heading3"/>
        <w:spacing w:line="240" w:lineRule="auto" w:before="36"/>
        <w:ind w:left="698"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3"/>
        <w:spacing w:line="240" w:lineRule="auto" w:before="58"/>
        <w:ind w:left="698"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tabs>
          <w:tab w:pos="1540" w:val="left" w:leader="none"/>
        </w:tabs>
        <w:spacing w:line="240" w:lineRule="auto" w:before="56"/>
        <w:ind w:left="698"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698" w:right="0"/>
        <w:jc w:val="left"/>
      </w:pPr>
      <w:r>
        <w:rPr/>
        <w:t>单位：元币种：人民币</w:t>
      </w:r>
    </w:p>
    <w:p>
      <w:pPr>
        <w:spacing w:after="0" w:line="240" w:lineRule="auto"/>
        <w:jc w:val="left"/>
        <w:sectPr>
          <w:type w:val="continuous"/>
          <w:pgSz w:w="11910" w:h="16840"/>
          <w:pgMar w:top="1580" w:bottom="280" w:left="1100" w:right="580"/>
          <w:cols w:num="2" w:equalWidth="0">
            <w:col w:w="2554" w:space="4179"/>
            <w:col w:w="3497"/>
          </w:cols>
        </w:sectPr>
      </w:pPr>
    </w:p>
    <w:p>
      <w:pPr>
        <w:spacing w:line="240" w:lineRule="auto" w:before="4"/>
        <w:rPr>
          <w:rFonts w:ascii="宋体" w:hAnsi="宋体" w:cs="宋体" w:eastAsia="宋体" w:hint="default"/>
          <w:sz w:val="2"/>
          <w:szCs w:val="2"/>
        </w:rPr>
      </w:pPr>
    </w:p>
    <w:tbl>
      <w:tblPr>
        <w:tblW w:w="0" w:type="auto"/>
        <w:jc w:val="left"/>
        <w:tblInd w:w="662" w:type="dxa"/>
        <w:tblLayout w:type="fixed"/>
        <w:tblCellMar>
          <w:top w:w="0" w:type="dxa"/>
          <w:left w:w="0" w:type="dxa"/>
          <w:bottom w:w="0" w:type="dxa"/>
          <w:right w:w="0" w:type="dxa"/>
        </w:tblCellMar>
        <w:tblLook w:val="01E0"/>
      </w:tblPr>
      <w:tblGrid>
        <w:gridCol w:w="1567"/>
        <w:gridCol w:w="1441"/>
        <w:gridCol w:w="888"/>
        <w:gridCol w:w="1440"/>
        <w:gridCol w:w="1332"/>
        <w:gridCol w:w="896"/>
        <w:gridCol w:w="1332"/>
      </w:tblGrid>
      <w:tr>
        <w:trPr>
          <w:trHeight w:val="283" w:hRule="exact"/>
        </w:trPr>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929" w:hRule="exact"/>
        </w:trPr>
        <w:tc>
          <w:tcPr>
            <w:tcW w:w="1567"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 w:right="0"/>
              <w:jc w:val="left"/>
              <w:rPr>
                <w:rFonts w:ascii="宋体" w:hAnsi="宋体" w:cs="宋体" w:eastAsia="宋体" w:hint="default"/>
                <w:sz w:val="21"/>
                <w:szCs w:val="21"/>
              </w:rPr>
            </w:pPr>
            <w:r>
              <w:rPr>
                <w:rFonts w:ascii="宋体" w:hAnsi="宋体" w:cs="宋体" w:eastAsia="宋体" w:hint="default"/>
                <w:sz w:val="21"/>
                <w:szCs w:val="21"/>
              </w:rPr>
              <w:t>减 值</w:t>
            </w:r>
            <w:r>
              <w:rPr>
                <w:rFonts w:ascii="宋体" w:hAnsi="宋体" w:cs="宋体" w:eastAsia="宋体" w:hint="default"/>
                <w:spacing w:val="-14"/>
                <w:sz w:val="21"/>
                <w:szCs w:val="21"/>
              </w:rPr>
              <w:t> </w:t>
            </w:r>
            <w:r>
              <w:rPr>
                <w:rFonts w:ascii="宋体" w:hAnsi="宋体" w:cs="宋体" w:eastAsia="宋体" w:hint="default"/>
                <w:sz w:val="21"/>
                <w:szCs w:val="21"/>
              </w:rPr>
              <w:t>准</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宋体" w:hAnsi="宋体" w:cs="宋体" w:eastAsia="宋体" w:hint="default"/>
                <w:sz w:val="21"/>
                <w:szCs w:val="21"/>
              </w:rPr>
            </w:pPr>
            <w:r>
              <w:rPr>
                <w:rFonts w:ascii="宋体" w:hAnsi="宋体" w:cs="宋体" w:eastAsia="宋体" w:hint="default"/>
                <w:sz w:val="21"/>
                <w:szCs w:val="21"/>
              </w:rPr>
              <w:t>减 值</w:t>
            </w:r>
            <w:r>
              <w:rPr>
                <w:rFonts w:ascii="宋体" w:hAnsi="宋体" w:cs="宋体" w:eastAsia="宋体" w:hint="default"/>
                <w:spacing w:val="-4"/>
                <w:sz w:val="21"/>
                <w:szCs w:val="21"/>
              </w:rPr>
              <w:t> </w:t>
            </w:r>
            <w:r>
              <w:rPr>
                <w:rFonts w:ascii="宋体" w:hAnsi="宋体" w:cs="宋体" w:eastAsia="宋体" w:hint="default"/>
                <w:sz w:val="21"/>
                <w:szCs w:val="21"/>
              </w:rPr>
              <w:t>准</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5"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Calibri" w:hAnsi="Calibri" w:cs="Calibri" w:eastAsia="Calibri" w:hint="default"/>
                <w:sz w:val="21"/>
                <w:szCs w:val="21"/>
              </w:rPr>
            </w:pPr>
            <w:r>
              <w:rPr>
                <w:rFonts w:ascii="宋体" w:hAnsi="宋体" w:cs="宋体" w:eastAsia="宋体" w:hint="default"/>
                <w:spacing w:val="2"/>
                <w:sz w:val="21"/>
                <w:szCs w:val="21"/>
              </w:rPr>
              <w:t>南威软件大厦</w:t>
            </w:r>
            <w:r>
              <w:rPr>
                <w:rFonts w:ascii="宋体" w:hAnsi="宋体" w:cs="宋体" w:eastAsia="宋体" w:hint="default"/>
                <w:spacing w:val="20"/>
                <w:sz w:val="21"/>
                <w:szCs w:val="21"/>
              </w:rPr>
              <w:t> </w:t>
            </w:r>
            <w:r>
              <w:rPr>
                <w:rFonts w:ascii="Calibri" w:hAnsi="Calibri" w:cs="Calibri" w:eastAsia="Calibri" w:hint="default"/>
                <w:sz w:val="21"/>
                <w:szCs w:val="21"/>
              </w:rPr>
              <w:t>2</w:t>
            </w:r>
          </w:p>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号楼装修工程</w:t>
            </w:r>
          </w:p>
        </w:tc>
        <w:tc>
          <w:tcPr>
            <w:tcW w:w="144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2" w:right="0"/>
              <w:jc w:val="left"/>
              <w:rPr>
                <w:rFonts w:ascii="Times New Roman" w:hAnsi="Times New Roman" w:cs="Times New Roman" w:eastAsia="Times New Roman" w:hint="default"/>
                <w:sz w:val="21"/>
                <w:szCs w:val="21"/>
              </w:rPr>
            </w:pPr>
            <w:r>
              <w:rPr>
                <w:rFonts w:ascii="Times New Roman"/>
                <w:sz w:val="21"/>
              </w:rPr>
              <w:t>5,629,828.76</w:t>
            </w:r>
          </w:p>
        </w:tc>
        <w:tc>
          <w:tcPr>
            <w:tcW w:w="89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4" w:right="0"/>
              <w:jc w:val="left"/>
              <w:rPr>
                <w:rFonts w:ascii="Times New Roman" w:hAnsi="Times New Roman" w:cs="Times New Roman" w:eastAsia="Times New Roman" w:hint="default"/>
                <w:sz w:val="21"/>
                <w:szCs w:val="21"/>
              </w:rPr>
            </w:pPr>
            <w:r>
              <w:rPr>
                <w:rFonts w:ascii="Times New Roman"/>
                <w:sz w:val="21"/>
              </w:rPr>
              <w:t>5,629,828.76</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80" w:bottom="280" w:left="1100" w:right="580"/>
        </w:sectPr>
      </w:pPr>
    </w:p>
    <w:p>
      <w:pPr>
        <w:spacing w:line="240" w:lineRule="auto" w:before="8"/>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1567"/>
        <w:gridCol w:w="1441"/>
        <w:gridCol w:w="888"/>
        <w:gridCol w:w="1440"/>
        <w:gridCol w:w="1332"/>
        <w:gridCol w:w="896"/>
        <w:gridCol w:w="1332"/>
      </w:tblGrid>
      <w:tr>
        <w:trPr>
          <w:trHeight w:val="28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待安装设备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204,128.55</w:t>
            </w:r>
          </w:p>
        </w:tc>
        <w:tc>
          <w:tcPr>
            <w:tcW w:w="8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204,128.55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830,099.88</w:t>
            </w:r>
          </w:p>
        </w:tc>
        <w:tc>
          <w:tcPr>
            <w:tcW w:w="89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830,099.88</w:t>
            </w:r>
          </w:p>
        </w:tc>
      </w:tr>
      <w:tr>
        <w:trPr>
          <w:trHeight w:val="28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其他装修工程</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4,207,721.37</w:t>
            </w:r>
          </w:p>
        </w:tc>
        <w:tc>
          <w:tcPr>
            <w:tcW w:w="8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4,207,721.37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2,455,804.94</w:t>
            </w:r>
          </w:p>
        </w:tc>
        <w:tc>
          <w:tcPr>
            <w:tcW w:w="89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2,455,804.94</w:t>
            </w:r>
          </w:p>
        </w:tc>
      </w:tr>
      <w:tr>
        <w:trPr>
          <w:trHeight w:val="283"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4,411,849.92</w:t>
            </w:r>
          </w:p>
        </w:tc>
        <w:tc>
          <w:tcPr>
            <w:tcW w:w="8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4,411,849.92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8,915,733.58</w:t>
            </w:r>
          </w:p>
        </w:tc>
        <w:tc>
          <w:tcPr>
            <w:tcW w:w="89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8,915,733.58</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660" w:right="540"/>
        </w:sectPr>
      </w:pPr>
    </w:p>
    <w:p>
      <w:pPr>
        <w:pStyle w:val="Heading3"/>
        <w:spacing w:line="240" w:lineRule="auto" w:before="36"/>
        <w:ind w:left="13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tabs>
          <w:tab w:pos="980" w:val="left" w:leader="none"/>
        </w:tabs>
        <w:spacing w:line="240" w:lineRule="auto" w:before="58"/>
        <w:ind w:left="13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540"/>
          <w:cols w:num="2" w:equalWidth="0">
            <w:col w:w="3679" w:space="3054"/>
            <w:col w:w="297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00"/>
        <w:gridCol w:w="286"/>
        <w:gridCol w:w="1258"/>
        <w:gridCol w:w="1277"/>
        <w:gridCol w:w="1438"/>
        <w:gridCol w:w="1142"/>
        <w:gridCol w:w="1287"/>
        <w:gridCol w:w="374"/>
        <w:gridCol w:w="343"/>
        <w:gridCol w:w="271"/>
        <w:gridCol w:w="482"/>
        <w:gridCol w:w="374"/>
        <w:gridCol w:w="341"/>
      </w:tblGrid>
      <w:tr>
        <w:trPr>
          <w:trHeight w:val="326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31" w:right="134"/>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9"/>
              <w:ind w:left="26" w:right="36"/>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362" w:right="4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475" w:right="156"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256" w:right="115"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108" w:right="180"/>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424" w:right="42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both"/>
              <w:rPr>
                <w:rFonts w:ascii="宋体" w:hAnsi="宋体" w:cs="宋体" w:eastAsia="宋体" w:hint="default"/>
                <w:sz w:val="21"/>
                <w:szCs w:val="21"/>
              </w:rPr>
            </w:pPr>
            <w:r>
              <w:rPr>
                <w:rFonts w:ascii="宋体" w:hAnsi="宋体" w:cs="宋体" w:eastAsia="宋体" w:hint="default"/>
                <w:w w:val="100"/>
                <w:sz w:val="21"/>
                <w:szCs w:val="21"/>
              </w:rPr>
              <w:t>工</w:t>
            </w:r>
          </w:p>
          <w:p>
            <w:pPr>
              <w:pStyle w:val="TableParagraph"/>
              <w:spacing w:line="240" w:lineRule="auto"/>
              <w:ind w:left="40" w:right="42" w:firstLine="33"/>
              <w:jc w:val="both"/>
              <w:rPr>
                <w:rFonts w:ascii="Calibri" w:hAnsi="Calibri" w:cs="Calibri" w:eastAsia="Calibri" w:hint="default"/>
                <w:sz w:val="21"/>
                <w:szCs w:val="21"/>
              </w:rPr>
            </w:pP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57" w:right="62"/>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37" w:lineRule="auto"/>
              <w:ind w:left="23" w:right="24"/>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5"/>
              <w:ind w:left="26" w:right="23"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w:t>
            </w:r>
          </w:p>
          <w:p>
            <w:pPr>
              <w:pStyle w:val="TableParagraph"/>
              <w:spacing w:line="237" w:lineRule="auto" w:before="1"/>
              <w:ind w:left="129"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3" w:right="39" w:firstLine="33"/>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p>
          <w:p>
            <w:pPr>
              <w:pStyle w:val="TableParagraph"/>
              <w:spacing w:line="240" w:lineRule="auto" w:before="30"/>
              <w:ind w:left="43" w:right="0"/>
              <w:jc w:val="both"/>
              <w:rPr>
                <w:rFonts w:ascii="Calibri" w:hAnsi="Calibri" w:cs="Calibri" w:eastAsia="Calibri" w:hint="default"/>
                <w:sz w:val="21"/>
                <w:szCs w:val="21"/>
              </w:rPr>
            </w:pPr>
            <w:r>
              <w:rPr>
                <w:rFonts w:ascii="Calibri"/>
                <w:sz w:val="21"/>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0" w:right="59"/>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191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南威</w:t>
            </w:r>
            <w:r>
              <w:rPr>
                <w:rFonts w:ascii="宋体" w:hAnsi="宋体" w:cs="宋体" w:eastAsia="宋体" w:hint="default"/>
                <w:sz w:val="21"/>
                <w:szCs w:val="21"/>
              </w:rPr>
            </w:r>
          </w:p>
          <w:p>
            <w:pPr>
              <w:pStyle w:val="TableParagraph"/>
              <w:spacing w:line="232" w:lineRule="auto" w:before="6"/>
              <w:ind w:left="26" w:right="115"/>
              <w:jc w:val="both"/>
              <w:rPr>
                <w:rFonts w:ascii="宋体" w:hAnsi="宋体" w:cs="宋体" w:eastAsia="宋体" w:hint="default"/>
                <w:sz w:val="21"/>
                <w:szCs w:val="21"/>
              </w:rPr>
            </w:pPr>
            <w:r>
              <w:rPr>
                <w:rFonts w:ascii="宋体" w:hAnsi="宋体" w:cs="宋体" w:eastAsia="宋体" w:hint="default"/>
                <w:spacing w:val="11"/>
                <w:sz w:val="21"/>
                <w:szCs w:val="21"/>
              </w:rPr>
              <w:t>软件</w:t>
            </w:r>
            <w:r>
              <w:rPr>
                <w:rFonts w:ascii="宋体" w:hAnsi="宋体" w:cs="宋体" w:eastAsia="宋体" w:hint="default"/>
                <w:spacing w:val="-101"/>
                <w:sz w:val="21"/>
                <w:szCs w:val="21"/>
              </w:rPr>
              <w:t> </w:t>
            </w:r>
            <w:r>
              <w:rPr>
                <w:rFonts w:ascii="宋体" w:hAnsi="宋体" w:cs="宋体" w:eastAsia="宋体" w:hint="default"/>
                <w:spacing w:val="11"/>
                <w:sz w:val="21"/>
                <w:szCs w:val="21"/>
              </w:rPr>
              <w:t>大厦</w:t>
            </w:r>
            <w:r>
              <w:rPr>
                <w:rFonts w:ascii="宋体" w:hAnsi="宋体" w:cs="宋体" w:eastAsia="宋体" w:hint="default"/>
                <w:spacing w:val="-101"/>
                <w:sz w:val="21"/>
                <w:szCs w:val="21"/>
              </w:rPr>
              <w:t> </w:t>
            </w:r>
            <w:r>
              <w:rPr>
                <w:rFonts w:ascii="Calibri" w:hAnsi="Calibri" w:cs="Calibri" w:eastAsia="Calibri" w:hint="default"/>
                <w:sz w:val="21"/>
                <w:szCs w:val="21"/>
              </w:rPr>
              <w:t>2</w:t>
            </w:r>
            <w:r>
              <w:rPr>
                <w:rFonts w:ascii="Calibri" w:hAnsi="Calibri" w:cs="Calibri" w:eastAsia="Calibri" w:hint="default"/>
                <w:spacing w:val="2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11"/>
                <w:sz w:val="21"/>
                <w:szCs w:val="21"/>
              </w:rPr>
              <w:t>楼装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修工</w:t>
            </w:r>
            <w:r>
              <w:rPr>
                <w:rFonts w:ascii="宋体" w:hAnsi="宋体" w:cs="宋体" w:eastAsia="宋体" w:hint="default"/>
                <w:spacing w:val="-101"/>
                <w:sz w:val="21"/>
                <w:szCs w:val="21"/>
              </w:rPr>
              <w:t> </w:t>
            </w:r>
            <w:r>
              <w:rPr>
                <w:rFonts w:ascii="宋体" w:hAnsi="宋体" w:cs="宋体" w:eastAsia="宋体" w:hint="default"/>
                <w:sz w:val="21"/>
                <w:szCs w:val="21"/>
              </w:rPr>
              <w:t>程</w:t>
            </w:r>
          </w:p>
        </w:tc>
        <w:tc>
          <w:tcPr>
            <w:tcW w:w="28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5,629,828.76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1,910,292.44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7,540,121.20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待安</w:t>
            </w:r>
            <w:r>
              <w:rPr>
                <w:rFonts w:ascii="宋体" w:hAnsi="宋体" w:cs="宋体" w:eastAsia="宋体" w:hint="default"/>
                <w:sz w:val="21"/>
                <w:szCs w:val="21"/>
              </w:rPr>
            </w:r>
          </w:p>
          <w:p>
            <w:pPr>
              <w:pStyle w:val="TableParagraph"/>
              <w:spacing w:line="240" w:lineRule="auto"/>
              <w:ind w:left="26" w:right="115"/>
              <w:jc w:val="left"/>
              <w:rPr>
                <w:rFonts w:ascii="宋体" w:hAnsi="宋体" w:cs="宋体" w:eastAsia="宋体" w:hint="default"/>
                <w:sz w:val="21"/>
                <w:szCs w:val="21"/>
              </w:rPr>
            </w:pPr>
            <w:r>
              <w:rPr>
                <w:rFonts w:ascii="宋体" w:hAnsi="宋体" w:cs="宋体" w:eastAsia="宋体" w:hint="default"/>
                <w:spacing w:val="11"/>
                <w:sz w:val="21"/>
                <w:szCs w:val="21"/>
              </w:rPr>
              <w:t>装设</w:t>
            </w:r>
            <w:r>
              <w:rPr>
                <w:rFonts w:ascii="宋体" w:hAnsi="宋体" w:cs="宋体" w:eastAsia="宋体" w:hint="default"/>
                <w:spacing w:val="-101"/>
                <w:sz w:val="21"/>
                <w:szCs w:val="21"/>
              </w:rPr>
              <w:t> </w:t>
            </w:r>
            <w:r>
              <w:rPr>
                <w:rFonts w:ascii="宋体" w:hAnsi="宋体" w:cs="宋体" w:eastAsia="宋体" w:hint="default"/>
                <w:sz w:val="21"/>
                <w:szCs w:val="21"/>
              </w:rPr>
              <w:t>备</w:t>
            </w:r>
          </w:p>
        </w:tc>
        <w:tc>
          <w:tcPr>
            <w:tcW w:w="28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830,099.88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2,246,550.09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2,872,521.42</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204,128.55</w:t>
            </w:r>
          </w:p>
        </w:tc>
        <w:tc>
          <w:tcPr>
            <w:tcW w:w="37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其他</w:t>
            </w:r>
            <w:r>
              <w:rPr>
                <w:rFonts w:ascii="宋体" w:hAnsi="宋体" w:cs="宋体" w:eastAsia="宋体" w:hint="default"/>
                <w:sz w:val="21"/>
                <w:szCs w:val="21"/>
              </w:rPr>
            </w:r>
          </w:p>
          <w:p>
            <w:pPr>
              <w:pStyle w:val="TableParagraph"/>
              <w:spacing w:line="272" w:lineRule="exact" w:before="27"/>
              <w:ind w:left="26" w:right="115"/>
              <w:jc w:val="left"/>
              <w:rPr>
                <w:rFonts w:ascii="宋体" w:hAnsi="宋体" w:cs="宋体" w:eastAsia="宋体" w:hint="default"/>
                <w:sz w:val="21"/>
                <w:szCs w:val="21"/>
              </w:rPr>
            </w:pPr>
            <w:r>
              <w:rPr>
                <w:rFonts w:ascii="宋体" w:hAnsi="宋体" w:cs="宋体" w:eastAsia="宋体" w:hint="default"/>
                <w:spacing w:val="11"/>
                <w:sz w:val="21"/>
                <w:szCs w:val="21"/>
              </w:rPr>
              <w:t>装修</w:t>
            </w:r>
            <w:r>
              <w:rPr>
                <w:rFonts w:ascii="宋体" w:hAnsi="宋体" w:cs="宋体" w:eastAsia="宋体" w:hint="default"/>
                <w:spacing w:val="-101"/>
                <w:sz w:val="21"/>
                <w:szCs w:val="21"/>
              </w:rPr>
              <w:t> </w:t>
            </w:r>
            <w:r>
              <w:rPr>
                <w:rFonts w:ascii="宋体" w:hAnsi="宋体" w:cs="宋体" w:eastAsia="宋体" w:hint="default"/>
                <w:sz w:val="21"/>
                <w:szCs w:val="21"/>
              </w:rPr>
              <w:t>工程</w:t>
            </w:r>
          </w:p>
        </w:tc>
        <w:tc>
          <w:tcPr>
            <w:tcW w:w="28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2,455,804.94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3,998,850.52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1,945,401.58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301,532.51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4,207,721.37</w:t>
            </w:r>
          </w:p>
        </w:tc>
        <w:tc>
          <w:tcPr>
            <w:tcW w:w="374"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8,915,733.58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8,155,693.05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12,358,044.20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301,532.51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2"/>
                <w:sz w:val="21"/>
              </w:rPr>
              <w:t>4,411,849.92</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 w:right="0"/>
              <w:jc w:val="left"/>
              <w:rPr>
                <w:rFonts w:ascii="Calibri" w:hAnsi="Calibri" w:cs="Calibri" w:eastAsia="Calibri" w:hint="default"/>
                <w:sz w:val="21"/>
                <w:szCs w:val="21"/>
              </w:rPr>
            </w:pPr>
            <w:r>
              <w:rPr>
                <w:rFonts w:ascii="Calibri"/>
                <w:w w:val="100"/>
                <w:sz w:val="21"/>
              </w:rPr>
              <w:t>/</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 w:right="0"/>
              <w:jc w:val="left"/>
              <w:rPr>
                <w:rFonts w:ascii="Calibri" w:hAnsi="Calibri" w:cs="Calibri" w:eastAsia="Calibri" w:hint="default"/>
                <w:sz w:val="21"/>
                <w:szCs w:val="21"/>
              </w:rPr>
            </w:pPr>
            <w:r>
              <w:rPr>
                <w:rFonts w:ascii="Calibri"/>
                <w:w w:val="100"/>
                <w:sz w:val="21"/>
              </w:rPr>
              <w:t>/</w:t>
            </w:r>
          </w:p>
        </w:tc>
        <w:tc>
          <w:tcPr>
            <w:tcW w:w="271"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 w:right="0"/>
              <w:jc w:val="left"/>
              <w:rPr>
                <w:rFonts w:ascii="Calibri" w:hAnsi="Calibri" w:cs="Calibri" w:eastAsia="Calibri" w:hint="default"/>
                <w:sz w:val="21"/>
                <w:szCs w:val="21"/>
              </w:rPr>
            </w:pPr>
            <w:r>
              <w:rPr>
                <w:rFonts w:ascii="Calibri"/>
                <w:w w:val="100"/>
                <w:sz w:val="21"/>
              </w:rPr>
              <w:t>/</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 w:right="0"/>
              <w:jc w:val="left"/>
              <w:rPr>
                <w:rFonts w:ascii="Calibri" w:hAnsi="Calibri" w:cs="Calibri" w:eastAsia="Calibri" w:hint="default"/>
                <w:sz w:val="21"/>
                <w:szCs w:val="21"/>
              </w:rPr>
            </w:pPr>
            <w:r>
              <w:rPr>
                <w:rFonts w:ascii="Calibri"/>
                <w:w w:val="100"/>
                <w:sz w:val="21"/>
              </w:rPr>
              <w:t>/</w:t>
            </w:r>
          </w:p>
        </w:tc>
      </w:tr>
    </w:tbl>
    <w:p>
      <w:pPr>
        <w:spacing w:line="240" w:lineRule="auto" w:before="11"/>
        <w:rPr>
          <w:rFonts w:ascii="宋体" w:hAnsi="宋体" w:cs="宋体" w:eastAsia="宋体" w:hint="default"/>
          <w:sz w:val="18"/>
          <w:szCs w:val="18"/>
        </w:rPr>
      </w:pPr>
    </w:p>
    <w:p>
      <w:pPr>
        <w:pStyle w:val="Heading3"/>
        <w:spacing w:line="240" w:lineRule="auto" w:before="36"/>
        <w:ind w:left="13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tabs>
          <w:tab w:pos="980" w:val="left" w:leader="none"/>
        </w:tabs>
        <w:spacing w:line="240" w:lineRule="auto" w:before="59"/>
        <w:ind w:left="138" w:right="0"/>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left="138" w:right="0"/>
        <w:jc w:val="left"/>
      </w:pPr>
      <w:r>
        <w:rPr/>
        <w:t>其他说明</w:t>
      </w:r>
    </w:p>
    <w:p>
      <w:pPr>
        <w:pStyle w:val="BodyText"/>
        <w:tabs>
          <w:tab w:pos="980" w:val="left" w:leader="none"/>
        </w:tabs>
        <w:spacing w:line="301" w:lineRule="exact"/>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tabs>
          <w:tab w:pos="980" w:val="left" w:leader="none"/>
        </w:tabs>
        <w:spacing w:line="240" w:lineRule="auto" w:before="56"/>
        <w:ind w:left="138" w:right="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7"/>
          <w:szCs w:val="17"/>
        </w:rPr>
      </w:pPr>
    </w:p>
    <w:p>
      <w:pPr>
        <w:pStyle w:val="Heading3"/>
        <w:spacing w:line="240" w:lineRule="auto"/>
        <w:ind w:left="13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tabs>
          <w:tab w:pos="980" w:val="left" w:leader="none"/>
        </w:tabs>
        <w:spacing w:line="240" w:lineRule="auto" w:before="59"/>
        <w:ind w:left="138" w:right="0"/>
        <w:jc w:val="left"/>
      </w:pPr>
      <w:r>
        <w:rPr/>
        <w:t>□适用</w:t>
        <w:tab/>
      </w:r>
      <w:r>
        <w:rPr>
          <w:rFonts w:ascii="Calibri" w:hAnsi="Calibri" w:cs="Calibri" w:eastAsia="Calibri" w:hint="default"/>
        </w:rPr>
        <w:t>√</w:t>
      </w:r>
      <w:r>
        <w:rPr/>
        <w:t>不适用</w:t>
      </w:r>
    </w:p>
    <w:p>
      <w:pPr>
        <w:spacing w:after="0" w:line="240" w:lineRule="auto"/>
        <w:jc w:val="left"/>
        <w:sectPr>
          <w:type w:val="continuous"/>
          <w:pgSz w:w="11910" w:h="16840"/>
          <w:pgMar w:top="1580" w:bottom="280" w:left="1660" w:right="540"/>
        </w:sectPr>
      </w:pPr>
    </w:p>
    <w:p>
      <w:pPr>
        <w:spacing w:line="240" w:lineRule="auto" w:before="4"/>
        <w:rPr>
          <w:rFonts w:ascii="宋体" w:hAnsi="宋体" w:cs="宋体" w:eastAsia="宋体" w:hint="default"/>
          <w:sz w:val="23"/>
          <w:szCs w:val="23"/>
        </w:rPr>
      </w:pPr>
    </w:p>
    <w:p>
      <w:pPr>
        <w:pStyle w:val="Heading3"/>
        <w:spacing w:line="240" w:lineRule="auto" w:before="36"/>
        <w:ind w:right="2513"/>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3"/>
        <w:spacing w:line="240" w:lineRule="auto" w:before="58"/>
        <w:ind w:right="2513"/>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tabs>
          <w:tab w:pos="1060" w:val="left" w:leader="none"/>
        </w:tabs>
        <w:spacing w:line="240" w:lineRule="auto" w:before="56"/>
        <w:ind w:right="2513"/>
        <w:jc w:val="left"/>
      </w:pPr>
      <w:r>
        <w:rPr/>
        <w:t>□适用</w:t>
        <w:tab/>
        <w:t>√不适用</w:t>
      </w:r>
    </w:p>
    <w:p>
      <w:pPr>
        <w:spacing w:line="240" w:lineRule="auto" w:before="2"/>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tabs>
          <w:tab w:pos="1060" w:val="left" w:leader="none"/>
        </w:tabs>
        <w:spacing w:line="240" w:lineRule="auto" w:before="56"/>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513"/>
        <w:jc w:val="left"/>
      </w:pPr>
      <w:r>
        <w:rPr/>
        <w:t>其他说明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tabs>
          <w:tab w:pos="1060" w:val="left" w:leader="none"/>
        </w:tabs>
        <w:spacing w:line="240" w:lineRule="auto" w:before="59"/>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3"/>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163" w:val="left" w:leader="none"/>
        </w:tabs>
        <w:spacing w:line="240" w:lineRule="auto" w:before="58"/>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088" w:space="4645"/>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52"/>
        <w:gridCol w:w="1623"/>
        <w:gridCol w:w="1133"/>
        <w:gridCol w:w="1088"/>
        <w:gridCol w:w="1729"/>
        <w:gridCol w:w="1726"/>
      </w:tblGrid>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25,603,390.27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106,282,169.57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131,885,559.84</w:t>
            </w:r>
          </w:p>
        </w:tc>
      </w:tr>
      <w:tr>
        <w:trPr>
          <w:trHeight w:val="55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pacing w:val="20"/>
                <w:sz w:val="21"/>
                <w:szCs w:val="21"/>
              </w:rPr>
              <w:t>本期增加</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43,404,435.20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43,404,435.20</w:t>
            </w: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250,572.56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250,572.56</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内部研</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43,153,862.64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43,153,862.64</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企业合</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3,706,056.69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3,706,056.69</w:t>
            </w: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转至持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有待售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3,706,056.69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3,706,056.69</w:t>
            </w:r>
          </w:p>
        </w:tc>
      </w:tr>
      <w:tr>
        <w:trPr>
          <w:trHeight w:val="349"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25,603,390.27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145,980,548.08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171,583,938.35</w:t>
            </w: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5,130,599.84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29,382,470.06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34,513,069.90</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pacing w:val="20"/>
                <w:sz w:val="21"/>
                <w:szCs w:val="21"/>
              </w:rPr>
              <w:t>本期增加</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636,459.84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23,485,680.74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24,122,140.58</w:t>
            </w: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）计提</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636,459.84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23,485,680.74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24,122,140.58</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pacing w:val="20"/>
                <w:sz w:val="21"/>
                <w:szCs w:val="21"/>
              </w:rPr>
              <w:t>本期减少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75,772.81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75,772.81</w:t>
            </w: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转至持</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有待售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75,772.81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75,772.81</w:t>
            </w:r>
          </w:p>
        </w:tc>
      </w:tr>
      <w:tr>
        <w:trPr>
          <w:trHeight w:val="35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5,767,059.68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52,792,377.99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58,559,437.67</w:t>
            </w: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752"/>
        <w:gridCol w:w="1623"/>
        <w:gridCol w:w="1133"/>
        <w:gridCol w:w="1088"/>
        <w:gridCol w:w="1729"/>
        <w:gridCol w:w="1726"/>
      </w:tblGrid>
      <w:tr>
        <w:trPr>
          <w:trHeight w:val="35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pacing w:val="20"/>
                <w:sz w:val="21"/>
                <w:szCs w:val="21"/>
              </w:rPr>
              <w:t>本期增加</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）计提</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pacing w:val="20"/>
                <w:sz w:val="21"/>
                <w:szCs w:val="21"/>
              </w:rPr>
              <w:t>本期减少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2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19,836,330.59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93,188,170.09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113,024,500.68</w:t>
            </w:r>
          </w:p>
        </w:tc>
      </w:tr>
      <w:tr>
        <w:trPr>
          <w:trHeight w:val="35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20,472,790.43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76,899,699.51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97,372,489.94</w:t>
            </w:r>
          </w:p>
        </w:tc>
      </w:tr>
    </w:tbl>
    <w:p>
      <w:pPr>
        <w:pStyle w:val="BodyText"/>
        <w:spacing w:line="240" w:lineRule="auto" w:before="42"/>
        <w:ind w:right="123"/>
        <w:jc w:val="left"/>
        <w:rPr>
          <w:rFonts w:ascii="Times New Roman" w:hAnsi="Times New Roman" w:cs="Times New Roman" w:eastAsia="Times New Roman" w:hint="default"/>
          <w:sz w:val="20"/>
          <w:szCs w:val="20"/>
        </w:rPr>
      </w:pPr>
      <w:r>
        <w:rPr>
          <w:spacing w:val="-2"/>
        </w:rPr>
        <w:t>本期末通过公司内部研发形成的无形资产占无形资产账面价值的比例</w:t>
      </w:r>
      <w:r>
        <w:rPr>
          <w:spacing w:val="5"/>
        </w:rPr>
        <w:t> </w:t>
      </w:r>
      <w:r>
        <w:rPr>
          <w:rFonts w:ascii="Times New Roman" w:hAnsi="Times New Roman" w:cs="Times New Roman" w:eastAsia="Times New Roman" w:hint="default"/>
          <w:spacing w:val="-1"/>
          <w:sz w:val="20"/>
          <w:szCs w:val="20"/>
        </w:rPr>
        <w:t>82.45%</w:t>
      </w:r>
    </w:p>
    <w:p>
      <w:pPr>
        <w:spacing w:line="240" w:lineRule="auto" w:before="10"/>
        <w:rPr>
          <w:rFonts w:ascii="Times New Roman" w:hAnsi="Times New Roman" w:cs="Times New Roman" w:eastAsia="Times New Roman" w:hint="default"/>
          <w:sz w:val="26"/>
          <w:szCs w:val="26"/>
        </w:rPr>
      </w:pPr>
    </w:p>
    <w:p>
      <w:pPr>
        <w:pStyle w:val="Heading3"/>
        <w:spacing w:line="240" w:lineRule="auto"/>
        <w:ind w:right="2513"/>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513"/>
        <w:jc w:val="left"/>
      </w:pPr>
      <w:r>
        <w:rPr/>
        <w:t>其他说明：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1460"/>
        <w:gridCol w:w="1462"/>
        <w:gridCol w:w="646"/>
        <w:gridCol w:w="1462"/>
        <w:gridCol w:w="1462"/>
        <w:gridCol w:w="1459"/>
      </w:tblGrid>
      <w:tr>
        <w:trPr>
          <w:trHeight w:val="283"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07"/>
              <w:ind w:left="511" w:right="514"/>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07"/>
              <w:ind w:left="513" w:right="51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099"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转入当期损</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459" w:type="dxa"/>
            <w:vMerge/>
            <w:tcBorders>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智慧城市</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综合管理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平台研发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209,360.09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28,783,562.51</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9,046,223.53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7,988,646.68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2"/>
                <w:sz w:val="21"/>
              </w:rPr>
              <w:t>11,958,052.39</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电子证照</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共享服务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平台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725,024.06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10,036,664.63</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10,761,688.69</w:t>
            </w:r>
          </w:p>
        </w:tc>
      </w:tr>
      <w:tr>
        <w:trPr>
          <w:trHeight w:val="55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万创中国</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9,031,260.18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9,850,526.15</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14,024,995.76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2,108,875.08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2,747,915.49</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大数据处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理与开发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平台</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6,824,850.87</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2,493,606.33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4,331,244.54</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6"/>
              <w:jc w:val="left"/>
              <w:rPr>
                <w:rFonts w:ascii="宋体" w:hAnsi="宋体" w:cs="宋体" w:eastAsia="宋体" w:hint="default"/>
                <w:sz w:val="21"/>
                <w:szCs w:val="21"/>
              </w:rPr>
            </w:pPr>
            <w:r>
              <w:rPr>
                <w:rFonts w:ascii="宋体" w:hAnsi="宋体" w:cs="宋体" w:eastAsia="宋体" w:hint="default"/>
                <w:spacing w:val="9"/>
                <w:sz w:val="21"/>
                <w:szCs w:val="21"/>
              </w:rPr>
              <w:t>中国水平</w:t>
            </w:r>
          </w:p>
          <w:p>
            <w:pPr>
              <w:pStyle w:val="TableParagraph"/>
              <w:spacing w:line="273" w:lineRule="exact"/>
              <w:ind w:left="103" w:right="-6"/>
              <w:jc w:val="left"/>
              <w:rPr>
                <w:rFonts w:ascii="宋体" w:hAnsi="宋体" w:cs="宋体" w:eastAsia="宋体" w:hint="default"/>
                <w:sz w:val="21"/>
                <w:szCs w:val="21"/>
              </w:rPr>
            </w:pPr>
            <w:r>
              <w:rPr>
                <w:rFonts w:ascii="宋体" w:hAnsi="宋体" w:cs="宋体" w:eastAsia="宋体" w:hint="default"/>
                <w:spacing w:val="-14"/>
                <w:sz w:val="21"/>
                <w:szCs w:val="21"/>
              </w:rPr>
              <w:t>台（门户）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2,282,162.27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4,263,286.16</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4,775,856.31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1,769,592.12</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大数据研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2,618,871.59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3,979,609.25</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6,598,480.84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自动收费</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系统研发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1,152,984.24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2,528,536.09</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3,681,520.33</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小电卫士</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电动车智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能防盗平</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1,689,541.59</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1,689,541.59</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099"/>
        <w:gridCol w:w="1460"/>
        <w:gridCol w:w="1462"/>
        <w:gridCol w:w="646"/>
        <w:gridCol w:w="1462"/>
        <w:gridCol w:w="1462"/>
        <w:gridCol w:w="1459"/>
      </w:tblGrid>
      <w:tr>
        <w:trPr>
          <w:trHeight w:val="28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云执行产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1,113,221.29</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1,113,221.29</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蜻蜓云智</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慧停车管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理平台</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1,020,788.88</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936,455.76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84,333.12</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智能家居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1,157,177.21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542,778.85</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602,119.13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1,097,836.93</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政务云应</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用平台研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发项目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1,744,383.40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54,285.99</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1,798,669.39</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18,921,223.04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70,687,652.26</w:t>
            </w:r>
          </w:p>
        </w:tc>
        <w:tc>
          <w:tcPr>
            <w:tcW w:w="64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43,153,862.64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16,656,111.55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Times New Roman" w:hAnsi="Times New Roman" w:cs="Times New Roman" w:eastAsia="Times New Roman" w:hint="default"/>
                <w:sz w:val="21"/>
                <w:szCs w:val="21"/>
              </w:rPr>
            </w:pPr>
            <w:r>
              <w:rPr>
                <w:rFonts w:ascii="Times New Roman"/>
                <w:sz w:val="21"/>
              </w:rPr>
              <w:t>29,798,901.11</w:t>
            </w:r>
          </w:p>
        </w:tc>
      </w:tr>
    </w:tbl>
    <w:p>
      <w:pPr>
        <w:spacing w:line="240" w:lineRule="auto" w:before="4"/>
        <w:rPr>
          <w:rFonts w:ascii="宋体" w:hAnsi="宋体" w:cs="宋体" w:eastAsia="宋体" w:hint="default"/>
          <w:sz w:val="14"/>
          <w:szCs w:val="14"/>
        </w:rPr>
      </w:pPr>
    </w:p>
    <w:p>
      <w:pPr>
        <w:pStyle w:val="BodyText"/>
        <w:spacing w:line="240" w:lineRule="auto" w:before="36"/>
        <w:ind w:right="8208"/>
        <w:jc w:val="left"/>
      </w:pPr>
      <w:r>
        <w:rPr/>
        <w:t>其他说明</w:t>
      </w:r>
      <w:r>
        <w:rPr>
          <w:w w:val="100"/>
        </w:rPr>
        <w:t> </w:t>
      </w:r>
      <w:r>
        <w:rPr/>
        <w:t>无</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3"/>
        <w:spacing w:line="240" w:lineRule="auto" w:before="56"/>
        <w:ind w:right="2513"/>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2513"/>
        <w:jc w:val="left"/>
      </w:pPr>
      <w:r>
        <w:rPr/>
        <w:t>说明商誉减值测试过程、参数及商誉减值损失的确认方法</w:t>
      </w:r>
    </w:p>
    <w:p>
      <w:pPr>
        <w:pStyle w:val="BodyText"/>
        <w:tabs>
          <w:tab w:pos="1060"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7" w:footer="979" w:top="1140" w:bottom="1160" w:left="1580" w:right="1040"/>
        </w:sectPr>
      </w:pPr>
    </w:p>
    <w:p>
      <w:pPr>
        <w:pStyle w:val="BodyText"/>
        <w:spacing w:line="273" w:lineRule="exact" w:before="36"/>
        <w:ind w:right="-18"/>
        <w:jc w:val="left"/>
      </w:pPr>
      <w:r>
        <w:rPr/>
        <w:t>其他说明</w:t>
      </w:r>
    </w:p>
    <w:p>
      <w:pPr>
        <w:tabs>
          <w:tab w:pos="1060" w:val="left" w:leader="none"/>
        </w:tabs>
        <w:spacing w:line="266"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tabs>
          <w:tab w:pos="1060" w:val="left" w:leader="none"/>
        </w:tabs>
        <w:spacing w:line="240" w:lineRule="auto" w:before="33"/>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0"/>
        <w:gridCol w:w="1498"/>
        <w:gridCol w:w="1495"/>
        <w:gridCol w:w="1498"/>
        <w:gridCol w:w="1520"/>
        <w:gridCol w:w="1589"/>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413,076.33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301,532.51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544,496.70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48,719.33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121,392.81</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5,042.10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98,113.21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14,680.44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88,474.87</w:t>
            </w:r>
          </w:p>
        </w:tc>
      </w:tr>
      <w:tr>
        <w:trPr>
          <w:trHeight w:val="28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418,118.43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399,645.72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559,177.14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48,719.33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209,867.68</w:t>
            </w:r>
          </w:p>
        </w:tc>
      </w:tr>
    </w:tbl>
    <w:p>
      <w:pPr>
        <w:pStyle w:val="BodyText"/>
        <w:spacing w:line="239" w:lineRule="exact"/>
        <w:ind w:right="2513"/>
        <w:jc w:val="left"/>
      </w:pPr>
      <w:r>
        <w:rPr/>
        <w:t>其他说明：</w:t>
      </w:r>
    </w:p>
    <w:p>
      <w:pPr>
        <w:pStyle w:val="BodyText"/>
        <w:spacing w:line="273" w:lineRule="exact"/>
        <w:ind w:right="2513"/>
        <w:jc w:val="left"/>
      </w:pPr>
      <w:r>
        <w:rPr>
          <w:w w:val="100"/>
        </w:rPr>
        <w:t>无</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90" w:lineRule="auto" w:before="36"/>
        <w:ind w:right="-17"/>
        <w:jc w:val="left"/>
        <w:rPr>
          <w:b w:val="0"/>
          <w:bCs w:val="0"/>
        </w:rPr>
      </w:pPr>
      <w:r>
        <w:rPr>
          <w:rFonts w:ascii="宋体" w:hAnsi="宋体" w:cs="宋体" w:eastAsia="宋体" w:hint="default"/>
        </w:rPr>
        <w:t>29</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tabs>
          <w:tab w:pos="1060" w:val="left" w:leader="none"/>
        </w:tabs>
        <w:spacing w:line="240" w:lineRule="auto" w:before="12"/>
        <w:ind w:right="-17"/>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781" w:space="295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50"/>
        <w:gridCol w:w="1728"/>
        <w:gridCol w:w="1623"/>
        <w:gridCol w:w="1729"/>
        <w:gridCol w:w="1622"/>
      </w:tblGrid>
      <w:tr>
        <w:trPr>
          <w:trHeight w:val="295" w:hRule="exact"/>
        </w:trPr>
        <w:tc>
          <w:tcPr>
            <w:tcW w:w="23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50" w:type="dxa"/>
            <w:vMerge/>
            <w:tcBorders>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6"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38,652,951.88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5,805,010.75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30,199,648.42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4,978,742.32</w:t>
            </w: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15,375,314.33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1,079,042.64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20,390,884.53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3,109,387.40</w:t>
            </w: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42,492,814.78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10,623,203.70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2"/>
                <w:sz w:val="21"/>
              </w:rPr>
              <w:t>55,115,508.06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13,174,056.89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350"/>
        <w:gridCol w:w="1728"/>
        <w:gridCol w:w="1623"/>
        <w:gridCol w:w="1729"/>
        <w:gridCol w:w="1622"/>
      </w:tblGrid>
      <w:tr>
        <w:trPr>
          <w:trHeight w:val="296"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149,237.41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29,264.92</w:t>
            </w: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2"/>
                <w:sz w:val="21"/>
              </w:rPr>
              <w:t>25,116,986.05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4,056,800.24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14,516,748.10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2,393,900.39</w:t>
            </w: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3,999,134.00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599,870.10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574,166.67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86,125.00</w:t>
            </w: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376,039.68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47,004.96</w:t>
            </w: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待弥补亏损</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r>
              <w:rPr>
                <w:rFonts w:ascii="Calibri" w:hAnsi="Calibri" w:cs="Calibri" w:eastAsia="Calibri" w:hint="default"/>
                <w:sz w:val="21"/>
                <w:szCs w:val="21"/>
              </w:rPr>
              <w:t>-</w:t>
            </w:r>
            <w:r>
              <w:rPr>
                <w:rFonts w:ascii="宋体" w:hAnsi="宋体" w:cs="宋体" w:eastAsia="宋体" w:hint="default"/>
                <w:sz w:val="21"/>
                <w:szCs w:val="21"/>
              </w:rPr>
              <w:t>限制性股票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8,338,511.71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1,394,474.00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5,004,800.00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750,720.00</w:t>
            </w:r>
          </w:p>
        </w:tc>
      </w:tr>
      <w:tr>
        <w:trPr>
          <w:trHeight w:val="554"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80"/>
              <w:jc w:val="left"/>
              <w:rPr>
                <w:rFonts w:ascii="宋体" w:hAnsi="宋体" w:cs="宋体" w:eastAsia="宋体" w:hint="default"/>
                <w:sz w:val="21"/>
                <w:szCs w:val="21"/>
              </w:rPr>
            </w:pPr>
            <w:r>
              <w:rPr>
                <w:rFonts w:ascii="宋体" w:hAnsi="宋体" w:cs="宋体" w:eastAsia="宋体" w:hint="default"/>
                <w:spacing w:val="15"/>
                <w:sz w:val="21"/>
                <w:szCs w:val="21"/>
              </w:rPr>
              <w:t>交易性金融资产</w:t>
            </w:r>
            <w:r>
              <w:rPr>
                <w:rFonts w:ascii="Calibri" w:hAnsi="Calibri" w:cs="Calibri" w:eastAsia="Calibri" w:hint="default"/>
                <w:spacing w:val="15"/>
                <w:sz w:val="21"/>
                <w:szCs w:val="21"/>
              </w:rPr>
              <w:t>-</w:t>
            </w:r>
            <w:r>
              <w:rPr>
                <w:rFonts w:ascii="Calibri" w:hAnsi="Calibri" w:cs="Calibri" w:eastAsia="Calibri" w:hint="default"/>
                <w:spacing w:val="-21"/>
                <w:sz w:val="21"/>
                <w:szCs w:val="21"/>
              </w:rPr>
              <w:t> </w:t>
            </w:r>
            <w:r>
              <w:rPr>
                <w:rFonts w:ascii="宋体" w:hAnsi="宋体" w:cs="宋体" w:eastAsia="宋体" w:hint="default"/>
                <w:spacing w:val="9"/>
                <w:sz w:val="21"/>
                <w:szCs w:val="21"/>
              </w:rPr>
              <w:t>公允</w:t>
            </w:r>
            <w:r>
              <w:rPr>
                <w:rFonts w:ascii="宋体" w:hAnsi="宋体" w:cs="宋体" w:eastAsia="宋体" w:hint="default"/>
                <w:spacing w:val="-91"/>
                <w:sz w:val="21"/>
                <w:szCs w:val="21"/>
              </w:rPr>
              <w:t> </w:t>
            </w:r>
            <w:r>
              <w:rPr>
                <w:rFonts w:ascii="宋体" w:hAnsi="宋体" w:cs="宋体" w:eastAsia="宋体" w:hint="default"/>
                <w:sz w:val="21"/>
                <w:szCs w:val="21"/>
              </w:rPr>
              <w:t>价值变动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6,381,225.65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957,183.85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678,716.82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101,807.52</w:t>
            </w:r>
          </w:p>
        </w:tc>
      </w:tr>
      <w:tr>
        <w:trPr>
          <w:trHeight w:val="295"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140,356,938.40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24,515,585.28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127,005,749.69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24,671,009.40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tabs>
          <w:tab w:pos="1060" w:val="left" w:leader="none"/>
        </w:tabs>
        <w:spacing w:line="240" w:lineRule="auto" w:before="57"/>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336" w:space="33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77"/>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Calibri" w:hAnsi="Calibri" w:cs="Calibri" w:eastAsia="Calibri" w:hint="default"/>
                <w:spacing w:val="17"/>
                <w:sz w:val="21"/>
                <w:szCs w:val="21"/>
              </w:rPr>
              <w:t>-</w:t>
            </w:r>
            <w:r>
              <w:rPr>
                <w:rFonts w:ascii="Calibri" w:hAnsi="Calibri" w:cs="Calibri" w:eastAsia="Calibri" w:hint="default"/>
                <w:spacing w:val="-18"/>
                <w:sz w:val="21"/>
                <w:szCs w:val="21"/>
              </w:rPr>
              <w:t> </w:t>
            </w:r>
            <w:r>
              <w:rPr>
                <w:rFonts w:ascii="宋体" w:hAnsi="宋体" w:cs="宋体" w:eastAsia="宋体" w:hint="default"/>
                <w:spacing w:val="10"/>
                <w:sz w:val="21"/>
                <w:szCs w:val="21"/>
              </w:rPr>
              <w:t>公允</w:t>
            </w:r>
            <w:r>
              <w:rPr>
                <w:rFonts w:ascii="宋体" w:hAnsi="宋体" w:cs="宋体" w:eastAsia="宋体" w:hint="default"/>
                <w:spacing w:val="-91"/>
                <w:sz w:val="21"/>
                <w:szCs w:val="21"/>
              </w:rPr>
              <w:t> </w:t>
            </w: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91,984.92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13,797.74</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91,984.92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13,797.74</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5"/>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未确认递延所得税资产明细的可抵扣暂时性差异</w:t>
      </w:r>
      <w:r>
        <w:rPr>
          <w:b w:val="0"/>
          <w:bCs w:val="0"/>
        </w:rPr>
      </w:r>
    </w:p>
    <w:p>
      <w:pPr>
        <w:pStyle w:val="BodyText"/>
        <w:tabs>
          <w:tab w:pos="954" w:val="left" w:leader="none"/>
        </w:tabs>
        <w:spacing w:line="240" w:lineRule="auto" w:before="58"/>
        <w:ind w:right="-15"/>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5235" w:space="149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2,691,890.38</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25,558,801.16</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28,250,691.54</w:t>
            </w: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3"/>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tabs>
          <w:tab w:pos="954" w:val="left" w:leader="none"/>
        </w:tabs>
        <w:spacing w:line="240" w:lineRule="auto" w:before="58"/>
        <w:ind w:right="-17"/>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5866" w:space="812"/>
            <w:col w:w="26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993,772.40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1,788,259.98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4,892,328.47</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6,746,552.24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11,137,888.07</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25,558,801.16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Calibri" w:hAnsi="Calibri" w:cs="Calibri" w:eastAsia="Calibri" w:hint="default"/>
                <w:sz w:val="21"/>
                <w:szCs w:val="21"/>
              </w:rPr>
            </w:pPr>
            <w:r>
              <w:rPr>
                <w:rFonts w:ascii="Calibri"/>
                <w:w w:val="100"/>
                <w:sz w:val="21"/>
              </w:rPr>
              <w:t>/</w:t>
            </w:r>
          </w:p>
        </w:tc>
      </w:tr>
    </w:tbl>
    <w:p>
      <w:pPr>
        <w:spacing w:after="0" w:line="254" w:lineRule="exact"/>
        <w:jc w:val="center"/>
        <w:rPr>
          <w:rFonts w:ascii="Calibri" w:hAnsi="Calibri" w:cs="Calibri" w:eastAsia="Calibri"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74" w:lineRule="exact" w:before="36"/>
        <w:ind w:left="138" w:right="47"/>
        <w:jc w:val="left"/>
      </w:pPr>
      <w:r>
        <w:rPr/>
        <w:t>其他说明：</w:t>
      </w:r>
    </w:p>
    <w:p>
      <w:pPr>
        <w:pStyle w:val="BodyText"/>
        <w:tabs>
          <w:tab w:pos="980" w:val="left" w:leader="none"/>
        </w:tabs>
        <w:spacing w:line="301"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660" w:right="1120"/>
        </w:sectPr>
      </w:pPr>
    </w:p>
    <w:p>
      <w:pPr>
        <w:pStyle w:val="Heading3"/>
        <w:spacing w:line="240" w:lineRule="auto" w:before="36"/>
        <w:ind w:left="138"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874" w:val="left" w:leader="none"/>
        </w:tabs>
        <w:spacing w:line="240" w:lineRule="auto" w:before="56"/>
        <w:ind w:left="138"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2121" w:space="4612"/>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12,500,000.00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预付购买固定资产款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4,788,590.48</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17,288,590.48</w:t>
            </w:r>
          </w:p>
        </w:tc>
        <w:tc>
          <w:tcPr>
            <w:tcW w:w="30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47"/>
        <w:jc w:val="left"/>
      </w:pPr>
      <w:r>
        <w:rPr/>
        <w:t>其他说明：</w:t>
      </w:r>
    </w:p>
    <w:p>
      <w:pPr>
        <w:pStyle w:val="BodyText"/>
        <w:spacing w:line="275" w:lineRule="exact"/>
        <w:ind w:left="138" w:right="47"/>
        <w:jc w:val="left"/>
      </w:pPr>
      <w:r>
        <w:rPr>
          <w:w w:val="100"/>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1120"/>
        </w:sectPr>
      </w:pPr>
    </w:p>
    <w:p>
      <w:pPr>
        <w:pStyle w:val="Heading3"/>
        <w:spacing w:line="240" w:lineRule="auto" w:before="36"/>
        <w:ind w:left="138"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3"/>
        <w:tabs>
          <w:tab w:pos="769" w:val="left" w:leader="none"/>
        </w:tabs>
        <w:spacing w:line="240" w:lineRule="auto" w:before="56"/>
        <w:ind w:left="138" w:right="-18"/>
        <w:jc w:val="left"/>
        <w:rPr>
          <w:b w:val="0"/>
          <w:bCs w:val="0"/>
        </w:rPr>
      </w:pPr>
      <w:r>
        <w:rPr>
          <w:rFonts w:ascii="宋体" w:hAnsi="宋体" w:cs="宋体" w:eastAsia="宋体" w:hint="default"/>
          <w:w w:val="95"/>
        </w:rPr>
        <w:t>(1).</w:t>
        <w:tab/>
      </w:r>
      <w:r>
        <w:rPr/>
        <w:t>短期借款分类</w:t>
      </w:r>
      <w:r>
        <w:rPr>
          <w:b w:val="0"/>
          <w:bCs w:val="0"/>
        </w:rPr>
      </w:r>
    </w:p>
    <w:p>
      <w:pPr>
        <w:pStyle w:val="BodyText"/>
        <w:tabs>
          <w:tab w:pos="980" w:val="left" w:leader="none"/>
        </w:tabs>
        <w:spacing w:line="240" w:lineRule="auto" w:before="58"/>
        <w:ind w:left="13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2037" w:space="4696"/>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73"/>
        <w:gridCol w:w="3003"/>
        <w:gridCol w:w="3020"/>
      </w:tblGrid>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3"/>
              <w:jc w:val="right"/>
              <w:rPr>
                <w:rFonts w:ascii="Times New Roman" w:hAnsi="Times New Roman" w:cs="Times New Roman" w:eastAsia="Times New Roman" w:hint="default"/>
                <w:sz w:val="21"/>
                <w:szCs w:val="21"/>
              </w:rPr>
            </w:pPr>
            <w:r>
              <w:rPr>
                <w:rFonts w:ascii="Times New Roman"/>
                <w:sz w:val="21"/>
              </w:rPr>
              <w:t>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1"/>
              <w:jc w:val="right"/>
              <w:rPr>
                <w:rFonts w:ascii="Times New Roman" w:hAnsi="Times New Roman" w:cs="Times New Roman" w:eastAsia="Times New Roman" w:hint="default"/>
                <w:sz w:val="21"/>
                <w:szCs w:val="21"/>
              </w:rPr>
            </w:pPr>
            <w:r>
              <w:rPr>
                <w:rFonts w:ascii="Times New Roman"/>
                <w:spacing w:val="-1"/>
                <w:sz w:val="21"/>
              </w:rPr>
              <w:t>2,773,660.90</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sz w:val="21"/>
              </w:rPr>
              <w:t>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2,773,660.90</w:t>
            </w:r>
          </w:p>
        </w:tc>
      </w:tr>
    </w:tbl>
    <w:p>
      <w:pPr>
        <w:pStyle w:val="BodyText"/>
        <w:spacing w:line="239" w:lineRule="exact"/>
        <w:ind w:left="138" w:right="47"/>
        <w:jc w:val="left"/>
      </w:pPr>
      <w:r>
        <w:rPr/>
        <w:t>短期借款分类的说明：</w:t>
      </w:r>
    </w:p>
    <w:p>
      <w:pPr>
        <w:pStyle w:val="BodyText"/>
        <w:spacing w:line="273" w:lineRule="exact"/>
        <w:ind w:left="138" w:right="47"/>
        <w:jc w:val="left"/>
      </w:pPr>
      <w:r>
        <w:rPr>
          <w:w w:val="100"/>
        </w:rPr>
        <w:t>无</w:t>
      </w:r>
    </w:p>
    <w:p>
      <w:pPr>
        <w:spacing w:line="240" w:lineRule="auto" w:before="12"/>
        <w:rPr>
          <w:rFonts w:ascii="宋体" w:hAnsi="宋体" w:cs="宋体" w:eastAsia="宋体" w:hint="default"/>
          <w:sz w:val="23"/>
          <w:szCs w:val="23"/>
        </w:rPr>
      </w:pPr>
    </w:p>
    <w:p>
      <w:pPr>
        <w:pStyle w:val="Heading3"/>
        <w:tabs>
          <w:tab w:pos="769" w:val="left" w:leader="none"/>
        </w:tabs>
        <w:spacing w:line="240" w:lineRule="auto"/>
        <w:ind w:left="138" w:right="47"/>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tabs>
          <w:tab w:pos="980" w:val="left" w:leader="none"/>
        </w:tabs>
        <w:spacing w:line="240" w:lineRule="auto" w:before="58"/>
        <w:ind w:left="138" w:right="47"/>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left="138" w:right="47"/>
        <w:jc w:val="left"/>
      </w:pPr>
      <w:r>
        <w:rPr/>
        <w:t>其中重要的已逾期未偿还的短期借款情况如下：</w:t>
      </w:r>
    </w:p>
    <w:p>
      <w:pPr>
        <w:pStyle w:val="BodyText"/>
        <w:tabs>
          <w:tab w:pos="980" w:val="left" w:leader="none"/>
        </w:tabs>
        <w:spacing w:line="301" w:lineRule="exact"/>
        <w:ind w:left="138" w:right="47"/>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left="138" w:right="47"/>
        <w:jc w:val="left"/>
      </w:pPr>
      <w:r>
        <w:rPr/>
        <w:t>其他说明</w:t>
      </w:r>
    </w:p>
    <w:p>
      <w:pPr>
        <w:pStyle w:val="BodyText"/>
        <w:tabs>
          <w:tab w:pos="980" w:val="left" w:leader="none"/>
        </w:tabs>
        <w:spacing w:line="300"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left="138" w:right="47"/>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tabs>
          <w:tab w:pos="980" w:val="left" w:leader="none"/>
        </w:tabs>
        <w:spacing w:line="240" w:lineRule="auto" w:before="56"/>
        <w:ind w:left="138" w:right="47"/>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47"/>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tabs>
          <w:tab w:pos="980" w:val="left" w:leader="none"/>
        </w:tabs>
        <w:spacing w:line="240" w:lineRule="auto" w:before="58"/>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660" w:right="1120"/>
        </w:sectPr>
      </w:pPr>
    </w:p>
    <w:p>
      <w:pPr>
        <w:pStyle w:val="Heading3"/>
        <w:spacing w:line="240" w:lineRule="auto" w:before="36"/>
        <w:ind w:left="138"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left="138" w:right="-18"/>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1612" w:space="5121"/>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20"/>
        </w:sectPr>
      </w:pPr>
    </w:p>
    <w:p>
      <w:pPr>
        <w:spacing w:line="240" w:lineRule="auto" w:before="8"/>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4"/>
              <w:jc w:val="right"/>
              <w:rPr>
                <w:rFonts w:ascii="Times New Roman" w:hAnsi="Times New Roman" w:cs="Times New Roman" w:eastAsia="Times New Roman" w:hint="default"/>
                <w:sz w:val="21"/>
                <w:szCs w:val="21"/>
              </w:rPr>
            </w:pPr>
            <w:r>
              <w:rPr>
                <w:rFonts w:ascii="Times New Roman"/>
                <w:spacing w:val="-1"/>
                <w:sz w:val="21"/>
              </w:rPr>
              <w:t>238,486,982.59</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10,032,833.34</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238,486,982.59</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10,032,833.34</w:t>
            </w:r>
          </w:p>
        </w:tc>
      </w:tr>
    </w:tbl>
    <w:p>
      <w:pPr>
        <w:pStyle w:val="BodyText"/>
        <w:spacing w:line="268" w:lineRule="exact"/>
        <w:ind w:right="2513"/>
        <w:jc w:val="left"/>
      </w:pPr>
      <w:r>
        <w:rPr/>
        <w:t>本期末已到期未支付的应付票据总额为</w:t>
      </w:r>
      <w:r>
        <w:rPr>
          <w:spacing w:val="-54"/>
        </w:rPr>
        <w:t> </w:t>
      </w:r>
      <w:r>
        <w:rPr>
          <w:rFonts w:ascii="Calibri" w:hAnsi="Calibri" w:cs="Calibri" w:eastAsia="Calibri" w:hint="default"/>
        </w:rPr>
        <w:t>0</w:t>
      </w:r>
      <w:r>
        <w:rPr>
          <w:rFonts w:ascii="Calibri" w:hAnsi="Calibri" w:cs="Calibri" w:eastAsia="Calibri" w:hint="default"/>
          <w:spacing w:val="7"/>
        </w:rPr>
        <w:t> </w:t>
      </w:r>
      <w:r>
        <w:rPr>
          <w:spacing w:val="-3"/>
        </w:rPr>
        <w:t>元。</w:t>
      </w:r>
      <w:r>
        <w:rPr/>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tabs>
          <w:tab w:pos="1060" w:val="left" w:leader="none"/>
        </w:tabs>
        <w:spacing w:line="240" w:lineRule="auto" w:before="56"/>
        <w:ind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074" w:space="465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242,317,558.81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132,280,632.50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34,869,056.59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9,262,062.62</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5,733,147.65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4,517,278.80</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3,975,981.71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1,394,673.00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286,895,744.76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147,454,646.92</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3"/>
        <w:spacing w:line="240" w:lineRule="auto" w:before="36"/>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tabs>
          <w:tab w:pos="1060" w:val="left" w:leader="none"/>
        </w:tabs>
        <w:spacing w:line="240" w:lineRule="auto" w:before="39"/>
        <w:ind w:right="-17"/>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567" w:space="316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7,543,672.80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6,498,381.94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6,086,447.50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3,648,923.62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2,297,862.70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26,075,288.56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before="36"/>
        <w:ind w:right="2513"/>
        <w:jc w:val="left"/>
      </w:pPr>
      <w:r>
        <w:rPr/>
        <w:t>其他说明</w:t>
      </w:r>
    </w:p>
    <w:p>
      <w:pPr>
        <w:pStyle w:val="BodyText"/>
        <w:tabs>
          <w:tab w:pos="1060" w:val="left" w:leader="none"/>
        </w:tabs>
        <w:spacing w:line="300"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3"/>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tabs>
          <w:tab w:pos="1060" w:val="left" w:leader="none"/>
        </w:tabs>
        <w:spacing w:line="240" w:lineRule="auto" w:before="56"/>
        <w:ind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225" w:space="450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109,970,137.27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100,658,666.06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30,561,840.58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31,201,805.75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6,150,785.09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4,997,091.14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2,459,201.95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8,076,416.15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149,141,964.89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144,933,979.10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3"/>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tabs>
          <w:tab w:pos="1060" w:val="left" w:leader="none"/>
        </w:tabs>
        <w:spacing w:line="240" w:lineRule="auto" w:before="41"/>
        <w:ind w:right="-16"/>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507" w:space="322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12,376,540.00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预收客户二</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4,673,900.00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bl>
    <w:p>
      <w:pPr>
        <w:spacing w:after="0" w:line="241"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预收客户三</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2,620,628.50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预收客户四</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2,020,000.00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预收客户五</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23,491,068.50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w:t>
            </w: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17"/>
          <w:szCs w:val="17"/>
        </w:rPr>
      </w:pPr>
    </w:p>
    <w:p>
      <w:pPr>
        <w:pStyle w:val="BodyText"/>
        <w:spacing w:line="273" w:lineRule="exact"/>
        <w:ind w:right="2513"/>
        <w:jc w:val="left"/>
      </w:pPr>
      <w:r>
        <w:rPr/>
        <w:t>其他说明</w:t>
      </w:r>
    </w:p>
    <w:p>
      <w:pPr>
        <w:pStyle w:val="BodyText"/>
        <w:tabs>
          <w:tab w:pos="1060"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90" w:lineRule="auto" w:before="36"/>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tabs>
          <w:tab w:pos="1060" w:val="left" w:leader="none"/>
        </w:tabs>
        <w:spacing w:line="240" w:lineRule="auto" w:before="12"/>
        <w:ind w:right="-16"/>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2"/>
        <w:gridCol w:w="1610"/>
        <w:gridCol w:w="1608"/>
        <w:gridCol w:w="1611"/>
        <w:gridCol w:w="1618"/>
      </w:tblGrid>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3"/>
              <w:jc w:val="right"/>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22,169,307.29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130,163,579.73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125,253,094.33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27,079,792.69</w:t>
            </w: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Calibri" w:hAnsi="Calibri" w:cs="Calibri" w:eastAsia="Calibri" w:hint="default"/>
                <w:sz w:val="21"/>
                <w:szCs w:val="21"/>
              </w:rPr>
              <w:t>-</w:t>
            </w:r>
            <w:r>
              <w:rPr>
                <w:rFonts w:ascii="宋体" w:hAnsi="宋体" w:cs="宋体" w:eastAsia="宋体" w:hint="default"/>
                <w:sz w:val="21"/>
                <w:szCs w:val="21"/>
              </w:rPr>
              <w:t>设定提存</w:t>
            </w:r>
            <w:r>
              <w:rPr>
                <w:rFonts w:ascii="宋体" w:hAnsi="宋体" w:cs="宋体" w:eastAsia="宋体" w:hint="default"/>
                <w:spacing w:val="-93"/>
                <w:sz w:val="21"/>
                <w:szCs w:val="21"/>
              </w:rPr>
              <w:t> </w:t>
            </w:r>
            <w:r>
              <w:rPr>
                <w:rFonts w:ascii="宋体" w:hAnsi="宋体" w:cs="宋体" w:eastAsia="宋体" w:hint="default"/>
                <w:sz w:val="21"/>
                <w:szCs w:val="21"/>
              </w:rPr>
              <w:t>计划</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28,295.64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7,068,722.17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7,046,701.08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50,316.73</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62,100.00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62,100.00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3"/>
              <w:jc w:val="right"/>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22,197,602.93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137,294,401.90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132,361,895.41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27,130,109.42</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3"/>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tabs>
          <w:tab w:pos="1060" w:val="left" w:leader="none"/>
        </w:tabs>
        <w:spacing w:line="240" w:lineRule="auto" w:before="58"/>
        <w:ind w:right="-16"/>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2122" w:space="4765"/>
            <w:col w:w="2403"/>
          </w:cols>
        </w:sect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21,980,137.19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118,048,196.82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113,261,658.79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26,766,675.22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1,690,311.74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1,690,311.74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16,292.10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4,273,195.56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4,256,278.26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33,209.40</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12,725.72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3,795,219.67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3,779,019.90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28,925.49</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3,293.79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207,461.59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208,386.70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2,368.68</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272.59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270,514.30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268,871.66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1,915.23</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23,640.59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4,903,252.71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4,882,665.55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44,227.75</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149,237.41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1,248,622.90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1,162,179.99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235,680.32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22,169,307.29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130,163,579.73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125,253,094.33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27,079,792.69</w:t>
            </w:r>
          </w:p>
        </w:tc>
      </w:tr>
    </w:tbl>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tabs>
          <w:tab w:pos="1060" w:val="left" w:leader="none"/>
        </w:tabs>
        <w:spacing w:line="240" w:lineRule="auto" w:before="58"/>
        <w:ind w:right="-2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333" w:space="4400"/>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5"/>
        <w:gridCol w:w="1625"/>
        <w:gridCol w:w="1608"/>
        <w:gridCol w:w="1640"/>
        <w:gridCol w:w="1591"/>
      </w:tblGrid>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25,251.15</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6,823,189.43</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6,801,257.00</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47,183.58</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3,044.49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245,532.74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245,444.08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3,133.15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585"/>
        <w:gridCol w:w="1625"/>
        <w:gridCol w:w="1608"/>
        <w:gridCol w:w="1640"/>
        <w:gridCol w:w="1591"/>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z w:val="21"/>
              </w:rPr>
              <w:t>0.00</w:t>
            </w: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28,295.64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93" w:right="0"/>
              <w:jc w:val="left"/>
              <w:rPr>
                <w:rFonts w:ascii="Times New Roman" w:hAnsi="Times New Roman" w:cs="Times New Roman" w:eastAsia="Times New Roman" w:hint="default"/>
                <w:sz w:val="21"/>
                <w:szCs w:val="21"/>
              </w:rPr>
            </w:pPr>
            <w:r>
              <w:rPr>
                <w:rFonts w:ascii="Times New Roman"/>
                <w:sz w:val="21"/>
              </w:rPr>
              <w:t>7,068,722.17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4" w:right="0"/>
              <w:jc w:val="left"/>
              <w:rPr>
                <w:rFonts w:ascii="Times New Roman" w:hAnsi="Times New Roman" w:cs="Times New Roman" w:eastAsia="Times New Roman" w:hint="default"/>
                <w:sz w:val="21"/>
                <w:szCs w:val="21"/>
              </w:rPr>
            </w:pPr>
            <w:r>
              <w:rPr>
                <w:rFonts w:ascii="Times New Roman"/>
                <w:sz w:val="21"/>
              </w:rPr>
              <w:t>7,046,701.08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50,316.73</w:t>
            </w:r>
          </w:p>
        </w:tc>
      </w:tr>
    </w:tbl>
    <w:p>
      <w:pPr>
        <w:spacing w:line="240" w:lineRule="auto" w:before="3"/>
        <w:rPr>
          <w:rFonts w:ascii="宋体" w:hAnsi="宋体" w:cs="宋体" w:eastAsia="宋体" w:hint="default"/>
          <w:sz w:val="14"/>
          <w:szCs w:val="14"/>
        </w:rPr>
      </w:pPr>
    </w:p>
    <w:p>
      <w:pPr>
        <w:pStyle w:val="BodyText"/>
        <w:spacing w:line="273" w:lineRule="exact" w:before="36"/>
        <w:ind w:right="2513"/>
        <w:jc w:val="left"/>
      </w:pPr>
      <w:r>
        <w:rPr/>
        <w:t>其他说明：</w:t>
      </w:r>
    </w:p>
    <w:p>
      <w:pPr>
        <w:pStyle w:val="BodyText"/>
        <w:tabs>
          <w:tab w:pos="1060" w:val="left" w:leader="none"/>
        </w:tabs>
        <w:spacing w:line="300"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37,873,936.93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2,351,836.24</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z w:val="21"/>
              </w:rPr>
              <w:t>0.00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0.00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16,835,468.66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6,538,551.59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432,633.77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355,553.63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769,058.64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133,921.04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549,327.60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95,730.72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26,584.72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2"/>
                <w:sz w:val="21"/>
              </w:rPr>
              <w:t>114,639.31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17,804.43</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33,733.20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3,350.68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210,059.68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105,787.07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3,435.92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1,975.15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149,764.44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52,172.90</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56,972,058.15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9,683,268.17</w:t>
            </w:r>
          </w:p>
        </w:tc>
      </w:tr>
    </w:tbl>
    <w:p>
      <w:pPr>
        <w:pStyle w:val="BodyText"/>
        <w:spacing w:line="239" w:lineRule="exact"/>
        <w:ind w:right="2513"/>
        <w:jc w:val="left"/>
      </w:pPr>
      <w:r>
        <w:rPr/>
        <w:t>其他说明：</w:t>
      </w:r>
    </w:p>
    <w:p>
      <w:pPr>
        <w:pStyle w:val="BodyText"/>
        <w:spacing w:line="273" w:lineRule="exact"/>
        <w:ind w:right="2513"/>
        <w:jc w:val="left"/>
      </w:pPr>
      <w:r>
        <w:rPr>
          <w:w w:val="100"/>
        </w:rPr>
        <w:t>无</w:t>
      </w:r>
    </w:p>
    <w:p>
      <w:pPr>
        <w:spacing w:line="240" w:lineRule="auto" w:before="2"/>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513"/>
        <w:jc w:val="left"/>
      </w:pPr>
      <w:r>
        <w:rPr/>
        <w:t>重要的已逾期未支付的利息情况：</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BodyText"/>
        <w:spacing w:line="240" w:lineRule="auto"/>
        <w:ind w:right="2513"/>
        <w:jc w:val="left"/>
      </w:pPr>
      <w:r>
        <w:rPr/>
        <w:t>其他说明：</w:t>
      </w:r>
    </w:p>
    <w:p>
      <w:pPr>
        <w:pStyle w:val="BodyText"/>
        <w:tabs>
          <w:tab w:pos="1060" w:val="left" w:leader="none"/>
        </w:tabs>
        <w:spacing w:line="240" w:lineRule="auto" w:before="59"/>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ind w:right="2513"/>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3"/>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tabs>
          <w:tab w:pos="1060" w:val="left" w:leader="none"/>
        </w:tabs>
        <w:spacing w:line="240" w:lineRule="auto" w:before="58"/>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276" w:space="345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18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9,368,511.67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66,119,607.30</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14"/>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37,318,552.52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1,417,874.94</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14"/>
              <w:jc w:val="righ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1,051,107.41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3,004,728.32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3,146,882.87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357,650.00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50,885,054.47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70,899,860.56</w:t>
            </w:r>
          </w:p>
        </w:tc>
      </w:tr>
    </w:tbl>
    <w:p>
      <w:pPr>
        <w:pStyle w:val="BodyText"/>
        <w:spacing w:line="239" w:lineRule="exact"/>
        <w:ind w:right="123"/>
        <w:jc w:val="left"/>
      </w:pPr>
      <w:r>
        <w:rPr/>
        <w:t>其</w:t>
      </w:r>
      <w:r>
        <w:rPr>
          <w:spacing w:val="-76"/>
        </w:rPr>
        <w:t> </w:t>
      </w:r>
      <w:r>
        <w:rPr/>
        <w:t>他</w:t>
      </w:r>
      <w:r>
        <w:rPr>
          <w:spacing w:val="-76"/>
        </w:rPr>
        <w:t> </w:t>
      </w:r>
      <w:r>
        <w:rPr/>
        <w:t>应</w:t>
      </w:r>
      <w:r>
        <w:rPr>
          <w:spacing w:val="-76"/>
        </w:rPr>
        <w:t> </w:t>
      </w:r>
      <w:r>
        <w:rPr/>
        <w:t>付</w:t>
      </w:r>
      <w:r>
        <w:rPr>
          <w:spacing w:val="-76"/>
        </w:rPr>
        <w:t> </w:t>
      </w:r>
      <w:r>
        <w:rPr/>
        <w:t>款</w:t>
      </w:r>
      <w:r>
        <w:rPr>
          <w:spacing w:val="-76"/>
        </w:rPr>
        <w:t> </w:t>
      </w:r>
      <w:r>
        <w:rPr/>
        <w:t>期</w:t>
      </w:r>
      <w:r>
        <w:rPr>
          <w:spacing w:val="-76"/>
        </w:rPr>
        <w:t> </w:t>
      </w:r>
      <w:r>
        <w:rPr/>
        <w:t>末</w:t>
      </w:r>
      <w:r>
        <w:rPr>
          <w:spacing w:val="-78"/>
        </w:rPr>
        <w:t> </w:t>
      </w:r>
      <w:r>
        <w:rPr/>
        <w:t>余</w:t>
      </w:r>
      <w:r>
        <w:rPr>
          <w:spacing w:val="-76"/>
        </w:rPr>
        <w:t> </w:t>
      </w:r>
      <w:r>
        <w:rPr/>
        <w:t>额</w:t>
      </w:r>
      <w:r>
        <w:rPr>
          <w:spacing w:val="-76"/>
        </w:rPr>
        <w:t> </w:t>
      </w:r>
      <w:r>
        <w:rPr/>
        <w:t>包</w:t>
      </w:r>
      <w:r>
        <w:rPr>
          <w:spacing w:val="-78"/>
        </w:rPr>
        <w:t> </w:t>
      </w:r>
      <w:r>
        <w:rPr/>
        <w:t>含</w:t>
      </w:r>
      <w:r>
        <w:rPr>
          <w:spacing w:val="-76"/>
        </w:rPr>
        <w:t> </w:t>
      </w:r>
      <w:r>
        <w:rPr/>
        <w:t>本</w:t>
      </w:r>
      <w:r>
        <w:rPr>
          <w:spacing w:val="-76"/>
        </w:rPr>
        <w:t> </w:t>
      </w:r>
      <w:r>
        <w:rPr/>
        <w:t>期</w:t>
      </w:r>
      <w:r>
        <w:rPr>
          <w:spacing w:val="-76"/>
        </w:rPr>
        <w:t> </w:t>
      </w:r>
      <w:r>
        <w:rPr/>
        <w:t>实</w:t>
      </w:r>
      <w:r>
        <w:rPr>
          <w:spacing w:val="-76"/>
        </w:rPr>
        <w:t> </w:t>
      </w:r>
      <w:r>
        <w:rPr/>
        <w:t>施</w:t>
      </w:r>
      <w:r>
        <w:rPr>
          <w:spacing w:val="-76"/>
        </w:rPr>
        <w:t> </w:t>
      </w:r>
      <w:r>
        <w:rPr/>
        <w:t>限</w:t>
      </w:r>
      <w:r>
        <w:rPr>
          <w:spacing w:val="-76"/>
        </w:rPr>
        <w:t> </w:t>
      </w:r>
      <w:r>
        <w:rPr/>
        <w:t>制</w:t>
      </w:r>
      <w:r>
        <w:rPr>
          <w:spacing w:val="-78"/>
        </w:rPr>
        <w:t> </w:t>
      </w:r>
      <w:r>
        <w:rPr/>
        <w:t>性</w:t>
      </w:r>
      <w:r>
        <w:rPr>
          <w:spacing w:val="-76"/>
        </w:rPr>
        <w:t> </w:t>
      </w:r>
      <w:r>
        <w:rPr/>
        <w:t>股</w:t>
      </w:r>
      <w:r>
        <w:rPr>
          <w:spacing w:val="-76"/>
        </w:rPr>
        <w:t> </w:t>
      </w:r>
      <w:r>
        <w:rPr/>
        <w:t>权</w:t>
      </w:r>
      <w:r>
        <w:rPr>
          <w:spacing w:val="-78"/>
        </w:rPr>
        <w:t> </w:t>
      </w:r>
      <w:r>
        <w:rPr/>
        <w:t>激</w:t>
      </w:r>
      <w:r>
        <w:rPr>
          <w:spacing w:val="-76"/>
        </w:rPr>
        <w:t> </w:t>
      </w:r>
      <w:r>
        <w:rPr/>
        <w:t>励</w:t>
      </w:r>
      <w:r>
        <w:rPr>
          <w:spacing w:val="-76"/>
        </w:rPr>
        <w:t> </w:t>
      </w:r>
      <w:r>
        <w:rPr/>
        <w:t>计</w:t>
      </w:r>
      <w:r>
        <w:rPr>
          <w:spacing w:val="-76"/>
        </w:rPr>
        <w:t> </w:t>
      </w:r>
      <w:r>
        <w:rPr/>
        <w:t>划</w:t>
      </w:r>
      <w:r>
        <w:rPr>
          <w:spacing w:val="-76"/>
        </w:rPr>
        <w:t> </w:t>
      </w:r>
      <w:r>
        <w:rPr/>
        <w:t>形</w:t>
      </w:r>
      <w:r>
        <w:rPr>
          <w:spacing w:val="-76"/>
        </w:rPr>
        <w:t> </w:t>
      </w:r>
      <w:r>
        <w:rPr/>
        <w:t>成</w:t>
      </w:r>
      <w:r>
        <w:rPr>
          <w:spacing w:val="-76"/>
        </w:rPr>
        <w:t> </w:t>
      </w:r>
      <w:r>
        <w:rPr/>
        <w:t>的</w:t>
      </w:r>
      <w:r>
        <w:rPr>
          <w:spacing w:val="-78"/>
        </w:rPr>
        <w:t> </w:t>
      </w:r>
      <w:r>
        <w:rPr/>
        <w:t>限</w:t>
      </w:r>
      <w:r>
        <w:rPr>
          <w:spacing w:val="-76"/>
        </w:rPr>
        <w:t> </w:t>
      </w:r>
      <w:r>
        <w:rPr/>
        <w:t>制</w:t>
      </w:r>
      <w:r>
        <w:rPr>
          <w:spacing w:val="-76"/>
        </w:rPr>
        <w:t> </w:t>
      </w:r>
      <w:r>
        <w:rPr/>
        <w:t>性</w:t>
      </w:r>
      <w:r>
        <w:rPr>
          <w:spacing w:val="-78"/>
        </w:rPr>
        <w:t> </w:t>
      </w:r>
      <w:r>
        <w:rPr/>
        <w:t>股</w:t>
      </w:r>
      <w:r>
        <w:rPr>
          <w:spacing w:val="-76"/>
        </w:rPr>
        <w:t> </w:t>
      </w:r>
      <w:r>
        <w:rPr/>
        <w:t>票</w:t>
      </w:r>
      <w:r>
        <w:rPr>
          <w:spacing w:val="-76"/>
        </w:rPr>
        <w:t> </w:t>
      </w:r>
      <w:r>
        <w:rPr/>
        <w:t>回</w:t>
      </w:r>
      <w:r>
        <w:rPr>
          <w:spacing w:val="-76"/>
        </w:rPr>
        <w:t> </w:t>
      </w:r>
      <w:r>
        <w:rPr/>
        <w:t>购</w:t>
      </w:r>
      <w:r>
        <w:rPr>
          <w:spacing w:val="-76"/>
        </w:rPr>
        <w:t> </w:t>
      </w:r>
      <w:r>
        <w:rPr/>
        <w:t>义</w:t>
      </w:r>
      <w:r>
        <w:rPr>
          <w:spacing w:val="-76"/>
        </w:rPr>
        <w:t> </w:t>
      </w:r>
      <w:r>
        <w:rPr/>
        <w:t>务</w:t>
      </w:r>
      <w:r>
        <w:rPr>
          <w:spacing w:val="-78"/>
        </w:rPr>
        <w:t> </w:t>
      </w:r>
      <w:r>
        <w:rPr/>
        <w:t>款</w:t>
      </w:r>
    </w:p>
    <w:p>
      <w:pPr>
        <w:pStyle w:val="BodyText"/>
        <w:spacing w:line="289" w:lineRule="exact"/>
        <w:ind w:right="2513"/>
        <w:jc w:val="left"/>
      </w:pPr>
      <w:r>
        <w:rPr>
          <w:rFonts w:ascii="Times New Roman" w:hAnsi="Times New Roman" w:cs="Times New Roman" w:eastAsia="Times New Roman" w:hint="default"/>
        </w:rPr>
        <w:t>39,887,176.32</w:t>
      </w:r>
      <w:r>
        <w:rPr>
          <w:rFonts w:ascii="Times New Roman" w:hAnsi="Times New Roman" w:cs="Times New Roman" w:eastAsia="Times New Roman" w:hint="default"/>
          <w:spacing w:val="2"/>
        </w:rPr>
        <w:t> </w:t>
      </w:r>
      <w:r>
        <w:rPr/>
        <w:t>元</w:t>
      </w:r>
    </w:p>
    <w:p>
      <w:pPr>
        <w:pStyle w:val="Heading3"/>
        <w:spacing w:line="240" w:lineRule="auto" w:before="43"/>
        <w:ind w:right="251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tabs>
          <w:tab w:pos="1060" w:val="left" w:leader="none"/>
        </w:tabs>
        <w:spacing w:line="240" w:lineRule="auto" w:before="39"/>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59"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其他应付客户一</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36,138,676.32</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限制性股票回购义务款未到回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购期</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其他应付客户二</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1,566,742.00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工程尾款</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其他应付客户三</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1,064,398.00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工程尾款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38,769,816.32</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w:t>
            </w:r>
          </w:p>
        </w:tc>
      </w:tr>
    </w:tbl>
    <w:p>
      <w:pPr>
        <w:spacing w:line="240" w:lineRule="auto" w:before="3"/>
        <w:rPr>
          <w:rFonts w:ascii="宋体" w:hAnsi="宋体" w:cs="宋体" w:eastAsia="宋体" w:hint="default"/>
          <w:sz w:val="14"/>
          <w:szCs w:val="14"/>
        </w:rPr>
      </w:pPr>
    </w:p>
    <w:p>
      <w:pPr>
        <w:pStyle w:val="BodyText"/>
        <w:spacing w:line="273" w:lineRule="exact" w:before="36"/>
        <w:ind w:right="2513"/>
        <w:jc w:val="left"/>
      </w:pPr>
      <w:r>
        <w:rPr/>
        <w:t>其他说明</w:t>
      </w:r>
    </w:p>
    <w:p>
      <w:pPr>
        <w:pStyle w:val="BodyText"/>
        <w:tabs>
          <w:tab w:pos="1060"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tabs>
          <w:tab w:pos="954" w:val="left" w:leader="none"/>
        </w:tabs>
        <w:spacing w:line="240" w:lineRule="auto" w:before="56"/>
        <w:ind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33"/>
        <w:gridCol w:w="3039"/>
        <w:gridCol w:w="302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2,945,205.40</w:t>
            </w: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58,763,346.07</w:t>
            </w: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602,295.15</w:t>
            </w: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56,950.31</w:t>
            </w: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11,087.00</w:t>
            </w:r>
          </w:p>
        </w:tc>
        <w:tc>
          <w:tcPr>
            <w:tcW w:w="3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62,378,883.93</w:t>
            </w:r>
          </w:p>
        </w:tc>
        <w:tc>
          <w:tcPr>
            <w:tcW w:w="30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tabs>
          <w:tab w:pos="1060" w:val="left" w:leader="none"/>
        </w:tabs>
        <w:spacing w:line="278" w:lineRule="auto" w:before="58"/>
        <w:ind w:left="218" w:right="7295"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163" w:val="left" w:leader="none"/>
        </w:tabs>
        <w:spacing w:line="238" w:lineRule="exact"/>
        <w:ind w:right="2513"/>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right="2513"/>
        <w:jc w:val="left"/>
      </w:pPr>
      <w:r>
        <w:rPr/>
        <w:t>短期应付债券的增减变动：</w:t>
      </w:r>
    </w:p>
    <w:p>
      <w:pPr>
        <w:pStyle w:val="BodyText"/>
        <w:tabs>
          <w:tab w:pos="1060" w:val="left" w:leader="none"/>
        </w:tabs>
        <w:spacing w:line="301" w:lineRule="exact"/>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BodyText"/>
        <w:spacing w:line="240" w:lineRule="auto"/>
        <w:ind w:right="2513"/>
        <w:jc w:val="left"/>
      </w:pPr>
      <w:r>
        <w:rPr/>
        <w:t>其他说明：</w:t>
      </w:r>
    </w:p>
    <w:p>
      <w:pPr>
        <w:pStyle w:val="BodyText"/>
        <w:tabs>
          <w:tab w:pos="1060" w:val="left" w:leader="none"/>
        </w:tabs>
        <w:spacing w:line="240" w:lineRule="auto" w:before="58"/>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ind w:right="2513"/>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3"/>
        <w:tabs>
          <w:tab w:pos="849" w:val="left" w:leader="none"/>
        </w:tabs>
        <w:spacing w:line="240" w:lineRule="auto" w:before="56"/>
        <w:ind w:right="2513"/>
        <w:jc w:val="left"/>
        <w:rPr>
          <w:b w:val="0"/>
          <w:bCs w:val="0"/>
        </w:rPr>
      </w:pPr>
      <w:r>
        <w:rPr>
          <w:rFonts w:ascii="宋体" w:hAnsi="宋体" w:cs="宋体" w:eastAsia="宋体" w:hint="default"/>
          <w:w w:val="95"/>
        </w:rPr>
        <w:t>(1).</w:t>
        <w:tab/>
      </w:r>
      <w:r>
        <w:rPr/>
        <w:t>长期借款分类</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74" w:lineRule="exact" w:before="36"/>
        <w:ind w:left="138" w:right="102"/>
        <w:jc w:val="left"/>
      </w:pPr>
      <w:r>
        <w:rPr/>
        <w:t>其他说明，包括利率区间：</w:t>
      </w:r>
    </w:p>
    <w:p>
      <w:pPr>
        <w:pStyle w:val="BodyText"/>
        <w:tabs>
          <w:tab w:pos="980" w:val="left" w:leader="none"/>
        </w:tabs>
        <w:spacing w:line="301" w:lineRule="exact"/>
        <w:ind w:left="138" w:right="102"/>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09" w:val="left" w:leader="none"/>
        </w:tabs>
        <w:spacing w:line="290" w:lineRule="auto"/>
        <w:ind w:left="138" w:right="752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tabs>
          <w:tab w:pos="980" w:val="left" w:leader="none"/>
        </w:tabs>
        <w:spacing w:line="240" w:lineRule="auto" w:before="14"/>
        <w:ind w:left="138" w:right="102"/>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09" w:val="left" w:leader="none"/>
        </w:tabs>
        <w:spacing w:line="240" w:lineRule="auto"/>
        <w:ind w:left="138" w:right="102"/>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tabs>
          <w:tab w:pos="980" w:val="left" w:leader="none"/>
        </w:tabs>
        <w:spacing w:line="240" w:lineRule="auto" w:before="58"/>
        <w:ind w:left="138" w:right="102"/>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09" w:val="left" w:leader="none"/>
        </w:tabs>
        <w:spacing w:line="240" w:lineRule="auto"/>
        <w:ind w:left="138" w:right="102"/>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83" w:val="left" w:leader="none"/>
        </w:tabs>
        <w:spacing w:line="240" w:lineRule="auto" w:before="56"/>
        <w:ind w:left="138" w:right="102"/>
        <w:jc w:val="left"/>
      </w:pPr>
      <w:r>
        <w:rPr/>
        <w:t>□适用</w:t>
        <w:tab/>
        <w:t>√不适用</w:t>
      </w:r>
    </w:p>
    <w:p>
      <w:pPr>
        <w:spacing w:line="240" w:lineRule="auto" w:before="9"/>
        <w:rPr>
          <w:rFonts w:ascii="宋体" w:hAnsi="宋体" w:cs="宋体" w:eastAsia="宋体" w:hint="default"/>
          <w:sz w:val="28"/>
          <w:szCs w:val="28"/>
        </w:rPr>
      </w:pPr>
    </w:p>
    <w:p>
      <w:pPr>
        <w:tabs>
          <w:tab w:pos="809" w:val="left" w:leader="none"/>
        </w:tabs>
        <w:spacing w:line="290" w:lineRule="auto" w:before="0"/>
        <w:ind w:left="138" w:right="378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tabs>
          <w:tab w:pos="980" w:val="left" w:leader="none"/>
        </w:tabs>
        <w:spacing w:line="256" w:lineRule="exact"/>
        <w:ind w:left="138" w:right="102"/>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left="138" w:right="102"/>
        <w:jc w:val="left"/>
      </w:pPr>
      <w:r>
        <w:rPr/>
        <w:t>期末发行在外的优先股、永续债等金融工具变动情况表</w:t>
      </w:r>
    </w:p>
    <w:p>
      <w:pPr>
        <w:pStyle w:val="BodyText"/>
        <w:tabs>
          <w:tab w:pos="980" w:val="left" w:leader="none"/>
        </w:tabs>
        <w:spacing w:line="300" w:lineRule="exact"/>
        <w:ind w:left="138" w:right="102"/>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6"/>
          <w:szCs w:val="26"/>
        </w:rPr>
      </w:pPr>
    </w:p>
    <w:p>
      <w:pPr>
        <w:pStyle w:val="BodyText"/>
        <w:spacing w:line="240" w:lineRule="auto"/>
        <w:ind w:left="138" w:right="102"/>
        <w:jc w:val="left"/>
      </w:pPr>
      <w:r>
        <w:rPr/>
        <w:t>其他金融工具划分为金融负债的依据说明</w:t>
      </w:r>
    </w:p>
    <w:p>
      <w:pPr>
        <w:pStyle w:val="BodyText"/>
        <w:tabs>
          <w:tab w:pos="980" w:val="left" w:leader="none"/>
        </w:tabs>
        <w:spacing w:line="240" w:lineRule="auto" w:before="56"/>
        <w:ind w:left="138" w:right="102"/>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6"/>
          <w:szCs w:val="26"/>
        </w:rPr>
      </w:pPr>
    </w:p>
    <w:p>
      <w:pPr>
        <w:pStyle w:val="BodyText"/>
        <w:spacing w:line="240" w:lineRule="auto"/>
        <w:ind w:left="138" w:right="102"/>
        <w:jc w:val="left"/>
      </w:pPr>
      <w:r>
        <w:rPr/>
        <w:t>其他说明：</w:t>
      </w:r>
    </w:p>
    <w:p>
      <w:pPr>
        <w:pStyle w:val="BodyText"/>
        <w:tabs>
          <w:tab w:pos="980" w:val="left" w:leader="none"/>
        </w:tabs>
        <w:spacing w:line="240" w:lineRule="auto" w:before="56"/>
        <w:ind w:left="138" w:right="102"/>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979" w:top="1140" w:bottom="1160" w:left="1660" w:right="1060"/>
        </w:sectPr>
      </w:pPr>
    </w:p>
    <w:p>
      <w:pPr>
        <w:pStyle w:val="Heading3"/>
        <w:spacing w:line="240" w:lineRule="auto" w:before="36"/>
        <w:ind w:left="138" w:right="-1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3"/>
        <w:spacing w:line="273" w:lineRule="exact" w:before="58"/>
        <w:ind w:left="138" w:right="-19"/>
        <w:jc w:val="left"/>
        <w:rPr>
          <w:b w:val="0"/>
          <w:bCs w:val="0"/>
        </w:rPr>
      </w:pPr>
      <w:r>
        <w:rPr>
          <w:rFonts w:ascii="宋体" w:hAnsi="宋体" w:cs="宋体" w:eastAsia="宋体" w:hint="default"/>
        </w:rPr>
        <w:t>(1) </w:t>
      </w:r>
      <w:r>
        <w:rPr/>
        <w:t>按款项性质列示长期应付款：</w:t>
      </w:r>
      <w:r>
        <w:rPr>
          <w:b w:val="0"/>
          <w:bCs w:val="0"/>
        </w:rPr>
      </w:r>
    </w:p>
    <w:p>
      <w:pPr>
        <w:pStyle w:val="BodyText"/>
        <w:tabs>
          <w:tab w:pos="980" w:val="left" w:leader="none"/>
        </w:tabs>
        <w:spacing w:line="288" w:lineRule="exact"/>
        <w:ind w:left="138"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060"/>
          <w:cols w:num="2" w:equalWidth="0">
            <w:col w:w="3304" w:space="3429"/>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2873"/>
        <w:gridCol w:w="2871"/>
      </w:tblGrid>
      <w:tr>
        <w:trPr>
          <w:trHeight w:val="31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附回购承诺的子公司吸收投资款</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2"/>
                <w:sz w:val="21"/>
              </w:rPr>
              <w:t>81,142,857.14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81,142,857.14</w:t>
            </w:r>
          </w:p>
        </w:tc>
      </w:tr>
    </w:tbl>
    <w:p>
      <w:pPr>
        <w:spacing w:line="240" w:lineRule="auto" w:before="6"/>
        <w:rPr>
          <w:rFonts w:ascii="宋体" w:hAnsi="宋体" w:cs="宋体" w:eastAsia="宋体" w:hint="default"/>
          <w:sz w:val="23"/>
          <w:szCs w:val="23"/>
        </w:rPr>
      </w:pPr>
    </w:p>
    <w:p>
      <w:pPr>
        <w:pStyle w:val="BodyText"/>
        <w:spacing w:line="240" w:lineRule="auto" w:before="36"/>
        <w:ind w:left="138" w:right="102"/>
        <w:jc w:val="left"/>
      </w:pPr>
      <w:r>
        <w:rPr/>
        <w:t>其他说明：</w:t>
      </w:r>
    </w:p>
    <w:p>
      <w:pPr>
        <w:pStyle w:val="BodyText"/>
        <w:tabs>
          <w:tab w:pos="874" w:val="left" w:leader="none"/>
        </w:tabs>
        <w:spacing w:line="240" w:lineRule="auto" w:before="58"/>
        <w:ind w:left="138" w:right="207"/>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r>
        <w:rPr>
          <w:w w:val="100"/>
        </w:rPr>
        <w:t> </w:t>
      </w:r>
      <w:r>
        <w:rPr/>
        <w:t>根据公司战略部署，公司全资子公司福建南威软件有限公司（以下简称</w:t>
      </w:r>
      <w:r>
        <w:rPr>
          <w:rFonts w:ascii="Calibri" w:hAnsi="Calibri" w:cs="Calibri" w:eastAsia="Calibri" w:hint="default"/>
        </w:rPr>
        <w:t>“</w:t>
      </w:r>
      <w:r>
        <w:rPr/>
        <w:t>福建南威</w:t>
      </w:r>
      <w:r>
        <w:rPr>
          <w:rFonts w:ascii="Calibri" w:hAnsi="Calibri" w:cs="Calibri" w:eastAsia="Calibri" w:hint="default"/>
        </w:rPr>
        <w:t>”</w:t>
      </w:r>
      <w:r>
        <w:rPr/>
        <w:t>）以增资扩股</w:t>
      </w:r>
      <w:r>
        <w:rPr>
          <w:spacing w:val="-55"/>
        </w:rPr>
        <w:t> </w:t>
      </w:r>
      <w:r>
        <w:rPr>
          <w:spacing w:val="-5"/>
          <w:w w:val="100"/>
        </w:rPr>
        <w:t>方式引入战略投资者福建省电子信息（集团）有限责任公司（以下简称</w:t>
      </w:r>
      <w:r>
        <w:rPr>
          <w:rFonts w:ascii="Calibri" w:hAnsi="Calibri" w:cs="Calibri" w:eastAsia="Calibri" w:hint="default"/>
          <w:spacing w:val="-5"/>
          <w:w w:val="100"/>
        </w:rPr>
        <w:t>“</w:t>
      </w:r>
      <w:r>
        <w:rPr>
          <w:spacing w:val="-5"/>
          <w:w w:val="100"/>
        </w:rPr>
        <w:t>福建省电子信息集团</w:t>
      </w:r>
      <w:r>
        <w:rPr>
          <w:rFonts w:ascii="Calibri" w:hAnsi="Calibri" w:cs="Calibri" w:eastAsia="Calibri" w:hint="default"/>
          <w:spacing w:val="-5"/>
          <w:w w:val="100"/>
        </w:rPr>
        <w:t>”</w:t>
      </w:r>
      <w:r>
        <w:rPr>
          <w:spacing w:val="-5"/>
          <w:w w:val="100"/>
        </w:rPr>
        <w:t>），</w:t>
      </w:r>
      <w:r>
        <w:rPr>
          <w:w w:val="100"/>
        </w:rPr>
      </w:r>
    </w:p>
    <w:p>
      <w:pPr>
        <w:pStyle w:val="BodyText"/>
        <w:spacing w:line="258" w:lineRule="exact"/>
        <w:ind w:left="138" w:right="102"/>
        <w:jc w:val="left"/>
      </w:pPr>
      <w:r>
        <w:rPr/>
        <w:t>福建省电子信息集团将以</w:t>
      </w:r>
      <w:r>
        <w:rPr>
          <w:spacing w:val="-57"/>
        </w:rPr>
        <w:t> </w:t>
      </w:r>
      <w:r>
        <w:rPr>
          <w:rFonts w:ascii="Calibri" w:hAnsi="Calibri" w:cs="Calibri" w:eastAsia="Calibri" w:hint="default"/>
        </w:rPr>
        <w:t>8000</w:t>
      </w:r>
      <w:r>
        <w:rPr>
          <w:rFonts w:ascii="Calibri" w:hAnsi="Calibri" w:cs="Calibri" w:eastAsia="Calibri" w:hint="default"/>
          <w:spacing w:val="4"/>
        </w:rPr>
        <w:t> </w:t>
      </w:r>
      <w:r>
        <w:rPr/>
        <w:t>万元（人民币，下同）认购福建南威新增注册资本</w:t>
      </w:r>
      <w:r>
        <w:rPr>
          <w:spacing w:val="-57"/>
        </w:rPr>
        <w:t> </w:t>
      </w:r>
      <w:r>
        <w:rPr>
          <w:rFonts w:ascii="Calibri" w:hAnsi="Calibri" w:cs="Calibri" w:eastAsia="Calibri" w:hint="default"/>
        </w:rPr>
        <w:t>2500</w:t>
      </w:r>
      <w:r>
        <w:rPr>
          <w:rFonts w:ascii="Calibri" w:hAnsi="Calibri" w:cs="Calibri" w:eastAsia="Calibri" w:hint="default"/>
          <w:spacing w:val="4"/>
        </w:rPr>
        <w:t> </w:t>
      </w:r>
      <w:r>
        <w:rPr/>
        <w:t>万元，取</w:t>
      </w:r>
    </w:p>
    <w:p>
      <w:pPr>
        <w:pStyle w:val="BodyText"/>
        <w:spacing w:line="272" w:lineRule="exact"/>
        <w:ind w:left="138" w:right="102"/>
        <w:jc w:val="left"/>
        <w:rPr>
          <w:rFonts w:ascii="Calibri" w:hAnsi="Calibri" w:cs="Calibri" w:eastAsia="Calibri" w:hint="default"/>
        </w:rPr>
      </w:pPr>
      <w:r>
        <w:rPr/>
        <w:t>得福建南威 </w:t>
      </w:r>
      <w:r>
        <w:rPr>
          <w:rFonts w:ascii="Calibri" w:hAnsi="Calibri" w:cs="Calibri" w:eastAsia="Calibri" w:hint="default"/>
        </w:rPr>
        <w:t>20%</w:t>
      </w:r>
      <w:r>
        <w:rPr/>
        <w:t>的股权。福建南威增资扩股及股权变动相关事项已完成，并于 </w:t>
      </w:r>
      <w:r>
        <w:rPr>
          <w:rFonts w:ascii="Calibri" w:hAnsi="Calibri" w:cs="Calibri" w:eastAsia="Calibri" w:hint="default"/>
        </w:rPr>
        <w:t>2017 </w:t>
      </w:r>
      <w:r>
        <w:rPr/>
        <w:t>年 </w:t>
      </w:r>
      <w:r>
        <w:rPr>
          <w:rFonts w:ascii="Calibri" w:hAnsi="Calibri" w:cs="Calibri" w:eastAsia="Calibri" w:hint="default"/>
        </w:rPr>
        <w:t>12 </w:t>
      </w:r>
      <w:r>
        <w:rPr/>
        <w:t>月</w:t>
      </w:r>
      <w:r>
        <w:rPr>
          <w:spacing w:val="-53"/>
        </w:rPr>
        <w:t> </w:t>
      </w:r>
      <w:r>
        <w:rPr>
          <w:rFonts w:ascii="Calibri" w:hAnsi="Calibri" w:cs="Calibri" w:eastAsia="Calibri" w:hint="default"/>
        </w:rPr>
        <w:t>12</w:t>
      </w:r>
    </w:p>
    <w:p>
      <w:pPr>
        <w:pStyle w:val="BodyText"/>
        <w:spacing w:line="259" w:lineRule="exact"/>
        <w:ind w:left="138" w:right="102"/>
        <w:jc w:val="left"/>
      </w:pPr>
      <w:r>
        <w:rPr/>
        <w:t>日完成工商变更手续。</w:t>
      </w:r>
    </w:p>
    <w:p>
      <w:pPr>
        <w:pStyle w:val="BodyText"/>
        <w:spacing w:line="286" w:lineRule="exact"/>
        <w:ind w:left="138" w:right="0"/>
        <w:jc w:val="left"/>
      </w:pPr>
      <w:r>
        <w:rPr>
          <w:w w:val="100"/>
        </w:rPr>
        <w:t>若福</w:t>
      </w:r>
      <w:r>
        <w:rPr>
          <w:spacing w:val="-3"/>
          <w:w w:val="100"/>
        </w:rPr>
        <w:t>建</w:t>
      </w:r>
      <w:r>
        <w:rPr>
          <w:w w:val="100"/>
        </w:rPr>
        <w:t>南</w:t>
      </w:r>
      <w:r>
        <w:rPr>
          <w:spacing w:val="-3"/>
          <w:w w:val="100"/>
        </w:rPr>
        <w:t>威</w:t>
      </w:r>
      <w:r>
        <w:rPr>
          <w:w w:val="100"/>
        </w:rPr>
        <w:t>未</w:t>
      </w:r>
      <w:r>
        <w:rPr>
          <w:spacing w:val="-3"/>
          <w:w w:val="100"/>
        </w:rPr>
        <w:t>能</w:t>
      </w:r>
      <w:r>
        <w:rPr>
          <w:w w:val="100"/>
        </w:rPr>
        <w:t>实</w:t>
      </w:r>
      <w:r>
        <w:rPr>
          <w:spacing w:val="-3"/>
          <w:w w:val="100"/>
        </w:rPr>
        <w:t>现</w:t>
      </w:r>
      <w:r>
        <w:rPr>
          <w:w w:val="100"/>
        </w:rPr>
        <w:t>经</w:t>
      </w:r>
      <w:r>
        <w:rPr>
          <w:spacing w:val="-3"/>
          <w:w w:val="100"/>
        </w:rPr>
        <w:t>营</w:t>
      </w:r>
      <w:r>
        <w:rPr>
          <w:w w:val="100"/>
        </w:rPr>
        <w:t>目</w:t>
      </w:r>
      <w:r>
        <w:rPr>
          <w:spacing w:val="-106"/>
          <w:w w:val="100"/>
        </w:rPr>
        <w:t>标</w:t>
      </w:r>
      <w:r>
        <w:rPr>
          <w:spacing w:val="-3"/>
          <w:w w:val="100"/>
        </w:rPr>
        <w:t>（</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6"/>
        </w:rPr>
        <w:t> </w:t>
      </w:r>
      <w:r>
        <w:rPr>
          <w:spacing w:val="-3"/>
          <w:w w:val="100"/>
        </w:rPr>
        <w:t>年</w:t>
      </w:r>
      <w:r>
        <w:rPr>
          <w:w w:val="100"/>
        </w:rPr>
        <w:t>至</w:t>
      </w:r>
      <w:r>
        <w:rPr>
          <w:spacing w:val="-65"/>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9</w:t>
      </w:r>
      <w:r>
        <w:rPr>
          <w:rFonts w:ascii="Calibri" w:hAnsi="Calibri" w:cs="Calibri" w:eastAsia="Calibri" w:hint="default"/>
          <w:spacing w:val="-6"/>
        </w:rPr>
        <w:t> </w:t>
      </w:r>
      <w:r>
        <w:rPr>
          <w:spacing w:val="-3"/>
          <w:w w:val="100"/>
        </w:rPr>
        <w:t>年扣</w:t>
      </w:r>
      <w:r>
        <w:rPr>
          <w:w w:val="100"/>
        </w:rPr>
        <w:t>除非</w:t>
      </w:r>
      <w:r>
        <w:rPr>
          <w:spacing w:val="-3"/>
          <w:w w:val="100"/>
        </w:rPr>
        <w:t>经</w:t>
      </w:r>
      <w:r>
        <w:rPr>
          <w:w w:val="100"/>
        </w:rPr>
        <w:t>常</w:t>
      </w:r>
      <w:r>
        <w:rPr>
          <w:spacing w:val="-3"/>
          <w:w w:val="100"/>
        </w:rPr>
        <w:t>性</w:t>
      </w:r>
      <w:r>
        <w:rPr>
          <w:w w:val="100"/>
        </w:rPr>
        <w:t>损</w:t>
      </w:r>
      <w:r>
        <w:rPr>
          <w:spacing w:val="-3"/>
          <w:w w:val="100"/>
        </w:rPr>
        <w:t>益</w:t>
      </w:r>
      <w:r>
        <w:rPr>
          <w:w w:val="100"/>
        </w:rPr>
        <w:t>后</w:t>
      </w:r>
      <w:r>
        <w:rPr>
          <w:spacing w:val="-3"/>
          <w:w w:val="100"/>
        </w:rPr>
        <w:t>的</w:t>
      </w:r>
      <w:r>
        <w:rPr>
          <w:w w:val="100"/>
        </w:rPr>
        <w:t>净</w:t>
      </w:r>
      <w:r>
        <w:rPr>
          <w:spacing w:val="-3"/>
          <w:w w:val="100"/>
        </w:rPr>
        <w:t>利</w:t>
      </w:r>
      <w:r>
        <w:rPr>
          <w:w w:val="100"/>
        </w:rPr>
        <w:t>润分</w:t>
      </w:r>
      <w:r>
        <w:rPr>
          <w:spacing w:val="-2"/>
          <w:w w:val="100"/>
        </w:rPr>
        <w:t>别</w:t>
      </w:r>
      <w:r>
        <w:rPr>
          <w:w w:val="100"/>
        </w:rPr>
        <w:t>为</w:t>
      </w:r>
      <w:r>
        <w:rPr>
          <w:spacing w:val="-65"/>
        </w:rPr>
        <w:t> </w:t>
      </w:r>
      <w:r>
        <w:rPr>
          <w:rFonts w:ascii="Calibri" w:hAnsi="Calibri" w:cs="Calibri" w:eastAsia="Calibri" w:hint="default"/>
          <w:spacing w:val="-2"/>
          <w:w w:val="100"/>
        </w:rPr>
        <w:t>40</w:t>
      </w:r>
      <w:r>
        <w:rPr>
          <w:rFonts w:ascii="Calibri" w:hAnsi="Calibri" w:cs="Calibri" w:eastAsia="Calibri" w:hint="default"/>
          <w:w w:val="100"/>
        </w:rPr>
        <w:t>00</w:t>
      </w:r>
      <w:r>
        <w:rPr>
          <w:rFonts w:ascii="Calibri" w:hAnsi="Calibri" w:cs="Calibri" w:eastAsia="Calibri" w:hint="default"/>
          <w:spacing w:val="-8"/>
        </w:rPr>
        <w:t> </w:t>
      </w:r>
      <w:r>
        <w:rPr>
          <w:w w:val="100"/>
        </w:rPr>
        <w:t>万</w:t>
      </w:r>
      <w:r>
        <w:rPr>
          <w:spacing w:val="-3"/>
          <w:w w:val="100"/>
        </w:rPr>
        <w:t>元</w:t>
      </w:r>
      <w:r>
        <w:rPr>
          <w:w w:val="100"/>
        </w:rPr>
        <w:t>、</w:t>
      </w:r>
    </w:p>
    <w:p>
      <w:pPr>
        <w:pStyle w:val="BodyText"/>
        <w:spacing w:line="272" w:lineRule="exact"/>
        <w:ind w:left="138" w:right="102"/>
        <w:jc w:val="left"/>
      </w:pPr>
      <w:r>
        <w:rPr>
          <w:rFonts w:ascii="Calibri" w:hAnsi="Calibri" w:cs="Calibri" w:eastAsia="Calibri" w:hint="default"/>
          <w:w w:val="100"/>
        </w:rPr>
        <w:t>5</w:t>
      </w:r>
      <w:r>
        <w:rPr>
          <w:rFonts w:ascii="Calibri" w:hAnsi="Calibri" w:cs="Calibri" w:eastAsia="Calibri" w:hint="default"/>
          <w:spacing w:val="-2"/>
          <w:w w:val="100"/>
        </w:rPr>
        <w:t>0</w:t>
      </w:r>
      <w:r>
        <w:rPr>
          <w:rFonts w:ascii="Calibri" w:hAnsi="Calibri" w:cs="Calibri" w:eastAsia="Calibri" w:hint="default"/>
          <w:w w:val="100"/>
        </w:rPr>
        <w:t>00</w:t>
      </w:r>
      <w:r>
        <w:rPr>
          <w:rFonts w:ascii="Calibri" w:hAnsi="Calibri" w:cs="Calibri" w:eastAsia="Calibri" w:hint="default"/>
          <w:spacing w:val="4"/>
        </w:rPr>
        <w:t> </w:t>
      </w:r>
      <w:r>
        <w:rPr>
          <w:w w:val="100"/>
        </w:rPr>
        <w:t>万</w:t>
      </w:r>
      <w:r>
        <w:rPr>
          <w:spacing w:val="-3"/>
          <w:w w:val="100"/>
        </w:rPr>
        <w:t>元、</w:t>
      </w:r>
      <w:r>
        <w:rPr>
          <w:rFonts w:ascii="Calibri" w:hAnsi="Calibri" w:cs="Calibri" w:eastAsia="Calibri" w:hint="default"/>
          <w:w w:val="100"/>
        </w:rPr>
        <w:t>6</w:t>
      </w:r>
      <w:r>
        <w:rPr>
          <w:rFonts w:ascii="Calibri" w:hAnsi="Calibri" w:cs="Calibri" w:eastAsia="Calibri" w:hint="default"/>
          <w:spacing w:val="-2"/>
          <w:w w:val="100"/>
        </w:rPr>
        <w:t>0</w:t>
      </w:r>
      <w:r>
        <w:rPr>
          <w:rFonts w:ascii="Calibri" w:hAnsi="Calibri" w:cs="Calibri" w:eastAsia="Calibri" w:hint="default"/>
          <w:w w:val="100"/>
        </w:rPr>
        <w:t>00</w:t>
      </w:r>
      <w:r>
        <w:rPr>
          <w:rFonts w:ascii="Calibri" w:hAnsi="Calibri" w:cs="Calibri" w:eastAsia="Calibri" w:hint="default"/>
          <w:spacing w:val="4"/>
        </w:rPr>
        <w:t> </w:t>
      </w:r>
      <w:r>
        <w:rPr>
          <w:w w:val="100"/>
        </w:rPr>
        <w:t>万</w:t>
      </w:r>
      <w:r>
        <w:rPr>
          <w:spacing w:val="-3"/>
          <w:w w:val="100"/>
        </w:rPr>
        <w:t>元</w:t>
      </w:r>
      <w:r>
        <w:rPr>
          <w:spacing w:val="-106"/>
          <w:w w:val="100"/>
        </w:rPr>
        <w:t>）</w:t>
      </w:r>
      <w:r>
        <w:rPr>
          <w:spacing w:val="-3"/>
          <w:w w:val="100"/>
        </w:rPr>
        <w:t>，</w:t>
      </w:r>
      <w:r>
        <w:rPr>
          <w:w w:val="100"/>
        </w:rPr>
        <w:t>福建</w:t>
      </w:r>
      <w:r>
        <w:rPr>
          <w:spacing w:val="-3"/>
          <w:w w:val="100"/>
        </w:rPr>
        <w:t>省</w:t>
      </w:r>
      <w:r>
        <w:rPr>
          <w:w w:val="100"/>
        </w:rPr>
        <w:t>电</w:t>
      </w:r>
      <w:r>
        <w:rPr>
          <w:spacing w:val="-3"/>
          <w:w w:val="100"/>
        </w:rPr>
        <w:t>子</w:t>
      </w:r>
      <w:r>
        <w:rPr>
          <w:w w:val="100"/>
        </w:rPr>
        <w:t>信</w:t>
      </w:r>
      <w:r>
        <w:rPr>
          <w:spacing w:val="-3"/>
          <w:w w:val="100"/>
        </w:rPr>
        <w:t>息</w:t>
      </w:r>
      <w:r>
        <w:rPr>
          <w:w w:val="100"/>
        </w:rPr>
        <w:t>集</w:t>
      </w:r>
      <w:r>
        <w:rPr>
          <w:spacing w:val="-3"/>
          <w:w w:val="100"/>
        </w:rPr>
        <w:t>团</w:t>
      </w:r>
      <w:r>
        <w:rPr>
          <w:w w:val="100"/>
        </w:rPr>
        <w:t>有</w:t>
      </w:r>
      <w:r>
        <w:rPr>
          <w:spacing w:val="-3"/>
          <w:w w:val="100"/>
        </w:rPr>
        <w:t>权</w:t>
      </w:r>
      <w:r>
        <w:rPr>
          <w:w w:val="100"/>
        </w:rPr>
        <w:t>要求</w:t>
      </w:r>
      <w:r>
        <w:rPr>
          <w:spacing w:val="-3"/>
          <w:w w:val="100"/>
        </w:rPr>
        <w:t>公</w:t>
      </w:r>
      <w:r>
        <w:rPr>
          <w:w w:val="100"/>
        </w:rPr>
        <w:t>司</w:t>
      </w:r>
      <w:r>
        <w:rPr>
          <w:spacing w:val="-3"/>
          <w:w w:val="100"/>
        </w:rPr>
        <w:t>通</w:t>
      </w:r>
      <w:r>
        <w:rPr>
          <w:w w:val="100"/>
        </w:rPr>
        <w:t>过</w:t>
      </w:r>
      <w:r>
        <w:rPr>
          <w:spacing w:val="-3"/>
          <w:w w:val="100"/>
        </w:rPr>
        <w:t>支</w:t>
      </w:r>
      <w:r>
        <w:rPr>
          <w:w w:val="100"/>
        </w:rPr>
        <w:t>付</w:t>
      </w:r>
      <w:r>
        <w:rPr>
          <w:spacing w:val="-3"/>
          <w:w w:val="100"/>
        </w:rPr>
        <w:t>现</w:t>
      </w:r>
      <w:r>
        <w:rPr>
          <w:w w:val="100"/>
        </w:rPr>
        <w:t>金</w:t>
      </w:r>
      <w:r>
        <w:rPr>
          <w:spacing w:val="-3"/>
          <w:w w:val="100"/>
        </w:rPr>
        <w:t>方</w:t>
      </w:r>
      <w:r>
        <w:rPr>
          <w:w w:val="100"/>
        </w:rPr>
        <w:t>式补</w:t>
      </w:r>
      <w:r>
        <w:rPr>
          <w:spacing w:val="-3"/>
          <w:w w:val="100"/>
        </w:rPr>
        <w:t>足</w:t>
      </w:r>
      <w:r>
        <w:rPr>
          <w:w w:val="100"/>
        </w:rPr>
        <w:t>，</w:t>
      </w:r>
      <w:r>
        <w:rPr>
          <w:spacing w:val="-3"/>
          <w:w w:val="100"/>
        </w:rPr>
        <w:t>补</w:t>
      </w:r>
      <w:r>
        <w:rPr>
          <w:w w:val="100"/>
        </w:rPr>
        <w:t>偿</w:t>
      </w:r>
      <w:r>
        <w:rPr>
          <w:spacing w:val="-3"/>
          <w:w w:val="100"/>
        </w:rPr>
        <w:t>每年</w:t>
      </w:r>
      <w:r>
        <w:rPr>
          <w:w w:val="100"/>
        </w:rPr>
        <w:t>结</w:t>
      </w:r>
    </w:p>
    <w:p>
      <w:pPr>
        <w:pStyle w:val="BodyText"/>
        <w:spacing w:line="286" w:lineRule="exact"/>
        <w:ind w:left="138" w:right="102"/>
        <w:jc w:val="left"/>
      </w:pPr>
      <w:r>
        <w:rPr>
          <w:spacing w:val="-5"/>
        </w:rPr>
        <w:t>算，三年（</w:t>
      </w:r>
      <w:r>
        <w:rPr>
          <w:rFonts w:ascii="Calibri" w:hAnsi="Calibri" w:cs="Calibri" w:eastAsia="Calibri" w:hint="default"/>
          <w:spacing w:val="-5"/>
        </w:rPr>
        <w:t>2017</w:t>
      </w:r>
      <w:r>
        <w:rPr>
          <w:rFonts w:ascii="Calibri" w:hAnsi="Calibri" w:cs="Calibri" w:eastAsia="Calibri" w:hint="default"/>
          <w:spacing w:val="17"/>
        </w:rPr>
        <w:t> </w:t>
      </w:r>
      <w:r>
        <w:rPr/>
        <w:t>年度至</w:t>
      </w:r>
      <w:r>
        <w:rPr>
          <w:spacing w:val="-41"/>
        </w:rPr>
        <w:t> </w:t>
      </w:r>
      <w:r>
        <w:rPr>
          <w:rFonts w:ascii="Calibri" w:hAnsi="Calibri" w:cs="Calibri" w:eastAsia="Calibri" w:hint="default"/>
        </w:rPr>
        <w:t>2019</w:t>
      </w:r>
      <w:r>
        <w:rPr>
          <w:rFonts w:ascii="Calibri" w:hAnsi="Calibri" w:cs="Calibri" w:eastAsia="Calibri" w:hint="default"/>
          <w:spacing w:val="14"/>
        </w:rPr>
        <w:t> </w:t>
      </w:r>
      <w:r>
        <w:rPr>
          <w:spacing w:val="-3"/>
        </w:rPr>
        <w:t>年度）累计补偿金额以此次投资款</w:t>
      </w:r>
      <w:r>
        <w:rPr>
          <w:spacing w:val="-42"/>
        </w:rPr>
        <w:t> </w:t>
      </w:r>
      <w:r>
        <w:rPr>
          <w:rFonts w:ascii="Calibri" w:hAnsi="Calibri" w:cs="Calibri" w:eastAsia="Calibri" w:hint="default"/>
        </w:rPr>
        <w:t>8000</w:t>
      </w:r>
      <w:r>
        <w:rPr>
          <w:rFonts w:ascii="Calibri" w:hAnsi="Calibri" w:cs="Calibri" w:eastAsia="Calibri" w:hint="default"/>
          <w:spacing w:val="14"/>
        </w:rPr>
        <w:t> </w:t>
      </w:r>
      <w:r>
        <w:rPr>
          <w:spacing w:val="-3"/>
        </w:rPr>
        <w:t>万元为上限，现金补偿金额</w:t>
      </w:r>
    </w:p>
    <w:p>
      <w:pPr>
        <w:spacing w:after="0" w:line="286" w:lineRule="exact"/>
        <w:jc w:val="left"/>
        <w:sectPr>
          <w:type w:val="continuous"/>
          <w:pgSz w:w="11910" w:h="16840"/>
          <w:pgMar w:top="1580" w:bottom="280" w:left="1660" w:right="1060"/>
        </w:sectPr>
      </w:pPr>
    </w:p>
    <w:p>
      <w:pPr>
        <w:spacing w:line="240" w:lineRule="auto" w:before="4"/>
        <w:rPr>
          <w:rFonts w:ascii="宋体" w:hAnsi="宋体" w:cs="宋体" w:eastAsia="宋体" w:hint="default"/>
          <w:sz w:val="23"/>
          <w:szCs w:val="23"/>
        </w:rPr>
      </w:pPr>
    </w:p>
    <w:p>
      <w:pPr>
        <w:pStyle w:val="BodyText"/>
        <w:spacing w:line="288" w:lineRule="exact" w:before="36"/>
        <w:ind w:left="138" w:right="102"/>
        <w:jc w:val="left"/>
      </w:pPr>
      <w:r>
        <w:rPr>
          <w:rFonts w:ascii="Calibri" w:hAnsi="Calibri" w:cs="Calibri" w:eastAsia="Calibri" w:hint="default"/>
        </w:rPr>
        <w:t>=</w:t>
      </w:r>
      <w:r>
        <w:rPr/>
        <w:t>当年承诺净利润</w:t>
      </w:r>
      <w:r>
        <w:rPr>
          <w:rFonts w:ascii="Calibri" w:hAnsi="Calibri" w:cs="Calibri" w:eastAsia="Calibri" w:hint="default"/>
        </w:rPr>
        <w:t>-</w:t>
      </w:r>
      <w:r>
        <w:rPr/>
        <w:t>当年扣非净利润。</w:t>
      </w:r>
    </w:p>
    <w:p>
      <w:pPr>
        <w:pStyle w:val="BodyText"/>
        <w:spacing w:line="272" w:lineRule="exact"/>
        <w:ind w:left="138" w:right="0"/>
        <w:jc w:val="left"/>
      </w:pPr>
      <w:r>
        <w:rPr/>
        <w:t>如果福建南威在</w:t>
      </w:r>
      <w:r>
        <w:rPr>
          <w:spacing w:val="-56"/>
        </w:rPr>
        <w:t> </w:t>
      </w:r>
      <w:r>
        <w:rPr>
          <w:rFonts w:ascii="Calibri" w:hAnsi="Calibri" w:cs="Calibri" w:eastAsia="Calibri" w:hint="default"/>
        </w:rPr>
        <w:t>2019</w:t>
      </w:r>
      <w:r>
        <w:rPr>
          <w:rFonts w:ascii="Calibri" w:hAnsi="Calibri" w:cs="Calibri" w:eastAsia="Calibri" w:hint="default"/>
          <w:spacing w:val="3"/>
        </w:rPr>
        <w:t> </w:t>
      </w:r>
      <w:r>
        <w:rPr/>
        <w:t>年</w:t>
      </w:r>
      <w:r>
        <w:rPr>
          <w:spacing w:val="-53"/>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2"/>
        </w:rPr>
        <w:t> </w:t>
      </w:r>
      <w:r>
        <w:rPr/>
        <w:t>日仍未实现在中国境内公开发行股票和上市，但实现经营目标，</w:t>
      </w:r>
    </w:p>
    <w:p>
      <w:pPr>
        <w:pStyle w:val="BodyText"/>
        <w:spacing w:line="228" w:lineRule="auto"/>
        <w:ind w:left="138" w:right="208"/>
        <w:jc w:val="both"/>
      </w:pPr>
      <w:r>
        <w:rPr>
          <w:spacing w:val="-4"/>
        </w:rPr>
        <w:t>福建省电子信息集团有权于最后一个年度（</w:t>
      </w:r>
      <w:r>
        <w:rPr>
          <w:rFonts w:ascii="Calibri" w:hAnsi="Calibri" w:cs="Calibri" w:eastAsia="Calibri" w:hint="default"/>
          <w:spacing w:val="-4"/>
        </w:rPr>
        <w:t>2019</w:t>
      </w:r>
      <w:r>
        <w:rPr>
          <w:rFonts w:ascii="Calibri" w:hAnsi="Calibri" w:cs="Calibri" w:eastAsia="Calibri" w:hint="default"/>
          <w:spacing w:val="18"/>
        </w:rPr>
        <w:t> </w:t>
      </w:r>
      <w:r>
        <w:rPr>
          <w:spacing w:val="-6"/>
        </w:rPr>
        <w:t>年度）审计报告出具之日起第</w:t>
      </w:r>
      <w:r>
        <w:rPr>
          <w:spacing w:val="-40"/>
        </w:rPr>
        <w:t> </w:t>
      </w:r>
      <w:r>
        <w:rPr>
          <w:rFonts w:ascii="Calibri" w:hAnsi="Calibri" w:cs="Calibri" w:eastAsia="Calibri" w:hint="default"/>
        </w:rPr>
        <w:t>10</w:t>
      </w:r>
      <w:r>
        <w:rPr>
          <w:rFonts w:ascii="Calibri" w:hAnsi="Calibri" w:cs="Calibri" w:eastAsia="Calibri" w:hint="default"/>
          <w:spacing w:val="15"/>
        </w:rPr>
        <w:t> </w:t>
      </w:r>
      <w:r>
        <w:rPr/>
        <w:t>个工作日后</w:t>
      </w:r>
      <w:r>
        <w:rPr>
          <w:spacing w:val="-41"/>
        </w:rPr>
        <w:t> </w:t>
      </w:r>
      <w:r>
        <w:rPr>
          <w:rFonts w:ascii="Calibri" w:hAnsi="Calibri" w:cs="Calibri" w:eastAsia="Calibri" w:hint="default"/>
          <w:spacing w:val="-2"/>
        </w:rPr>
        <w:t>180</w:t>
      </w:r>
      <w:r>
        <w:rPr>
          <w:rFonts w:ascii="Calibri" w:hAnsi="Calibri" w:cs="Calibri" w:eastAsia="Calibri" w:hint="default"/>
          <w:spacing w:val="-42"/>
        </w:rPr>
        <w:t> </w:t>
      </w:r>
      <w:r>
        <w:rPr>
          <w:spacing w:val="-1"/>
        </w:rPr>
        <w:t>天内，要求公司通过现金或发行股份的方式，回购（收购）福建省电子信息集团所持有的福建南</w:t>
      </w:r>
      <w:r>
        <w:rPr>
          <w:spacing w:val="-55"/>
        </w:rPr>
        <w:t> </w:t>
      </w:r>
      <w:r>
        <w:rPr>
          <w:spacing w:val="-55"/>
        </w:rPr>
      </w:r>
      <w:r>
        <w:rPr/>
        <w:t>威全部股权，福建省电子信息集团可根据实际情况选择回购（收购）方式。</w:t>
      </w:r>
    </w:p>
    <w:p>
      <w:pPr>
        <w:pStyle w:val="BodyText"/>
        <w:spacing w:line="230" w:lineRule="auto" w:before="10"/>
        <w:ind w:left="138" w:right="102"/>
        <w:jc w:val="left"/>
      </w:pPr>
      <w:r>
        <w:rPr>
          <w:spacing w:val="-2"/>
          <w:w w:val="100"/>
        </w:rPr>
        <w:t>如果福建南威在</w:t>
      </w:r>
      <w:r>
        <w:rPr>
          <w:spacing w:val="-70"/>
          <w:w w:val="100"/>
        </w:rPr>
        <w:t> </w:t>
      </w:r>
      <w:r>
        <w:rPr>
          <w:rFonts w:ascii="Calibri" w:hAnsi="Calibri" w:cs="Calibri" w:eastAsia="Calibri" w:hint="default"/>
          <w:spacing w:val="-2"/>
          <w:w w:val="100"/>
        </w:rPr>
        <w:t>2019</w:t>
      </w:r>
      <w:r>
        <w:rPr>
          <w:rFonts w:ascii="Calibri" w:hAnsi="Calibri" w:cs="Calibri" w:eastAsia="Calibri" w:hint="default"/>
          <w:spacing w:val="-10"/>
          <w:w w:val="100"/>
        </w:rPr>
        <w:t> </w:t>
      </w:r>
      <w:r>
        <w:rPr>
          <w:w w:val="100"/>
        </w:rPr>
        <w:t>年</w:t>
      </w:r>
      <w:r>
        <w:rPr>
          <w:spacing w:val="-71"/>
          <w:w w:val="100"/>
        </w:rPr>
        <w:t> </w:t>
      </w:r>
      <w:r>
        <w:rPr>
          <w:rFonts w:ascii="Calibri" w:hAnsi="Calibri" w:cs="Calibri" w:eastAsia="Calibri" w:hint="default"/>
          <w:spacing w:val="-1"/>
          <w:w w:val="100"/>
        </w:rPr>
        <w:t>12</w:t>
      </w:r>
      <w:r>
        <w:rPr>
          <w:rFonts w:ascii="Calibri" w:hAnsi="Calibri" w:cs="Calibri" w:eastAsia="Calibri" w:hint="default"/>
          <w:spacing w:val="-13"/>
          <w:w w:val="100"/>
        </w:rPr>
        <w:t> </w:t>
      </w:r>
      <w:r>
        <w:rPr>
          <w:w w:val="100"/>
        </w:rPr>
        <w:t>月</w:t>
      </w:r>
      <w:r>
        <w:rPr>
          <w:spacing w:val="-69"/>
          <w:w w:val="100"/>
        </w:rPr>
        <w:t> </w:t>
      </w:r>
      <w:r>
        <w:rPr>
          <w:rFonts w:ascii="Calibri" w:hAnsi="Calibri" w:cs="Calibri" w:eastAsia="Calibri" w:hint="default"/>
          <w:spacing w:val="-1"/>
          <w:w w:val="100"/>
        </w:rPr>
        <w:t>31</w:t>
      </w:r>
      <w:r>
        <w:rPr>
          <w:rFonts w:ascii="Calibri" w:hAnsi="Calibri" w:cs="Calibri" w:eastAsia="Calibri" w:hint="default"/>
          <w:spacing w:val="-13"/>
          <w:w w:val="100"/>
        </w:rPr>
        <w:t> </w:t>
      </w:r>
      <w:r>
        <w:rPr>
          <w:spacing w:val="-5"/>
          <w:w w:val="100"/>
        </w:rPr>
        <w:t>日仍未实现在中国境内公开发行股票和上市，且未实现经营目标，</w:t>
      </w:r>
      <w:r>
        <w:rPr>
          <w:w w:val="100"/>
        </w:rPr>
        <w:t> </w:t>
      </w:r>
      <w:r>
        <w:rPr/>
        <w:t>福建省电子信息集团可以选择要求公司全部回购甲方所持标的公司的股权。</w:t>
      </w:r>
      <w:r>
        <w:rPr>
          <w:w w:val="100"/>
        </w:rPr>
        <w:t> </w:t>
      </w:r>
      <w:r>
        <w:rPr/>
        <w:t>根据业绩承诺及项目退出条款，公司认为福建南威此次增资扩股款作为本公司长期应付款，同时</w:t>
      </w:r>
      <w:r>
        <w:rPr>
          <w:spacing w:val="-97"/>
        </w:rPr>
        <w:t> </w:t>
      </w:r>
      <w:r>
        <w:rPr>
          <w:spacing w:val="-97"/>
        </w:rPr>
      </w:r>
      <w:r>
        <w:rPr/>
        <w:t>并计提相应的利息。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left="138" w:right="102"/>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9"/>
        <w:ind w:left="138" w:right="102"/>
        <w:jc w:val="left"/>
      </w:pPr>
      <w:r>
        <w:rPr/>
        <w:t>□适用</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02"/>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tabs>
          <w:tab w:pos="980" w:val="left" w:leader="none"/>
        </w:tabs>
        <w:spacing w:line="240" w:lineRule="auto" w:before="58"/>
        <w:ind w:left="138" w:right="102"/>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02"/>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tabs>
          <w:tab w:pos="980" w:val="left" w:leader="none"/>
        </w:tabs>
        <w:spacing w:line="240" w:lineRule="auto" w:before="56"/>
        <w:ind w:left="138" w:right="102"/>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660" w:right="1060"/>
        </w:sectPr>
      </w:pPr>
    </w:p>
    <w:p>
      <w:pPr>
        <w:spacing w:line="290" w:lineRule="auto" w:before="36"/>
        <w:ind w:left="138" w:right="421"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83" w:val="left" w:leader="none"/>
        </w:tabs>
        <w:spacing w:line="230" w:lineRule="exact"/>
        <w:ind w:left="138"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060"/>
          <w:cols w:num="2" w:equalWidth="0">
            <w:col w:w="1927" w:space="4806"/>
            <w:col w:w="24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574,166.67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Times New Roman" w:hAnsi="Times New Roman" w:cs="Times New Roman" w:eastAsia="Times New Roman" w:hint="default"/>
                <w:sz w:val="21"/>
                <w:szCs w:val="21"/>
              </w:rPr>
            </w:pPr>
            <w:r>
              <w:rPr>
                <w:rFonts w:ascii="Times New Roman"/>
                <w:sz w:val="21"/>
              </w:rPr>
              <w:t>6,725,032.67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0" w:right="0"/>
              <w:jc w:val="left"/>
              <w:rPr>
                <w:rFonts w:ascii="Times New Roman" w:hAnsi="Times New Roman" w:cs="Times New Roman" w:eastAsia="Times New Roman" w:hint="default"/>
                <w:sz w:val="21"/>
                <w:szCs w:val="21"/>
              </w:rPr>
            </w:pPr>
            <w:r>
              <w:rPr>
                <w:rFonts w:ascii="Times New Roman"/>
                <w:sz w:val="21"/>
              </w:rPr>
              <w:t>3,999,134.00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政府拨款</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574,166.67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Times New Roman" w:hAnsi="Times New Roman" w:cs="Times New Roman" w:eastAsia="Times New Roman" w:hint="default"/>
                <w:sz w:val="21"/>
                <w:szCs w:val="21"/>
              </w:rPr>
            </w:pPr>
            <w:r>
              <w:rPr>
                <w:rFonts w:ascii="Times New Roman"/>
                <w:sz w:val="21"/>
              </w:rPr>
              <w:t>6,725,032.67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0" w:right="0"/>
              <w:jc w:val="left"/>
              <w:rPr>
                <w:rFonts w:ascii="Times New Roman" w:hAnsi="Times New Roman" w:cs="Times New Roman" w:eastAsia="Times New Roman" w:hint="default"/>
                <w:sz w:val="21"/>
                <w:szCs w:val="21"/>
              </w:rPr>
            </w:pPr>
            <w:r>
              <w:rPr>
                <w:rFonts w:ascii="Times New Roman"/>
                <w:sz w:val="21"/>
              </w:rPr>
              <w:t>3,999,134.00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660" w:right="1060"/>
        </w:sectPr>
      </w:pPr>
    </w:p>
    <w:p>
      <w:pPr>
        <w:pStyle w:val="BodyText"/>
        <w:spacing w:line="240" w:lineRule="auto" w:before="36"/>
        <w:ind w:left="138" w:right="0"/>
        <w:jc w:val="left"/>
      </w:pPr>
      <w:r>
        <w:rPr>
          <w:spacing w:val="-2"/>
        </w:rPr>
        <w:t>涉及政府补助的项目：</w:t>
      </w:r>
    </w:p>
    <w:p>
      <w:pPr>
        <w:pStyle w:val="BodyText"/>
        <w:tabs>
          <w:tab w:pos="874" w:val="left" w:leader="none"/>
        </w:tabs>
        <w:spacing w:line="240" w:lineRule="auto" w:before="56"/>
        <w:ind w:left="138"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5"/>
        <w:ind w:left="138" w:right="0"/>
        <w:jc w:val="left"/>
      </w:pPr>
      <w:r>
        <w:rPr/>
        <w:t>单位：元币种：人民币</w:t>
      </w:r>
    </w:p>
    <w:p>
      <w:pPr>
        <w:spacing w:after="0" w:line="240" w:lineRule="auto"/>
        <w:jc w:val="left"/>
        <w:sectPr>
          <w:type w:val="continuous"/>
          <w:pgSz w:w="11910" w:h="16840"/>
          <w:pgMar w:top="1580" w:bottom="280" w:left="1660" w:right="1060"/>
          <w:cols w:num="2" w:equalWidth="0">
            <w:col w:w="2241" w:space="4492"/>
            <w:col w:w="2457"/>
          </w:cols>
        </w:sectPr>
      </w:pPr>
    </w:p>
    <w:p>
      <w:pPr>
        <w:spacing w:line="240" w:lineRule="auto" w:before="1"/>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126"/>
        <w:gridCol w:w="1119"/>
        <w:gridCol w:w="1438"/>
        <w:gridCol w:w="1330"/>
        <w:gridCol w:w="1135"/>
        <w:gridCol w:w="1330"/>
        <w:gridCol w:w="1418"/>
      </w:tblGrid>
      <w:tr>
        <w:trPr>
          <w:trHeight w:val="554"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83" w:right="31" w:hanging="2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Calibri" w:hAnsi="Calibri" w:cs="Calibri" w:eastAsia="Calibri"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收益相关</w:t>
            </w:r>
          </w:p>
        </w:tc>
      </w:tr>
      <w:tr>
        <w:trPr>
          <w:trHeight w:val="191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省区域发展</w:t>
            </w:r>
          </w:p>
          <w:p>
            <w:pPr>
              <w:pStyle w:val="TableParagraph"/>
              <w:spacing w:line="272" w:lineRule="exact" w:before="27"/>
              <w:ind w:left="26" w:right="-10"/>
              <w:jc w:val="left"/>
              <w:rPr>
                <w:rFonts w:ascii="宋体" w:hAnsi="宋体" w:cs="宋体" w:eastAsia="宋体" w:hint="default"/>
                <w:sz w:val="21"/>
                <w:szCs w:val="21"/>
              </w:rPr>
            </w:pPr>
            <w:r>
              <w:rPr>
                <w:rFonts w:ascii="宋体" w:hAnsi="宋体" w:cs="宋体" w:eastAsia="宋体" w:hint="default"/>
                <w:spacing w:val="16"/>
                <w:sz w:val="21"/>
                <w:szCs w:val="21"/>
              </w:rPr>
              <w:t>项目</w:t>
            </w:r>
            <w:r>
              <w:rPr>
                <w:rFonts w:ascii="宋体" w:hAnsi="宋体" w:cs="宋体" w:eastAsia="宋体" w:hint="default"/>
                <w:spacing w:val="-68"/>
                <w:sz w:val="21"/>
                <w:szCs w:val="21"/>
              </w:rPr>
              <w:t> </w:t>
            </w:r>
            <w:r>
              <w:rPr>
                <w:rFonts w:ascii="Calibri" w:hAnsi="Calibri" w:cs="Calibri" w:eastAsia="Calibri" w:hint="default"/>
                <w:sz w:val="21"/>
                <w:szCs w:val="21"/>
              </w:rPr>
              <w:t>"</w:t>
            </w:r>
            <w:r>
              <w:rPr>
                <w:rFonts w:ascii="Calibri" w:hAnsi="Calibri" w:cs="Calibri" w:eastAsia="Calibri" w:hint="default"/>
                <w:spacing w:val="-13"/>
                <w:sz w:val="21"/>
                <w:szCs w:val="21"/>
              </w:rPr>
              <w:t> </w:t>
            </w:r>
            <w:r>
              <w:rPr>
                <w:rFonts w:ascii="宋体" w:hAnsi="宋体" w:cs="宋体" w:eastAsia="宋体" w:hint="default"/>
                <w:spacing w:val="16"/>
                <w:sz w:val="21"/>
                <w:szCs w:val="21"/>
              </w:rPr>
              <w:t>城市</w:t>
            </w:r>
            <w:r>
              <w:rPr>
                <w:rFonts w:ascii="宋体" w:hAnsi="宋体" w:cs="宋体" w:eastAsia="宋体" w:hint="default"/>
                <w:spacing w:val="-103"/>
                <w:sz w:val="21"/>
                <w:szCs w:val="21"/>
              </w:rPr>
              <w:t> </w:t>
            </w:r>
            <w:r>
              <w:rPr>
                <w:rFonts w:ascii="宋体" w:hAnsi="宋体" w:cs="宋体" w:eastAsia="宋体" w:hint="default"/>
                <w:sz w:val="21"/>
                <w:szCs w:val="21"/>
              </w:rPr>
              <w:t>智能交通物</w:t>
            </w:r>
          </w:p>
          <w:p>
            <w:pPr>
              <w:pStyle w:val="TableParagraph"/>
              <w:spacing w:line="272" w:lineRule="exact" w:before="1"/>
              <w:ind w:left="26" w:right="19"/>
              <w:jc w:val="left"/>
              <w:rPr>
                <w:rFonts w:ascii="宋体" w:hAnsi="宋体" w:cs="宋体" w:eastAsia="宋体" w:hint="default"/>
                <w:sz w:val="21"/>
                <w:szCs w:val="21"/>
              </w:rPr>
            </w:pPr>
            <w:r>
              <w:rPr>
                <w:rFonts w:ascii="宋体" w:hAnsi="宋体" w:cs="宋体" w:eastAsia="宋体" w:hint="default"/>
                <w:sz w:val="21"/>
                <w:szCs w:val="21"/>
              </w:rPr>
              <w:t>联网即插即</w:t>
            </w:r>
            <w:r>
              <w:rPr>
                <w:rFonts w:ascii="宋体" w:hAnsi="宋体" w:cs="宋体" w:eastAsia="宋体" w:hint="default"/>
                <w:spacing w:val="-90"/>
                <w:sz w:val="21"/>
                <w:szCs w:val="21"/>
              </w:rPr>
              <w:t> </w:t>
            </w:r>
            <w:r>
              <w:rPr>
                <w:rFonts w:ascii="宋体" w:hAnsi="宋体" w:cs="宋体" w:eastAsia="宋体" w:hint="default"/>
                <w:sz w:val="21"/>
                <w:szCs w:val="21"/>
              </w:rPr>
              <w:t>用式智能接</w:t>
            </w:r>
          </w:p>
          <w:p>
            <w:pPr>
              <w:pStyle w:val="TableParagraph"/>
              <w:spacing w:line="272" w:lineRule="exact" w:before="1"/>
              <w:ind w:left="26" w:right="19"/>
              <w:jc w:val="left"/>
              <w:rPr>
                <w:rFonts w:ascii="Calibri" w:hAnsi="Calibri" w:cs="Calibri" w:eastAsia="Calibri" w:hint="default"/>
                <w:sz w:val="21"/>
                <w:szCs w:val="21"/>
              </w:rPr>
            </w:pPr>
            <w:r>
              <w:rPr>
                <w:rFonts w:ascii="宋体" w:hAnsi="宋体" w:cs="宋体" w:eastAsia="宋体" w:hint="default"/>
                <w:sz w:val="21"/>
                <w:szCs w:val="21"/>
              </w:rPr>
              <w:t>口研发与应</w:t>
            </w:r>
            <w:r>
              <w:rPr>
                <w:rFonts w:ascii="宋体" w:hAnsi="宋体" w:cs="宋体" w:eastAsia="宋体" w:hint="default"/>
                <w:spacing w:val="-90"/>
                <w:sz w:val="21"/>
                <w:szCs w:val="21"/>
              </w:rPr>
              <w:t> </w:t>
            </w:r>
            <w:r>
              <w:rPr>
                <w:rFonts w:ascii="宋体" w:hAnsi="宋体" w:cs="宋体" w:eastAsia="宋体" w:hint="default"/>
                <w:sz w:val="21"/>
                <w:szCs w:val="21"/>
              </w:rPr>
              <w:t>用示范</w:t>
            </w:r>
            <w:r>
              <w:rPr>
                <w:rFonts w:ascii="Calibri" w:hAnsi="Calibri" w:cs="Calibri" w:eastAsia="Calibri"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125,000.00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125,000.00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4" w:right="22"/>
              <w:jc w:val="left"/>
              <w:rPr>
                <w:rFonts w:ascii="宋体" w:hAnsi="宋体" w:cs="宋体" w:eastAsia="宋体" w:hint="default"/>
                <w:sz w:val="21"/>
                <w:szCs w:val="21"/>
              </w:rPr>
            </w:pPr>
            <w:r>
              <w:rPr>
                <w:rFonts w:ascii="宋体" w:hAnsi="宋体" w:cs="宋体" w:eastAsia="宋体" w:hint="default"/>
                <w:spacing w:val="14"/>
                <w:sz w:val="21"/>
                <w:szCs w:val="21"/>
              </w:rPr>
              <w:t>与日常活动相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关</w:t>
            </w:r>
          </w:p>
        </w:tc>
      </w:tr>
      <w:tr>
        <w:trPr>
          <w:trHeight w:val="1099"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视频图像分</w:t>
            </w:r>
          </w:p>
          <w:p>
            <w:pPr>
              <w:pStyle w:val="TableParagraph"/>
              <w:spacing w:line="237" w:lineRule="auto"/>
              <w:ind w:left="26" w:right="19"/>
              <w:jc w:val="both"/>
              <w:rPr>
                <w:rFonts w:ascii="宋体" w:hAnsi="宋体" w:cs="宋体" w:eastAsia="宋体" w:hint="default"/>
                <w:sz w:val="21"/>
                <w:szCs w:val="21"/>
              </w:rPr>
            </w:pPr>
            <w:r>
              <w:rPr>
                <w:rFonts w:ascii="宋体" w:hAnsi="宋体" w:cs="宋体" w:eastAsia="宋体" w:hint="default"/>
                <w:sz w:val="21"/>
                <w:szCs w:val="21"/>
              </w:rPr>
              <w:t>布式联网与</w:t>
            </w:r>
            <w:r>
              <w:rPr>
                <w:rFonts w:ascii="宋体" w:hAnsi="宋体" w:cs="宋体" w:eastAsia="宋体" w:hint="default"/>
                <w:spacing w:val="-90"/>
                <w:sz w:val="21"/>
                <w:szCs w:val="21"/>
              </w:rPr>
              <w:t> </w:t>
            </w:r>
            <w:r>
              <w:rPr>
                <w:rFonts w:ascii="宋体" w:hAnsi="宋体" w:cs="宋体" w:eastAsia="宋体" w:hint="default"/>
                <w:sz w:val="21"/>
                <w:szCs w:val="21"/>
              </w:rPr>
              <w:t>智能化应用</w:t>
            </w:r>
            <w:r>
              <w:rPr>
                <w:rFonts w:ascii="宋体" w:hAnsi="宋体" w:cs="宋体" w:eastAsia="宋体" w:hint="default"/>
                <w:spacing w:val="-90"/>
                <w:sz w:val="21"/>
                <w:szCs w:val="21"/>
              </w:rPr>
              <w:t> </w:t>
            </w:r>
            <w:r>
              <w:rPr>
                <w:rFonts w:ascii="宋体" w:hAnsi="宋体" w:cs="宋体" w:eastAsia="宋体" w:hint="default"/>
                <w:sz w:val="21"/>
                <w:szCs w:val="21"/>
              </w:rPr>
              <w:t>平台</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2"/>
              <w:jc w:val="right"/>
              <w:rPr>
                <w:rFonts w:ascii="Times New Roman" w:hAnsi="Times New Roman" w:cs="Times New Roman" w:eastAsia="Times New Roman" w:hint="default"/>
                <w:sz w:val="21"/>
                <w:szCs w:val="21"/>
              </w:rPr>
            </w:pPr>
            <w:r>
              <w:rPr>
                <w:rFonts w:ascii="Times New Roman"/>
                <w:spacing w:val="-1"/>
                <w:sz w:val="21"/>
              </w:rPr>
              <w:t>449,166.67</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2"/>
              <w:jc w:val="right"/>
              <w:rPr>
                <w:rFonts w:ascii="Times New Roman" w:hAnsi="Times New Roman" w:cs="Times New Roman" w:eastAsia="Times New Roman" w:hint="default"/>
                <w:sz w:val="21"/>
                <w:szCs w:val="21"/>
              </w:rPr>
            </w:pPr>
            <w:r>
              <w:rPr>
                <w:rFonts w:ascii="Times New Roman"/>
                <w:spacing w:val="-2"/>
                <w:sz w:val="21"/>
              </w:rPr>
              <w:t>110,000.00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2"/>
              <w:jc w:val="right"/>
              <w:rPr>
                <w:rFonts w:ascii="Times New Roman" w:hAnsi="Times New Roman" w:cs="Times New Roman" w:eastAsia="Times New Roman" w:hint="default"/>
                <w:sz w:val="21"/>
                <w:szCs w:val="21"/>
              </w:rPr>
            </w:pPr>
            <w:r>
              <w:rPr>
                <w:rFonts w:ascii="Times New Roman"/>
                <w:spacing w:val="-1"/>
                <w:sz w:val="21"/>
              </w:rPr>
              <w:t>339,166.67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Calibri" w:hAnsi="Calibri" w:cs="Calibri" w:eastAsia="Calibri" w:hint="default"/>
                <w:sz w:val="21"/>
                <w:szCs w:val="21"/>
              </w:rPr>
              <w:t>12358 </w:t>
            </w:r>
            <w:r>
              <w:rPr>
                <w:rFonts w:ascii="Calibri" w:hAnsi="Calibri" w:cs="Calibri" w:eastAsia="Calibri" w:hint="default"/>
                <w:spacing w:val="15"/>
                <w:sz w:val="21"/>
                <w:szCs w:val="21"/>
              </w:rPr>
              <w:t> </w:t>
            </w:r>
            <w:r>
              <w:rPr>
                <w:rFonts w:ascii="宋体" w:hAnsi="宋体" w:cs="宋体" w:eastAsia="宋体" w:hint="default"/>
                <w:sz w:val="21"/>
                <w:szCs w:val="21"/>
              </w:rPr>
              <w:t>大数</w:t>
            </w:r>
          </w:p>
          <w:p>
            <w:pPr>
              <w:pStyle w:val="TableParagraph"/>
              <w:spacing w:line="274" w:lineRule="exact" w:before="11"/>
              <w:ind w:left="26" w:right="19"/>
              <w:jc w:val="left"/>
              <w:rPr>
                <w:rFonts w:ascii="宋体" w:hAnsi="宋体" w:cs="宋体" w:eastAsia="宋体" w:hint="default"/>
                <w:sz w:val="21"/>
                <w:szCs w:val="21"/>
              </w:rPr>
            </w:pPr>
            <w:r>
              <w:rPr>
                <w:rFonts w:ascii="宋体" w:hAnsi="宋体" w:cs="宋体" w:eastAsia="宋体" w:hint="default"/>
                <w:sz w:val="21"/>
                <w:szCs w:val="21"/>
              </w:rPr>
              <w:t>据公共服务</w:t>
            </w:r>
            <w:r>
              <w:rPr>
                <w:rFonts w:ascii="宋体" w:hAnsi="宋体" w:cs="宋体" w:eastAsia="宋体" w:hint="default"/>
                <w:spacing w:val="-90"/>
                <w:sz w:val="21"/>
                <w:szCs w:val="21"/>
              </w:rPr>
              <w:t> </w:t>
            </w:r>
            <w:r>
              <w:rPr>
                <w:rFonts w:ascii="宋体" w:hAnsi="宋体" w:cs="宋体" w:eastAsia="宋体" w:hint="default"/>
                <w:sz w:val="21"/>
                <w:szCs w:val="21"/>
              </w:rPr>
              <w:t>平台</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10,000,000.00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6,470,588.23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3,529,411.77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auto"/>
        <w:jc w:val="left"/>
        <w:rPr>
          <w:rFonts w:ascii="宋体" w:hAnsi="宋体" w:cs="宋体" w:eastAsia="宋体" w:hint="default"/>
          <w:sz w:val="21"/>
          <w:szCs w:val="21"/>
        </w:rPr>
        <w:sectPr>
          <w:type w:val="continuous"/>
          <w:pgSz w:w="11910" w:h="16840"/>
          <w:pgMar w:top="1580" w:bottom="280" w:left="1660" w:right="1060"/>
        </w:sectPr>
      </w:pPr>
    </w:p>
    <w:p>
      <w:pPr>
        <w:spacing w:line="240" w:lineRule="auto" w:before="8"/>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126"/>
        <w:gridCol w:w="1119"/>
        <w:gridCol w:w="1438"/>
        <w:gridCol w:w="1330"/>
        <w:gridCol w:w="1135"/>
        <w:gridCol w:w="1330"/>
        <w:gridCol w:w="1418"/>
      </w:tblGrid>
      <w:tr>
        <w:trPr>
          <w:trHeight w:val="55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智慧社区服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务管理平台</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19,444.44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130,555.56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574,166.67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10,150,000.00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6,725,032.67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3,999,134.00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right="2513"/>
        <w:jc w:val="left"/>
      </w:pPr>
      <w:r>
        <w:rPr/>
        <w:t>其他说明：</w:t>
      </w:r>
    </w:p>
    <w:p>
      <w:pPr>
        <w:pStyle w:val="BodyText"/>
        <w:tabs>
          <w:tab w:pos="1060" w:val="left" w:leader="none"/>
        </w:tabs>
        <w:spacing w:line="240" w:lineRule="auto" w:before="56"/>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6"/>
          <w:szCs w:val="26"/>
        </w:rPr>
      </w:pPr>
    </w:p>
    <w:p>
      <w:pPr>
        <w:pStyle w:val="Heading3"/>
        <w:spacing w:line="240" w:lineRule="auto"/>
        <w:ind w:right="2513"/>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60" w:val="left" w:leader="none"/>
        </w:tabs>
        <w:spacing w:line="240" w:lineRule="auto" w:before="57"/>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
        <w:gridCol w:w="1258"/>
        <w:gridCol w:w="1155"/>
        <w:gridCol w:w="425"/>
        <w:gridCol w:w="1522"/>
        <w:gridCol w:w="1224"/>
        <w:gridCol w:w="1520"/>
        <w:gridCol w:w="1519"/>
      </w:tblGrid>
      <w:tr>
        <w:trPr>
          <w:trHeight w:val="283" w:hRule="exact"/>
        </w:trPr>
        <w:tc>
          <w:tcPr>
            <w:tcW w:w="427" w:type="dxa"/>
            <w:vMerge w:val="restart"/>
            <w:tcBorders>
              <w:top w:val="single" w:sz="4" w:space="0" w:color="000000"/>
              <w:left w:val="single" w:sz="4" w:space="0" w:color="000000"/>
              <w:right w:val="single" w:sz="4" w:space="0" w:color="000000"/>
            </w:tcBorders>
          </w:tcPr>
          <w:p>
            <w:pPr/>
          </w:p>
        </w:tc>
        <w:tc>
          <w:tcPr>
            <w:tcW w:w="12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8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81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Calibri" w:hAnsi="Calibri" w:cs="Calibri" w:eastAsia="Calibri" w:hint="default"/>
                <w:sz w:val="21"/>
                <w:szCs w:val="21"/>
              </w:rPr>
              <w:t>+</w:t>
            </w:r>
            <w:r>
              <w:rPr>
                <w:rFonts w:ascii="宋体" w:hAnsi="宋体" w:cs="宋体" w:eastAsia="宋体" w:hint="default"/>
                <w:sz w:val="21"/>
                <w:szCs w:val="21"/>
              </w:rPr>
              <w:t>、一）</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427"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62"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362"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19" w:type="dxa"/>
            <w:vMerge/>
            <w:tcBorders>
              <w:left w:val="single" w:sz="4" w:space="0" w:color="000000"/>
              <w:bottom w:val="single" w:sz="4" w:space="0" w:color="000000"/>
              <w:right w:val="single" w:sz="4" w:space="0" w:color="000000"/>
            </w:tcBorders>
          </w:tcPr>
          <w:p>
            <w:pPr/>
          </w:p>
        </w:tc>
      </w:tr>
      <w:tr>
        <w:trPr>
          <w:trHeight w:val="1099"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101,707,88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525,000.0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305,123,640.0</w:t>
            </w:r>
          </w:p>
          <w:p>
            <w:pPr>
              <w:pStyle w:val="TableParagraph"/>
              <w:spacing w:line="240" w:lineRule="auto" w:before="1"/>
              <w:ind w:right="105"/>
              <w:jc w:val="right"/>
              <w:rPr>
                <w:rFonts w:ascii="Times New Roman" w:hAnsi="Times New Roman" w:cs="Times New Roman" w:eastAsia="Times New Roman" w:hint="default"/>
                <w:sz w:val="21"/>
                <w:szCs w:val="21"/>
              </w:rPr>
            </w:pPr>
            <w:r>
              <w:rPr>
                <w:rFonts w:ascii="Times New Roman"/>
                <w:w w:val="100"/>
                <w:sz w:val="21"/>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-258,720.0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305,389,920.0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407,097,800.0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
        <w:rPr>
          <w:rFonts w:ascii="宋体" w:hAnsi="宋体" w:cs="宋体" w:eastAsia="宋体" w:hint="default"/>
          <w:sz w:val="5"/>
          <w:szCs w:val="5"/>
        </w:rPr>
      </w:pPr>
    </w:p>
    <w:p>
      <w:pPr>
        <w:pStyle w:val="BodyText"/>
        <w:spacing w:line="240" w:lineRule="auto" w:before="36"/>
        <w:ind w:left="638" w:right="2513"/>
        <w:jc w:val="left"/>
      </w:pPr>
      <w:r>
        <w:rPr/>
        <w:t>其他说明：</w:t>
      </w:r>
    </w:p>
    <w:p>
      <w:pPr>
        <w:pStyle w:val="BodyText"/>
        <w:spacing w:line="240" w:lineRule="auto" w:before="145"/>
        <w:ind w:left="638" w:right="123"/>
        <w:jc w:val="left"/>
        <w:rPr>
          <w:rFonts w:ascii="Times New Roman" w:hAnsi="Times New Roman" w:cs="Times New Roman" w:eastAsia="Times New Roman" w:hint="default"/>
        </w:rPr>
      </w:pPr>
      <w:r>
        <w:rPr/>
        <w:t>注</w:t>
      </w:r>
      <w:r>
        <w:rPr>
          <w:spacing w:val="-42"/>
        </w:rPr>
        <w:t> </w:t>
      </w:r>
      <w:r>
        <w:rPr>
          <w:rFonts w:ascii="Times New Roman" w:hAnsi="Times New Roman" w:cs="Times New Roman" w:eastAsia="Times New Roman" w:hint="default"/>
        </w:rPr>
        <w:t>1</w:t>
      </w:r>
      <w:r>
        <w:rPr/>
        <w:t>：根据公司</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日召开的</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年年度股东大会审议通过的《关于公司</w:t>
      </w:r>
      <w:r>
        <w:rPr>
          <w:spacing w:val="-42"/>
        </w:rPr>
        <w:t> </w:t>
      </w:r>
      <w:r>
        <w:rPr>
          <w:rFonts w:ascii="Times New Roman" w:hAnsi="Times New Roman" w:cs="Times New Roman" w:eastAsia="Times New Roman" w:hint="default"/>
        </w:rPr>
        <w:t>2016</w:t>
      </w:r>
    </w:p>
    <w:p>
      <w:pPr>
        <w:pStyle w:val="BodyText"/>
        <w:spacing w:line="240" w:lineRule="auto" w:before="69"/>
        <w:ind w:right="123"/>
        <w:jc w:val="left"/>
      </w:pPr>
      <w:r>
        <w:rPr>
          <w:w w:val="100"/>
        </w:rPr>
        <w:t>年度</w:t>
      </w:r>
      <w:r>
        <w:rPr>
          <w:spacing w:val="-3"/>
          <w:w w:val="100"/>
        </w:rPr>
        <w:t>利</w:t>
      </w:r>
      <w:r>
        <w:rPr>
          <w:w w:val="100"/>
        </w:rPr>
        <w:t>润</w:t>
      </w:r>
      <w:r>
        <w:rPr>
          <w:spacing w:val="-3"/>
          <w:w w:val="100"/>
        </w:rPr>
        <w:t>分</w:t>
      </w:r>
      <w:r>
        <w:rPr>
          <w:w w:val="100"/>
        </w:rPr>
        <w:t>配</w:t>
      </w:r>
      <w:r>
        <w:rPr>
          <w:spacing w:val="-3"/>
          <w:w w:val="100"/>
        </w:rPr>
        <w:t>及</w:t>
      </w:r>
      <w:r>
        <w:rPr>
          <w:w w:val="100"/>
        </w:rPr>
        <w:t>资</w:t>
      </w:r>
      <w:r>
        <w:rPr>
          <w:spacing w:val="-3"/>
          <w:w w:val="100"/>
        </w:rPr>
        <w:t>本</w:t>
      </w:r>
      <w:r>
        <w:rPr>
          <w:w w:val="100"/>
        </w:rPr>
        <w:t>公</w:t>
      </w:r>
      <w:r>
        <w:rPr>
          <w:spacing w:val="-3"/>
          <w:w w:val="100"/>
        </w:rPr>
        <w:t>积</w:t>
      </w:r>
      <w:r>
        <w:rPr>
          <w:w w:val="100"/>
        </w:rPr>
        <w:t>转增</w:t>
      </w:r>
      <w:r>
        <w:rPr>
          <w:spacing w:val="-3"/>
          <w:w w:val="100"/>
        </w:rPr>
        <w:t>股</w:t>
      </w:r>
      <w:r>
        <w:rPr>
          <w:w w:val="100"/>
        </w:rPr>
        <w:t>本</w:t>
      </w:r>
      <w:r>
        <w:rPr>
          <w:spacing w:val="-3"/>
          <w:w w:val="100"/>
        </w:rPr>
        <w:t>预</w:t>
      </w:r>
      <w:r>
        <w:rPr>
          <w:w w:val="100"/>
        </w:rPr>
        <w:t>案</w:t>
      </w:r>
      <w:r>
        <w:rPr>
          <w:spacing w:val="-108"/>
          <w:w w:val="100"/>
        </w:rPr>
        <w:t>》</w:t>
      </w:r>
      <w:r>
        <w:rPr>
          <w:spacing w:val="-1"/>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2"/>
        </w:rPr>
        <w:t> </w:t>
      </w:r>
      <w:r>
        <w:rPr>
          <w:w w:val="100"/>
        </w:rPr>
        <w:t>年</w:t>
      </w:r>
      <w:r>
        <w:rPr>
          <w:spacing w:val="-4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4"/>
        </w:rPr>
        <w:t> </w:t>
      </w:r>
      <w:r>
        <w:rPr>
          <w:w w:val="100"/>
        </w:rPr>
        <w:t>月</w:t>
      </w:r>
      <w:r>
        <w:rPr>
          <w:spacing w:val="-38"/>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4"/>
        </w:rPr>
        <w:t> </w:t>
      </w:r>
      <w:r>
        <w:rPr>
          <w:w w:val="100"/>
        </w:rPr>
        <w:t>日，</w:t>
      </w:r>
      <w:r>
        <w:rPr>
          <w:spacing w:val="-3"/>
          <w:w w:val="100"/>
        </w:rPr>
        <w:t>公</w:t>
      </w:r>
      <w:r>
        <w:rPr>
          <w:w w:val="100"/>
        </w:rPr>
        <w:t>司以</w:t>
      </w:r>
      <w:r>
        <w:rPr>
          <w:spacing w:val="-3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12"/>
        </w:rPr>
        <w:t> </w:t>
      </w:r>
      <w:r>
        <w:rPr>
          <w:w w:val="100"/>
        </w:rPr>
        <w:t>年</w:t>
      </w:r>
      <w:r>
        <w:rPr>
          <w:spacing w:val="-38"/>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4"/>
        </w:rPr>
        <w:t> </w:t>
      </w:r>
      <w:r>
        <w:rPr>
          <w:w w:val="100"/>
        </w:rPr>
        <w:t>月</w:t>
      </w:r>
      <w:r>
        <w:rPr>
          <w:spacing w:val="-38"/>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4"/>
        </w:rPr>
        <w:t> </w:t>
      </w:r>
      <w:r>
        <w:rPr>
          <w:spacing w:val="-3"/>
          <w:w w:val="100"/>
        </w:rPr>
        <w:t>日</w:t>
      </w:r>
      <w:r>
        <w:rPr>
          <w:w w:val="100"/>
        </w:rPr>
        <w:t>总</w:t>
      </w:r>
      <w:r>
        <w:rPr>
          <w:spacing w:val="-3"/>
          <w:w w:val="100"/>
        </w:rPr>
        <w:t>股</w:t>
      </w:r>
      <w:r>
        <w:rPr>
          <w:w w:val="100"/>
        </w:rPr>
        <w:t>本</w:t>
      </w:r>
    </w:p>
    <w:p>
      <w:pPr>
        <w:pStyle w:val="BodyText"/>
        <w:spacing w:line="240" w:lineRule="auto" w:before="69"/>
        <w:ind w:right="123"/>
        <w:jc w:val="left"/>
      </w:pPr>
      <w:r>
        <w:rPr>
          <w:rFonts w:ascii="Times New Roman" w:hAnsi="Times New Roman" w:cs="Times New Roman" w:eastAsia="Times New Roman" w:hint="default"/>
        </w:rPr>
        <w:t>101,707,880.00  </w:t>
      </w:r>
      <w:r>
        <w:rPr>
          <w:spacing w:val="5"/>
        </w:rPr>
        <w:t>股为基数，向全体股东以资本公积金每 </w:t>
      </w:r>
      <w:r>
        <w:rPr>
          <w:rFonts w:ascii="Times New Roman" w:hAnsi="Times New Roman" w:cs="Times New Roman" w:eastAsia="Times New Roman" w:hint="default"/>
        </w:rPr>
        <w:t>10  </w:t>
      </w:r>
      <w:r>
        <w:rPr>
          <w:spacing w:val="4"/>
        </w:rPr>
        <w:t>股转增 </w:t>
      </w:r>
      <w:r>
        <w:rPr>
          <w:rFonts w:ascii="Times New Roman" w:hAnsi="Times New Roman" w:cs="Times New Roman" w:eastAsia="Times New Roman" w:hint="default"/>
        </w:rPr>
        <w:t>30    </w:t>
      </w:r>
      <w:r>
        <w:rPr>
          <w:spacing w:val="4"/>
        </w:rPr>
        <w:t>股，转增后公司股本为</w:t>
      </w:r>
    </w:p>
    <w:p>
      <w:pPr>
        <w:pStyle w:val="BodyText"/>
        <w:spacing w:line="240" w:lineRule="auto" w:before="69"/>
        <w:ind w:right="2513"/>
        <w:jc w:val="left"/>
      </w:pPr>
      <w:r>
        <w:rPr>
          <w:rFonts w:ascii="Times New Roman" w:hAnsi="Times New Roman" w:cs="Times New Roman" w:eastAsia="Times New Roman" w:hint="default"/>
        </w:rPr>
        <w:t>406,831,520.00 </w:t>
      </w:r>
      <w:r>
        <w:rPr/>
        <w:t>元。</w:t>
      </w:r>
    </w:p>
    <w:p>
      <w:pPr>
        <w:pStyle w:val="BodyText"/>
        <w:spacing w:line="297" w:lineRule="auto" w:before="69"/>
        <w:ind w:right="123" w:firstLine="419"/>
        <w:jc w:val="left"/>
      </w:pPr>
      <w:r>
        <w:rPr/>
        <w:t>注</w:t>
      </w:r>
      <w:r>
        <w:rPr>
          <w:spacing w:val="-49"/>
        </w:rPr>
        <w:t> </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4"/>
        </w:rPr>
        <w:t> </w:t>
      </w:r>
      <w:r>
        <w:rPr>
          <w:spacing w:val="-6"/>
        </w:rPr>
        <w:t>年，公司向符合激励条件的</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名激励对象授予</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年限制性股票激励计划预留部</w:t>
      </w:r>
      <w:r>
        <w:rPr>
          <w:w w:val="100"/>
        </w:rPr>
        <w:t> </w:t>
      </w:r>
      <w:r>
        <w:rPr/>
        <w:t>分的限制性股票</w:t>
      </w:r>
      <w:r>
        <w:rPr>
          <w:spacing w:val="-44"/>
        </w:rPr>
        <w:t> </w:t>
      </w:r>
      <w:r>
        <w:rPr>
          <w:rFonts w:ascii="Times New Roman" w:hAnsi="Times New Roman" w:cs="Times New Roman" w:eastAsia="Times New Roman" w:hint="default"/>
        </w:rPr>
        <w:t>525,000.00</w:t>
      </w:r>
      <w:r>
        <w:rPr>
          <w:rFonts w:ascii="Times New Roman" w:hAnsi="Times New Roman" w:cs="Times New Roman" w:eastAsia="Times New Roman" w:hint="default"/>
          <w:spacing w:val="9"/>
        </w:rPr>
        <w:t> </w:t>
      </w:r>
      <w:r>
        <w:rPr>
          <w:spacing w:val="-5"/>
        </w:rPr>
        <w:t>万股，注册资本及股本均为，授予价格为</w:t>
      </w:r>
      <w:r>
        <w:rPr>
          <w:spacing w:val="-44"/>
        </w:rPr>
        <w:t> </w:t>
      </w:r>
      <w:r>
        <w:rPr>
          <w:rFonts w:ascii="Times New Roman" w:hAnsi="Times New Roman" w:cs="Times New Roman" w:eastAsia="Times New Roman" w:hint="default"/>
        </w:rPr>
        <w:t>7.14</w:t>
      </w:r>
      <w:r>
        <w:rPr>
          <w:rFonts w:ascii="Times New Roman" w:hAnsi="Times New Roman" w:cs="Times New Roman" w:eastAsia="Times New Roman" w:hint="default"/>
          <w:spacing w:val="6"/>
        </w:rPr>
        <w:t> </w:t>
      </w:r>
      <w:r>
        <w:rPr>
          <w:spacing w:val="-5"/>
        </w:rPr>
        <w:t>元</w:t>
      </w:r>
      <w:r>
        <w:rPr>
          <w:rFonts w:ascii="Times New Roman" w:hAnsi="Times New Roman" w:cs="Times New Roman" w:eastAsia="Times New Roman" w:hint="default"/>
          <w:spacing w:val="-5"/>
        </w:rPr>
        <w:t>/</w:t>
      </w:r>
      <w:r>
        <w:rPr>
          <w:spacing w:val="-5"/>
        </w:rPr>
        <w:t>股。本次预留部分的</w:t>
      </w:r>
    </w:p>
    <w:p>
      <w:pPr>
        <w:pStyle w:val="BodyText"/>
        <w:spacing w:line="240" w:lineRule="auto" w:before="13"/>
        <w:ind w:right="2513"/>
        <w:jc w:val="left"/>
      </w:pPr>
      <w:r>
        <w:rPr/>
        <w:t>限制性股票授予后，公司股本为</w:t>
      </w:r>
      <w:r>
        <w:rPr>
          <w:spacing w:val="-53"/>
        </w:rPr>
        <w:t> </w:t>
      </w:r>
      <w:r>
        <w:rPr>
          <w:rFonts w:ascii="Times New Roman" w:hAnsi="Times New Roman" w:cs="Times New Roman" w:eastAsia="Times New Roman" w:hint="default"/>
        </w:rPr>
        <w:t>407,356,520</w:t>
      </w:r>
      <w:r>
        <w:rPr>
          <w:rFonts w:ascii="Times New Roman" w:hAnsi="Times New Roman" w:cs="Times New Roman" w:eastAsia="Times New Roman" w:hint="default"/>
          <w:spacing w:val="-3"/>
        </w:rPr>
        <w:t> </w:t>
      </w:r>
      <w:r>
        <w:rPr/>
        <w:t>元。</w:t>
      </w:r>
    </w:p>
    <w:p>
      <w:pPr>
        <w:pStyle w:val="BodyText"/>
        <w:spacing w:line="297" w:lineRule="auto" w:before="69"/>
        <w:ind w:right="123" w:firstLine="419"/>
        <w:jc w:val="left"/>
      </w:pPr>
      <w:r>
        <w:rPr>
          <w:w w:val="100"/>
        </w:rPr>
        <w:t>注</w:t>
      </w:r>
      <w:r>
        <w:rPr>
          <w:spacing w:val="-51"/>
          <w:w w:val="100"/>
        </w:rPr>
        <w:t> </w:t>
      </w:r>
      <w:r>
        <w:rPr>
          <w:rFonts w:ascii="Times New Roman" w:hAnsi="Times New Roman" w:cs="Times New Roman" w:eastAsia="Times New Roman" w:hint="default"/>
          <w:spacing w:val="-17"/>
          <w:w w:val="100"/>
        </w:rPr>
        <w:t>3</w:t>
      </w:r>
      <w:r>
        <w:rPr>
          <w:spacing w:val="-17"/>
          <w:w w:val="100"/>
        </w:rPr>
        <w:t>、</w:t>
      </w:r>
      <w:r>
        <w:rPr>
          <w:rFonts w:ascii="Times New Roman" w:hAnsi="Times New Roman" w:cs="Times New Roman" w:eastAsia="Times New Roman" w:hint="default"/>
          <w:spacing w:val="-17"/>
          <w:w w:val="100"/>
        </w:rPr>
        <w:t>2017</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1"/>
          <w:w w:val="100"/>
        </w:rPr>
        <w:t> </w:t>
      </w:r>
      <w:r>
        <w:rPr>
          <w:w w:val="100"/>
        </w:rPr>
        <w:t>月</w:t>
      </w:r>
      <w:r>
        <w:rPr>
          <w:spacing w:val="-50"/>
          <w:w w:val="100"/>
        </w:rPr>
        <w:t> </w:t>
      </w:r>
      <w:r>
        <w:rPr>
          <w:rFonts w:ascii="Times New Roman" w:hAnsi="Times New Roman" w:cs="Times New Roman" w:eastAsia="Times New Roman" w:hint="default"/>
          <w:spacing w:val="-2"/>
          <w:w w:val="100"/>
        </w:rPr>
        <w:t>30</w:t>
      </w:r>
      <w:r>
        <w:rPr>
          <w:rFonts w:ascii="Times New Roman" w:hAnsi="Times New Roman" w:cs="Times New Roman" w:eastAsia="Times New Roman" w:hint="default"/>
          <w:spacing w:val="2"/>
          <w:w w:val="100"/>
        </w:rPr>
        <w:t> </w:t>
      </w:r>
      <w:r>
        <w:rPr>
          <w:spacing w:val="-5"/>
          <w:w w:val="100"/>
        </w:rPr>
        <w:t>日，公司完成股权激励计划首次授予的部分限制性股票回购注销工作，</w:t>
      </w:r>
      <w:r>
        <w:rPr>
          <w:w w:val="100"/>
        </w:rPr>
        <w:t> </w:t>
      </w:r>
      <w:r>
        <w:rPr/>
        <w:t>董事会根据股东大会的授权对不符合解锁条件的</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名激励对象合计持有的</w:t>
      </w:r>
      <w:r>
        <w:rPr>
          <w:spacing w:val="-65"/>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14"/>
        </w:rPr>
        <w:t> </w:t>
      </w:r>
      <w:r>
        <w:rPr/>
        <w:t>股已获授但尚</w:t>
      </w:r>
    </w:p>
    <w:p>
      <w:pPr>
        <w:pStyle w:val="BodyText"/>
        <w:spacing w:line="240" w:lineRule="auto" w:before="14"/>
        <w:ind w:right="123"/>
        <w:jc w:val="left"/>
      </w:pPr>
      <w:r>
        <w:rPr/>
        <w:t>未解锁的限制性股票进行回购注销。本次回购注销完成后公司股本为</w:t>
      </w:r>
      <w:r>
        <w:rPr>
          <w:spacing w:val="-55"/>
        </w:rPr>
        <w:t> </w:t>
      </w:r>
      <w:r>
        <w:rPr>
          <w:rFonts w:ascii="Times New Roman" w:hAnsi="Times New Roman" w:cs="Times New Roman" w:eastAsia="Times New Roman" w:hint="default"/>
        </w:rPr>
        <w:t>407,097,800</w:t>
      </w:r>
      <w:r>
        <w:rPr>
          <w:rFonts w:ascii="Times New Roman" w:hAnsi="Times New Roman" w:cs="Times New Roman" w:eastAsia="Times New Roman" w:hint="default"/>
          <w:spacing w:val="-2"/>
        </w:rPr>
        <w:t> </w:t>
      </w:r>
      <w:r>
        <w:rPr>
          <w:spacing w:val="-3"/>
        </w:rPr>
        <w:t>元。</w:t>
      </w:r>
      <w:r>
        <w:rPr/>
      </w:r>
    </w:p>
    <w:p>
      <w:pPr>
        <w:spacing w:line="240" w:lineRule="auto" w:before="8"/>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3"/>
        <w:spacing w:line="240" w:lineRule="auto" w:before="56"/>
        <w:ind w:right="2513"/>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3" w:lineRule="exact"/>
        <w:ind w:right="123"/>
        <w:jc w:val="left"/>
      </w:pPr>
      <w:r>
        <w:rPr/>
        <w:t>其他权益工具本期增减变动情况、变动原因说明，以及相关会计处理的依据：</w:t>
      </w:r>
    </w:p>
    <w:p>
      <w:pPr>
        <w:pStyle w:val="BodyText"/>
        <w:tabs>
          <w:tab w:pos="1060" w:val="left" w:leader="none"/>
        </w:tabs>
        <w:spacing w:line="300"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7"/>
        <w:rPr>
          <w:rFonts w:ascii="宋体" w:hAnsi="宋体" w:cs="宋体" w:eastAsia="宋体" w:hint="default"/>
          <w:sz w:val="17"/>
          <w:szCs w:val="17"/>
        </w:rPr>
      </w:pPr>
    </w:p>
    <w:p>
      <w:pPr>
        <w:pStyle w:val="BodyText"/>
        <w:spacing w:line="286" w:lineRule="exact"/>
        <w:ind w:right="2513"/>
        <w:jc w:val="left"/>
        <w:rPr>
          <w:rFonts w:ascii="Calibri" w:hAnsi="Calibri" w:cs="Calibri" w:eastAsia="Calibri" w:hint="default"/>
        </w:rPr>
      </w:pPr>
      <w:r>
        <w:rPr/>
        <w:t>其他说明</w:t>
      </w:r>
      <w:r>
        <w:rPr>
          <w:rFonts w:ascii="Calibri" w:hAnsi="Calibri" w:cs="Calibri" w:eastAsia="Calibri" w:hint="default"/>
        </w:rPr>
        <w:t>:</w:t>
      </w:r>
    </w:p>
    <w:p>
      <w:pPr>
        <w:pStyle w:val="BodyText"/>
        <w:tabs>
          <w:tab w:pos="1060" w:val="left" w:leader="none"/>
        </w:tabs>
        <w:spacing w:line="286"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after="0" w:line="286"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7" w:footer="979" w:top="1140" w:bottom="1160" w:left="1660" w:right="1120"/>
        </w:sectPr>
      </w:pPr>
    </w:p>
    <w:p>
      <w:pPr>
        <w:pStyle w:val="Heading3"/>
        <w:spacing w:line="240" w:lineRule="auto" w:before="36"/>
        <w:ind w:left="13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980" w:val="left" w:leader="none"/>
        </w:tabs>
        <w:spacing w:line="240" w:lineRule="auto" w:before="58"/>
        <w:ind w:left="13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1821" w:space="4912"/>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466,769,990.40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17,470,787.03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307,199,868.00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177,040,909.43</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1,700,993.78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16,964,922.81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15,363,985.54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3,301,931.05</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468,470,984.18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34,435,709.84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322,563,853.54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180,342,840.48</w:t>
            </w:r>
          </w:p>
        </w:tc>
      </w:tr>
    </w:tbl>
    <w:p>
      <w:pPr>
        <w:pStyle w:val="BodyText"/>
        <w:spacing w:line="241" w:lineRule="exact"/>
        <w:ind w:left="138" w:right="0"/>
        <w:jc w:val="both"/>
      </w:pPr>
      <w:r>
        <w:rPr/>
        <w:t>其他说明，包括本期增减变动情况、变动原因说明：</w:t>
      </w:r>
    </w:p>
    <w:p>
      <w:pPr>
        <w:pStyle w:val="BodyText"/>
        <w:spacing w:line="240" w:lineRule="auto" w:before="73"/>
        <w:ind w:left="558" w:right="47"/>
        <w:jc w:val="left"/>
      </w:pPr>
      <w:r>
        <w:rPr/>
        <w:t>注</w:t>
      </w:r>
      <w:r>
        <w:rPr>
          <w:spacing w:val="-55"/>
        </w:rPr>
        <w:t> </w:t>
      </w:r>
      <w:r>
        <w:rPr>
          <w:rFonts w:ascii="Times New Roman" w:hAnsi="Times New Roman" w:cs="Times New Roman" w:eastAsia="Times New Roman" w:hint="default"/>
        </w:rPr>
        <w:t>1</w:t>
      </w:r>
      <w:r>
        <w:rPr/>
        <w:t>：股本溢价变动原因：</w:t>
      </w:r>
    </w:p>
    <w:p>
      <w:pPr>
        <w:pStyle w:val="BodyText"/>
        <w:spacing w:line="240" w:lineRule="auto" w:before="70"/>
        <w:ind w:left="558" w:right="47"/>
        <w:jc w:val="left"/>
      </w:pPr>
      <w:r>
        <w:rPr>
          <w:spacing w:val="5"/>
        </w:rPr>
        <w:t>本期增加系：①本期对 </w:t>
      </w:r>
      <w:r>
        <w:rPr>
          <w:rFonts w:ascii="Times New Roman" w:hAnsi="Times New Roman" w:cs="Times New Roman" w:eastAsia="Times New Roman" w:hint="default"/>
        </w:rPr>
        <w:t>9   </w:t>
      </w:r>
      <w:r>
        <w:rPr>
          <w:spacing w:val="5"/>
        </w:rPr>
        <w:t>位自然人定向发行限制性股票 </w:t>
      </w:r>
      <w:r>
        <w:rPr>
          <w:rFonts w:ascii="Times New Roman" w:hAnsi="Times New Roman" w:cs="Times New Roman" w:eastAsia="Times New Roman" w:hint="default"/>
        </w:rPr>
        <w:t>525,000 </w:t>
      </w:r>
      <w:r>
        <w:rPr>
          <w:rFonts w:ascii="Times New Roman" w:hAnsi="Times New Roman" w:cs="Times New Roman" w:eastAsia="Times New Roman" w:hint="default"/>
          <w:spacing w:val="45"/>
        </w:rPr>
        <w:t> </w:t>
      </w:r>
      <w:r>
        <w:rPr>
          <w:spacing w:val="4"/>
        </w:rPr>
        <w:t>股，实际募集资金总额</w:t>
      </w:r>
    </w:p>
    <w:p>
      <w:pPr>
        <w:pStyle w:val="BodyText"/>
        <w:spacing w:line="304" w:lineRule="auto" w:before="69"/>
        <w:ind w:left="138" w:right="147"/>
        <w:jc w:val="both"/>
      </w:pPr>
      <w:r>
        <w:rPr>
          <w:rFonts w:ascii="Times New Roman" w:hAnsi="Times New Roman" w:cs="Times New Roman" w:eastAsia="Times New Roman" w:hint="default"/>
        </w:rPr>
        <w:t>3,748,500.00</w:t>
      </w:r>
      <w:r>
        <w:rPr>
          <w:rFonts w:ascii="Times New Roman" w:hAnsi="Times New Roman" w:cs="Times New Roman" w:eastAsia="Times New Roman" w:hint="default"/>
          <w:spacing w:val="1"/>
        </w:rPr>
        <w:t> </w:t>
      </w:r>
      <w:r>
        <w:rPr/>
        <w:t>元，超过股本</w:t>
      </w:r>
      <w:r>
        <w:rPr>
          <w:spacing w:val="-51"/>
        </w:rPr>
        <w:t> </w:t>
      </w:r>
      <w:r>
        <w:rPr>
          <w:rFonts w:ascii="Times New Roman" w:hAnsi="Times New Roman" w:cs="Times New Roman" w:eastAsia="Times New Roman" w:hint="default"/>
        </w:rPr>
        <w:t>525,000</w:t>
      </w:r>
      <w:r>
        <w:rPr>
          <w:rFonts w:ascii="Times New Roman" w:hAnsi="Times New Roman" w:cs="Times New Roman" w:eastAsia="Times New Roman" w:hint="default"/>
          <w:spacing w:val="-1"/>
        </w:rPr>
        <w:t> </w:t>
      </w:r>
      <w:r>
        <w:rPr/>
        <w:t>元的部分</w:t>
      </w:r>
      <w:r>
        <w:rPr>
          <w:spacing w:val="-51"/>
        </w:rPr>
        <w:t> </w:t>
      </w:r>
      <w:r>
        <w:rPr>
          <w:rFonts w:ascii="Times New Roman" w:hAnsi="Times New Roman" w:cs="Times New Roman" w:eastAsia="Times New Roman" w:hint="default"/>
        </w:rPr>
        <w:t>3,225,500.00</w:t>
      </w:r>
      <w:r>
        <w:rPr>
          <w:rFonts w:ascii="Times New Roman" w:hAnsi="Times New Roman" w:cs="Times New Roman" w:eastAsia="Times New Roman" w:hint="default"/>
          <w:spacing w:val="-1"/>
        </w:rPr>
        <w:t> </w:t>
      </w:r>
      <w:r>
        <w:rPr/>
        <w:t>元计入资本股本溢价。②首次授予限制</w:t>
      </w:r>
      <w:r>
        <w:rPr>
          <w:w w:val="100"/>
        </w:rPr>
        <w:t> </w:t>
      </w:r>
      <w:r>
        <w:rPr>
          <w:spacing w:val="13"/>
        </w:rPr>
        <w:t>性股票第一个解锁期的解锁部份的相应已以权益结算的股份支付计入资本公积的累计金额</w:t>
      </w:r>
      <w:r>
        <w:rPr>
          <w:spacing w:val="10"/>
        </w:rPr>
        <w:t> </w:t>
      </w:r>
      <w:r>
        <w:rPr>
          <w:spacing w:val="10"/>
        </w:rPr>
      </w:r>
      <w:r>
        <w:rPr>
          <w:rFonts w:ascii="Times New Roman" w:hAnsi="Times New Roman" w:cs="Times New Roman" w:eastAsia="Times New Roman" w:hint="default"/>
        </w:rPr>
        <w:t>14,247,287.03</w:t>
      </w:r>
      <w:r>
        <w:rPr>
          <w:rFonts w:ascii="Times New Roman" w:hAnsi="Times New Roman" w:cs="Times New Roman" w:eastAsia="Times New Roman" w:hint="default"/>
          <w:spacing w:val="-2"/>
        </w:rPr>
        <w:t> </w:t>
      </w:r>
      <w:r>
        <w:rPr/>
        <w:t>元从其他资本公积转入股本溢价。</w:t>
      </w:r>
    </w:p>
    <w:p>
      <w:pPr>
        <w:pStyle w:val="BodyText"/>
        <w:spacing w:line="240" w:lineRule="auto" w:before="6"/>
        <w:ind w:left="558" w:right="47"/>
        <w:jc w:val="left"/>
      </w:pPr>
      <w:r>
        <w:rPr/>
        <w:t>本期减少系：①公司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年年度股东大会审议通过《关于公司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年度利润分配及资本公</w:t>
      </w:r>
    </w:p>
    <w:p>
      <w:pPr>
        <w:pStyle w:val="BodyText"/>
        <w:spacing w:line="240" w:lineRule="auto" w:before="69"/>
        <w:ind w:left="138" w:right="0"/>
        <w:jc w:val="both"/>
      </w:pPr>
      <w:r>
        <w:rPr>
          <w:w w:val="100"/>
        </w:rPr>
        <w:t>积转</w:t>
      </w:r>
      <w:r>
        <w:rPr>
          <w:spacing w:val="-3"/>
          <w:w w:val="100"/>
        </w:rPr>
        <w:t>增</w:t>
      </w:r>
      <w:r>
        <w:rPr>
          <w:w w:val="100"/>
        </w:rPr>
        <w:t>股</w:t>
      </w:r>
      <w:r>
        <w:rPr>
          <w:spacing w:val="-3"/>
          <w:w w:val="100"/>
        </w:rPr>
        <w:t>本</w:t>
      </w:r>
      <w:r>
        <w:rPr>
          <w:w w:val="100"/>
        </w:rPr>
        <w:t>预</w:t>
      </w:r>
      <w:r>
        <w:rPr>
          <w:spacing w:val="-3"/>
          <w:w w:val="100"/>
        </w:rPr>
        <w:t>案</w:t>
      </w:r>
      <w:r>
        <w:rPr>
          <w:spacing w:val="-106"/>
          <w:w w:val="100"/>
        </w:rPr>
        <w:t>》</w:t>
      </w:r>
      <w:r>
        <w:rPr>
          <w:spacing w:val="-3"/>
          <w:w w:val="100"/>
        </w:rPr>
        <w:t>，</w:t>
      </w:r>
      <w:r>
        <w:rPr>
          <w:w w:val="100"/>
        </w:rPr>
        <w:t>本</w:t>
      </w:r>
      <w:r>
        <w:rPr>
          <w:spacing w:val="-3"/>
          <w:w w:val="100"/>
        </w:rPr>
        <w:t>次转</w:t>
      </w:r>
      <w:r>
        <w:rPr>
          <w:w w:val="100"/>
        </w:rPr>
        <w:t>增股</w:t>
      </w:r>
      <w:r>
        <w:rPr>
          <w:spacing w:val="-3"/>
          <w:w w:val="100"/>
        </w:rPr>
        <w:t>本</w:t>
      </w:r>
      <w:r>
        <w:rPr>
          <w:w w:val="100"/>
        </w:rPr>
        <w:t>以</w:t>
      </w:r>
      <w:r>
        <w:rPr>
          <w:spacing w:val="-3"/>
          <w:w w:val="100"/>
        </w:rPr>
        <w:t>方</w:t>
      </w:r>
      <w:r>
        <w:rPr>
          <w:w w:val="100"/>
        </w:rPr>
        <w:t>案</w:t>
      </w:r>
      <w:r>
        <w:rPr>
          <w:spacing w:val="-3"/>
          <w:w w:val="100"/>
        </w:rPr>
        <w:t>实</w:t>
      </w:r>
      <w:r>
        <w:rPr>
          <w:w w:val="100"/>
        </w:rPr>
        <w:t>施</w:t>
      </w:r>
      <w:r>
        <w:rPr>
          <w:spacing w:val="-3"/>
          <w:w w:val="100"/>
        </w:rPr>
        <w:t>前</w:t>
      </w:r>
      <w:r>
        <w:rPr>
          <w:w w:val="100"/>
        </w:rPr>
        <w:t>的</w:t>
      </w:r>
      <w:r>
        <w:rPr>
          <w:spacing w:val="-3"/>
          <w:w w:val="100"/>
        </w:rPr>
        <w:t>公</w:t>
      </w:r>
      <w:r>
        <w:rPr>
          <w:w w:val="100"/>
        </w:rPr>
        <w:t>司总</w:t>
      </w:r>
      <w:r>
        <w:rPr>
          <w:spacing w:val="-3"/>
          <w:w w:val="100"/>
        </w:rPr>
        <w:t>股</w:t>
      </w:r>
      <w:r>
        <w:rPr>
          <w:w w:val="100"/>
        </w:rPr>
        <w:t>本</w:t>
      </w:r>
      <w:r>
        <w:rPr>
          <w:spacing w:val="-48"/>
        </w:rPr>
        <w:t> </w:t>
      </w:r>
      <w:r>
        <w:rPr>
          <w:rFonts w:ascii="Times New Roman" w:hAnsi="Times New Roman" w:cs="Times New Roman" w:eastAsia="Times New Roman" w:hint="default"/>
          <w:w w:val="100"/>
        </w:rPr>
        <w:t>101,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07,</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80</w:t>
      </w:r>
      <w:r>
        <w:rPr>
          <w:rFonts w:ascii="Times New Roman" w:hAnsi="Times New Roman" w:cs="Times New Roman" w:eastAsia="Times New Roman" w:hint="default"/>
          <w:spacing w:val="4"/>
        </w:rPr>
        <w:t> </w:t>
      </w:r>
      <w:r>
        <w:rPr>
          <w:w w:val="100"/>
        </w:rPr>
        <w:t>股</w:t>
      </w:r>
      <w:r>
        <w:rPr>
          <w:spacing w:val="-3"/>
          <w:w w:val="100"/>
        </w:rPr>
        <w:t>为</w:t>
      </w:r>
      <w:r>
        <w:rPr>
          <w:w w:val="100"/>
        </w:rPr>
        <w:t>基数</w:t>
      </w:r>
      <w:r>
        <w:rPr>
          <w:spacing w:val="-3"/>
          <w:w w:val="100"/>
        </w:rPr>
        <w:t>，</w:t>
      </w:r>
      <w:r>
        <w:rPr>
          <w:w w:val="100"/>
        </w:rPr>
        <w:t>以</w:t>
      </w:r>
      <w:r>
        <w:rPr>
          <w:spacing w:val="-3"/>
          <w:w w:val="100"/>
        </w:rPr>
        <w:t>资</w:t>
      </w:r>
      <w:r>
        <w:rPr>
          <w:w w:val="100"/>
        </w:rPr>
        <w:t>本</w:t>
      </w:r>
      <w:r>
        <w:rPr>
          <w:spacing w:val="-3"/>
          <w:w w:val="100"/>
        </w:rPr>
        <w:t>公</w:t>
      </w:r>
      <w:r>
        <w:rPr>
          <w:w w:val="100"/>
        </w:rPr>
        <w:t>积</w:t>
      </w:r>
    </w:p>
    <w:p>
      <w:pPr>
        <w:pStyle w:val="BodyText"/>
        <w:spacing w:line="240" w:lineRule="auto" w:before="69"/>
        <w:ind w:left="138" w:right="0"/>
        <w:jc w:val="both"/>
      </w:pPr>
      <w:r>
        <w:rPr/>
        <w:t>金向全体股东每股转增</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股，相应解少股本溢价</w:t>
      </w:r>
      <w:r>
        <w:rPr>
          <w:spacing w:val="-38"/>
        </w:rPr>
        <w:t> </w:t>
      </w:r>
      <w:r>
        <w:rPr>
          <w:rFonts w:ascii="Times New Roman" w:hAnsi="Times New Roman" w:cs="Times New Roman" w:eastAsia="Times New Roman" w:hint="default"/>
        </w:rPr>
        <w:t>305,123,640.00</w:t>
      </w:r>
      <w:r>
        <w:rPr>
          <w:rFonts w:ascii="Times New Roman" w:hAnsi="Times New Roman" w:cs="Times New Roman" w:eastAsia="Times New Roman" w:hint="default"/>
          <w:spacing w:val="14"/>
        </w:rPr>
        <w:t> </w:t>
      </w:r>
      <w:r>
        <w:rPr/>
        <w:t>元。②本期对完成股权激励计划</w:t>
      </w:r>
    </w:p>
    <w:p>
      <w:pPr>
        <w:pStyle w:val="BodyText"/>
        <w:spacing w:line="240" w:lineRule="auto" w:before="69"/>
        <w:ind w:left="138" w:right="0"/>
        <w:jc w:val="both"/>
      </w:pPr>
      <w:r>
        <w:rPr/>
        <w:t>首次授予的部分限制性股票回购注销工作，对不符合解锁条件的 </w:t>
      </w:r>
      <w:r>
        <w:rPr>
          <w:rFonts w:ascii="Times New Roman" w:hAnsi="Times New Roman" w:cs="Times New Roman" w:eastAsia="Times New Roman" w:hint="default"/>
        </w:rPr>
        <w:t>10 </w:t>
      </w:r>
      <w:r>
        <w:rPr>
          <w:rFonts w:ascii="Times New Roman" w:hAnsi="Times New Roman" w:cs="Times New Roman" w:eastAsia="Times New Roman" w:hint="default"/>
          <w:spacing w:val="8"/>
        </w:rPr>
        <w:t> </w:t>
      </w:r>
      <w:r>
        <w:rPr/>
        <w:t>名首次授予对象合计持有的</w:t>
      </w:r>
    </w:p>
    <w:p>
      <w:pPr>
        <w:pStyle w:val="BodyText"/>
        <w:spacing w:line="297" w:lineRule="auto" w:before="69"/>
        <w:ind w:left="558" w:right="320" w:hanging="420"/>
        <w:jc w:val="left"/>
      </w:pPr>
      <w:r>
        <w:rPr>
          <w:rFonts w:ascii="Times New Roman" w:hAnsi="Times New Roman" w:cs="Times New Roman" w:eastAsia="Times New Roman" w:hint="default"/>
        </w:rPr>
        <w:t>258,720</w:t>
      </w:r>
      <w:r>
        <w:rPr>
          <w:rFonts w:ascii="Times New Roman" w:hAnsi="Times New Roman" w:cs="Times New Roman" w:eastAsia="Times New Roman" w:hint="default"/>
          <w:spacing w:val="-2"/>
        </w:rPr>
        <w:t> </w:t>
      </w:r>
      <w:r>
        <w:rPr/>
        <w:t>股已获授未解锁的首期限制性股票进行回购注销，相应减少股本溢价</w:t>
      </w:r>
      <w:r>
        <w:rPr>
          <w:spacing w:val="-57"/>
        </w:rPr>
        <w:t> </w:t>
      </w:r>
      <w:r>
        <w:rPr>
          <w:rFonts w:ascii="Times New Roman" w:hAnsi="Times New Roman" w:cs="Times New Roman" w:eastAsia="Times New Roman" w:hint="default"/>
        </w:rPr>
        <w:t>2,076,228.00</w:t>
      </w:r>
      <w:r>
        <w:rPr>
          <w:rFonts w:ascii="Times New Roman" w:hAnsi="Times New Roman" w:cs="Times New Roman" w:eastAsia="Times New Roman" w:hint="default"/>
          <w:spacing w:val="-2"/>
        </w:rPr>
        <w:t> </w:t>
      </w:r>
      <w:r>
        <w:rPr>
          <w:spacing w:val="-3"/>
        </w:rPr>
        <w:t>元。</w:t>
      </w:r>
      <w:r>
        <w:rPr>
          <w:spacing w:val="-3"/>
          <w:w w:val="100"/>
        </w:rPr>
        <w:t> </w:t>
      </w:r>
      <w:r>
        <w:rPr/>
        <w:t>注</w:t>
      </w:r>
      <w:r>
        <w:rPr>
          <w:spacing w:val="-52"/>
        </w:rPr>
        <w:t> </w:t>
      </w:r>
      <w:r>
        <w:rPr>
          <w:rFonts w:ascii="Times New Roman" w:hAnsi="Times New Roman" w:cs="Times New Roman" w:eastAsia="Times New Roman" w:hint="default"/>
        </w:rPr>
        <w:t>2</w:t>
      </w:r>
      <w:r>
        <w:rPr/>
        <w:t>：其他资本公积变动原因：</w:t>
      </w:r>
    </w:p>
    <w:p>
      <w:pPr>
        <w:pStyle w:val="BodyText"/>
        <w:spacing w:line="240" w:lineRule="auto" w:before="13"/>
        <w:ind w:left="558" w:right="47"/>
        <w:jc w:val="left"/>
      </w:pPr>
      <w:r>
        <w:rPr/>
        <w:t>本期增加系：①本期公司限制性股票应分摊的成本费用为 </w:t>
      </w:r>
      <w:r>
        <w:rPr>
          <w:rFonts w:ascii="Times New Roman" w:hAnsi="Times New Roman" w:cs="Times New Roman" w:eastAsia="Times New Roman" w:hint="default"/>
        </w:rPr>
        <w:t>7,730,249.36</w:t>
      </w:r>
      <w:r>
        <w:rPr>
          <w:rFonts w:ascii="Times New Roman" w:hAnsi="Times New Roman" w:cs="Times New Roman" w:eastAsia="Times New Roman" w:hint="default"/>
          <w:spacing w:val="3"/>
        </w:rPr>
        <w:t> </w:t>
      </w:r>
      <w:r>
        <w:rPr/>
        <w:t>元计入资其他资本公</w:t>
      </w:r>
    </w:p>
    <w:p>
      <w:pPr>
        <w:pStyle w:val="BodyText"/>
        <w:spacing w:line="304" w:lineRule="auto" w:before="69"/>
        <w:ind w:left="138" w:right="147"/>
        <w:jc w:val="both"/>
      </w:pPr>
      <w:r>
        <w:rPr>
          <w:spacing w:val="-4"/>
          <w:w w:val="100"/>
        </w:rPr>
        <w:t>积。②本期公司限制性股票子公司应分摊的成本费用为扣除所得税时间性差异影响外</w:t>
      </w:r>
      <w:r>
        <w:rPr>
          <w:spacing w:val="-46"/>
          <w:w w:val="100"/>
        </w:rPr>
        <w:t> </w:t>
      </w:r>
      <w:r>
        <w:rPr>
          <w:rFonts w:ascii="Times New Roman" w:hAnsi="Times New Roman" w:cs="Times New Roman" w:eastAsia="Times New Roman" w:hint="default"/>
          <w:spacing w:val="-1"/>
          <w:w w:val="100"/>
        </w:rPr>
        <w:t>9,014,439.83</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spacing w:val="-1"/>
        </w:rPr>
        <w:t>元计入资其他资本公积③本期收购福建网链科技有限公司少数股权，收购价款与应享有的相关可</w:t>
      </w:r>
      <w:r>
        <w:rPr>
          <w:spacing w:val="-55"/>
        </w:rPr>
        <w:t> </w:t>
      </w:r>
      <w:r>
        <w:rPr>
          <w:spacing w:val="-55"/>
        </w:rPr>
      </w:r>
      <w:r>
        <w:rPr/>
        <w:t>辨认净资产份额公允价值的差额</w:t>
      </w:r>
      <w:r>
        <w:rPr>
          <w:spacing w:val="-54"/>
        </w:rPr>
        <w:t> </w:t>
      </w:r>
      <w:r>
        <w:rPr>
          <w:rFonts w:ascii="Times New Roman" w:hAnsi="Times New Roman" w:cs="Times New Roman" w:eastAsia="Times New Roman" w:hint="default"/>
        </w:rPr>
        <w:t>220,233.25</w:t>
      </w:r>
      <w:r>
        <w:rPr>
          <w:rFonts w:ascii="Times New Roman" w:hAnsi="Times New Roman" w:cs="Times New Roman" w:eastAsia="Times New Roman" w:hint="default"/>
          <w:spacing w:val="-1"/>
        </w:rPr>
        <w:t> </w:t>
      </w:r>
      <w:r>
        <w:rPr/>
        <w:t>元计入其他资本公积。</w:t>
      </w:r>
    </w:p>
    <w:p>
      <w:pPr>
        <w:pStyle w:val="BodyText"/>
        <w:spacing w:line="309" w:lineRule="auto" w:before="6"/>
        <w:ind w:left="138" w:right="147" w:firstLine="419"/>
        <w:jc w:val="both"/>
      </w:pPr>
      <w:r>
        <w:rPr>
          <w:spacing w:val="-2"/>
        </w:rPr>
        <w:t>本期减少系：①首次授予限制性股票第一个解锁期的解锁部份的相应已以权益结算的股份支</w:t>
      </w:r>
      <w:r>
        <w:rPr>
          <w:w w:val="100"/>
        </w:rPr>
        <w:t> </w:t>
      </w:r>
      <w:r>
        <w:rPr/>
        <w:t>付计入资本公积的累计金额</w:t>
      </w:r>
      <w:r>
        <w:rPr>
          <w:spacing w:val="-33"/>
        </w:rPr>
        <w:t> </w:t>
      </w:r>
      <w:r>
        <w:rPr>
          <w:rFonts w:ascii="Times New Roman" w:hAnsi="Times New Roman" w:cs="Times New Roman" w:eastAsia="Times New Roman" w:hint="default"/>
        </w:rPr>
        <w:t>14,247,287.03</w:t>
      </w:r>
      <w:r>
        <w:rPr>
          <w:rFonts w:ascii="Times New Roman" w:hAnsi="Times New Roman" w:cs="Times New Roman" w:eastAsia="Times New Roman" w:hint="default"/>
          <w:spacing w:val="20"/>
        </w:rPr>
        <w:t> </w:t>
      </w:r>
      <w:r>
        <w:rPr>
          <w:spacing w:val="-4"/>
        </w:rPr>
        <w:t>元从其他资本公积转入股本溢价。②本期收购福建神威</w:t>
      </w:r>
      <w:r>
        <w:rPr>
          <w:spacing w:val="-98"/>
        </w:rPr>
        <w:t> </w:t>
      </w:r>
      <w:r>
        <w:rPr>
          <w:spacing w:val="-98"/>
        </w:rPr>
      </w:r>
      <w:r>
        <w:rPr>
          <w:spacing w:val="2"/>
        </w:rPr>
        <w:t>系统集成有限责任公司少数股权，收购价款与应享有的相关可辨认净资产份额公允价值的差额</w:t>
      </w:r>
      <w:r>
        <w:rPr>
          <w:spacing w:val="7"/>
        </w:rPr>
        <w:t> </w:t>
      </w:r>
      <w:r>
        <w:rPr>
          <w:spacing w:val="7"/>
        </w:rPr>
      </w:r>
      <w:r>
        <w:rPr>
          <w:rFonts w:ascii="Times New Roman" w:hAnsi="Times New Roman" w:cs="Times New Roman" w:eastAsia="Times New Roman" w:hint="default"/>
        </w:rPr>
        <w:t>838,175.94 </w:t>
      </w:r>
      <w:r>
        <w:rPr>
          <w:rFonts w:ascii="Times New Roman" w:hAnsi="Times New Roman" w:cs="Times New Roman" w:eastAsia="Times New Roman" w:hint="default"/>
          <w:spacing w:val="8"/>
        </w:rPr>
        <w:t> </w:t>
      </w:r>
      <w:r>
        <w:rPr/>
        <w:t>元冲减资本公积。③本期公司限制性股票允许税前扣除金额与会计准则规定确认的与</w:t>
      </w:r>
    </w:p>
    <w:p>
      <w:pPr>
        <w:pStyle w:val="BodyText"/>
        <w:spacing w:line="240" w:lineRule="auto" w:before="2"/>
        <w:ind w:left="138" w:right="0"/>
        <w:jc w:val="both"/>
      </w:pPr>
      <w:r>
        <w:rPr/>
        <w:t>股份支付相关的成本费用时间性差异影响减少其他资本公积</w:t>
      </w:r>
      <w:r>
        <w:rPr>
          <w:spacing w:val="-53"/>
        </w:rPr>
        <w:t> </w:t>
      </w:r>
      <w:r>
        <w:rPr>
          <w:rFonts w:ascii="Times New Roman" w:hAnsi="Times New Roman" w:cs="Times New Roman" w:eastAsia="Times New Roman" w:hint="default"/>
        </w:rPr>
        <w:t>278,522.57</w:t>
      </w:r>
      <w:r>
        <w:rPr>
          <w:rFonts w:ascii="Times New Roman" w:hAnsi="Times New Roman" w:cs="Times New Roman" w:eastAsia="Times New Roman" w:hint="default"/>
          <w:spacing w:val="-3"/>
        </w:rPr>
        <w:t> </w:t>
      </w:r>
      <w:r>
        <w:rPr/>
        <w:t>元。</w:t>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1120"/>
        </w:sectPr>
      </w:pPr>
    </w:p>
    <w:p>
      <w:pPr>
        <w:pStyle w:val="Heading3"/>
        <w:spacing w:line="240" w:lineRule="auto" w:before="36"/>
        <w:ind w:left="13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tabs>
          <w:tab w:pos="980" w:val="left" w:leader="none"/>
        </w:tabs>
        <w:spacing w:line="240" w:lineRule="auto" w:before="58"/>
        <w:ind w:left="13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1821" w:space="4912"/>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限制性股票激励</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61,654,468.00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3,748,500.00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25,515,791.68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39,887,176.32</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61,654,468.00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3,748,500.00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25,515,791.68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39,887,176.32</w:t>
            </w:r>
          </w:p>
        </w:tc>
      </w:tr>
    </w:tbl>
    <w:p>
      <w:pPr>
        <w:pStyle w:val="BodyText"/>
        <w:spacing w:line="241" w:lineRule="exact"/>
        <w:ind w:left="138" w:right="47"/>
        <w:jc w:val="left"/>
      </w:pPr>
      <w:r>
        <w:rPr/>
        <w:t>其他说明，包括本期增减变动情况、变动原因说明：</w:t>
      </w:r>
    </w:p>
    <w:p>
      <w:pPr>
        <w:pStyle w:val="BodyText"/>
        <w:spacing w:line="240" w:lineRule="auto" w:before="73"/>
        <w:ind w:left="558" w:right="47"/>
        <w:jc w:val="left"/>
      </w:pPr>
      <w:r>
        <w:rPr/>
        <w:t>注</w:t>
      </w:r>
      <w:r>
        <w:rPr>
          <w:spacing w:val="5"/>
        </w:rPr>
        <w:t> </w:t>
      </w:r>
      <w:r>
        <w:rPr>
          <w:rFonts w:ascii="Times New Roman" w:hAnsi="Times New Roman" w:cs="Times New Roman" w:eastAsia="Times New Roman" w:hint="default"/>
        </w:rPr>
        <w:t>1</w:t>
      </w:r>
      <w:r>
        <w:rPr/>
        <w:t>：公司本期发行限制性股票，在取得该款项时，按照取得的认股款确认股本和资本公积</w:t>
      </w:r>
    </w:p>
    <w:p>
      <w:pPr>
        <w:pStyle w:val="BodyText"/>
        <w:spacing w:line="240" w:lineRule="auto" w:before="69"/>
        <w:ind w:left="138" w:right="47"/>
        <w:jc w:val="left"/>
      </w:pPr>
      <w:r>
        <w:rPr>
          <w:w w:val="100"/>
        </w:rPr>
        <w:t>（股</w:t>
      </w:r>
      <w:r>
        <w:rPr>
          <w:spacing w:val="-3"/>
          <w:w w:val="100"/>
        </w:rPr>
        <w:t>本</w:t>
      </w:r>
      <w:r>
        <w:rPr>
          <w:w w:val="100"/>
        </w:rPr>
        <w:t>溢</w:t>
      </w:r>
      <w:r>
        <w:rPr>
          <w:spacing w:val="-3"/>
          <w:w w:val="100"/>
        </w:rPr>
        <w:t>价</w:t>
      </w:r>
      <w:r>
        <w:rPr>
          <w:spacing w:val="-106"/>
          <w:w w:val="100"/>
        </w:rPr>
        <w:t>）</w:t>
      </w:r>
      <w:r>
        <w:rPr>
          <w:spacing w:val="-3"/>
          <w:w w:val="100"/>
        </w:rPr>
        <w:t>，</w:t>
      </w:r>
      <w:r>
        <w:rPr>
          <w:w w:val="100"/>
        </w:rPr>
        <w:t>同</w:t>
      </w:r>
      <w:r>
        <w:rPr>
          <w:spacing w:val="-3"/>
          <w:w w:val="100"/>
        </w:rPr>
        <w:t>时</w:t>
      </w:r>
      <w:r>
        <w:rPr>
          <w:w w:val="100"/>
        </w:rPr>
        <w:t>就</w:t>
      </w:r>
      <w:r>
        <w:rPr>
          <w:spacing w:val="-3"/>
          <w:w w:val="100"/>
        </w:rPr>
        <w:t>回购</w:t>
      </w:r>
      <w:r>
        <w:rPr>
          <w:w w:val="100"/>
        </w:rPr>
        <w:t>义务</w:t>
      </w:r>
      <w:r>
        <w:rPr>
          <w:spacing w:val="-3"/>
          <w:w w:val="100"/>
        </w:rPr>
        <w:t>金</w:t>
      </w:r>
      <w:r>
        <w:rPr>
          <w:w w:val="100"/>
        </w:rPr>
        <w:t>额</w:t>
      </w:r>
      <w:r>
        <w:rPr>
          <w:spacing w:val="-3"/>
          <w:w w:val="100"/>
        </w:rPr>
        <w:t>确</w:t>
      </w:r>
      <w:r>
        <w:rPr>
          <w:w w:val="100"/>
        </w:rPr>
        <w:t>认</w:t>
      </w:r>
      <w:r>
        <w:rPr>
          <w:spacing w:val="-3"/>
          <w:w w:val="100"/>
        </w:rPr>
        <w:t>其</w:t>
      </w:r>
      <w:r>
        <w:rPr>
          <w:w w:val="100"/>
        </w:rPr>
        <w:t>他</w:t>
      </w:r>
      <w:r>
        <w:rPr>
          <w:spacing w:val="-3"/>
          <w:w w:val="100"/>
        </w:rPr>
        <w:t>应</w:t>
      </w:r>
      <w:r>
        <w:rPr>
          <w:w w:val="100"/>
        </w:rPr>
        <w:t>付</w:t>
      </w:r>
      <w:r>
        <w:rPr>
          <w:spacing w:val="-3"/>
          <w:w w:val="100"/>
        </w:rPr>
        <w:t>款</w:t>
      </w:r>
      <w:r>
        <w:rPr>
          <w:w w:val="100"/>
        </w:rPr>
        <w:t>并确</w:t>
      </w:r>
      <w:r>
        <w:rPr>
          <w:spacing w:val="-3"/>
          <w:w w:val="100"/>
        </w:rPr>
        <w:t>认</w:t>
      </w:r>
      <w:r>
        <w:rPr>
          <w:w w:val="100"/>
        </w:rPr>
        <w:t>库</w:t>
      </w:r>
      <w:r>
        <w:rPr>
          <w:spacing w:val="-3"/>
          <w:w w:val="100"/>
        </w:rPr>
        <w:t>存</w:t>
      </w:r>
      <w:r>
        <w:rPr>
          <w:w w:val="100"/>
        </w:rPr>
        <w:t>股</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748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元。</w:t>
      </w:r>
    </w:p>
    <w:p>
      <w:pPr>
        <w:pStyle w:val="BodyText"/>
        <w:spacing w:line="240" w:lineRule="auto" w:before="69"/>
        <w:ind w:left="558" w:right="47"/>
        <w:jc w:val="left"/>
      </w:pPr>
      <w:r>
        <w:rPr/>
        <w:t>注</w:t>
      </w:r>
      <w:r>
        <w:rPr>
          <w:spacing w:val="-41"/>
        </w:rPr>
        <w:t> </w:t>
      </w:r>
      <w:r>
        <w:rPr>
          <w:rFonts w:ascii="Times New Roman" w:hAnsi="Times New Roman" w:cs="Times New Roman" w:eastAsia="Times New Roman" w:hint="default"/>
        </w:rPr>
        <w:t>2</w:t>
      </w:r>
      <w:r>
        <w:rPr/>
        <w:t>：根据公司</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年年度股东大会审议通过《关于公司</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年度利润分配及资本公积转</w:t>
      </w:r>
    </w:p>
    <w:p>
      <w:pPr>
        <w:pStyle w:val="BodyText"/>
        <w:spacing w:line="240" w:lineRule="auto" w:before="69"/>
        <w:ind w:left="138" w:right="47"/>
        <w:jc w:val="left"/>
      </w:pPr>
      <w:r>
        <w:rPr>
          <w:w w:val="100"/>
        </w:rPr>
        <w:t>增股</w:t>
      </w:r>
      <w:r>
        <w:rPr>
          <w:spacing w:val="-3"/>
          <w:w w:val="100"/>
        </w:rPr>
        <w:t>本</w:t>
      </w:r>
      <w:r>
        <w:rPr>
          <w:w w:val="100"/>
        </w:rPr>
        <w:t>预</w:t>
      </w:r>
      <w:r>
        <w:rPr>
          <w:spacing w:val="-3"/>
          <w:w w:val="100"/>
        </w:rPr>
        <w:t>案</w:t>
      </w:r>
      <w:r>
        <w:rPr>
          <w:spacing w:val="-106"/>
          <w:w w:val="100"/>
        </w:rPr>
        <w:t>》</w:t>
      </w:r>
      <w:r>
        <w:rPr>
          <w:spacing w:val="-3"/>
          <w:w w:val="100"/>
        </w:rPr>
        <w:t>，</w:t>
      </w:r>
      <w:r>
        <w:rPr>
          <w:w w:val="100"/>
        </w:rPr>
        <w:t>本</w:t>
      </w:r>
      <w:r>
        <w:rPr>
          <w:spacing w:val="-3"/>
          <w:w w:val="100"/>
        </w:rPr>
        <w:t>次</w:t>
      </w:r>
      <w:r>
        <w:rPr>
          <w:w w:val="100"/>
        </w:rPr>
        <w:t>利</w:t>
      </w:r>
      <w:r>
        <w:rPr>
          <w:spacing w:val="-3"/>
          <w:w w:val="100"/>
        </w:rPr>
        <w:t>润分</w:t>
      </w:r>
      <w:r>
        <w:rPr>
          <w:w w:val="100"/>
        </w:rPr>
        <w:t>配及</w:t>
      </w:r>
      <w:r>
        <w:rPr>
          <w:spacing w:val="-3"/>
          <w:w w:val="100"/>
        </w:rPr>
        <w:t>转</w:t>
      </w:r>
      <w:r>
        <w:rPr>
          <w:w w:val="100"/>
        </w:rPr>
        <w:t>增</w:t>
      </w:r>
      <w:r>
        <w:rPr>
          <w:spacing w:val="-3"/>
          <w:w w:val="100"/>
        </w:rPr>
        <w:t>股</w:t>
      </w:r>
      <w:r>
        <w:rPr>
          <w:w w:val="100"/>
        </w:rPr>
        <w:t>本</w:t>
      </w:r>
      <w:r>
        <w:rPr>
          <w:spacing w:val="-3"/>
          <w:w w:val="100"/>
        </w:rPr>
        <w:t>以</w:t>
      </w:r>
      <w:r>
        <w:rPr>
          <w:w w:val="100"/>
        </w:rPr>
        <w:t>方</w:t>
      </w:r>
      <w:r>
        <w:rPr>
          <w:spacing w:val="-3"/>
          <w:w w:val="100"/>
        </w:rPr>
        <w:t>案</w:t>
      </w:r>
      <w:r>
        <w:rPr>
          <w:w w:val="100"/>
        </w:rPr>
        <w:t>实</w:t>
      </w:r>
      <w:r>
        <w:rPr>
          <w:spacing w:val="-3"/>
          <w:w w:val="100"/>
        </w:rPr>
        <w:t>施</w:t>
      </w:r>
      <w:r>
        <w:rPr>
          <w:w w:val="100"/>
        </w:rPr>
        <w:t>前的</w:t>
      </w:r>
      <w:r>
        <w:rPr>
          <w:spacing w:val="-3"/>
          <w:w w:val="100"/>
        </w:rPr>
        <w:t>公</w:t>
      </w:r>
      <w:r>
        <w:rPr>
          <w:w w:val="100"/>
        </w:rPr>
        <w:t>司</w:t>
      </w:r>
      <w:r>
        <w:rPr>
          <w:spacing w:val="-3"/>
          <w:w w:val="100"/>
        </w:rPr>
        <w:t>总股</w:t>
      </w:r>
      <w:r>
        <w:rPr>
          <w:w w:val="100"/>
        </w:rPr>
        <w:t>本</w:t>
      </w:r>
      <w:r>
        <w:rPr>
          <w:spacing w:val="-46"/>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1,70</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80</w:t>
      </w:r>
      <w:r>
        <w:rPr>
          <w:rFonts w:ascii="Times New Roman" w:hAnsi="Times New Roman" w:cs="Times New Roman" w:eastAsia="Times New Roman" w:hint="default"/>
          <w:spacing w:val="7"/>
        </w:rPr>
        <w:t> </w:t>
      </w:r>
      <w:r>
        <w:rPr>
          <w:spacing w:val="-3"/>
          <w:w w:val="100"/>
        </w:rPr>
        <w:t>股</w:t>
      </w:r>
      <w:r>
        <w:rPr>
          <w:w w:val="100"/>
        </w:rPr>
        <w:t>为</w:t>
      </w:r>
      <w:r>
        <w:rPr>
          <w:spacing w:val="-3"/>
          <w:w w:val="100"/>
        </w:rPr>
        <w:t>基</w:t>
      </w:r>
      <w:r>
        <w:rPr>
          <w:w w:val="100"/>
        </w:rPr>
        <w:t>数</w:t>
      </w:r>
      <w:r>
        <w:rPr>
          <w:spacing w:val="-3"/>
          <w:w w:val="100"/>
        </w:rPr>
        <w:t>，</w:t>
      </w:r>
      <w:r>
        <w:rPr>
          <w:w w:val="100"/>
        </w:rPr>
        <w:t>每股</w:t>
      </w:r>
    </w:p>
    <w:p>
      <w:pPr>
        <w:spacing w:after="0" w:line="240" w:lineRule="auto"/>
        <w:jc w:val="left"/>
        <w:sectPr>
          <w:type w:val="continuous"/>
          <w:pgSz w:w="11910" w:h="16840"/>
          <w:pgMar w:top="1580" w:bottom="280" w:left="1660" w:right="1120"/>
        </w:sectPr>
      </w:pPr>
    </w:p>
    <w:p>
      <w:pPr>
        <w:spacing w:line="240" w:lineRule="auto" w:before="2"/>
        <w:rPr>
          <w:rFonts w:ascii="宋体" w:hAnsi="宋体" w:cs="宋体" w:eastAsia="宋体" w:hint="default"/>
          <w:sz w:val="29"/>
          <w:szCs w:val="29"/>
        </w:rPr>
      </w:pPr>
    </w:p>
    <w:p>
      <w:pPr>
        <w:pStyle w:val="BodyText"/>
        <w:spacing w:line="297" w:lineRule="auto" w:before="36"/>
        <w:ind w:left="138" w:right="147"/>
        <w:jc w:val="left"/>
      </w:pPr>
      <w:r>
        <w:rPr>
          <w:spacing w:val="-1"/>
          <w:w w:val="100"/>
        </w:rPr>
        <w:t>派发现金红利</w:t>
      </w:r>
      <w:r>
        <w:rPr>
          <w:spacing w:val="-48"/>
          <w:w w:val="100"/>
        </w:rPr>
        <w:t> </w:t>
      </w:r>
      <w:r>
        <w:rPr>
          <w:rFonts w:ascii="Times New Roman" w:hAnsi="Times New Roman" w:cs="Times New Roman" w:eastAsia="Times New Roman" w:hint="default"/>
          <w:spacing w:val="-1"/>
          <w:w w:val="100"/>
        </w:rPr>
        <w:t>0.16</w:t>
      </w:r>
      <w:r>
        <w:rPr>
          <w:rFonts w:ascii="Times New Roman" w:hAnsi="Times New Roman" w:cs="Times New Roman" w:eastAsia="Times New Roman" w:hint="default"/>
          <w:spacing w:val="2"/>
          <w:w w:val="100"/>
        </w:rPr>
        <w:t> </w:t>
      </w:r>
      <w:r>
        <w:rPr>
          <w:spacing w:val="-11"/>
          <w:w w:val="100"/>
        </w:rPr>
        <w:t>元（含税），分配股利中对预计可解锁部份限制性股份分配股利</w:t>
      </w:r>
      <w:r>
        <w:rPr>
          <w:spacing w:val="-47"/>
          <w:w w:val="100"/>
        </w:rPr>
        <w:t> </w:t>
      </w:r>
      <w:r>
        <w:rPr>
          <w:rFonts w:ascii="Times New Roman" w:hAnsi="Times New Roman" w:cs="Times New Roman" w:eastAsia="Times New Roman" w:hint="default"/>
          <w:spacing w:val="-1"/>
          <w:w w:val="100"/>
        </w:rPr>
        <w:t>262,912.00</w:t>
      </w:r>
      <w:r>
        <w:rPr>
          <w:rFonts w:ascii="Times New Roman" w:hAnsi="Times New Roman" w:cs="Times New Roman" w:eastAsia="Times New Roman" w:hint="default"/>
          <w:spacing w:val="2"/>
          <w:w w:val="100"/>
        </w:rPr>
        <w:t> </w:t>
      </w:r>
      <w:r>
        <w:rPr>
          <w:w w:val="100"/>
        </w:rPr>
        <w:t>元，</w:t>
      </w:r>
      <w:r>
        <w:rPr>
          <w:spacing w:val="-104"/>
          <w:w w:val="100"/>
        </w:rPr>
        <w:t> </w:t>
      </w:r>
      <w:r>
        <w:rPr/>
        <w:t>相应少库存股</w:t>
      </w:r>
      <w:r>
        <w:rPr>
          <w:spacing w:val="-52"/>
        </w:rPr>
        <w:t> </w:t>
      </w:r>
      <w:r>
        <w:rPr>
          <w:rFonts w:ascii="Times New Roman" w:hAnsi="Times New Roman" w:cs="Times New Roman" w:eastAsia="Times New Roman" w:hint="default"/>
        </w:rPr>
        <w:t>262,912.00</w:t>
      </w:r>
      <w:r>
        <w:rPr>
          <w:rFonts w:ascii="Times New Roman" w:hAnsi="Times New Roman" w:cs="Times New Roman" w:eastAsia="Times New Roman" w:hint="default"/>
          <w:spacing w:val="-1"/>
        </w:rPr>
        <w:t> </w:t>
      </w:r>
      <w:r>
        <w:rPr/>
        <w:t>元。</w:t>
      </w:r>
    </w:p>
    <w:p>
      <w:pPr>
        <w:pStyle w:val="BodyText"/>
        <w:spacing w:line="297" w:lineRule="auto" w:before="13"/>
        <w:ind w:left="138" w:right="147" w:firstLine="419"/>
        <w:jc w:val="both"/>
      </w:pPr>
      <w:r>
        <w:rPr>
          <w:w w:val="100"/>
        </w:rPr>
        <w:t>注</w:t>
      </w:r>
      <w:r>
        <w:rPr>
          <w:spacing w:val="-51"/>
          <w:w w:val="100"/>
        </w:rPr>
        <w:t> </w:t>
      </w:r>
      <w:r>
        <w:rPr>
          <w:rFonts w:ascii="Times New Roman" w:hAnsi="Times New Roman" w:cs="Times New Roman" w:eastAsia="Times New Roman" w:hint="default"/>
          <w:spacing w:val="-17"/>
          <w:w w:val="100"/>
        </w:rPr>
        <w:t>3</w:t>
      </w:r>
      <w:r>
        <w:rPr>
          <w:spacing w:val="-17"/>
          <w:w w:val="100"/>
        </w:rPr>
        <w:t>：</w:t>
      </w:r>
      <w:r>
        <w:rPr>
          <w:rFonts w:ascii="Times New Roman" w:hAnsi="Times New Roman" w:cs="Times New Roman" w:eastAsia="Times New Roman" w:hint="default"/>
          <w:spacing w:val="-17"/>
          <w:w w:val="100"/>
        </w:rPr>
        <w:t>2017</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1"/>
          <w:w w:val="100"/>
        </w:rPr>
        <w:t> </w:t>
      </w:r>
      <w:r>
        <w:rPr>
          <w:w w:val="100"/>
        </w:rPr>
        <w:t>月</w:t>
      </w:r>
      <w:r>
        <w:rPr>
          <w:spacing w:val="-50"/>
          <w:w w:val="100"/>
        </w:rPr>
        <w:t> </w:t>
      </w:r>
      <w:r>
        <w:rPr>
          <w:rFonts w:ascii="Times New Roman" w:hAnsi="Times New Roman" w:cs="Times New Roman" w:eastAsia="Times New Roman" w:hint="default"/>
          <w:spacing w:val="-2"/>
          <w:w w:val="100"/>
        </w:rPr>
        <w:t>30</w:t>
      </w:r>
      <w:r>
        <w:rPr>
          <w:rFonts w:ascii="Times New Roman" w:hAnsi="Times New Roman" w:cs="Times New Roman" w:eastAsia="Times New Roman" w:hint="default"/>
          <w:spacing w:val="2"/>
          <w:w w:val="100"/>
        </w:rPr>
        <w:t> </w:t>
      </w:r>
      <w:r>
        <w:rPr>
          <w:spacing w:val="-5"/>
          <w:w w:val="100"/>
        </w:rPr>
        <w:t>日，公司完成股权激励计划首次授予的部分限制性股票回购注销工作，</w:t>
      </w:r>
      <w:r>
        <w:rPr>
          <w:w w:val="100"/>
        </w:rPr>
        <w:t> </w:t>
      </w:r>
      <w:r>
        <w:rPr/>
        <w:t>董事会根据股东大会的授权对不符合解锁条件的</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名激励对象合计持有的</w:t>
      </w:r>
      <w:r>
        <w:rPr>
          <w:spacing w:val="-65"/>
        </w:rPr>
        <w:t> </w:t>
      </w:r>
      <w:r>
        <w:rPr>
          <w:rFonts w:ascii="Times New Roman" w:hAnsi="Times New Roman" w:cs="Times New Roman" w:eastAsia="Times New Roman" w:hint="default"/>
        </w:rPr>
        <w:t>258,720</w:t>
      </w:r>
      <w:r>
        <w:rPr>
          <w:rFonts w:ascii="Times New Roman" w:hAnsi="Times New Roman" w:cs="Times New Roman" w:eastAsia="Times New Roman" w:hint="default"/>
          <w:spacing w:val="-14"/>
        </w:rPr>
        <w:t> </w:t>
      </w:r>
      <w:r>
        <w:rPr/>
        <w:t>股已获授但尚</w:t>
      </w:r>
    </w:p>
    <w:p>
      <w:pPr>
        <w:pStyle w:val="BodyText"/>
        <w:spacing w:line="240" w:lineRule="auto" w:before="13"/>
        <w:ind w:left="138" w:right="47"/>
        <w:jc w:val="left"/>
      </w:pPr>
      <w:r>
        <w:rPr/>
        <w:t>未解锁的限制性股票进行回购注销，相应减少股存股</w:t>
      </w:r>
      <w:r>
        <w:rPr>
          <w:spacing w:val="-53"/>
        </w:rPr>
        <w:t> </w:t>
      </w:r>
      <w:r>
        <w:rPr>
          <w:rFonts w:ascii="Times New Roman" w:hAnsi="Times New Roman" w:cs="Times New Roman" w:eastAsia="Times New Roman" w:hint="default"/>
        </w:rPr>
        <w:t>2,334,948.00</w:t>
      </w:r>
      <w:r>
        <w:rPr>
          <w:rFonts w:ascii="Times New Roman" w:hAnsi="Times New Roman" w:cs="Times New Roman" w:eastAsia="Times New Roman" w:hint="default"/>
          <w:spacing w:val="-3"/>
        </w:rPr>
        <w:t> </w:t>
      </w:r>
      <w:r>
        <w:rPr/>
        <w:t>元。</w:t>
      </w:r>
    </w:p>
    <w:p>
      <w:pPr>
        <w:pStyle w:val="BodyText"/>
        <w:spacing w:line="304" w:lineRule="auto" w:before="69"/>
        <w:ind w:left="138" w:right="147" w:firstLine="419"/>
        <w:jc w:val="both"/>
      </w:pPr>
      <w:r>
        <w:rPr/>
        <w:t>注</w:t>
      </w:r>
      <w:r>
        <w:rPr>
          <w:spacing w:val="-45"/>
        </w:rPr>
        <w:t> </w:t>
      </w:r>
      <w:r>
        <w:rPr>
          <w:rFonts w:ascii="Times New Roman" w:hAnsi="Times New Roman" w:cs="Times New Roman" w:eastAsia="Times New Roman" w:hint="default"/>
        </w:rPr>
        <w:t>4:2017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spacing w:val="-3"/>
        </w:rPr>
        <w:t>日，公司第三届董事会第十二次会议审议通过了《关于限制性股票激励</w:t>
      </w:r>
      <w:r>
        <w:rPr>
          <w:w w:val="100"/>
        </w:rPr>
        <w:t> </w:t>
      </w:r>
      <w:r>
        <w:rPr>
          <w:spacing w:val="-6"/>
          <w:w w:val="100"/>
        </w:rPr>
        <w:t>计划首次授予的限制性股票第一个解锁期可解锁的议案》，满足公司限制性股票激励计划首次授予</w:t>
      </w:r>
      <w:r>
        <w:rPr>
          <w:spacing w:val="-104"/>
          <w:w w:val="100"/>
        </w:rPr>
        <w:t> </w:t>
      </w:r>
      <w:r>
        <w:rPr>
          <w:spacing w:val="-104"/>
          <w:w w:val="100"/>
        </w:rPr>
      </w:r>
      <w:r>
        <w:rPr/>
        <w:t>第一个解锁期的解锁条件，授予的</w:t>
      </w:r>
      <w:r>
        <w:rPr>
          <w:spacing w:val="-52"/>
        </w:rPr>
        <w:t> </w:t>
      </w:r>
      <w:r>
        <w:rPr>
          <w:rFonts w:ascii="Times New Roman" w:hAnsi="Times New Roman" w:cs="Times New Roman" w:eastAsia="Times New Roman" w:hint="default"/>
        </w:rPr>
        <w:t>158</w:t>
      </w:r>
      <w:r>
        <w:rPr>
          <w:rFonts w:ascii="Times New Roman" w:hAnsi="Times New Roman" w:cs="Times New Roman" w:eastAsia="Times New Roman" w:hint="default"/>
          <w:spacing w:val="3"/>
        </w:rPr>
        <w:t> </w:t>
      </w:r>
      <w:r>
        <w:rPr/>
        <w:t>名符合解锁条件的激励对象获授的限制性股票办理第一期</w:t>
      </w:r>
    </w:p>
    <w:p>
      <w:pPr>
        <w:pStyle w:val="BodyText"/>
        <w:spacing w:line="240" w:lineRule="auto" w:before="6"/>
        <w:ind w:left="138" w:right="47"/>
        <w:jc w:val="left"/>
        <w:rPr>
          <w:rFonts w:ascii="Times New Roman" w:hAnsi="Times New Roman" w:cs="Times New Roman" w:eastAsia="Times New Roman" w:hint="default"/>
        </w:rPr>
      </w:pPr>
      <w:r>
        <w:rPr>
          <w:w w:val="100"/>
        </w:rPr>
        <w:t>解锁</w:t>
      </w:r>
      <w:r>
        <w:rPr>
          <w:spacing w:val="-108"/>
          <w:w w:val="100"/>
        </w:rPr>
        <w:t>，</w:t>
      </w:r>
      <w:r>
        <w:rPr>
          <w:w w:val="100"/>
        </w:rPr>
        <w:t>解</w:t>
      </w:r>
      <w:r>
        <w:rPr>
          <w:spacing w:val="-3"/>
          <w:w w:val="100"/>
        </w:rPr>
        <w:t>锁</w:t>
      </w:r>
      <w:r>
        <w:rPr>
          <w:w w:val="100"/>
        </w:rPr>
        <w:t>比例为</w:t>
      </w:r>
      <w:r>
        <w:rPr>
          <w:spacing w:val="-58"/>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1"/>
          <w:w w:val="100"/>
        </w:rPr>
        <w:t>%</w:t>
      </w:r>
      <w:r>
        <w:rPr>
          <w:spacing w:val="-108"/>
          <w:w w:val="100"/>
        </w:rPr>
        <w:t>，</w:t>
      </w:r>
      <w:r>
        <w:rPr>
          <w:spacing w:val="-3"/>
          <w:w w:val="100"/>
        </w:rPr>
        <w:t>解</w:t>
      </w:r>
      <w:r>
        <w:rPr>
          <w:w w:val="100"/>
        </w:rPr>
        <w:t>锁的</w:t>
      </w:r>
      <w:r>
        <w:rPr>
          <w:spacing w:val="-3"/>
          <w:w w:val="100"/>
        </w:rPr>
        <w:t>限</w:t>
      </w:r>
      <w:r>
        <w:rPr>
          <w:w w:val="100"/>
        </w:rPr>
        <w:t>制</w:t>
      </w:r>
      <w:r>
        <w:rPr>
          <w:spacing w:val="-3"/>
          <w:w w:val="100"/>
        </w:rPr>
        <w:t>性</w:t>
      </w:r>
      <w:r>
        <w:rPr>
          <w:w w:val="100"/>
        </w:rPr>
        <w:t>股</w:t>
      </w:r>
      <w:r>
        <w:rPr>
          <w:spacing w:val="-3"/>
          <w:w w:val="100"/>
        </w:rPr>
        <w:t>票</w:t>
      </w:r>
      <w:r>
        <w:rPr>
          <w:w w:val="100"/>
        </w:rPr>
        <w:t>数</w:t>
      </w:r>
      <w:r>
        <w:rPr>
          <w:spacing w:val="-3"/>
          <w:w w:val="100"/>
        </w:rPr>
        <w:t>量</w:t>
      </w:r>
      <w:r>
        <w:rPr>
          <w:w w:val="100"/>
        </w:rPr>
        <w:t>合</w:t>
      </w:r>
      <w:r>
        <w:rPr>
          <w:spacing w:val="-3"/>
          <w:w w:val="100"/>
        </w:rPr>
        <w:t>计</w:t>
      </w:r>
      <w:r>
        <w:rPr>
          <w:w w:val="100"/>
        </w:rPr>
        <w:t>为</w:t>
      </w:r>
      <w:r>
        <w:rPr>
          <w:spacing w:val="-55"/>
        </w:rPr>
        <w:t> </w:t>
      </w:r>
      <w:r>
        <w:rPr>
          <w:rFonts w:ascii="Times New Roman" w:hAnsi="Times New Roman" w:cs="Times New Roman" w:eastAsia="Times New Roman" w:hint="default"/>
          <w:w w:val="100"/>
        </w:rPr>
        <w:t>2,550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688</w:t>
      </w:r>
      <w:r>
        <w:rPr>
          <w:rFonts w:ascii="Times New Roman" w:hAnsi="Times New Roman" w:cs="Times New Roman" w:eastAsia="Times New Roman" w:hint="default"/>
          <w:spacing w:val="-3"/>
        </w:rPr>
        <w:t> </w:t>
      </w:r>
      <w:r>
        <w:rPr>
          <w:w w:val="100"/>
        </w:rPr>
        <w:t>股</w:t>
      </w:r>
      <w:r>
        <w:rPr>
          <w:spacing w:val="-108"/>
          <w:w w:val="100"/>
        </w:rPr>
        <w:t>。</w:t>
      </w:r>
      <w:r>
        <w:rPr>
          <w:w w:val="100"/>
        </w:rPr>
        <w:t>相</w:t>
      </w:r>
      <w:r>
        <w:rPr>
          <w:spacing w:val="-3"/>
          <w:w w:val="100"/>
        </w:rPr>
        <w:t>应</w:t>
      </w:r>
      <w:r>
        <w:rPr>
          <w:w w:val="100"/>
        </w:rPr>
        <w:t>减</w:t>
      </w:r>
      <w:r>
        <w:rPr>
          <w:spacing w:val="-3"/>
          <w:w w:val="100"/>
        </w:rPr>
        <w:t>少</w:t>
      </w:r>
      <w:r>
        <w:rPr>
          <w:w w:val="100"/>
        </w:rPr>
        <w:t>库存股</w:t>
      </w:r>
      <w:r>
        <w:rPr>
          <w:spacing w:val="-5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2,91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,931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68</w:t>
      </w:r>
    </w:p>
    <w:p>
      <w:pPr>
        <w:pStyle w:val="BodyText"/>
        <w:spacing w:line="240" w:lineRule="auto" w:before="70"/>
        <w:ind w:left="138" w:right="47"/>
        <w:jc w:val="left"/>
      </w:pPr>
      <w:r>
        <w:rPr/>
        <w:t>元。</w:t>
      </w:r>
    </w:p>
    <w:p>
      <w:pPr>
        <w:spacing w:line="240" w:lineRule="auto" w:before="11"/>
        <w:rPr>
          <w:rFonts w:ascii="宋体" w:hAnsi="宋体" w:cs="宋体" w:eastAsia="宋体" w:hint="default"/>
          <w:sz w:val="24"/>
          <w:szCs w:val="24"/>
        </w:rPr>
      </w:pPr>
    </w:p>
    <w:p>
      <w:pPr>
        <w:pStyle w:val="Heading3"/>
        <w:spacing w:line="240" w:lineRule="auto"/>
        <w:ind w:left="138" w:right="47"/>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tabs>
          <w:tab w:pos="980" w:val="left" w:leader="none"/>
        </w:tabs>
        <w:spacing w:line="240" w:lineRule="auto" w:before="58"/>
        <w:ind w:left="138" w:right="47"/>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47"/>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tabs>
          <w:tab w:pos="980" w:val="left" w:leader="none"/>
        </w:tabs>
        <w:spacing w:line="240" w:lineRule="auto" w:before="56"/>
        <w:ind w:left="138" w:right="47"/>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660" w:right="1120"/>
        </w:sectPr>
      </w:pPr>
    </w:p>
    <w:p>
      <w:pPr>
        <w:pStyle w:val="Heading3"/>
        <w:spacing w:line="240" w:lineRule="auto" w:before="36"/>
        <w:ind w:left="1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tabs>
          <w:tab w:pos="980" w:val="left" w:leader="none"/>
        </w:tabs>
        <w:spacing w:line="240" w:lineRule="auto" w:before="56"/>
        <w:ind w:left="13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1821" w:space="4912"/>
            <w:col w:w="2397"/>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1"/>
              <w:jc w:val="right"/>
              <w:rPr>
                <w:rFonts w:ascii="Times New Roman" w:hAnsi="Times New Roman" w:cs="Times New Roman" w:eastAsia="Times New Roman" w:hint="default"/>
                <w:sz w:val="21"/>
                <w:szCs w:val="21"/>
              </w:rPr>
            </w:pPr>
            <w:r>
              <w:rPr>
                <w:rFonts w:ascii="Times New Roman"/>
                <w:spacing w:val="-1"/>
                <w:sz w:val="21"/>
              </w:rPr>
              <w:t>46,146,960.05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7,254,909.24</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53,401,869.29</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1"/>
              <w:jc w:val="right"/>
              <w:rPr>
                <w:rFonts w:ascii="Times New Roman" w:hAnsi="Times New Roman" w:cs="Times New Roman" w:eastAsia="Times New Roman" w:hint="default"/>
                <w:sz w:val="21"/>
                <w:szCs w:val="21"/>
              </w:rPr>
            </w:pPr>
            <w:r>
              <w:rPr>
                <w:rFonts w:ascii="Times New Roman"/>
                <w:spacing w:val="-1"/>
                <w:sz w:val="21"/>
              </w:rPr>
              <w:t>46,146,960.05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7,254,909.24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53,401,869.29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660" w:right="1120"/>
        </w:sectPr>
      </w:pPr>
    </w:p>
    <w:p>
      <w:pPr>
        <w:pStyle w:val="BodyText"/>
        <w:spacing w:line="290" w:lineRule="auto" w:before="26"/>
        <w:ind w:left="138" w:right="0"/>
        <w:jc w:val="left"/>
      </w:pPr>
      <w:r>
        <w:rPr>
          <w:spacing w:val="-2"/>
        </w:rPr>
        <w:t>盈余公积说明，包括本期增减变动情况、变动原因说明：</w:t>
      </w:r>
      <w:r>
        <w:rPr>
          <w:spacing w:val="-55"/>
        </w:rPr>
        <w:t> </w:t>
      </w:r>
      <w:r>
        <w:rPr>
          <w:spacing w:val="-55"/>
        </w:rPr>
      </w:r>
      <w:r>
        <w:rPr/>
        <w:t>无</w:t>
      </w:r>
    </w:p>
    <w:p>
      <w:pPr>
        <w:pStyle w:val="Heading3"/>
        <w:spacing w:line="240" w:lineRule="auto" w:before="14"/>
        <w:ind w:left="138" w:right="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7"/>
        <w:ind w:left="138" w:right="0"/>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5395" w:space="1338"/>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28"/>
        <w:gridCol w:w="2780"/>
        <w:gridCol w:w="2689"/>
      </w:tblGrid>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328,619,427.96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303,425,252.74</w:t>
            </w:r>
          </w:p>
        </w:tc>
      </w:tr>
      <w:tr>
        <w:trPr>
          <w:trHeight w:val="55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30"/>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w:t>
            </w:r>
            <w:r>
              <w:rPr>
                <w:rFonts w:ascii="Calibri" w:hAnsi="Calibri" w:cs="Calibri" w:eastAsia="Calibri" w:hint="default"/>
                <w:spacing w:val="-2"/>
                <w:sz w:val="21"/>
                <w:szCs w:val="21"/>
              </w:rPr>
              <w:t>+</w:t>
            </w:r>
            <w:r>
              <w:rPr>
                <w:rFonts w:ascii="Calibri" w:hAnsi="Calibri" w:cs="Calibri" w:eastAsia="Calibri" w:hint="default"/>
                <w:spacing w:val="-15"/>
                <w:sz w:val="21"/>
                <w:szCs w:val="21"/>
              </w:rPr>
              <w:t> </w:t>
            </w:r>
            <w:r>
              <w:rPr>
                <w:rFonts w:ascii="宋体" w:hAnsi="宋体" w:cs="宋体" w:eastAsia="宋体" w:hint="default"/>
                <w:sz w:val="21"/>
                <w:szCs w:val="21"/>
              </w:rPr>
              <w:t>调减－）</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328,619,427.96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Times New Roman" w:hAnsi="Times New Roman" w:cs="Times New Roman" w:eastAsia="Times New Roman" w:hint="default"/>
                <w:sz w:val="21"/>
                <w:szCs w:val="21"/>
              </w:rPr>
            </w:pPr>
            <w:r>
              <w:rPr>
                <w:rFonts w:ascii="Times New Roman"/>
                <w:spacing w:val="-1"/>
                <w:sz w:val="21"/>
              </w:rPr>
              <w:t>303,425,252.74</w:t>
            </w:r>
          </w:p>
        </w:tc>
      </w:tr>
      <w:tr>
        <w:trPr>
          <w:trHeight w:val="55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
                <w:sz w:val="21"/>
              </w:rPr>
              <w:t>103,025,506.96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9"/>
              <w:jc w:val="right"/>
              <w:rPr>
                <w:rFonts w:ascii="Times New Roman" w:hAnsi="Times New Roman" w:cs="Times New Roman" w:eastAsia="Times New Roman" w:hint="default"/>
                <w:sz w:val="21"/>
                <w:szCs w:val="21"/>
              </w:rPr>
            </w:pPr>
            <w:r>
              <w:rPr>
                <w:rFonts w:ascii="Times New Roman"/>
                <w:spacing w:val="-1"/>
                <w:sz w:val="21"/>
              </w:rPr>
              <w:t>51,474,724.91</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7,254,909.24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7,280,549.69</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w w:val="100"/>
                <w:sz w:val="21"/>
              </w:rPr>
              <w:t>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w w:val="100"/>
                <w:sz w:val="21"/>
              </w:rPr>
              <w:t>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16,262,912.00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19,000,000.00</w:t>
            </w:r>
          </w:p>
        </w:tc>
      </w:tr>
      <w:tr>
        <w:trPr>
          <w:trHeight w:val="283"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w w:val="100"/>
                <w:sz w:val="21"/>
              </w:rPr>
              <w:t>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660" w:right="1120"/>
        </w:sectPr>
      </w:pPr>
    </w:p>
    <w:p>
      <w:pPr>
        <w:spacing w:line="240" w:lineRule="auto" w:before="8"/>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428"/>
        <w:gridCol w:w="2780"/>
        <w:gridCol w:w="2689"/>
      </w:tblGrid>
      <w:tr>
        <w:trPr>
          <w:trHeight w:val="28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Times New Roman" w:hAnsi="Times New Roman" w:cs="Times New Roman" w:eastAsia="Times New Roman" w:hint="default"/>
                <w:sz w:val="21"/>
                <w:szCs w:val="21"/>
              </w:rPr>
            </w:pPr>
            <w:r>
              <w:rPr>
                <w:rFonts w:ascii="Times New Roman"/>
                <w:sz w:val="21"/>
              </w:rPr>
              <w:t>408,127,113.68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2" w:right="0"/>
              <w:jc w:val="left"/>
              <w:rPr>
                <w:rFonts w:ascii="Times New Roman" w:hAnsi="Times New Roman" w:cs="Times New Roman" w:eastAsia="Times New Roman" w:hint="default"/>
                <w:sz w:val="21"/>
                <w:szCs w:val="21"/>
              </w:rPr>
            </w:pPr>
            <w:r>
              <w:rPr>
                <w:rFonts w:ascii="Times New Roman"/>
                <w:sz w:val="21"/>
              </w:rPr>
              <w:t>328,619,427.96</w:t>
            </w:r>
          </w:p>
        </w:tc>
      </w:tr>
    </w:tbl>
    <w:p>
      <w:pPr>
        <w:spacing w:line="240" w:lineRule="auto" w:before="1"/>
        <w:rPr>
          <w:rFonts w:ascii="宋体" w:hAnsi="宋体" w:cs="宋体" w:eastAsia="宋体" w:hint="default"/>
          <w:sz w:val="5"/>
          <w:szCs w:val="5"/>
        </w:rPr>
      </w:pPr>
    </w:p>
    <w:p>
      <w:pPr>
        <w:pStyle w:val="BodyText"/>
        <w:spacing w:line="357" w:lineRule="auto" w:before="36"/>
        <w:ind w:right="756"/>
        <w:jc w:val="left"/>
      </w:pPr>
      <w:r>
        <w:rPr/>
        <w:t>注：本期应付应付普通股股利已扣除本年不可解锁部份限制性股票可撤销股利</w:t>
      </w:r>
      <w:r>
        <w:rPr>
          <w:spacing w:val="-54"/>
        </w:rPr>
        <w:t> </w:t>
      </w:r>
      <w:r>
        <w:rPr>
          <w:rFonts w:ascii="Times New Roman" w:hAnsi="Times New Roman" w:cs="Times New Roman" w:eastAsia="Times New Roman" w:hint="default"/>
        </w:rPr>
        <w:t>10,348.80</w:t>
      </w:r>
      <w:r>
        <w:rPr>
          <w:rFonts w:ascii="Times New Roman" w:hAnsi="Times New Roman" w:cs="Times New Roman" w:eastAsia="Times New Roman" w:hint="default"/>
          <w:spacing w:val="-2"/>
        </w:rPr>
        <w:t> </w:t>
      </w:r>
      <w:r>
        <w:rPr/>
        <w:t>元</w:t>
      </w:r>
      <w:r>
        <w:rPr>
          <w:w w:val="100"/>
        </w:rPr>
        <w:t> </w:t>
      </w:r>
      <w:r>
        <w:rPr/>
        <w:t>调整期初未分配利润明细：</w:t>
      </w:r>
      <w:r>
        <w:rPr>
          <w:w w:val="100"/>
        </w:rPr>
        <w:t> </w:t>
      </w:r>
      <w:r>
        <w:rPr>
          <w:rFonts w:ascii="Times New Roman" w:hAnsi="Times New Roman" w:cs="Times New Roman" w:eastAsia="Times New Roman" w:hint="default"/>
        </w:rPr>
        <w:t>1</w:t>
      </w:r>
      <w:r>
        <w:rPr/>
        <w:t>、由于《企业会计准则》及其相关新规定进行追溯调整，影响期初未分配利润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r>
    </w:p>
    <w:p>
      <w:pPr>
        <w:pStyle w:val="BodyText"/>
        <w:spacing w:line="246" w:lineRule="exact"/>
        <w:ind w:right="2513"/>
        <w:jc w:val="left"/>
      </w:pPr>
      <w:r>
        <w:rPr>
          <w:rFonts w:ascii="Times New Roman" w:hAnsi="Times New Roman" w:cs="Times New Roman" w:eastAsia="Times New Roman" w:hint="default"/>
        </w:rPr>
        <w:t>2</w:t>
      </w:r>
      <w:r>
        <w:rPr/>
        <w:t>、由于会计政策变更，影响期初未分配利润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40" w:lineRule="auto" w:before="69"/>
        <w:ind w:right="2513"/>
        <w:jc w:val="left"/>
      </w:pPr>
      <w:r>
        <w:rPr>
          <w:rFonts w:ascii="Times New Roman" w:hAnsi="Times New Roman" w:cs="Times New Roman" w:eastAsia="Times New Roman" w:hint="default"/>
        </w:rPr>
        <w:t>3</w:t>
      </w:r>
      <w:r>
        <w:rPr/>
        <w:t>、由于重大会计差错更正，影响期初未分配利润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40" w:lineRule="auto" w:before="69"/>
        <w:ind w:right="2513"/>
        <w:jc w:val="left"/>
      </w:pPr>
      <w:r>
        <w:rPr>
          <w:rFonts w:ascii="Times New Roman" w:hAnsi="Times New Roman" w:cs="Times New Roman" w:eastAsia="Times New Roman" w:hint="default"/>
        </w:rPr>
        <w:t>4</w:t>
      </w:r>
      <w:r>
        <w:rPr/>
        <w:t>、由于同一控制导致的合并范围变更，影响期初未分配利润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40" w:lineRule="auto" w:before="69"/>
        <w:ind w:right="2513"/>
        <w:jc w:val="left"/>
      </w:pPr>
      <w:r>
        <w:rPr>
          <w:rFonts w:ascii="Times New Roman" w:hAnsi="Times New Roman" w:cs="Times New Roman" w:eastAsia="Times New Roman" w:hint="default"/>
        </w:rPr>
        <w:t>5</w:t>
      </w:r>
      <w:r>
        <w:rPr/>
        <w:t>、其他调整合计影响期初未分配利润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60" w:val="left" w:leader="none"/>
        </w:tabs>
        <w:spacing w:line="240" w:lineRule="auto" w:before="58"/>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623" w:space="4110"/>
            <w:col w:w="2557"/>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805,616,804.00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537,512,734.41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465,834,047.86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314,862,630.06</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1,696,331.82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760,431.53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2,240,378.79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1,250,613.98</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807,313,135.82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538,273,165.94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468,074,426.65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316,113,244.04</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6"/>
        <w:ind w:right="-18"/>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779" w:space="4954"/>
            <w:col w:w="2557"/>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20"/>
        <w:gridCol w:w="3017"/>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505,439.12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2,658,339.88</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1,477,705.72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1,900,960.69</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1,046,047.83</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1,543,246.22</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646,349.35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35,230.19</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15,801.20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363,898.06</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167,677.11</w:t>
            </w: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745,997.24</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127,185.36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7,247,672.28</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3,986,205.69</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22,596,501.39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17,223,359.09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7,353,843.66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4,649,821.15</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4,275,867.79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2,910,090.47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1,940,784.76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1,689,267.44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Calibri" w:hAnsi="Calibri" w:cs="Calibri" w:eastAsia="Calibri" w:hint="default"/>
                <w:sz w:val="21"/>
                <w:szCs w:val="21"/>
              </w:rPr>
              <w:t>/</w:t>
            </w:r>
            <w:r>
              <w:rPr>
                <w:rFonts w:ascii="宋体" w:hAnsi="宋体" w:cs="宋体" w:eastAsia="宋体" w:hint="default"/>
                <w:sz w:val="21"/>
                <w:szCs w:val="21"/>
              </w:rPr>
              <w:t>物业</w:t>
            </w:r>
            <w:r>
              <w:rPr>
                <w:rFonts w:ascii="Calibri" w:hAnsi="Calibri" w:cs="Calibri" w:eastAsia="Calibri" w:hint="default"/>
                <w:sz w:val="21"/>
                <w:szCs w:val="21"/>
              </w:rPr>
              <w:t>/</w:t>
            </w:r>
            <w:r>
              <w:rPr>
                <w:rFonts w:ascii="宋体" w:hAnsi="宋体" w:cs="宋体" w:eastAsia="宋体" w:hint="default"/>
                <w:sz w:val="21"/>
                <w:szCs w:val="21"/>
              </w:rPr>
              <w:t>房租费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1,365,494.09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1,219,186.24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692,586.00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642,510.74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资产折旧摊销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333,179.41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224,798.49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限制性股票激励摊销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2,386,819.78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149,699.73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40,945,076.88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28,708,733.35</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2"/>
                <w:sz w:val="21"/>
              </w:rPr>
              <w:t>16,656,111.55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10,099,594.45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32,823,720.02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30,019,102.75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5,003,368.66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3,959,459.06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3,184,257.69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1,591,007.61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6,775,711.50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5,300,722.22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Calibri" w:hAnsi="Calibri" w:cs="Calibri" w:eastAsia="Calibri" w:hint="default"/>
                <w:sz w:val="21"/>
                <w:szCs w:val="21"/>
              </w:rPr>
              <w:t>/</w:t>
            </w:r>
            <w:r>
              <w:rPr>
                <w:rFonts w:ascii="宋体" w:hAnsi="宋体" w:cs="宋体" w:eastAsia="宋体" w:hint="default"/>
                <w:sz w:val="21"/>
                <w:szCs w:val="21"/>
              </w:rPr>
              <w:t>物业</w:t>
            </w:r>
            <w:r>
              <w:rPr>
                <w:rFonts w:ascii="Calibri" w:hAnsi="Calibri" w:cs="Calibri" w:eastAsia="Calibri" w:hint="default"/>
                <w:sz w:val="21"/>
                <w:szCs w:val="21"/>
              </w:rPr>
              <w:t>/</w:t>
            </w:r>
            <w:r>
              <w:rPr>
                <w:rFonts w:ascii="宋体" w:hAnsi="宋体" w:cs="宋体" w:eastAsia="宋体" w:hint="default"/>
                <w:sz w:val="21"/>
                <w:szCs w:val="21"/>
              </w:rPr>
              <w:t>房租费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10,568,539.86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9,781,935.80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21,290,374.16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12,120,174.10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9,667,858.07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5,326,838.20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税费及附加</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684,138.29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2,886,726.97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2,939,768.70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1,617,722.89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1,494,049.73</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4,084,575.53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1,855,279.77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股权激励报酬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4,662,049.99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1,344,647.56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119,221,016.89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86,516,718.24</w:t>
            </w:r>
          </w:p>
        </w:tc>
      </w:tr>
    </w:tbl>
    <w:p>
      <w:pPr>
        <w:pStyle w:val="BodyText"/>
        <w:spacing w:line="240" w:lineRule="exact"/>
        <w:ind w:right="2513"/>
        <w:jc w:val="left"/>
      </w:pPr>
      <w:r>
        <w:rPr/>
        <w:t>其他说明：</w:t>
      </w:r>
    </w:p>
    <w:p>
      <w:pPr>
        <w:pStyle w:val="BodyText"/>
        <w:spacing w:line="274" w:lineRule="exact"/>
        <w:ind w:right="2513"/>
        <w:jc w:val="left"/>
      </w:pPr>
      <w:r>
        <w:rPr>
          <w:w w:val="100"/>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1,324,199.49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228,110.19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-1,546,954.43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-2,931,887.76</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790,541.81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219,793.23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14,171.95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286,278.61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581,958.82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-2,197,705.73</w:t>
            </w:r>
          </w:p>
        </w:tc>
      </w:tr>
    </w:tbl>
    <w:p>
      <w:pPr>
        <w:pStyle w:val="BodyText"/>
        <w:spacing w:line="240" w:lineRule="exact"/>
        <w:ind w:right="2513"/>
        <w:jc w:val="left"/>
      </w:pPr>
      <w:r>
        <w:rPr/>
        <w:t>其他说明：</w:t>
      </w:r>
    </w:p>
    <w:p>
      <w:pPr>
        <w:pStyle w:val="BodyText"/>
        <w:spacing w:line="274" w:lineRule="exact"/>
        <w:ind w:right="2513"/>
        <w:jc w:val="left"/>
      </w:pPr>
      <w:r>
        <w:rPr>
          <w:w w:val="100"/>
        </w:rPr>
        <w:t>无</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tabs>
          <w:tab w:pos="1060" w:val="left" w:leader="none"/>
        </w:tabs>
        <w:spacing w:line="240" w:lineRule="auto" w:before="58"/>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90" w:space="474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15,145,146.75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8,638,706.61</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3,354,289.99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3,690,000.00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3" w:right="0"/>
              <w:jc w:val="left"/>
              <w:rPr>
                <w:rFonts w:ascii="Times New Roman" w:hAnsi="Times New Roman" w:cs="Times New Roman" w:eastAsia="Times New Roman" w:hint="default"/>
                <w:sz w:val="21"/>
                <w:szCs w:val="21"/>
              </w:rPr>
            </w:pPr>
            <w:r>
              <w:rPr>
                <w:rFonts w:ascii="Times New Roman"/>
                <w:sz w:val="21"/>
              </w:rPr>
              <w:t>18,499,436.74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7" w:right="0"/>
              <w:jc w:val="left"/>
              <w:rPr>
                <w:rFonts w:ascii="Times New Roman" w:hAnsi="Times New Roman" w:cs="Times New Roman" w:eastAsia="Times New Roman" w:hint="default"/>
                <w:sz w:val="21"/>
                <w:szCs w:val="21"/>
              </w:rPr>
            </w:pPr>
            <w:r>
              <w:rPr>
                <w:rFonts w:ascii="Times New Roman"/>
                <w:sz w:val="21"/>
              </w:rPr>
              <w:t>12,328,706.61</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tabs>
          <w:tab w:pos="1060" w:val="left" w:leader="none"/>
        </w:tabs>
        <w:spacing w:line="240" w:lineRule="auto" w:before="58"/>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412" w:space="432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-5,610,523.91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-1,604,359.29</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-5,610,523.91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-1,604,359.29</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8"/>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692" w:space="504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-1,152,007.32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-26,801.26</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9,559,055.86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-564,321.33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9,192,698.15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5,031,716.55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17,599,746.69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4,440,593.96</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40" w:bottom="1160" w:left="1580" w:right="1040"/>
        </w:sectPr>
      </w:pPr>
    </w:p>
    <w:p>
      <w:pPr>
        <w:pStyle w:val="BodyText"/>
        <w:spacing w:line="300" w:lineRule="auto" w:before="36"/>
        <w:ind w:right="706"/>
        <w:jc w:val="left"/>
      </w:pPr>
      <w:r>
        <w:rPr>
          <w:spacing w:val="-1"/>
        </w:rPr>
        <w:t>其他说明：</w:t>
      </w:r>
      <w:r>
        <w:rPr>
          <w:spacing w:val="-97"/>
        </w:rPr>
        <w:t> </w:t>
      </w:r>
      <w:r>
        <w:rPr>
          <w:spacing w:val="-97"/>
        </w:rPr>
      </w:r>
      <w:r>
        <w:rPr/>
        <w:t>无</w:t>
      </w:r>
    </w:p>
    <w:p>
      <w:pPr>
        <w:pStyle w:val="Heading3"/>
        <w:spacing w:line="240" w:lineRule="auto" w:before="6"/>
        <w:ind w:right="-18"/>
        <w:jc w:val="left"/>
        <w:rPr>
          <w:b w:val="0"/>
          <w:bCs w:val="0"/>
        </w:rPr>
      </w:pPr>
      <w:r>
        <w:rPr>
          <w:rFonts w:ascii="宋体" w:hAnsi="宋体" w:cs="宋体" w:eastAsia="宋体" w:hint="default"/>
        </w:rPr>
        <w:t>69</w:t>
      </w:r>
      <w:r>
        <w:rPr/>
        <w:t>、</w:t>
      </w:r>
      <w:r>
        <w:rPr>
          <w:spacing w:val="-24"/>
        </w:rPr>
        <w:t> </w:t>
      </w:r>
      <w:r>
        <w:rPr/>
        <w:t>资产处置收益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90" w:space="4743"/>
            <w:col w:w="2557"/>
          </w:cols>
        </w:sectPr>
      </w:pP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985"/>
        <w:gridCol w:w="2482"/>
        <w:gridCol w:w="2480"/>
      </w:tblGrid>
      <w:tr>
        <w:trPr>
          <w:trHeight w:val="394"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036"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7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7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6"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-100,526.61</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5"/>
              <w:jc w:val="right"/>
              <w:rPr>
                <w:rFonts w:ascii="Times New Roman" w:hAnsi="Times New Roman" w:cs="Times New Roman" w:eastAsia="Times New Roman" w:hint="default"/>
                <w:sz w:val="21"/>
                <w:szCs w:val="21"/>
              </w:rPr>
            </w:pPr>
            <w:r>
              <w:rPr>
                <w:rFonts w:ascii="Times New Roman"/>
                <w:sz w:val="21"/>
              </w:rPr>
              <w:t>99.25</w:t>
            </w:r>
          </w:p>
        </w:tc>
      </w:tr>
      <w:tr>
        <w:trPr>
          <w:trHeight w:val="397"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21"/>
                <w:szCs w:val="21"/>
              </w:rPr>
            </w:pPr>
            <w:r>
              <w:rPr>
                <w:rFonts w:ascii="Times New Roman"/>
                <w:spacing w:val="-1"/>
                <w:sz w:val="21"/>
              </w:rPr>
              <w:t>-100,526.61</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21"/>
                <w:szCs w:val="21"/>
              </w:rPr>
            </w:pPr>
            <w:r>
              <w:rPr>
                <w:rFonts w:ascii="Times New Roman"/>
                <w:sz w:val="21"/>
              </w:rPr>
              <w:t>99.25</w:t>
            </w: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70</w:t>
      </w:r>
      <w:r>
        <w:rPr/>
        <w:t>、</w:t>
      </w:r>
      <w:r>
        <w:rPr>
          <w:spacing w:val="-25"/>
        </w:rPr>
        <w:t> </w:t>
      </w:r>
      <w:r>
        <w:rPr/>
        <w:t>其他收益</w:t>
      </w:r>
      <w:r>
        <w:rPr>
          <w:b w:val="0"/>
          <w:bCs w:val="0"/>
        </w:rPr>
      </w:r>
    </w:p>
    <w:p>
      <w:pPr>
        <w:pStyle w:val="BodyText"/>
        <w:spacing w:line="240" w:lineRule="auto" w:before="5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985"/>
        <w:gridCol w:w="2482"/>
        <w:gridCol w:w="2480"/>
      </w:tblGrid>
      <w:tr>
        <w:trPr>
          <w:trHeight w:val="394"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1036"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7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7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6"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9,569,200.38</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18" w:lineRule="auto"/>
              <w:ind w:left="98" w:right="91"/>
              <w:jc w:val="left"/>
              <w:rPr>
                <w:rFonts w:ascii="宋体" w:hAnsi="宋体" w:cs="宋体" w:eastAsia="宋体" w:hint="default"/>
                <w:sz w:val="21"/>
                <w:szCs w:val="21"/>
              </w:rPr>
            </w:pPr>
            <w:r>
              <w:rPr>
                <w:rFonts w:ascii="Calibri" w:hAnsi="Calibri" w:cs="Calibri" w:eastAsia="Calibri" w:hint="default"/>
                <w:sz w:val="21"/>
                <w:szCs w:val="21"/>
              </w:rPr>
              <w:t>12358</w:t>
            </w:r>
            <w:r>
              <w:rPr>
                <w:rFonts w:ascii="Calibri" w:hAnsi="Calibri" w:cs="Calibri" w:eastAsia="Calibri" w:hint="default"/>
                <w:spacing w:val="36"/>
                <w:sz w:val="21"/>
                <w:szCs w:val="21"/>
              </w:rPr>
              <w:t> </w:t>
            </w:r>
            <w:r>
              <w:rPr>
                <w:rFonts w:ascii="宋体" w:hAnsi="宋体" w:cs="宋体" w:eastAsia="宋体" w:hint="default"/>
                <w:sz w:val="21"/>
                <w:szCs w:val="21"/>
              </w:rPr>
              <w:t>大数据公共服务平台项目政府投资</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6,470,588.23</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产业升级优惠政策奖励</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290,000.00</w:t>
            </w:r>
          </w:p>
        </w:tc>
        <w:tc>
          <w:tcPr>
            <w:tcW w:w="2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Calibri" w:hAnsi="Calibri" w:cs="Calibri" w:eastAsia="Calibri" w:hint="default"/>
                <w:sz w:val="18"/>
                <w:szCs w:val="18"/>
              </w:rPr>
            </w:pPr>
            <w:r>
              <w:rPr>
                <w:rFonts w:ascii="Calibri"/>
                <w:sz w:val="18"/>
              </w:rPr>
              <w:t>-</w:t>
            </w:r>
          </w:p>
        </w:tc>
      </w:tr>
      <w:tr>
        <w:trPr>
          <w:trHeight w:val="394"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pacing w:val="-3"/>
                <w:sz w:val="21"/>
                <w:szCs w:val="21"/>
              </w:rPr>
              <w:t>院士专家工作站项目“中国水平台”补助</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566"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项目海南省人民法院执行指挥建设项目</w:t>
            </w:r>
          </w:p>
          <w:p>
            <w:pPr>
              <w:pStyle w:val="TableParagraph"/>
              <w:spacing w:line="300" w:lineRule="exact"/>
              <w:ind w:left="98" w:right="0"/>
              <w:jc w:val="left"/>
              <w:rPr>
                <w:rFonts w:ascii="宋体" w:hAnsi="宋体" w:cs="宋体" w:eastAsia="宋体" w:hint="default"/>
                <w:sz w:val="21"/>
                <w:szCs w:val="21"/>
              </w:rPr>
            </w:pPr>
            <w:r>
              <w:rPr>
                <w:rFonts w:ascii="宋体" w:hAnsi="宋体" w:cs="宋体" w:eastAsia="宋体" w:hint="default"/>
                <w:sz w:val="21"/>
                <w:szCs w:val="21"/>
              </w:rPr>
              <w:t>（二期）</w:t>
            </w:r>
            <w:r>
              <w:rPr>
                <w:rFonts w:ascii="Calibri" w:hAnsi="Calibri" w:cs="Calibri" w:eastAsia="Calibri" w:hint="default"/>
                <w:sz w:val="21"/>
                <w:szCs w:val="21"/>
              </w:rPr>
              <w:t>B</w:t>
            </w:r>
            <w:r>
              <w:rPr>
                <w:rFonts w:ascii="Calibri" w:hAnsi="Calibri" w:cs="Calibri" w:eastAsia="Calibri" w:hint="default"/>
                <w:spacing w:val="3"/>
                <w:sz w:val="21"/>
                <w:szCs w:val="21"/>
              </w:rPr>
              <w:t> </w:t>
            </w:r>
            <w:r>
              <w:rPr>
                <w:rFonts w:ascii="宋体" w:hAnsi="宋体" w:cs="宋体" w:eastAsia="宋体" w:hint="default"/>
                <w:sz w:val="21"/>
                <w:szCs w:val="21"/>
              </w:rPr>
              <w:t>包省外招标奖励</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174,000.00</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项目“行政执法与刑事司法衔接服务平台</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补贴款</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150,000.00</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838"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16" w:lineRule="auto"/>
              <w:ind w:left="98" w:right="86"/>
              <w:jc w:val="both"/>
              <w:rPr>
                <w:rFonts w:ascii="宋体" w:hAnsi="宋体" w:cs="宋体" w:eastAsia="宋体" w:hint="default"/>
                <w:sz w:val="21"/>
                <w:szCs w:val="21"/>
              </w:rPr>
            </w:pPr>
            <w:r>
              <w:rPr>
                <w:rFonts w:ascii="宋体" w:hAnsi="宋体" w:cs="宋体" w:eastAsia="宋体" w:hint="default"/>
                <w:spacing w:val="3"/>
                <w:sz w:val="21"/>
                <w:szCs w:val="21"/>
              </w:rPr>
              <w:t>省区域发展项目</w:t>
            </w:r>
            <w:r>
              <w:rPr>
                <w:rFonts w:ascii="Calibri" w:hAnsi="Calibri" w:cs="Calibri" w:eastAsia="Calibri" w:hint="default"/>
                <w:spacing w:val="3"/>
                <w:sz w:val="21"/>
                <w:szCs w:val="21"/>
              </w:rPr>
              <w:t>"</w:t>
            </w:r>
            <w:r>
              <w:rPr>
                <w:rFonts w:ascii="宋体" w:hAnsi="宋体" w:cs="宋体" w:eastAsia="宋体" w:hint="default"/>
                <w:spacing w:val="3"/>
                <w:sz w:val="21"/>
                <w:szCs w:val="21"/>
              </w:rPr>
              <w:t>城市智能交通物联网即</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sz w:val="21"/>
                <w:szCs w:val="21"/>
              </w:rPr>
              <w:t>插即用式智能接口研发与应用示范</w:t>
            </w:r>
            <w:r>
              <w:rPr>
                <w:rFonts w:ascii="Calibri" w:hAnsi="Calibri" w:cs="Calibri" w:eastAsia="Calibri" w:hint="default"/>
                <w:spacing w:val="4"/>
                <w:sz w:val="21"/>
                <w:szCs w:val="21"/>
              </w:rPr>
              <w:t>"</w:t>
            </w:r>
            <w:r>
              <w:rPr>
                <w:rFonts w:ascii="宋体" w:hAnsi="宋体" w:cs="宋体" w:eastAsia="宋体" w:hint="default"/>
                <w:spacing w:val="4"/>
                <w:sz w:val="21"/>
                <w:szCs w:val="21"/>
              </w:rPr>
              <w:t>科技</w:t>
            </w:r>
            <w:r>
              <w:rPr>
                <w:rFonts w:ascii="宋体" w:hAnsi="宋体" w:cs="宋体" w:eastAsia="宋体" w:hint="default"/>
                <w:spacing w:val="-65"/>
                <w:sz w:val="21"/>
                <w:szCs w:val="21"/>
              </w:rPr>
              <w:t> </w:t>
            </w:r>
            <w:r>
              <w:rPr>
                <w:rFonts w:ascii="宋体" w:hAnsi="宋体" w:cs="宋体" w:eastAsia="宋体" w:hint="default"/>
                <w:sz w:val="21"/>
                <w:szCs w:val="21"/>
              </w:rPr>
              <w:t>经费</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125,000.00</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视频图像分布式联网与智能化应用平台</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设备专项资金</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110,000.00</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394"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软件认证经费补助</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29,000.00</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98"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年租房补贴</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pacing w:val="-1"/>
                <w:sz w:val="21"/>
              </w:rPr>
              <w:t>28,000.00</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项目智慧社区服务管理平台补贴款</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19,444.44</w:t>
            </w:r>
          </w:p>
        </w:tc>
        <w:tc>
          <w:tcPr>
            <w:tcW w:w="2480"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3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17,165,233.05</w:t>
            </w:r>
          </w:p>
        </w:tc>
        <w:tc>
          <w:tcPr>
            <w:tcW w:w="248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spacing w:line="290" w:lineRule="auto" w:before="36"/>
        <w:ind w:left="218" w:right="210" w:firstLine="0"/>
        <w:jc w:val="left"/>
        <w:rPr>
          <w:rFonts w:ascii="宋体" w:hAnsi="宋体" w:cs="宋体" w:eastAsia="宋体" w:hint="default"/>
          <w:sz w:val="21"/>
          <w:szCs w:val="21"/>
        </w:rPr>
      </w:pP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63" w:val="left" w:leader="none"/>
        </w:tabs>
        <w:spacing w:line="242" w:lineRule="exact"/>
        <w:ind w:right="-19"/>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007" w:space="472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其中：固定资产处置</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1,543,880.63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16,299,140.14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1,543,880.63</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29,206.56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400,633.97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29,206.56</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1,573,087.19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16,699,774.11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1,573,087.19</w:t>
            </w:r>
          </w:p>
        </w:tc>
      </w:tr>
    </w:tbl>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7" w:footer="979" w:top="1140" w:bottom="1160" w:left="1580" w:right="1040"/>
        </w:sectPr>
      </w:pPr>
    </w:p>
    <w:p>
      <w:pPr>
        <w:pStyle w:val="BodyText"/>
        <w:spacing w:line="275" w:lineRule="exact" w:before="36"/>
        <w:ind w:right="0"/>
        <w:jc w:val="left"/>
      </w:pPr>
      <w:r>
        <w:rPr>
          <w:spacing w:val="-2"/>
        </w:rPr>
        <w:t>计入当期损益的政府补助</w:t>
      </w:r>
    </w:p>
    <w:p>
      <w:pPr>
        <w:pStyle w:val="BodyText"/>
        <w:tabs>
          <w:tab w:pos="1060" w:val="left" w:leader="none"/>
        </w:tabs>
        <w:spacing w:line="275" w:lineRule="exact"/>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532" w:space="4201"/>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Calibri" w:hAnsi="Calibri" w:cs="Calibri" w:eastAsia="Calibri" w:hint="default"/>
                <w:sz w:val="21"/>
                <w:szCs w:val="21"/>
              </w:rPr>
              <w:t>/</w:t>
            </w: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省级工程研究院评定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奖励金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院士专家工作站建站</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专利评奖奖励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202,000.00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高层次人才奖励金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118,899.00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人才高地企业奖励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综合改革试点区域扶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持基金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7"/>
                <w:sz w:val="21"/>
                <w:szCs w:val="21"/>
              </w:rPr>
              <w:t> </w:t>
            </w:r>
            <w:r>
              <w:rPr>
                <w:rFonts w:ascii="宋体" w:hAnsi="宋体" w:cs="宋体" w:eastAsia="宋体" w:hint="default"/>
                <w:sz w:val="21"/>
                <w:szCs w:val="21"/>
              </w:rPr>
              <w:t>年新认定高新技</w:t>
            </w:r>
            <w:r>
              <w:rPr>
                <w:rFonts w:ascii="宋体" w:hAnsi="宋体" w:cs="宋体" w:eastAsia="宋体" w:hint="default"/>
                <w:w w:val="100"/>
                <w:sz w:val="21"/>
                <w:szCs w:val="21"/>
              </w:rPr>
              <w:t> </w:t>
            </w:r>
            <w:r>
              <w:rPr>
                <w:rFonts w:ascii="宋体" w:hAnsi="宋体" w:cs="宋体" w:eastAsia="宋体" w:hint="default"/>
                <w:sz w:val="21"/>
                <w:szCs w:val="21"/>
              </w:rPr>
              <w:t>术企业奖励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批量交换磁盘拷入录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84,000.00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专利补助金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7"/>
                <w:sz w:val="21"/>
                <w:szCs w:val="21"/>
              </w:rPr>
              <w:t> </w:t>
            </w:r>
            <w:r>
              <w:rPr>
                <w:rFonts w:ascii="宋体" w:hAnsi="宋体" w:cs="宋体" w:eastAsia="宋体" w:hint="default"/>
                <w:sz w:val="21"/>
                <w:szCs w:val="21"/>
              </w:rPr>
              <w:t>年度省级科技创</w:t>
            </w:r>
            <w:r>
              <w:rPr>
                <w:rFonts w:ascii="宋体" w:hAnsi="宋体" w:cs="宋体" w:eastAsia="宋体" w:hint="default"/>
                <w:w w:val="100"/>
                <w:sz w:val="21"/>
                <w:szCs w:val="21"/>
              </w:rPr>
              <w:t> </w:t>
            </w:r>
            <w:r>
              <w:rPr>
                <w:rFonts w:ascii="宋体" w:hAnsi="宋体" w:cs="宋体" w:eastAsia="宋体" w:hint="default"/>
                <w:sz w:val="21"/>
                <w:szCs w:val="21"/>
              </w:rPr>
              <w:t>新券补助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22,000.00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7"/>
                <w:sz w:val="21"/>
                <w:szCs w:val="21"/>
              </w:rPr>
              <w:t> </w:t>
            </w:r>
            <w:r>
              <w:rPr>
                <w:rFonts w:ascii="宋体" w:hAnsi="宋体" w:cs="宋体" w:eastAsia="宋体" w:hint="default"/>
                <w:sz w:val="21"/>
                <w:szCs w:val="21"/>
              </w:rPr>
              <w:t>年度失业保险稳</w:t>
            </w:r>
            <w:r>
              <w:rPr>
                <w:rFonts w:ascii="宋体" w:hAnsi="宋体" w:cs="宋体" w:eastAsia="宋体" w:hint="default"/>
                <w:w w:val="100"/>
                <w:sz w:val="21"/>
                <w:szCs w:val="21"/>
              </w:rPr>
              <w:t> </w:t>
            </w:r>
            <w:r>
              <w:rPr>
                <w:rFonts w:ascii="宋体" w:hAnsi="宋体" w:cs="宋体" w:eastAsia="宋体" w:hint="default"/>
                <w:sz w:val="21"/>
                <w:szCs w:val="21"/>
              </w:rPr>
              <w:t>岗补贴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17,981.63</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7"/>
                <w:sz w:val="21"/>
                <w:szCs w:val="21"/>
              </w:rPr>
              <w:t> </w:t>
            </w:r>
            <w:r>
              <w:rPr>
                <w:rFonts w:ascii="宋体" w:hAnsi="宋体" w:cs="宋体" w:eastAsia="宋体" w:hint="default"/>
                <w:sz w:val="21"/>
                <w:szCs w:val="21"/>
              </w:rPr>
              <w:t>年鼓楼区知识产</w:t>
            </w:r>
            <w:r>
              <w:rPr>
                <w:rFonts w:ascii="宋体" w:hAnsi="宋体" w:cs="宋体" w:eastAsia="宋体" w:hint="default"/>
                <w:w w:val="100"/>
                <w:sz w:val="21"/>
                <w:szCs w:val="21"/>
              </w:rPr>
              <w:t> </w:t>
            </w:r>
            <w:r>
              <w:rPr>
                <w:rFonts w:ascii="宋体" w:hAnsi="宋体" w:cs="宋体" w:eastAsia="宋体" w:hint="default"/>
                <w:sz w:val="21"/>
                <w:szCs w:val="21"/>
              </w:rPr>
              <w:t>权奖励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14,000.00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12,379,290.81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基于传感器融合的互</w:t>
            </w:r>
          </w:p>
          <w:p>
            <w:pPr>
              <w:pStyle w:val="TableParagraph"/>
              <w:spacing w:line="301" w:lineRule="exact"/>
              <w:ind w:left="26" w:right="0"/>
              <w:jc w:val="left"/>
              <w:rPr>
                <w:rFonts w:ascii="宋体" w:hAnsi="宋体" w:cs="宋体" w:eastAsia="宋体" w:hint="default"/>
                <w:sz w:val="21"/>
                <w:szCs w:val="21"/>
              </w:rPr>
            </w:pPr>
            <w:r>
              <w:rPr>
                <w:rFonts w:ascii="宋体" w:hAnsi="宋体" w:cs="宋体" w:eastAsia="宋体" w:hint="default"/>
                <w:sz w:val="21"/>
                <w:szCs w:val="21"/>
              </w:rPr>
              <w:t>联网</w:t>
            </w:r>
            <w:r>
              <w:rPr>
                <w:rFonts w:ascii="Calibri" w:hAnsi="Calibri" w:cs="Calibri" w:eastAsia="Calibri" w:hint="default"/>
                <w:sz w:val="21"/>
                <w:szCs w:val="21"/>
              </w:rPr>
              <w:t>+</w:t>
            </w:r>
            <w:r>
              <w:rPr>
                <w:rFonts w:ascii="宋体" w:hAnsi="宋体" w:cs="宋体" w:eastAsia="宋体" w:hint="default"/>
                <w:sz w:val="21"/>
                <w:szCs w:val="21"/>
              </w:rPr>
              <w:t>智能云服务终端</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用于企业产品设计的</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9"/>
                <w:sz w:val="21"/>
                <w:szCs w:val="21"/>
              </w:rPr>
              <w:t>云平台关键技术研发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与应用</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675,000.00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6" w:right="17"/>
              <w:jc w:val="left"/>
              <w:rPr>
                <w:rFonts w:ascii="宋体" w:hAnsi="宋体" w:cs="宋体" w:eastAsia="宋体" w:hint="default"/>
                <w:sz w:val="21"/>
                <w:szCs w:val="21"/>
              </w:rPr>
            </w:pPr>
            <w:r>
              <w:rPr>
                <w:rFonts w:ascii="宋体" w:hAnsi="宋体" w:cs="宋体" w:eastAsia="宋体" w:hint="default"/>
                <w:sz w:val="21"/>
                <w:szCs w:val="21"/>
              </w:rPr>
              <w:t>省区域发展项目</w:t>
            </w:r>
            <w:r>
              <w:rPr>
                <w:rFonts w:ascii="Calibri" w:hAnsi="Calibri" w:cs="Calibri" w:eastAsia="Calibri" w:hint="default"/>
                <w:sz w:val="21"/>
                <w:szCs w:val="21"/>
              </w:rPr>
              <w:t>“</w:t>
            </w:r>
            <w:r>
              <w:rPr>
                <w:rFonts w:ascii="宋体" w:hAnsi="宋体" w:cs="宋体" w:eastAsia="宋体" w:hint="default"/>
                <w:sz w:val="21"/>
                <w:szCs w:val="21"/>
              </w:rPr>
              <w:t>城市</w:t>
            </w:r>
            <w:r>
              <w:rPr>
                <w:rFonts w:ascii="宋体" w:hAnsi="宋体" w:cs="宋体" w:eastAsia="宋体" w:hint="default"/>
                <w:spacing w:val="-81"/>
                <w:sz w:val="21"/>
                <w:szCs w:val="21"/>
              </w:rPr>
              <w:t> </w:t>
            </w:r>
            <w:r>
              <w:rPr>
                <w:rFonts w:ascii="宋体" w:hAnsi="宋体" w:cs="宋体" w:eastAsia="宋体" w:hint="default"/>
                <w:spacing w:val="9"/>
                <w:sz w:val="21"/>
                <w:szCs w:val="21"/>
              </w:rPr>
              <w:t>智能交通物联网即插</w:t>
            </w:r>
          </w:p>
          <w:p>
            <w:pPr>
              <w:pStyle w:val="TableParagraph"/>
              <w:spacing w:line="272" w:lineRule="exact" w:before="29"/>
              <w:ind w:left="26" w:right="21"/>
              <w:jc w:val="left"/>
              <w:rPr>
                <w:rFonts w:ascii="Calibri" w:hAnsi="Calibri" w:cs="Calibri" w:eastAsia="Calibri" w:hint="default"/>
                <w:sz w:val="21"/>
                <w:szCs w:val="21"/>
              </w:rPr>
            </w:pPr>
            <w:r>
              <w:rPr>
                <w:rFonts w:ascii="宋体" w:hAnsi="宋体" w:cs="宋体" w:eastAsia="宋体" w:hint="default"/>
                <w:spacing w:val="9"/>
                <w:sz w:val="21"/>
                <w:szCs w:val="21"/>
              </w:rPr>
              <w:t>即用式智能接口研发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与应用示范</w:t>
            </w:r>
            <w:r>
              <w:rPr>
                <w:rFonts w:ascii="Calibri" w:hAnsi="Calibri" w:cs="Calibri" w:eastAsia="Calibri" w:hint="default"/>
                <w:sz w:val="21"/>
                <w:szCs w:val="21"/>
              </w:rPr>
              <w:t>”</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移动</w:t>
            </w:r>
            <w:r>
              <w:rPr>
                <w:rFonts w:ascii="宋体" w:hAnsi="宋体" w:cs="宋体" w:eastAsia="宋体" w:hint="default"/>
                <w:spacing w:val="-52"/>
                <w:sz w:val="21"/>
                <w:szCs w:val="21"/>
              </w:rPr>
              <w:t> </w:t>
            </w:r>
            <w:r>
              <w:rPr>
                <w:rFonts w:ascii="Calibri" w:hAnsi="Calibri" w:cs="Calibri" w:eastAsia="Calibri" w:hint="default"/>
                <w:sz w:val="21"/>
                <w:szCs w:val="21"/>
              </w:rPr>
              <w:t>UCAP</w:t>
            </w:r>
            <w:r>
              <w:rPr>
                <w:rFonts w:ascii="Calibri" w:hAnsi="Calibri" w:cs="Calibri" w:eastAsia="Calibri" w:hint="default"/>
                <w:spacing w:val="5"/>
                <w:sz w:val="21"/>
                <w:szCs w:val="21"/>
              </w:rPr>
              <w:t> </w:t>
            </w:r>
            <w:r>
              <w:rPr>
                <w:rFonts w:ascii="宋体" w:hAnsi="宋体" w:cs="宋体" w:eastAsia="宋体" w:hint="default"/>
                <w:spacing w:val="-3"/>
                <w:sz w:val="21"/>
                <w:szCs w:val="21"/>
              </w:rPr>
              <w:t>平台</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泉州市丰泽区科技和</w:t>
            </w:r>
          </w:p>
          <w:p>
            <w:pPr>
              <w:pStyle w:val="TableParagraph"/>
              <w:spacing w:line="300" w:lineRule="exact"/>
              <w:ind w:left="26" w:right="0"/>
              <w:jc w:val="left"/>
              <w:rPr>
                <w:rFonts w:ascii="宋体" w:hAnsi="宋体" w:cs="宋体" w:eastAsia="宋体" w:hint="default"/>
                <w:sz w:val="21"/>
                <w:szCs w:val="21"/>
              </w:rPr>
            </w:pPr>
            <w:r>
              <w:rPr>
                <w:rFonts w:ascii="宋体" w:hAnsi="宋体" w:cs="宋体" w:eastAsia="宋体" w:hint="default"/>
                <w:sz w:val="21"/>
                <w:szCs w:val="21"/>
              </w:rPr>
              <w:t>知识产权局（</w:t>
            </w:r>
            <w:r>
              <w:rPr>
                <w:rFonts w:ascii="Calibri" w:hAnsi="Calibri" w:cs="Calibri" w:eastAsia="Calibri" w:hint="default"/>
                <w:sz w:val="21"/>
                <w:szCs w:val="21"/>
              </w:rPr>
              <w:t>2015 </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230,000.00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4"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center"/>
              <w:rPr>
                <w:rFonts w:ascii="宋体" w:hAnsi="宋体" w:cs="宋体" w:eastAsia="宋体" w:hint="default"/>
                <w:sz w:val="21"/>
                <w:szCs w:val="21"/>
              </w:rPr>
            </w:pPr>
            <w:r>
              <w:rPr>
                <w:rFonts w:ascii="宋体" w:hAnsi="宋体" w:cs="宋体" w:eastAsia="宋体" w:hint="default"/>
                <w:sz w:val="21"/>
                <w:szCs w:val="21"/>
              </w:rPr>
              <w:t>度科技优惠政策奖励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视频图像分布式联网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与智能化应用平台</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175,833.33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泉泉州市知识产权局</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9"/>
                <w:sz w:val="21"/>
                <w:szCs w:val="21"/>
              </w:rPr>
              <w:t>（一种公务车辆监管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中位置预警的方法）</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政执法与刑事司法衔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接服务平台</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丰泽</w:t>
            </w:r>
            <w:r>
              <w:rPr>
                <w:rFonts w:ascii="宋体" w:hAnsi="宋体" w:cs="宋体" w:eastAsia="宋体" w:hint="default"/>
                <w:spacing w:val="-3"/>
                <w:w w:val="100"/>
                <w:sz w:val="21"/>
                <w:szCs w:val="21"/>
              </w:rPr>
              <w:t>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政</w:t>
            </w:r>
            <w:r>
              <w:rPr>
                <w:rFonts w:ascii="宋体" w:hAnsi="宋体" w:cs="宋体" w:eastAsia="宋体" w:hint="default"/>
                <w:spacing w:val="-104"/>
                <w:w w:val="100"/>
                <w:sz w:val="21"/>
                <w:szCs w:val="21"/>
              </w:rPr>
              <w:t>府</w:t>
            </w:r>
            <w:r>
              <w:rPr>
                <w:rFonts w:ascii="宋体" w:hAnsi="宋体" w:cs="宋体" w:eastAsia="宋体" w:hint="default"/>
                <w:spacing w:val="-3"/>
                <w:w w:val="100"/>
                <w:sz w:val="21"/>
                <w:szCs w:val="21"/>
              </w:rPr>
              <w:t>（</w:t>
            </w:r>
            <w:r>
              <w:rPr>
                <w:rFonts w:ascii="宋体" w:hAnsi="宋体" w:cs="宋体" w:eastAsia="宋体" w:hint="default"/>
                <w:w w:val="100"/>
                <w:sz w:val="21"/>
                <w:szCs w:val="21"/>
              </w:rPr>
              <w:t>博士</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后科研工作站奖励）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泉州市丰泽区财政局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高端人才奖金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泉州</w:t>
            </w:r>
            <w:r>
              <w:rPr>
                <w:rFonts w:ascii="宋体" w:hAnsi="宋体" w:cs="宋体" w:eastAsia="宋体" w:hint="default"/>
                <w:spacing w:val="-3"/>
                <w:w w:val="100"/>
                <w:sz w:val="21"/>
                <w:szCs w:val="21"/>
              </w:rPr>
              <w:t>市</w:t>
            </w:r>
            <w:r>
              <w:rPr>
                <w:rFonts w:ascii="宋体" w:hAnsi="宋体" w:cs="宋体" w:eastAsia="宋体" w:hint="default"/>
                <w:w w:val="100"/>
                <w:sz w:val="21"/>
                <w:szCs w:val="21"/>
              </w:rPr>
              <w:t>科</w:t>
            </w:r>
            <w:r>
              <w:rPr>
                <w:rFonts w:ascii="宋体" w:hAnsi="宋体" w:cs="宋体" w:eastAsia="宋体" w:hint="default"/>
                <w:spacing w:val="-3"/>
                <w:w w:val="100"/>
                <w:sz w:val="21"/>
                <w:szCs w:val="21"/>
              </w:rPr>
              <w:t>学</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spacing w:val="-104"/>
                <w:w w:val="100"/>
                <w:sz w:val="21"/>
                <w:szCs w:val="21"/>
              </w:rPr>
              <w:t>局</w:t>
            </w:r>
            <w:r>
              <w:rPr>
                <w:rFonts w:ascii="宋体" w:hAnsi="宋体" w:cs="宋体" w:eastAsia="宋体" w:hint="default"/>
                <w:w w:val="100"/>
                <w:sz w:val="21"/>
                <w:szCs w:val="21"/>
              </w:rPr>
              <w:t>（创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业人才补助）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泉州市丰泽区经济和</w:t>
            </w:r>
          </w:p>
          <w:p>
            <w:pPr>
              <w:pStyle w:val="TableParagraph"/>
              <w:spacing w:line="228" w:lineRule="auto" w:before="11"/>
              <w:ind w:left="26" w:right="20"/>
              <w:jc w:val="both"/>
              <w:rPr>
                <w:rFonts w:ascii="宋体" w:hAnsi="宋体" w:cs="宋体" w:eastAsia="宋体" w:hint="default"/>
                <w:sz w:val="21"/>
                <w:szCs w:val="21"/>
              </w:rPr>
            </w:pPr>
            <w:r>
              <w:rPr>
                <w:rFonts w:ascii="宋体" w:hAnsi="宋体" w:cs="宋体" w:eastAsia="宋体" w:hint="default"/>
                <w:sz w:val="21"/>
                <w:szCs w:val="21"/>
              </w:rPr>
              <w:t>信息化局（</w:t>
            </w:r>
            <w:r>
              <w:rPr>
                <w:rFonts w:ascii="Calibri" w:hAnsi="Calibri" w:cs="Calibri" w:eastAsia="Calibri" w:hint="default"/>
                <w:sz w:val="21"/>
                <w:szCs w:val="21"/>
              </w:rPr>
              <w:t>2015</w:t>
            </w:r>
            <w:r>
              <w:rPr>
                <w:rFonts w:ascii="Calibri" w:hAnsi="Calibri" w:cs="Calibri" w:eastAsia="Calibri" w:hint="default"/>
                <w:spacing w:val="7"/>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pacing w:val="9"/>
                <w:sz w:val="21"/>
                <w:szCs w:val="21"/>
              </w:rPr>
              <w:t>惠企优惠政策奖励资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7"/>
                <w:sz w:val="21"/>
                <w:szCs w:val="21"/>
              </w:rPr>
              <w:t> </w:t>
            </w:r>
            <w:r>
              <w:rPr>
                <w:rFonts w:ascii="宋体" w:hAnsi="宋体" w:cs="宋体" w:eastAsia="宋体" w:hint="default"/>
                <w:sz w:val="21"/>
                <w:szCs w:val="21"/>
              </w:rPr>
              <w:t>年军民融合产业</w:t>
            </w:r>
            <w:r>
              <w:rPr>
                <w:rFonts w:ascii="宋体" w:hAnsi="宋体" w:cs="宋体" w:eastAsia="宋体" w:hint="default"/>
                <w:w w:val="100"/>
                <w:sz w:val="21"/>
                <w:szCs w:val="21"/>
              </w:rPr>
              <w:t> </w:t>
            </w:r>
            <w:r>
              <w:rPr>
                <w:rFonts w:ascii="宋体" w:hAnsi="宋体" w:cs="宋体" w:eastAsia="宋体" w:hint="default"/>
                <w:sz w:val="21"/>
                <w:szCs w:val="21"/>
              </w:rPr>
              <w:t>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福建</w:t>
            </w:r>
            <w:r>
              <w:rPr>
                <w:rFonts w:ascii="宋体" w:hAnsi="宋体" w:cs="宋体" w:eastAsia="宋体" w:hint="default"/>
                <w:spacing w:val="-3"/>
                <w:w w:val="100"/>
                <w:sz w:val="21"/>
                <w:szCs w:val="21"/>
              </w:rPr>
              <w:t>省</w:t>
            </w:r>
            <w:r>
              <w:rPr>
                <w:rFonts w:ascii="宋体" w:hAnsi="宋体" w:cs="宋体" w:eastAsia="宋体" w:hint="default"/>
                <w:w w:val="100"/>
                <w:sz w:val="21"/>
                <w:szCs w:val="21"/>
              </w:rPr>
              <w:t>科</w:t>
            </w:r>
            <w:r>
              <w:rPr>
                <w:rFonts w:ascii="宋体" w:hAnsi="宋体" w:cs="宋体" w:eastAsia="宋体" w:hint="default"/>
                <w:spacing w:val="-3"/>
                <w:w w:val="100"/>
                <w:sz w:val="21"/>
                <w:szCs w:val="21"/>
              </w:rPr>
              <w:t>学</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spacing w:val="-104"/>
                <w:w w:val="100"/>
                <w:sz w:val="21"/>
                <w:szCs w:val="21"/>
              </w:rPr>
              <w:t>厅</w:t>
            </w:r>
            <w:r>
              <w:rPr>
                <w:rFonts w:ascii="宋体" w:hAnsi="宋体" w:cs="宋体" w:eastAsia="宋体" w:hint="default"/>
                <w:w w:val="100"/>
                <w:sz w:val="21"/>
                <w:szCs w:val="21"/>
              </w:rPr>
              <w:t>（福</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9"/>
                <w:sz w:val="21"/>
                <w:szCs w:val="21"/>
              </w:rPr>
              <w:t>建省科技发展研究中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心创新方法经费补助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泉州市人力资源和社</w:t>
            </w:r>
          </w:p>
          <w:p>
            <w:pPr>
              <w:pStyle w:val="TableParagraph"/>
              <w:spacing w:line="228" w:lineRule="auto" w:before="12"/>
              <w:ind w:left="26" w:right="21"/>
              <w:jc w:val="both"/>
              <w:rPr>
                <w:rFonts w:ascii="宋体" w:hAnsi="宋体" w:cs="宋体" w:eastAsia="宋体" w:hint="default"/>
                <w:sz w:val="21"/>
                <w:szCs w:val="21"/>
              </w:rPr>
            </w:pPr>
            <w:r>
              <w:rPr>
                <w:rFonts w:ascii="宋体" w:hAnsi="宋体" w:cs="宋体" w:eastAsia="宋体" w:hint="default"/>
                <w:sz w:val="21"/>
                <w:szCs w:val="21"/>
              </w:rPr>
              <w:t>会保障局（</w:t>
            </w:r>
            <w:r>
              <w:rPr>
                <w:rFonts w:ascii="Calibri" w:hAnsi="Calibri" w:cs="Calibri" w:eastAsia="Calibri" w:hint="default"/>
                <w:sz w:val="21"/>
                <w:szCs w:val="21"/>
              </w:rPr>
              <w:t>2013-2014</w:t>
            </w:r>
            <w:r>
              <w:rPr>
                <w:rFonts w:ascii="Calibri" w:hAnsi="Calibri" w:cs="Calibri" w:eastAsia="Calibri" w:hint="default"/>
                <w:spacing w:val="-22"/>
                <w:sz w:val="21"/>
                <w:szCs w:val="21"/>
              </w:rPr>
              <w:t> </w:t>
            </w:r>
            <w:r>
              <w:rPr>
                <w:rFonts w:ascii="Calibri" w:hAnsi="Calibri" w:cs="Calibri" w:eastAsia="Calibri" w:hint="default"/>
                <w:spacing w:val="-22"/>
                <w:sz w:val="21"/>
                <w:szCs w:val="21"/>
              </w:rPr>
            </w:r>
            <w:r>
              <w:rPr>
                <w:rFonts w:ascii="宋体" w:hAnsi="宋体" w:cs="宋体" w:eastAsia="宋体" w:hint="default"/>
                <w:spacing w:val="9"/>
                <w:sz w:val="21"/>
                <w:szCs w:val="21"/>
              </w:rPr>
              <w:t>年度民营企业高层次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人才贡献奖励经费）</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pacing w:val="-1"/>
                <w:sz w:val="21"/>
              </w:rPr>
              <w:t>34,016.00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福建省科学技术咨询</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9"/>
                <w:sz w:val="21"/>
                <w:szCs w:val="21"/>
              </w:rPr>
              <w:t>服务中心院士专家工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作站经费补助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泉州知识产权局一次</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pacing w:val="-12"/>
                <w:w w:val="100"/>
                <w:sz w:val="21"/>
                <w:szCs w:val="21"/>
              </w:rPr>
              <w:t>性奖励款（发明专利实</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审补助）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1"/>
                <w:szCs w:val="21"/>
              </w:rPr>
            </w:pPr>
            <w:r>
              <w:rPr>
                <w:rFonts w:ascii="Calibri" w:hAnsi="Calibri" w:cs="Calibri" w:eastAsia="Calibri" w:hint="default"/>
                <w:sz w:val="21"/>
                <w:szCs w:val="21"/>
              </w:rPr>
              <w:t>2016 </w:t>
            </w:r>
            <w:r>
              <w:rPr>
                <w:rFonts w:ascii="Calibri" w:hAnsi="Calibri" w:cs="Calibri" w:eastAsia="Calibri" w:hint="default"/>
                <w:spacing w:val="6"/>
                <w:sz w:val="21"/>
                <w:szCs w:val="21"/>
              </w:rPr>
              <w:t> </w:t>
            </w:r>
            <w:r>
              <w:rPr>
                <w:rFonts w:ascii="宋体" w:hAnsi="宋体" w:cs="宋体" w:eastAsia="宋体" w:hint="default"/>
                <w:sz w:val="21"/>
                <w:szCs w:val="21"/>
              </w:rPr>
              <w:t>年智能制造产业</w:t>
            </w:r>
          </w:p>
          <w:p>
            <w:pPr>
              <w:pStyle w:val="TableParagraph"/>
              <w:spacing w:line="272" w:lineRule="exact" w:before="13"/>
              <w:ind w:left="26" w:right="21"/>
              <w:jc w:val="left"/>
              <w:rPr>
                <w:rFonts w:ascii="宋体" w:hAnsi="宋体" w:cs="宋体" w:eastAsia="宋体" w:hint="default"/>
                <w:sz w:val="21"/>
                <w:szCs w:val="21"/>
              </w:rPr>
            </w:pPr>
            <w:r>
              <w:rPr>
                <w:rFonts w:ascii="宋体" w:hAnsi="宋体" w:cs="宋体" w:eastAsia="宋体" w:hint="default"/>
                <w:spacing w:val="9"/>
                <w:sz w:val="21"/>
                <w:szCs w:val="21"/>
              </w:rPr>
              <w:t>集群高端人才补助资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42" w:right="0"/>
              <w:jc w:val="left"/>
              <w:rPr>
                <w:rFonts w:ascii="Times New Roman" w:hAnsi="Times New Roman" w:cs="Times New Roman" w:eastAsia="Times New Roman" w:hint="default"/>
                <w:sz w:val="21"/>
                <w:szCs w:val="21"/>
              </w:rPr>
            </w:pPr>
            <w:r>
              <w:rPr>
                <w:rFonts w:ascii="Times New Roman"/>
                <w:sz w:val="21"/>
              </w:rPr>
              <w:t>1,543,880.63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16,299,140.14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6"/>
        <w:ind w:right="2513"/>
        <w:jc w:val="left"/>
      </w:pPr>
      <w:r>
        <w:rPr/>
        <w:t>其他说明：</w:t>
      </w:r>
    </w:p>
    <w:p>
      <w:pPr>
        <w:pStyle w:val="BodyText"/>
        <w:tabs>
          <w:tab w:pos="1060" w:val="left" w:leader="none"/>
        </w:tabs>
        <w:spacing w:line="240" w:lineRule="auto" w:before="145"/>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7" w:footer="979" w:top="1140" w:bottom="1160" w:left="1580" w:right="1040"/>
        </w:sectPr>
      </w:pPr>
    </w:p>
    <w:p>
      <w:pPr>
        <w:pStyle w:val="Heading3"/>
        <w:spacing w:line="240" w:lineRule="auto" w:before="36"/>
        <w:ind w:right="-19"/>
        <w:jc w:val="left"/>
        <w:rPr>
          <w:b w:val="0"/>
          <w:bCs w:val="0"/>
        </w:rPr>
      </w:pPr>
      <w:r>
        <w:rPr>
          <w:rFonts w:ascii="宋体" w:hAnsi="宋体" w:cs="宋体" w:eastAsia="宋体" w:hint="default"/>
        </w:rPr>
        <w:t>72</w:t>
      </w:r>
      <w:r>
        <w:rPr/>
        <w:t>、</w:t>
      </w:r>
      <w:r>
        <w:rPr>
          <w:spacing w:val="-25"/>
        </w:rPr>
        <w:t> </w:t>
      </w:r>
      <w:r>
        <w:rPr/>
        <w:t>营业外支出</w:t>
      </w:r>
      <w:r>
        <w:rPr>
          <w:b w:val="0"/>
          <w:bCs w:val="0"/>
        </w:rPr>
      </w:r>
    </w:p>
    <w:p>
      <w:pPr>
        <w:pStyle w:val="BodyText"/>
        <w:tabs>
          <w:tab w:pos="1163" w:val="left" w:leader="none"/>
        </w:tabs>
        <w:spacing w:line="240" w:lineRule="auto" w:before="56"/>
        <w:ind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007" w:space="472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bl>
    <w:p>
      <w:pPr>
        <w:spacing w:after="0" w:line="273" w:lineRule="exact"/>
        <w:jc w:val="center"/>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62,787.62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55,242.36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62,787.62</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62,787.62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55,242.36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62,787.62</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1,313,400.00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1,313,400.00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926,909.07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10,606.91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926,909.07</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2,303,096.69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105,849.27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2,303,096.69</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7" w:footer="979" w:top="1140" w:bottom="1160" w:left="1580" w:right="1040"/>
        </w:sectPr>
      </w:pPr>
    </w:p>
    <w:p>
      <w:pPr>
        <w:pStyle w:val="Heading3"/>
        <w:spacing w:line="290" w:lineRule="auto" w:before="36"/>
        <w:ind w:right="-20"/>
        <w:jc w:val="left"/>
        <w:rPr>
          <w:b w:val="0"/>
          <w:bCs w:val="0"/>
        </w:rPr>
      </w:pPr>
      <w:r>
        <w:rPr>
          <w:rFonts w:ascii="宋体" w:hAnsi="宋体" w:cs="宋体" w:eastAsia="宋体" w:hint="default"/>
        </w:rPr>
        <w:t>73</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tabs>
          <w:tab w:pos="1060" w:val="left" w:leader="none"/>
        </w:tabs>
        <w:spacing w:line="240" w:lineRule="auto" w:before="12"/>
        <w:ind w:right="-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11" w:space="482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90"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23,207,068.94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10,017,436.70</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-4,373,529.68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2"/>
                <w:sz w:val="21"/>
              </w:rPr>
              <w:t>-11,198,860.47</w:t>
            </w:r>
          </w:p>
        </w:tc>
      </w:tr>
      <w:tr>
        <w:trPr>
          <w:trHeight w:val="28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18,833,539.26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-1,181,423.77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807" w:space="2926"/>
            <w:col w:w="2557"/>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110,868,997.99</w:t>
            </w:r>
          </w:p>
        </w:tc>
      </w:tr>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Calibri" w:hAnsi="Calibri" w:cs="Calibri" w:eastAsia="Calibri" w:hint="default"/>
                <w:sz w:val="21"/>
                <w:szCs w:val="21"/>
              </w:rPr>
              <w:t>/</w:t>
            </w:r>
            <w:r>
              <w:rPr>
                <w:rFonts w:ascii="宋体" w:hAnsi="宋体" w:cs="宋体" w:eastAsia="宋体" w:hint="default"/>
                <w:sz w:val="21"/>
                <w:szCs w:val="21"/>
              </w:rPr>
              <w:t>适用税率计算的所得税费用</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16,630,349.70</w:t>
            </w:r>
          </w:p>
        </w:tc>
      </w:tr>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-2,887,733.52</w:t>
            </w:r>
          </w:p>
        </w:tc>
      </w:tr>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-350,063.71</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-2,387,976.57</w:t>
            </w:r>
          </w:p>
        </w:tc>
      </w:tr>
      <w:tr>
        <w:trPr>
          <w:trHeight w:val="28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3,155,643.10</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7,062,672.91</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研发加计扣除的影响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-2,389,352.64</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18,833,539.26</w:t>
            </w:r>
          </w:p>
        </w:tc>
      </w:tr>
    </w:tbl>
    <w:p>
      <w:pPr>
        <w:spacing w:line="240" w:lineRule="auto" w:before="11"/>
        <w:rPr>
          <w:rFonts w:ascii="宋体" w:hAnsi="宋体" w:cs="宋体" w:eastAsia="宋体" w:hint="default"/>
          <w:sz w:val="18"/>
          <w:szCs w:val="18"/>
        </w:rPr>
      </w:pPr>
    </w:p>
    <w:p>
      <w:pPr>
        <w:pStyle w:val="BodyText"/>
        <w:spacing w:line="240" w:lineRule="auto" w:before="36"/>
        <w:ind w:right="2513"/>
        <w:jc w:val="left"/>
      </w:pPr>
      <w:r>
        <w:rPr/>
        <w:t>其他说明：</w:t>
      </w:r>
    </w:p>
    <w:p>
      <w:pPr>
        <w:pStyle w:val="BodyText"/>
        <w:tabs>
          <w:tab w:pos="1060" w:val="left" w:leader="none"/>
        </w:tabs>
        <w:spacing w:line="240" w:lineRule="auto" w:before="56"/>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ind w:right="2513"/>
        <w:jc w:val="left"/>
        <w:rPr>
          <w:b w:val="0"/>
          <w:bCs w:val="0"/>
        </w:rPr>
      </w:pPr>
      <w:r>
        <w:rPr>
          <w:rFonts w:ascii="宋体" w:hAnsi="宋体" w:cs="宋体" w:eastAsia="宋体" w:hint="default"/>
        </w:rPr>
        <w:t>74</w:t>
      </w:r>
      <w:r>
        <w:rPr/>
        <w:t>、</w:t>
      </w:r>
      <w:r>
        <w:rPr>
          <w:spacing w:val="-24"/>
        </w:rPr>
        <w:t> </w:t>
      </w:r>
      <w:r>
        <w:rPr/>
        <w:t>其他综合收益</w:t>
      </w:r>
      <w:r>
        <w:rPr>
          <w:b w:val="0"/>
          <w:bCs w:val="0"/>
        </w:rPr>
      </w:r>
    </w:p>
    <w:p>
      <w:pPr>
        <w:pStyle w:val="BodyText"/>
        <w:spacing w:line="272" w:lineRule="exact" w:before="87"/>
        <w:ind w:right="7474"/>
        <w:jc w:val="left"/>
      </w:pPr>
      <w:r>
        <w:rPr/>
        <w:t>□适用 </w:t>
      </w:r>
      <w:r>
        <w:rPr>
          <w:rFonts w:ascii="Arial" w:hAnsi="Arial" w:cs="Arial" w:eastAsia="Arial" w:hint="default"/>
        </w:rPr>
        <w:t>□</w:t>
      </w:r>
      <w:r>
        <w:rPr>
          <w:rFonts w:ascii="Arial" w:hAnsi="Arial" w:cs="Arial" w:eastAsia="Arial" w:hint="default"/>
          <w:spacing w:val="24"/>
        </w:rPr>
        <w:t> </w:t>
      </w:r>
      <w:r>
        <w:rPr/>
        <w:t>不适用</w:t>
      </w:r>
      <w:r>
        <w:rPr>
          <w:w w:val="100"/>
        </w:rPr>
        <w:t> </w:t>
      </w:r>
      <w:r>
        <w:rPr/>
        <w:t>详见附注</w:t>
      </w:r>
    </w:p>
    <w:p>
      <w:pPr>
        <w:spacing w:after="0" w:line="272"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7" w:footer="979" w:top="1140" w:bottom="1160" w:left="1660" w:right="1120"/>
        </w:sectPr>
      </w:pPr>
    </w:p>
    <w:p>
      <w:pPr>
        <w:pStyle w:val="Heading3"/>
        <w:spacing w:line="240" w:lineRule="auto" w:before="36"/>
        <w:ind w:left="138" w:right="-2"/>
        <w:jc w:val="left"/>
        <w:rPr>
          <w:b w:val="0"/>
          <w:bCs w:val="0"/>
        </w:rPr>
      </w:pPr>
      <w:r>
        <w:rPr>
          <w:rFonts w:ascii="宋体" w:hAnsi="宋体" w:cs="宋体" w:eastAsia="宋体" w:hint="default"/>
        </w:rPr>
        <w:t>75</w:t>
      </w:r>
      <w:r>
        <w:rPr/>
        <w:t>、</w:t>
      </w:r>
      <w:r>
        <w:rPr>
          <w:spacing w:val="-24"/>
        </w:rPr>
        <w:t> </w:t>
      </w:r>
      <w:r>
        <w:rPr/>
        <w:t>现金流量表项目</w:t>
      </w:r>
      <w:r>
        <w:rPr>
          <w:b w:val="0"/>
          <w:bCs w:val="0"/>
        </w:rPr>
      </w:r>
    </w:p>
    <w:p>
      <w:pPr>
        <w:pStyle w:val="Heading3"/>
        <w:tabs>
          <w:tab w:pos="838" w:val="left" w:leader="none"/>
        </w:tabs>
        <w:spacing w:line="240" w:lineRule="auto" w:before="58"/>
        <w:ind w:left="13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tabs>
          <w:tab w:pos="980" w:val="left" w:leader="none"/>
        </w:tabs>
        <w:spacing w:line="240" w:lineRule="auto" w:before="56"/>
        <w:ind w:left="138" w:right="-2"/>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4214" w:space="2519"/>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非税费返还的政府其他补助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12,564,880.63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2,044,016.00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1,590,036.06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3,492,452.29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1,250,784.00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2,201,306.47</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63,518,465.46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60,215,598.66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78,924,166.15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67,953,373.42</w:t>
            </w:r>
          </w:p>
        </w:tc>
      </w:tr>
    </w:tbl>
    <w:p>
      <w:pPr>
        <w:pStyle w:val="BodyText"/>
        <w:spacing w:line="290" w:lineRule="auto" w:before="26"/>
        <w:ind w:left="138" w:right="5054"/>
        <w:jc w:val="left"/>
      </w:pPr>
      <w:r>
        <w:rPr>
          <w:spacing w:val="-2"/>
        </w:rPr>
        <w:t>收到的其他与经营活动有关的现金说明：</w:t>
      </w:r>
      <w:r>
        <w:rPr>
          <w:spacing w:val="-69"/>
        </w:rPr>
        <w:t> </w:t>
      </w:r>
      <w:r>
        <w:rPr>
          <w:spacing w:val="-69"/>
        </w:rPr>
      </w:r>
      <w:r>
        <w:rPr/>
        <w:t>无</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660" w:right="1120"/>
        </w:sectPr>
      </w:pPr>
    </w:p>
    <w:p>
      <w:pPr>
        <w:pStyle w:val="Heading3"/>
        <w:tabs>
          <w:tab w:pos="838" w:val="left" w:leader="none"/>
        </w:tabs>
        <w:spacing w:line="240" w:lineRule="auto" w:before="36"/>
        <w:ind w:left="13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tabs>
          <w:tab w:pos="980" w:val="left" w:leader="none"/>
        </w:tabs>
        <w:spacing w:line="240" w:lineRule="auto" w:before="56"/>
        <w:ind w:left="138" w:right="-2"/>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4214" w:space="2519"/>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65,198,942.06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41,760,069.38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76,599,692.17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71,635,512.08</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支付银行手续费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790,541.81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219,793.23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1,660,578.57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50,606.91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144,249,754.61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113,665,981.60</w:t>
            </w:r>
          </w:p>
        </w:tc>
      </w:tr>
    </w:tbl>
    <w:p>
      <w:pPr>
        <w:pStyle w:val="BodyText"/>
        <w:spacing w:line="290" w:lineRule="auto" w:before="26"/>
        <w:ind w:left="138" w:right="5054"/>
        <w:jc w:val="left"/>
      </w:pPr>
      <w:r>
        <w:rPr>
          <w:spacing w:val="-2"/>
        </w:rPr>
        <w:t>支付的其他与经营活动有关的现金说明：</w:t>
      </w:r>
      <w:r>
        <w:rPr>
          <w:spacing w:val="-69"/>
        </w:rPr>
        <w:t> </w:t>
      </w:r>
      <w:r>
        <w:rPr>
          <w:spacing w:val="-69"/>
        </w:rPr>
      </w:r>
      <w:r>
        <w:rPr/>
        <w:t>无</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660" w:right="1120"/>
        </w:sectPr>
      </w:pPr>
    </w:p>
    <w:p>
      <w:pPr>
        <w:pStyle w:val="Heading3"/>
        <w:tabs>
          <w:tab w:pos="865" w:val="left" w:leader="none"/>
        </w:tabs>
        <w:spacing w:line="240" w:lineRule="auto" w:before="36"/>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tabs>
          <w:tab w:pos="874" w:val="left" w:leader="none"/>
        </w:tabs>
        <w:spacing w:line="240" w:lineRule="auto" w:before="56"/>
        <w:ind w:left="138" w:right="-4"/>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138" w:right="0"/>
        <w:jc w:val="left"/>
      </w:pPr>
      <w:r>
        <w:rPr/>
        <w:t>单位：元币种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660" w:right="1120"/>
          <w:cols w:num="2" w:equalWidth="0">
            <w:col w:w="4029" w:space="2857"/>
            <w:col w:w="2244"/>
          </w:cols>
        </w:sect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期限在三个月以上的定期存款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66,000,000.00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66,000,000.00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9"/>
        <w:ind w:left="138" w:right="5054"/>
        <w:jc w:val="left"/>
      </w:pPr>
      <w:r>
        <w:rPr>
          <w:spacing w:val="-2"/>
        </w:rPr>
        <w:t>收到的其他与投资活动有关的现金说明：</w:t>
      </w:r>
      <w:r>
        <w:rPr>
          <w:spacing w:val="-69"/>
        </w:rPr>
        <w:t> </w:t>
      </w:r>
      <w:r>
        <w:rPr>
          <w:spacing w:val="-69"/>
        </w:rPr>
      </w:r>
      <w:r>
        <w:rPr/>
        <w:t>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660" w:right="1120"/>
        </w:sectPr>
      </w:pPr>
    </w:p>
    <w:p>
      <w:pPr>
        <w:pStyle w:val="Heading3"/>
        <w:tabs>
          <w:tab w:pos="865" w:val="left" w:leader="none"/>
        </w:tabs>
        <w:spacing w:line="240" w:lineRule="auto" w:before="36"/>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tabs>
          <w:tab w:pos="874" w:val="left" w:leader="none"/>
        </w:tabs>
        <w:spacing w:line="240" w:lineRule="auto" w:before="56"/>
        <w:ind w:left="138" w:right="-4"/>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4029" w:space="2704"/>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期限在三个月以上的定期存款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36,000,000</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36,000,000</w:t>
            </w:r>
          </w:p>
        </w:tc>
      </w:tr>
    </w:tbl>
    <w:p>
      <w:pPr>
        <w:pStyle w:val="BodyText"/>
        <w:spacing w:line="290" w:lineRule="auto" w:before="26"/>
        <w:ind w:left="138" w:right="5054"/>
        <w:jc w:val="left"/>
      </w:pPr>
      <w:r>
        <w:rPr>
          <w:spacing w:val="-2"/>
        </w:rPr>
        <w:t>支付的其他与投资活动有关的现金说明：</w:t>
      </w:r>
      <w:r>
        <w:rPr>
          <w:spacing w:val="-69"/>
        </w:rPr>
        <w:t> </w:t>
      </w:r>
      <w:r>
        <w:rPr>
          <w:spacing w:val="-69"/>
        </w:rPr>
      </w:r>
      <w:r>
        <w:rPr/>
        <w:t>无</w:t>
      </w:r>
    </w:p>
    <w:p>
      <w:pPr>
        <w:spacing w:after="0" w:line="290" w:lineRule="auto"/>
        <w:jc w:val="left"/>
        <w:sectPr>
          <w:type w:val="continuous"/>
          <w:pgSz w:w="11910" w:h="16840"/>
          <w:pgMar w:top="1580" w:bottom="2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7" w:footer="979" w:top="1140" w:bottom="1160" w:left="1580" w:right="1040"/>
        </w:sectPr>
      </w:pPr>
    </w:p>
    <w:p>
      <w:pPr>
        <w:pStyle w:val="Heading3"/>
        <w:spacing w:line="240" w:lineRule="auto" w:before="36"/>
        <w:ind w:right="-1"/>
        <w:jc w:val="left"/>
        <w:rPr>
          <w:b w:val="0"/>
          <w:bCs w:val="0"/>
        </w:rPr>
      </w:pPr>
      <w:r>
        <w:rPr>
          <w:rFonts w:ascii="宋体" w:hAnsi="宋体" w:cs="宋体" w:eastAsia="宋体" w:hint="default"/>
          <w:spacing w:val="-1"/>
        </w:rPr>
        <w:t>(5).</w:t>
      </w:r>
      <w:r>
        <w:rPr>
          <w:spacing w:val="-1"/>
        </w:rPr>
        <w:t>收到的其他与筹资活动有关的现金</w:t>
      </w:r>
      <w:r>
        <w:rPr>
          <w:b w:val="0"/>
          <w:bCs w:val="0"/>
          <w:spacing w:val="-1"/>
        </w:rPr>
      </w:r>
    </w:p>
    <w:p>
      <w:pPr>
        <w:pStyle w:val="BodyText"/>
        <w:tabs>
          <w:tab w:pos="1060" w:val="left" w:leader="none"/>
        </w:tabs>
        <w:spacing w:line="240" w:lineRule="auto" w:before="58"/>
        <w:ind w:right="-1"/>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804" w:space="292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票据保证金及保函保证金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4,990,536.06</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32,018,926.02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收到其他借款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80,000,000.00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84,990,536.06</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32,018,926.02</w:t>
            </w:r>
          </w:p>
        </w:tc>
      </w:tr>
    </w:tbl>
    <w:p>
      <w:pPr>
        <w:pStyle w:val="BodyText"/>
        <w:spacing w:line="290" w:lineRule="auto" w:before="26"/>
        <w:ind w:right="5134"/>
        <w:jc w:val="left"/>
      </w:pPr>
      <w:r>
        <w:rPr>
          <w:spacing w:val="-2"/>
        </w:rPr>
        <w:t>收到的其他与筹资活动有关的现金说明：</w:t>
      </w:r>
      <w:r>
        <w:rPr>
          <w:spacing w:val="-69"/>
        </w:rPr>
        <w:t> </w:t>
      </w:r>
      <w:r>
        <w:rPr>
          <w:spacing w:val="-69"/>
        </w:rPr>
      </w:r>
      <w:r>
        <w:rPr/>
        <w:t>无</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580" w:right="1040"/>
        </w:sectPr>
      </w:pPr>
    </w:p>
    <w:p>
      <w:pPr>
        <w:pStyle w:val="Heading3"/>
        <w:spacing w:line="240" w:lineRule="auto" w:before="36"/>
        <w:ind w:right="-1"/>
        <w:jc w:val="left"/>
        <w:rPr>
          <w:b w:val="0"/>
          <w:bCs w:val="0"/>
        </w:rPr>
      </w:pPr>
      <w:r>
        <w:rPr>
          <w:rFonts w:ascii="宋体" w:hAnsi="宋体" w:cs="宋体" w:eastAsia="宋体" w:hint="default"/>
          <w:spacing w:val="-1"/>
        </w:rPr>
        <w:t>(6).</w:t>
      </w:r>
      <w:r>
        <w:rPr>
          <w:spacing w:val="-1"/>
        </w:rPr>
        <w:t>支付的其他与筹资活动有关的现金</w:t>
      </w:r>
      <w:r>
        <w:rPr>
          <w:b w:val="0"/>
          <w:bCs w:val="0"/>
          <w:spacing w:val="-1"/>
        </w:rPr>
      </w:r>
    </w:p>
    <w:p>
      <w:pPr>
        <w:pStyle w:val="BodyText"/>
        <w:tabs>
          <w:tab w:pos="1060" w:val="left" w:leader="none"/>
        </w:tabs>
        <w:spacing w:line="240" w:lineRule="auto" w:before="56"/>
        <w:ind w:right="-1"/>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804" w:space="292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票据保证金及保函保证金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93,384,011.63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660,875.97</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股票回购支出</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2,324,599.20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支付收购少数股东股权款项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14,584,566.88</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375,000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110,293,177.71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1,035,875.97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BodyText"/>
        <w:spacing w:line="290" w:lineRule="auto" w:before="36"/>
        <w:ind w:right="0"/>
        <w:jc w:val="left"/>
      </w:pPr>
      <w:r>
        <w:rPr>
          <w:spacing w:val="-2"/>
        </w:rPr>
        <w:t>支付的其他与筹资活动有关的现金说明：</w:t>
      </w:r>
      <w:r>
        <w:rPr>
          <w:spacing w:val="-69"/>
        </w:rPr>
        <w:t> </w:t>
      </w:r>
      <w:r>
        <w:rPr>
          <w:spacing w:val="-69"/>
        </w:rPr>
      </w:r>
      <w:r>
        <w:rPr/>
        <w:t>无</w:t>
      </w:r>
    </w:p>
    <w:p>
      <w:pPr>
        <w:pStyle w:val="Heading3"/>
        <w:spacing w:line="290" w:lineRule="auto" w:before="14"/>
        <w:ind w:right="1362"/>
        <w:jc w:val="left"/>
        <w:rPr>
          <w:b w:val="0"/>
          <w:bCs w:val="0"/>
        </w:rPr>
      </w:pPr>
      <w:r>
        <w:rPr>
          <w:rFonts w:ascii="宋体" w:hAnsi="宋体" w:cs="宋体" w:eastAsia="宋体" w:hint="default"/>
        </w:rPr>
        <w:t>76</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163" w:val="left" w:leader="none"/>
        </w:tabs>
        <w:spacing w:line="240" w:lineRule="auto" w:before="14"/>
        <w:ind w:right="0"/>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4004" w:space="2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92,035,458.73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43,230,206.98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18,499,436.74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12,328,706.61</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10,704,665.06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7,167,009.66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24,122,140.58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12,479,682.98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559,177.14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635,728.41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30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100,256.61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-99.25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固定资产报废损失（收益以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86"/>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62,787.62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55,242.36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公允价值变动损失（收益以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86"/>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5,610,523.91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1,604,359.29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1,324,199.49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228,110.19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-17,599,746.69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-4,440,593.96</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Calibri" w:hAnsi="Calibri" w:cs="Calibri" w:eastAsia="Calibri" w:hint="default"/>
                <w:sz w:val="21"/>
                <w:szCs w:val="21"/>
              </w:rPr>
            </w:pPr>
            <w:r>
              <w:rPr>
                <w:rFonts w:ascii="宋体" w:hAnsi="宋体" w:cs="宋体" w:eastAsia="宋体" w:hint="default"/>
                <w:spacing w:val="6"/>
                <w:sz w:val="21"/>
                <w:szCs w:val="21"/>
              </w:rPr>
              <w:t>递延所得税资产减少（增加以</w:t>
            </w:r>
            <w:r>
              <w:rPr>
                <w:rFonts w:ascii="Calibri" w:hAnsi="Calibri" w:cs="Calibri" w:eastAsia="Calibri" w:hint="default"/>
                <w:spacing w:val="6"/>
                <w:sz w:val="21"/>
                <w:szCs w:val="21"/>
              </w:rPr>
              <w:t>“</w:t>
            </w:r>
            <w:r>
              <w:rPr>
                <w:rFonts w:ascii="宋体" w:hAnsi="宋体" w:cs="宋体" w:eastAsia="宋体" w:hint="default"/>
                <w:spacing w:val="6"/>
                <w:sz w:val="21"/>
                <w:szCs w:val="21"/>
              </w:rPr>
              <w:t>－</w:t>
            </w:r>
            <w:r>
              <w:rPr>
                <w:rFonts w:ascii="Calibri" w:hAnsi="Calibri" w:cs="Calibri" w:eastAsia="Calibri" w:hint="default"/>
                <w:spacing w:val="6"/>
                <w:sz w:val="21"/>
                <w:szCs w:val="21"/>
              </w:rPr>
              <w:t>”</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-4,387,327.42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2"/>
                <w:sz w:val="21"/>
              </w:rPr>
              <w:t>-11,060,014.10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宋体" w:hAnsi="宋体" w:cs="宋体" w:eastAsia="宋体" w:hint="default"/>
                <w:spacing w:val="6"/>
                <w:sz w:val="21"/>
                <w:szCs w:val="21"/>
              </w:rPr>
              <w:t>递延所得税负债增加（减少以</w:t>
            </w:r>
            <w:r>
              <w:rPr>
                <w:rFonts w:ascii="Calibri" w:hAnsi="Calibri" w:cs="Calibri" w:eastAsia="Calibri" w:hint="default"/>
                <w:spacing w:val="6"/>
                <w:sz w:val="21"/>
                <w:szCs w:val="21"/>
              </w:rPr>
              <w:t>“</w:t>
            </w:r>
            <w:r>
              <w:rPr>
                <w:rFonts w:ascii="宋体" w:hAnsi="宋体" w:cs="宋体" w:eastAsia="宋体" w:hint="default"/>
                <w:spacing w:val="6"/>
                <w:sz w:val="21"/>
                <w:szCs w:val="21"/>
              </w:rPr>
              <w:t>－</w:t>
            </w:r>
            <w:r>
              <w:rPr>
                <w:rFonts w:ascii="Calibri" w:hAnsi="Calibri" w:cs="Calibri" w:eastAsia="Calibri" w:hint="default"/>
                <w:spacing w:val="6"/>
                <w:sz w:val="21"/>
                <w:szCs w:val="21"/>
              </w:rPr>
              <w:t>”</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13,797.74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-138,846.37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-55,576,057.97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-39,630,508.29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经营性应收项目的减少（增加以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Calibri" w:hAnsi="Calibri" w:cs="Calibri" w:eastAsia="Calibri" w:hint="default"/>
                <w:spacing w:val="-25"/>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-350,425,148.73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-67,295,141.23</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经营性应付项目的增加（减少以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Calibri" w:hAnsi="Calibri" w:cs="Calibri" w:eastAsia="Calibri" w:hint="default"/>
                <w:spacing w:val="-25"/>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415,030,911.57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-13,950,797.44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-1,666,996.73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1,604,954.06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138,408,077.65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-57,182,000.10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188,433,545.46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289,022,580.77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289,022,580.77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451,304,169.47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-100,589,035.31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-162,281,588.70</w:t>
            </w: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tabs>
          <w:tab w:pos="954" w:val="left" w:leader="none"/>
        </w:tabs>
        <w:spacing w:line="240" w:lineRule="auto" w:before="58"/>
        <w:ind w:right="-19"/>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807" w:space="292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12,750,000.00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其中：福建神威系统集成有限责任公司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12,750,000.00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8,505,684.69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其中：福建神威系统集成有限责任公司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8,505,684.69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其中：福建神威系统集成有限责任公司</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4,244,315.31</w:t>
            </w:r>
          </w:p>
        </w:tc>
      </w:tr>
    </w:tbl>
    <w:p>
      <w:pPr>
        <w:pStyle w:val="BodyText"/>
        <w:spacing w:line="218" w:lineRule="auto"/>
        <w:ind w:right="8162"/>
        <w:jc w:val="left"/>
      </w:pPr>
      <w:r>
        <w:rPr>
          <w:spacing w:val="-2"/>
        </w:rPr>
        <w:t>其他说明</w:t>
      </w:r>
      <w:r>
        <w:rPr>
          <w:rFonts w:ascii="Calibri" w:hAnsi="Calibri" w:cs="Calibri" w:eastAsia="Calibri" w:hint="default"/>
          <w:spacing w:val="-2"/>
        </w:rPr>
        <w:t>:</w:t>
      </w:r>
      <w:r>
        <w:rPr>
          <w:rFonts w:ascii="Calibri" w:hAnsi="Calibri" w:cs="Calibri" w:eastAsia="Calibri" w:hint="default"/>
          <w:spacing w:val="-39"/>
        </w:rPr>
        <w:t> </w:t>
      </w:r>
      <w:r>
        <w:rPr/>
        <w:t>无</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60" w:val="left" w:leader="none"/>
        </w:tabs>
        <w:spacing w:line="240" w:lineRule="auto" w:before="56"/>
        <w:ind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965" w:space="376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188,433,545.46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289,022,580.77</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4,379.40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47,904.40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161,883,232.97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220,539,947.35</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26,545,933.09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68,434,729.02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95" w:right="0"/>
              <w:jc w:val="left"/>
              <w:rPr>
                <w:rFonts w:ascii="Times New Roman" w:hAnsi="Times New Roman" w:cs="Times New Roman" w:eastAsia="Times New Roman" w:hint="default"/>
                <w:sz w:val="21"/>
                <w:szCs w:val="21"/>
              </w:rPr>
            </w:pPr>
            <w:r>
              <w:rPr>
                <w:rFonts w:ascii="Times New Roman"/>
                <w:sz w:val="21"/>
              </w:rPr>
              <w:t>188,433,545.46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11" w:right="0"/>
              <w:jc w:val="left"/>
              <w:rPr>
                <w:rFonts w:ascii="Times New Roman" w:hAnsi="Times New Roman" w:cs="Times New Roman" w:eastAsia="Times New Roman" w:hint="default"/>
                <w:sz w:val="21"/>
                <w:szCs w:val="21"/>
              </w:rPr>
            </w:pPr>
            <w:r>
              <w:rPr>
                <w:rFonts w:ascii="Times New Roman"/>
                <w:sz w:val="21"/>
              </w:rPr>
              <w:t>289,022,580.77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3"/>
          <w:szCs w:val="23"/>
        </w:rPr>
      </w:pPr>
    </w:p>
    <w:p>
      <w:pPr>
        <w:pStyle w:val="BodyText"/>
        <w:spacing w:line="240" w:lineRule="auto" w:before="36"/>
        <w:ind w:right="2513"/>
        <w:jc w:val="left"/>
      </w:pPr>
      <w:r>
        <w:rPr/>
        <w:t>其他说明：</w:t>
      </w:r>
    </w:p>
    <w:p>
      <w:pPr>
        <w:pStyle w:val="BodyText"/>
        <w:tabs>
          <w:tab w:pos="1060" w:val="left" w:leader="none"/>
        </w:tabs>
        <w:spacing w:line="240" w:lineRule="auto" w:before="58"/>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7"/>
        <w:rPr>
          <w:rFonts w:ascii="宋体" w:hAnsi="宋体" w:cs="宋体" w:eastAsia="宋体" w:hint="default"/>
          <w:sz w:val="26"/>
          <w:szCs w:val="26"/>
        </w:rPr>
      </w:pPr>
    </w:p>
    <w:p>
      <w:pPr>
        <w:spacing w:line="290" w:lineRule="auto" w:before="0"/>
        <w:ind w:left="218" w:right="2513" w:firstLine="0"/>
        <w:jc w:val="left"/>
        <w:rPr>
          <w:rFonts w:ascii="宋体" w:hAnsi="宋体" w:cs="宋体" w:eastAsia="宋体" w:hint="default"/>
          <w:sz w:val="21"/>
          <w:szCs w:val="21"/>
        </w:rPr>
      </w:pP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tabs>
          <w:tab w:pos="1060" w:val="left" w:leader="none"/>
        </w:tabs>
        <w:spacing w:line="256" w:lineRule="exact"/>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7"/>
        <w:jc w:val="left"/>
        <w:rPr>
          <w:b w:val="0"/>
          <w:bCs w:val="0"/>
        </w:rPr>
      </w:pPr>
      <w:r>
        <w:rPr>
          <w:rFonts w:ascii="宋体" w:hAnsi="宋体" w:cs="宋体" w:eastAsia="宋体" w:hint="default"/>
        </w:rPr>
        <w:t>78</w:t>
      </w:r>
      <w:r>
        <w:rPr/>
        <w:t>、</w:t>
      </w:r>
      <w:r>
        <w:rPr>
          <w:spacing w:val="-27"/>
        </w:rPr>
        <w:t> </w:t>
      </w:r>
      <w:r>
        <w:rPr/>
        <w:t>所有权或使用权受到限制的资产</w:t>
      </w:r>
      <w:r>
        <w:rPr>
          <w:b w:val="0"/>
          <w:bCs w:val="0"/>
        </w:rPr>
      </w:r>
    </w:p>
    <w:p>
      <w:pPr>
        <w:pStyle w:val="BodyText"/>
        <w:tabs>
          <w:tab w:pos="1060" w:val="left" w:leader="none"/>
        </w:tabs>
        <w:spacing w:line="240" w:lineRule="auto" w:before="58"/>
        <w:ind w:right="-17"/>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675" w:space="3058"/>
            <w:col w:w="2557"/>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99,934,896.74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银行汇票保证金及银行保函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2"/>
                <w:sz w:val="21"/>
              </w:rPr>
              <w:t>62,113,402.27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23"/>
              <w:jc w:val="left"/>
              <w:rPr>
                <w:rFonts w:ascii="宋体" w:hAnsi="宋体" w:cs="宋体" w:eastAsia="宋体" w:hint="default"/>
                <w:sz w:val="21"/>
                <w:szCs w:val="21"/>
              </w:rPr>
            </w:pPr>
            <w:r>
              <w:rPr>
                <w:rFonts w:ascii="宋体" w:hAnsi="宋体" w:cs="宋体" w:eastAsia="宋体" w:hint="default"/>
                <w:spacing w:val="14"/>
                <w:sz w:val="21"/>
                <w:szCs w:val="21"/>
              </w:rPr>
              <w:t>南威大厦 </w:t>
            </w:r>
            <w:r>
              <w:rPr>
                <w:rFonts w:ascii="Calibri" w:hAnsi="Calibri" w:cs="Calibri" w:eastAsia="Calibri" w:hint="default"/>
                <w:sz w:val="21"/>
                <w:szCs w:val="21"/>
              </w:rPr>
              <w:t>2# </w:t>
            </w:r>
            <w:r>
              <w:rPr>
                <w:rFonts w:ascii="宋体" w:hAnsi="宋体" w:cs="宋体" w:eastAsia="宋体" w:hint="default"/>
                <w:spacing w:val="16"/>
                <w:sz w:val="21"/>
                <w:szCs w:val="21"/>
              </w:rPr>
              <w:t>楼银行授信抵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押、产权证正在办理</w:t>
            </w:r>
          </w:p>
        </w:tc>
      </w:tr>
      <w:tr>
        <w:trPr>
          <w:trHeight w:val="283"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26,501,190.44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37,383,008.92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未达到办证时间及条件</w:t>
            </w:r>
          </w:p>
        </w:tc>
      </w:tr>
      <w:tr>
        <w:trPr>
          <w:trHeight w:val="559"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19,836,330.59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21" w:right="19"/>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
                <w:sz w:val="21"/>
                <w:szCs w:val="21"/>
              </w:rPr>
              <w:t> </w:t>
            </w:r>
            <w:r>
              <w:rPr>
                <w:rFonts w:ascii="Calibri" w:hAnsi="Calibri" w:cs="Calibri" w:eastAsia="Calibri" w:hint="default"/>
                <w:sz w:val="21"/>
                <w:szCs w:val="21"/>
              </w:rPr>
              <w:t>2#</w:t>
            </w:r>
            <w:r>
              <w:rPr>
                <w:rFonts w:ascii="宋体" w:hAnsi="宋体" w:cs="宋体" w:eastAsia="宋体" w:hint="default"/>
                <w:sz w:val="21"/>
                <w:szCs w:val="21"/>
              </w:rPr>
              <w:t>楼土地使用权银</w:t>
            </w:r>
            <w:r>
              <w:rPr>
                <w:rFonts w:ascii="宋体" w:hAnsi="宋体" w:cs="宋体" w:eastAsia="宋体" w:hint="default"/>
                <w:w w:val="100"/>
                <w:sz w:val="21"/>
                <w:szCs w:val="21"/>
              </w:rPr>
              <w:t> </w:t>
            </w:r>
            <w:r>
              <w:rPr>
                <w:rFonts w:ascii="宋体" w:hAnsi="宋体" w:cs="宋体" w:eastAsia="宋体" w:hint="default"/>
                <w:sz w:val="21"/>
                <w:szCs w:val="21"/>
              </w:rPr>
              <w:t>行授信抵押</w:t>
            </w:r>
          </w:p>
        </w:tc>
      </w:tr>
      <w:tr>
        <w:trPr>
          <w:trHeight w:val="559"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30,129,707.66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18" w:lineRule="auto"/>
              <w:ind w:left="21" w:right="20"/>
              <w:jc w:val="left"/>
              <w:rPr>
                <w:rFonts w:ascii="宋体" w:hAnsi="宋体" w:cs="宋体" w:eastAsia="宋体" w:hint="default"/>
                <w:sz w:val="21"/>
                <w:szCs w:val="21"/>
              </w:rPr>
            </w:pPr>
            <w:r>
              <w:rPr>
                <w:rFonts w:ascii="宋体" w:hAnsi="宋体" w:cs="宋体" w:eastAsia="宋体" w:hint="default"/>
                <w:spacing w:val="14"/>
                <w:sz w:val="21"/>
                <w:szCs w:val="21"/>
              </w:rPr>
              <w:t>南威大厦 </w:t>
            </w:r>
            <w:r>
              <w:rPr>
                <w:rFonts w:ascii="Calibri" w:hAnsi="Calibri" w:cs="Calibri" w:eastAsia="Calibri" w:hint="default"/>
                <w:sz w:val="21"/>
                <w:szCs w:val="21"/>
              </w:rPr>
              <w:t>2# </w:t>
            </w:r>
            <w:r>
              <w:rPr>
                <w:rFonts w:ascii="宋体" w:hAnsi="宋体" w:cs="宋体" w:eastAsia="宋体" w:hint="default"/>
                <w:spacing w:val="16"/>
                <w:sz w:val="21"/>
                <w:szCs w:val="21"/>
              </w:rPr>
              <w:t>楼银行授信抵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押、产权证正在办理</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275,898,536.62</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right="2"/>
              <w:jc w:val="center"/>
              <w:rPr>
                <w:rFonts w:ascii="Calibri" w:hAnsi="Calibri" w:cs="Calibri" w:eastAsia="Calibri" w:hint="default"/>
                <w:sz w:val="21"/>
                <w:szCs w:val="21"/>
              </w:rPr>
            </w:pPr>
            <w:r>
              <w:rPr>
                <w:rFonts w:ascii="Calibri"/>
                <w:w w:val="100"/>
                <w:sz w:val="21"/>
              </w:rPr>
              <w:t>/</w:t>
            </w:r>
          </w:p>
        </w:tc>
      </w:tr>
    </w:tbl>
    <w:p>
      <w:pPr>
        <w:spacing w:line="240" w:lineRule="auto" w:before="10"/>
        <w:rPr>
          <w:rFonts w:ascii="宋体" w:hAnsi="宋体" w:cs="宋体" w:eastAsia="宋体" w:hint="default"/>
          <w:sz w:val="24"/>
          <w:szCs w:val="24"/>
        </w:rPr>
      </w:pPr>
    </w:p>
    <w:p>
      <w:pPr>
        <w:pStyle w:val="BodyText"/>
        <w:spacing w:line="240" w:lineRule="auto" w:before="36"/>
        <w:ind w:left="638" w:right="2513"/>
        <w:jc w:val="left"/>
      </w:pPr>
      <w:r>
        <w:rPr/>
        <w:t>其他说明：</w:t>
      </w:r>
    </w:p>
    <w:p>
      <w:pPr>
        <w:pStyle w:val="BodyText"/>
        <w:spacing w:line="240" w:lineRule="auto" w:before="145"/>
        <w:ind w:left="638" w:right="123"/>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4"/>
        </w:rPr>
        <w:t>11  </w:t>
      </w:r>
      <w:r>
        <w:rPr/>
        <w:t>日，公司与兴业银行股份有限公司泉州分行签订编号为兴银泉 </w:t>
      </w:r>
      <w:r>
        <w:rPr>
          <w:rFonts w:ascii="Times New Roman" w:hAnsi="Times New Roman" w:cs="Times New Roman" w:eastAsia="Times New Roman" w:hint="default"/>
        </w:rPr>
        <w:t>04 </w:t>
      </w:r>
      <w:r>
        <w:rPr>
          <w:rFonts w:ascii="Times New Roman" w:hAnsi="Times New Roman" w:cs="Times New Roman" w:eastAsia="Times New Roman" w:hint="default"/>
          <w:spacing w:val="22"/>
        </w:rPr>
        <w:t> </w:t>
      </w:r>
      <w:r>
        <w:rPr/>
        <w:t>抵字第</w:t>
      </w:r>
    </w:p>
    <w:p>
      <w:pPr>
        <w:pStyle w:val="BodyText"/>
        <w:spacing w:line="240" w:lineRule="auto" w:before="69"/>
        <w:ind w:right="123"/>
        <w:jc w:val="left"/>
      </w:pPr>
      <w:r>
        <w:rPr>
          <w:rFonts w:ascii="Times New Roman" w:hAnsi="Times New Roman" w:cs="Times New Roman" w:eastAsia="Times New Roman" w:hint="default"/>
        </w:rPr>
        <w:t>2016007001 </w:t>
      </w:r>
      <w:r>
        <w:rPr>
          <w:spacing w:val="-3"/>
        </w:rPr>
        <w:t>号的最高额抵押合同，抵押物为泉州市丰泽区丰海路南威大厦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号楼房产及其土地使</w:t>
      </w:r>
    </w:p>
    <w:p>
      <w:pPr>
        <w:pStyle w:val="BodyText"/>
        <w:spacing w:line="240" w:lineRule="auto" w:before="69"/>
        <w:ind w:right="123"/>
        <w:jc w:val="left"/>
      </w:pPr>
      <w:r>
        <w:rPr/>
        <w:t>用权，抵押最高本金限额为人民币</w:t>
      </w:r>
      <w:r>
        <w:rPr>
          <w:spacing w:val="-53"/>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
        </w:rPr>
        <w:t> </w:t>
      </w:r>
      <w:r>
        <w:rPr/>
        <w:t>万元整，抵押有效期为</w:t>
      </w:r>
      <w:r>
        <w:rPr>
          <w:spacing w:val="-50"/>
        </w:rPr>
        <w:t> </w:t>
      </w:r>
      <w:r>
        <w:rPr>
          <w:rFonts w:ascii="Times New Roman" w:hAnsi="Times New Roman" w:cs="Times New Roman" w:eastAsia="Times New Roman" w:hint="default"/>
        </w:rPr>
        <w:t>2016 </w:t>
      </w:r>
      <w:r>
        <w:rPr/>
        <w:t>年</w:t>
      </w:r>
      <w:r>
        <w:rPr>
          <w:spacing w:val="-53"/>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日至</w:t>
      </w:r>
      <w:r>
        <w:rPr>
          <w:spacing w:val="-50"/>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4 </w:t>
      </w:r>
      <w:r>
        <w:rPr/>
        <w:t>月</w:t>
      </w:r>
    </w:p>
    <w:p>
      <w:pPr>
        <w:pStyle w:val="BodyText"/>
        <w:spacing w:line="297" w:lineRule="auto" w:before="69"/>
        <w:ind w:right="123"/>
        <w:jc w:val="left"/>
      </w:pPr>
      <w:r>
        <w:rPr>
          <w:rFonts w:ascii="Times New Roman" w:hAnsi="Times New Roman" w:cs="Times New Roman" w:eastAsia="Times New Roman" w:hint="default"/>
        </w:rPr>
        <w:t>10 </w:t>
      </w:r>
      <w:r>
        <w:rPr>
          <w:spacing w:val="-3"/>
        </w:rPr>
        <w:t>日，该抵押合同为公司与兴业银行股份有限公司泉州分行在抵押额度有效期内签订的主合同项</w:t>
      </w:r>
      <w:r>
        <w:rPr>
          <w:spacing w:val="-82"/>
        </w:rPr>
        <w:t> </w:t>
      </w:r>
      <w:r>
        <w:rPr>
          <w:spacing w:val="-82"/>
        </w:rPr>
      </w:r>
      <w:r>
        <w:rPr/>
        <w:t>下所有债权提供抵押担保。</w:t>
      </w:r>
    </w:p>
    <w:p>
      <w:pPr>
        <w:pStyle w:val="BodyText"/>
        <w:spacing w:line="304" w:lineRule="auto" w:before="34"/>
        <w:ind w:right="228" w:firstLine="419"/>
        <w:jc w:val="both"/>
      </w:pPr>
      <w:r>
        <w:rPr>
          <w:spacing w:val="-2"/>
        </w:rPr>
        <w:t>本公司之子公司福建南威软件有限公司从福州软件园产业基地开发有限公司受让福州软件园</w:t>
      </w:r>
      <w:r>
        <w:rPr>
          <w:w w:val="100"/>
        </w:rPr>
        <w:t> </w:t>
      </w:r>
      <w:r>
        <w:rPr>
          <w:rFonts w:ascii="Times New Roman" w:hAnsi="Times New Roman" w:cs="Times New Roman" w:eastAsia="Times New Roman" w:hint="default"/>
        </w:rPr>
        <w:t>G</w:t>
      </w:r>
      <w:r>
        <w:rPr>
          <w:rFonts w:ascii="Times New Roman" w:hAnsi="Times New Roman" w:cs="Times New Roman" w:eastAsia="Times New Roman" w:hint="default"/>
          <w:spacing w:val="4"/>
        </w:rPr>
        <w:t> </w:t>
      </w:r>
      <w:r>
        <w:rPr/>
        <w:t>区</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号楼，在受让合同中约定自公司入驻之日起三年内在当地年度缴纳营业税、增值税、企业</w:t>
      </w:r>
      <w:r>
        <w:rPr>
          <w:w w:val="100"/>
        </w:rPr>
        <w:t> </w:t>
      </w:r>
      <w:r>
        <w:rPr/>
        <w:t>所得税总额不低于</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万元，截止报告期该房产尚未达到办理产权证的时间及条件。</w:t>
      </w:r>
    </w:p>
    <w:p>
      <w:pPr>
        <w:pStyle w:val="BodyText"/>
        <w:spacing w:line="240" w:lineRule="auto" w:before="6"/>
        <w:ind w:left="638" w:right="123"/>
        <w:jc w:val="left"/>
      </w:pPr>
      <w:r>
        <w:rPr/>
        <w:t>本公司之子公司福建南威软件有限公司从福州软件园产业基地开发有限公司受让福州软件园</w:t>
      </w:r>
    </w:p>
    <w:p>
      <w:pPr>
        <w:spacing w:after="0" w:line="240" w:lineRule="auto"/>
        <w:jc w:val="left"/>
        <w:sectPr>
          <w:type w:val="continuous"/>
          <w:pgSz w:w="11910" w:h="16840"/>
          <w:pgMar w:top="1580" w:bottom="280" w:left="1580" w:right="1040"/>
        </w:sectPr>
      </w:pPr>
    </w:p>
    <w:p>
      <w:pPr>
        <w:spacing w:line="240" w:lineRule="auto" w:before="2"/>
        <w:rPr>
          <w:rFonts w:ascii="宋体" w:hAnsi="宋体" w:cs="宋体" w:eastAsia="宋体" w:hint="default"/>
          <w:sz w:val="29"/>
          <w:szCs w:val="29"/>
        </w:rPr>
      </w:pPr>
    </w:p>
    <w:p>
      <w:pPr>
        <w:pStyle w:val="BodyText"/>
        <w:spacing w:line="240" w:lineRule="auto" w:before="36"/>
        <w:ind w:right="123"/>
        <w:jc w:val="left"/>
        <w:rPr>
          <w:rFonts w:ascii="Times New Roman" w:hAnsi="Times New Roman" w:cs="Times New Roman" w:eastAsia="Times New Roman" w:hint="default"/>
        </w:rPr>
      </w:pPr>
      <w:r>
        <w:rPr>
          <w:rFonts w:ascii="Times New Roman" w:hAnsi="Times New Roman" w:cs="Times New Roman" w:eastAsia="Times New Roman" w:hint="default"/>
        </w:rPr>
        <w:t>F</w:t>
      </w:r>
      <w:r>
        <w:rPr>
          <w:rFonts w:ascii="Times New Roman" w:hAnsi="Times New Roman" w:cs="Times New Roman" w:eastAsia="Times New Roman" w:hint="default"/>
          <w:spacing w:val="1"/>
        </w:rPr>
        <w:t> </w:t>
      </w:r>
      <w:r>
        <w:rPr/>
        <w:t>区</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号楼</w:t>
      </w:r>
      <w:r>
        <w:rPr>
          <w:spacing w:val="-47"/>
        </w:rPr>
        <w:t> </w:t>
      </w:r>
      <w:r>
        <w:rPr>
          <w:rFonts w:ascii="Times New Roman" w:hAnsi="Times New Roman" w:cs="Times New Roman" w:eastAsia="Times New Roman" w:hint="default"/>
        </w:rPr>
        <w:t>6-8</w:t>
      </w:r>
      <w:r>
        <w:rPr>
          <w:rFonts w:ascii="Times New Roman" w:hAnsi="Times New Roman" w:cs="Times New Roman" w:eastAsia="Times New Roman" w:hint="default"/>
          <w:spacing w:val="6"/>
        </w:rPr>
        <w:t> </w:t>
      </w:r>
      <w:r>
        <w:rPr>
          <w:spacing w:val="-4"/>
        </w:rPr>
        <w:t>层，在受让合同中约定根据《福建省电子信息集团关于关联企业购买软件园</w:t>
      </w:r>
      <w:r>
        <w:rPr>
          <w:spacing w:val="-47"/>
        </w:rPr>
        <w:t> </w:t>
      </w:r>
      <w:r>
        <w:rPr>
          <w:rFonts w:ascii="Times New Roman" w:hAnsi="Times New Roman" w:cs="Times New Roman" w:eastAsia="Times New Roman" w:hint="default"/>
        </w:rPr>
        <w:t>F</w:t>
      </w:r>
      <w:r>
        <w:rPr>
          <w:rFonts w:ascii="Times New Roman" w:hAnsi="Times New Roman" w:cs="Times New Roman" w:eastAsia="Times New Roman" w:hint="default"/>
          <w:spacing w:val="1"/>
        </w:rPr>
        <w:t> </w:t>
      </w:r>
      <w:r>
        <w:rPr/>
        <w:t>区</w:t>
      </w:r>
      <w:r>
        <w:rPr>
          <w:spacing w:val="-49"/>
        </w:rPr>
        <w:t> </w:t>
      </w:r>
      <w:r>
        <w:rPr>
          <w:rFonts w:ascii="Times New Roman" w:hAnsi="Times New Roman" w:cs="Times New Roman" w:eastAsia="Times New Roman" w:hint="default"/>
        </w:rPr>
        <w:t>5</w:t>
      </w:r>
    </w:p>
    <w:p>
      <w:pPr>
        <w:pStyle w:val="BodyText"/>
        <w:spacing w:line="240" w:lineRule="auto" w:before="69"/>
        <w:ind w:right="123"/>
        <w:jc w:val="left"/>
      </w:pPr>
      <w:r>
        <w:rPr>
          <w:w w:val="100"/>
        </w:rPr>
        <w:t>号楼</w:t>
      </w:r>
      <w:r>
        <w:rPr>
          <w:spacing w:val="-3"/>
          <w:w w:val="100"/>
        </w:rPr>
        <w:t>情</w:t>
      </w:r>
      <w:r>
        <w:rPr>
          <w:w w:val="100"/>
        </w:rPr>
        <w:t>况</w:t>
      </w:r>
      <w:r>
        <w:rPr>
          <w:spacing w:val="-3"/>
          <w:w w:val="100"/>
        </w:rPr>
        <w:t>说</w:t>
      </w:r>
      <w:r>
        <w:rPr>
          <w:w w:val="100"/>
        </w:rPr>
        <w:t>明</w:t>
      </w:r>
      <w:r>
        <w:rPr>
          <w:spacing w:val="-3"/>
          <w:w w:val="100"/>
        </w:rPr>
        <w:t>的</w:t>
      </w:r>
      <w:r>
        <w:rPr>
          <w:w w:val="100"/>
        </w:rPr>
        <w:t>函</w:t>
      </w:r>
      <w:r>
        <w:rPr>
          <w:spacing w:val="-108"/>
          <w:w w:val="100"/>
        </w:rPr>
        <w:t>》</w:t>
      </w:r>
      <w:r>
        <w:rPr>
          <w:spacing w:val="-29"/>
          <w:w w:val="100"/>
        </w:rPr>
        <w:t>，</w:t>
      </w:r>
      <w:r>
        <w:rPr>
          <w:spacing w:val="-3"/>
          <w:w w:val="100"/>
        </w:rPr>
        <w:t>各购</w:t>
      </w:r>
      <w:r>
        <w:rPr>
          <w:w w:val="100"/>
        </w:rPr>
        <w:t>楼</w:t>
      </w:r>
      <w:r>
        <w:rPr>
          <w:spacing w:val="-3"/>
          <w:w w:val="100"/>
        </w:rPr>
        <w:t>企</w:t>
      </w:r>
      <w:r>
        <w:rPr>
          <w:w w:val="100"/>
        </w:rPr>
        <w:t>业</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2019</w:t>
      </w:r>
      <w:r>
        <w:rPr>
          <w:rFonts w:ascii="Times New Roman" w:hAnsi="Times New Roman" w:cs="Times New Roman" w:eastAsia="Times New Roman" w:hint="default"/>
        </w:rPr>
        <w:t> </w:t>
      </w:r>
      <w:r>
        <w:rPr>
          <w:spacing w:val="-3"/>
          <w:w w:val="100"/>
        </w:rPr>
        <w:t>年</w:t>
      </w:r>
      <w:r>
        <w:rPr>
          <w:w w:val="100"/>
        </w:rPr>
        <w:t>三</w:t>
      </w:r>
      <w:r>
        <w:rPr>
          <w:spacing w:val="-3"/>
          <w:w w:val="100"/>
        </w:rPr>
        <w:t>年</w:t>
      </w:r>
      <w:r>
        <w:rPr>
          <w:w w:val="100"/>
        </w:rPr>
        <w:t>缴纳</w:t>
      </w:r>
      <w:r>
        <w:rPr>
          <w:spacing w:val="-3"/>
          <w:w w:val="100"/>
        </w:rPr>
        <w:t>所</w:t>
      </w:r>
      <w:r>
        <w:rPr>
          <w:w w:val="100"/>
        </w:rPr>
        <w:t>得</w:t>
      </w:r>
      <w:r>
        <w:rPr>
          <w:spacing w:val="-3"/>
          <w:w w:val="100"/>
        </w:rPr>
        <w:t>税</w:t>
      </w:r>
      <w:r>
        <w:rPr>
          <w:w w:val="100"/>
        </w:rPr>
        <w:t>及</w:t>
      </w:r>
      <w:r>
        <w:rPr>
          <w:spacing w:val="-3"/>
          <w:w w:val="100"/>
        </w:rPr>
        <w:t>增</w:t>
      </w:r>
      <w:r>
        <w:rPr>
          <w:w w:val="100"/>
        </w:rPr>
        <w:t>值</w:t>
      </w:r>
      <w:r>
        <w:rPr>
          <w:spacing w:val="-3"/>
          <w:w w:val="100"/>
        </w:rPr>
        <w:t>税</w:t>
      </w:r>
      <w:r>
        <w:rPr>
          <w:w w:val="100"/>
        </w:rPr>
        <w:t>总</w:t>
      </w:r>
      <w:r>
        <w:rPr>
          <w:spacing w:val="-3"/>
          <w:w w:val="100"/>
        </w:rPr>
        <w:t>额</w:t>
      </w:r>
      <w:r>
        <w:rPr>
          <w:w w:val="100"/>
        </w:rPr>
        <w:t>新增</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亿</w:t>
      </w:r>
      <w:r>
        <w:rPr>
          <w:spacing w:val="-3"/>
          <w:w w:val="100"/>
        </w:rPr>
        <w:t>以</w:t>
      </w:r>
      <w:r>
        <w:rPr>
          <w:w w:val="100"/>
        </w:rPr>
        <w:t>上</w:t>
      </w:r>
      <w:r>
        <w:rPr>
          <w:spacing w:val="-32"/>
          <w:w w:val="100"/>
        </w:rPr>
        <w:t>，</w:t>
      </w:r>
      <w:r>
        <w:rPr>
          <w:w w:val="100"/>
        </w:rPr>
        <w:t>营收</w:t>
      </w:r>
    </w:p>
    <w:p>
      <w:pPr>
        <w:pStyle w:val="BodyText"/>
        <w:spacing w:line="240" w:lineRule="auto" w:before="69"/>
        <w:ind w:right="123"/>
        <w:jc w:val="left"/>
      </w:pPr>
      <w:r>
        <w:rPr>
          <w:rFonts w:ascii="Times New Roman" w:hAnsi="Times New Roman" w:cs="Times New Roman" w:eastAsia="Times New Roman" w:hint="default"/>
        </w:rPr>
        <w:t>50 </w:t>
      </w:r>
      <w:r>
        <w:rPr>
          <w:rFonts w:ascii="Times New Roman" w:hAnsi="Times New Roman" w:cs="Times New Roman" w:eastAsia="Times New Roman" w:hint="default"/>
          <w:spacing w:val="19"/>
        </w:rPr>
        <w:t> </w:t>
      </w:r>
      <w:r>
        <w:rPr>
          <w:spacing w:val="-3"/>
        </w:rPr>
        <w:t>亿元以上，不足由福建省电子信息集团纳税补足，根据转让协议，以上条件达成之日起一年内</w:t>
      </w:r>
    </w:p>
    <w:p>
      <w:pPr>
        <w:pStyle w:val="BodyText"/>
        <w:spacing w:line="240" w:lineRule="auto" w:before="69"/>
        <w:ind w:right="123"/>
        <w:jc w:val="left"/>
      </w:pPr>
      <w:r>
        <w:rPr/>
        <w:t>办妥产权证。截止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日，该房产尚未达到办理产权证的时间及条件。</w:t>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7" w:footer="979" w:top="1140" w:bottom="1160" w:left="1580" w:right="1040"/>
        </w:sectPr>
      </w:pPr>
    </w:p>
    <w:p>
      <w:pPr>
        <w:pStyle w:val="Heading3"/>
        <w:tabs>
          <w:tab w:pos="918" w:val="left" w:leader="none"/>
        </w:tabs>
        <w:spacing w:line="290" w:lineRule="auto" w:before="36"/>
        <w:ind w:right="0"/>
        <w:jc w:val="left"/>
        <w:rPr>
          <w:rFonts w:ascii="宋体" w:hAnsi="宋体" w:cs="宋体" w:eastAsia="宋体" w:hint="default"/>
          <w:b w:val="0"/>
          <w:bCs w:val="0"/>
        </w:rPr>
      </w:pPr>
      <w:r>
        <w:rPr>
          <w:rFonts w:ascii="宋体" w:hAnsi="宋体" w:cs="宋体" w:eastAsia="宋体" w:hint="default"/>
        </w:rPr>
        <w:t>79</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tabs>
          <w:tab w:pos="954" w:val="left" w:leader="none"/>
        </w:tabs>
        <w:spacing w:line="240" w:lineRule="auto" w:before="12"/>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580" w:bottom="2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0.85</w:t>
            </w: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5.55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0.85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5.55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外币核算</w:t>
            </w:r>
            <w:r>
              <w:rPr>
                <w:rFonts w:ascii="Calibri" w:hAnsi="Calibri" w:cs="Calibri" w:eastAsia="Calibri" w:hint="default"/>
                <w:sz w:val="21"/>
                <w:szCs w:val="21"/>
              </w:rPr>
              <w:t>-XXX</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2"/>
          <w:szCs w:val="22"/>
        </w:rPr>
      </w:pPr>
    </w:p>
    <w:p>
      <w:pPr>
        <w:pStyle w:val="Heading3"/>
        <w:tabs>
          <w:tab w:pos="918" w:val="left" w:leader="none"/>
        </w:tabs>
        <w:spacing w:line="272" w:lineRule="exact"/>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tabs>
          <w:tab w:pos="1060" w:val="left" w:leader="none"/>
        </w:tabs>
        <w:spacing w:line="240" w:lineRule="auto" w:before="34"/>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80</w:t>
      </w:r>
      <w:r>
        <w:rPr/>
        <w:t>、</w:t>
      </w:r>
      <w:r>
        <w:rPr>
          <w:spacing w:val="-26"/>
        </w:rPr>
        <w:t> </w:t>
      </w:r>
      <w:r>
        <w:rPr/>
        <w:t>套期</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20"/>
        <w:jc w:val="left"/>
        <w:rPr>
          <w:b w:val="0"/>
          <w:bCs w:val="0"/>
        </w:rPr>
      </w:pPr>
      <w:r>
        <w:rPr>
          <w:rFonts w:ascii="宋体" w:hAnsi="宋体" w:cs="宋体" w:eastAsia="宋体" w:hint="default"/>
        </w:rPr>
        <w:t>81</w:t>
      </w:r>
      <w:r>
        <w:rPr/>
        <w:t>、</w:t>
      </w:r>
      <w:r>
        <w:rPr>
          <w:spacing w:val="-25"/>
        </w:rPr>
        <w:t> </w:t>
      </w:r>
      <w:r>
        <w:rPr/>
        <w:t>政府补助</w:t>
      </w:r>
      <w:r>
        <w:rPr>
          <w:b w:val="0"/>
          <w:bCs w:val="0"/>
        </w:rPr>
      </w:r>
    </w:p>
    <w:p>
      <w:pPr>
        <w:pStyle w:val="Heading3"/>
        <w:tabs>
          <w:tab w:pos="642" w:val="left" w:leader="none"/>
        </w:tabs>
        <w:spacing w:line="240" w:lineRule="auto" w:before="56"/>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954" w:val="left" w:leader="none"/>
        </w:tabs>
        <w:spacing w:line="240" w:lineRule="auto" w:before="59"/>
        <w:ind w:right="-2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333" w:space="4400"/>
            <w:col w:w="2557"/>
          </w:cols>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10,863,081.01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营业外收入、其他收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10,863,081.01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11,700,000.00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6,725,032.67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与日常活动相关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1,121,000.00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营业外收入、其他收益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1,121,000.00</w:t>
            </w:r>
          </w:p>
        </w:tc>
      </w:tr>
    </w:tbl>
    <w:p>
      <w:pPr>
        <w:spacing w:line="240" w:lineRule="auto" w:before="9"/>
        <w:rPr>
          <w:rFonts w:ascii="宋体" w:hAnsi="宋体" w:cs="宋体" w:eastAsia="宋体" w:hint="default"/>
          <w:sz w:val="18"/>
          <w:szCs w:val="18"/>
        </w:rPr>
      </w:pPr>
    </w:p>
    <w:p>
      <w:pPr>
        <w:pStyle w:val="Heading3"/>
        <w:tabs>
          <w:tab w:pos="642" w:val="left" w:leader="none"/>
        </w:tabs>
        <w:spacing w:line="240" w:lineRule="auto" w:before="36"/>
        <w:ind w:right="2513"/>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2" w:lineRule="exact" w:before="86"/>
        <w:ind w:right="7578"/>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r>
        <w:rPr>
          <w:w w:val="100"/>
        </w:rPr>
        <w:t> </w:t>
      </w:r>
      <w:r>
        <w:rPr/>
        <w:t>其他说明</w:t>
      </w:r>
    </w:p>
    <w:p>
      <w:pPr>
        <w:pStyle w:val="BodyText"/>
        <w:spacing w:line="249" w:lineRule="exact"/>
        <w:ind w:left="638" w:right="2513"/>
        <w:jc w:val="left"/>
      </w:pPr>
      <w:r>
        <w:rPr>
          <w:w w:val="100"/>
        </w:rPr>
        <w:t>无</w:t>
      </w:r>
    </w:p>
    <w:p>
      <w:pPr>
        <w:spacing w:line="240" w:lineRule="auto" w:before="13"/>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82</w:t>
      </w:r>
      <w:r>
        <w:rPr/>
        <w:t>、</w:t>
      </w:r>
      <w:r>
        <w:rPr>
          <w:spacing w:val="-26"/>
        </w:rPr>
        <w:t> </w:t>
      </w:r>
      <w:r>
        <w:rPr/>
        <w:t>其他</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t>八、合并范围的变更</w:t>
      </w:r>
      <w:r>
        <w:rPr>
          <w:b w:val="0"/>
          <w:bCs w:val="0"/>
        </w:rPr>
      </w:r>
    </w:p>
    <w:p>
      <w:pPr>
        <w:pStyle w:val="Heading3"/>
        <w:spacing w:line="240" w:lineRule="auto" w:before="56"/>
        <w:ind w:right="2513"/>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right="2513"/>
        <w:jc w:val="left"/>
      </w:pPr>
      <w:r>
        <w:rPr/>
        <w:t>□适用</w:t>
      </w:r>
      <w:r>
        <w:rPr>
          <w:rFonts w:ascii="Calibri" w:hAnsi="Calibri" w:cs="Calibri" w:eastAsia="Calibri" w:hint="default"/>
        </w:rPr>
        <w:t>√</w:t>
      </w:r>
      <w:r>
        <w:rPr/>
        <w:t>不适用</w:t>
      </w:r>
    </w:p>
    <w:p>
      <w:pPr>
        <w:pStyle w:val="Heading3"/>
        <w:spacing w:line="240" w:lineRule="auto" w:before="29"/>
        <w:ind w:right="2513"/>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2513"/>
        <w:jc w:val="left"/>
      </w:pPr>
      <w:r>
        <w:rPr/>
        <w:t>□适用</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spacing w:line="290" w:lineRule="auto" w:before="0"/>
        <w:ind w:left="218" w:right="381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tabs>
          <w:tab w:pos="1060" w:val="left" w:leader="none"/>
        </w:tabs>
        <w:spacing w:line="229" w:lineRule="exact"/>
        <w:ind w:right="2513"/>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right="2513"/>
        <w:jc w:val="left"/>
      </w:pPr>
      <w:r>
        <w:rPr/>
        <w:t>其他说明：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spacing w:line="290" w:lineRule="auto" w:before="0"/>
        <w:ind w:left="218" w:right="12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tabs>
          <w:tab w:pos="1060" w:val="left" w:leader="none"/>
        </w:tabs>
        <w:spacing w:line="244" w:lineRule="exact"/>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314" w:lineRule="auto" w:before="59"/>
        <w:ind w:right="228" w:firstLine="419"/>
        <w:jc w:val="both"/>
      </w:pPr>
      <w:r>
        <w:rPr>
          <w:spacing w:val="-2"/>
        </w:rPr>
        <w:t>本年因新设立子公司增加并表单位如下：宁波宁威信息科技有限公司、江苏南威汇鼎信息技</w:t>
      </w:r>
      <w:r>
        <w:rPr>
          <w:w w:val="100"/>
        </w:rPr>
        <w:t> </w:t>
      </w:r>
      <w:r>
        <w:rPr>
          <w:spacing w:val="-1"/>
        </w:rPr>
        <w:t>术有限公司、智慧城市（泉州丰泽）运营管理有限公司、福建威盾科技有限公司、泉州威盾智能</w:t>
      </w:r>
      <w:r>
        <w:rPr>
          <w:spacing w:val="-55"/>
        </w:rPr>
        <w:t> </w:t>
      </w:r>
      <w:r>
        <w:rPr>
          <w:spacing w:val="-55"/>
        </w:rPr>
      </w:r>
      <w:r>
        <w:rPr>
          <w:spacing w:val="-1"/>
        </w:rPr>
        <w:t>交通系统有限公司、广西弘政软件有限公司、福建腾匠科技有限公司、福建致远数据科技有限责</w:t>
      </w:r>
      <w:r>
        <w:rPr>
          <w:spacing w:val="-55"/>
        </w:rPr>
        <w:t> </w:t>
      </w:r>
      <w:r>
        <w:rPr>
          <w:spacing w:val="-55"/>
        </w:rPr>
      </w:r>
      <w:r>
        <w:rPr>
          <w:spacing w:val="-1"/>
        </w:rPr>
        <w:t>任公司、福建众帮科技有限公司、泉州双创聚力科技有限责任公司、前海昱虹南威信息科技（深</w:t>
      </w:r>
      <w:r>
        <w:rPr>
          <w:spacing w:val="-55"/>
        </w:rPr>
        <w:t> </w:t>
      </w:r>
      <w:r>
        <w:rPr>
          <w:spacing w:val="-55"/>
        </w:rPr>
      </w:r>
      <w:r>
        <w:rPr>
          <w:spacing w:val="-1"/>
        </w:rPr>
        <w:t>圳）有限公司、河南联政创威信息技术有限公司、宿州国正信息科技有限公司。具体持股情况详</w:t>
      </w:r>
      <w:r>
        <w:rPr>
          <w:spacing w:val="-55"/>
        </w:rPr>
        <w:t> </w:t>
      </w:r>
      <w:r>
        <w:rPr>
          <w:spacing w:val="-55"/>
        </w:rPr>
      </w:r>
      <w:r>
        <w:rPr/>
        <w:t>见</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18"/>
          <w:szCs w:val="18"/>
        </w:rPr>
      </w:pPr>
    </w:p>
    <w:p>
      <w:pPr>
        <w:pStyle w:val="Heading3"/>
        <w:spacing w:line="240" w:lineRule="auto"/>
        <w:ind w:right="2513"/>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163" w:val="left" w:leader="none"/>
        </w:tabs>
        <w:spacing w:line="240" w:lineRule="auto" w:before="58"/>
        <w:ind w:right="2513"/>
        <w:jc w:val="left"/>
      </w:pPr>
      <w:r>
        <w:rPr/>
        <w:t>□适用</w:t>
        <w:tab/>
        <w:t>√不适用</w:t>
      </w:r>
    </w:p>
    <w:p>
      <w:pPr>
        <w:spacing w:after="0" w:line="240" w:lineRule="auto"/>
        <w:jc w:val="left"/>
        <w:sectPr>
          <w:pgSz w:w="11910" w:h="16840"/>
          <w:pgMar w:header="857" w:footer="979" w:top="1140" w:bottom="1160" w:left="1580" w:right="1040"/>
        </w:sectPr>
      </w:pPr>
    </w:p>
    <w:p>
      <w:pPr>
        <w:spacing w:line="240" w:lineRule="auto" w:before="4"/>
        <w:rPr>
          <w:rFonts w:ascii="宋体" w:hAnsi="宋体" w:cs="宋体" w:eastAsia="宋体" w:hint="default"/>
          <w:sz w:val="23"/>
          <w:szCs w:val="23"/>
        </w:rPr>
      </w:pPr>
    </w:p>
    <w:p>
      <w:pPr>
        <w:pStyle w:val="Heading3"/>
        <w:tabs>
          <w:tab w:pos="861" w:val="left" w:leader="none"/>
        </w:tabs>
        <w:spacing w:line="290" w:lineRule="auto" w:before="36"/>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tabs>
          <w:tab w:pos="1060" w:val="left" w:leader="none"/>
        </w:tabs>
        <w:spacing w:line="240" w:lineRule="auto" w:before="14"/>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1198"/>
        <w:gridCol w:w="1287"/>
        <w:gridCol w:w="1274"/>
        <w:gridCol w:w="1301"/>
        <w:gridCol w:w="1188"/>
        <w:gridCol w:w="1385"/>
        <w:gridCol w:w="1416"/>
      </w:tblGrid>
      <w:tr>
        <w:trPr>
          <w:trHeight w:val="283" w:hRule="exact"/>
        </w:trPr>
        <w:tc>
          <w:tcPr>
            <w:tcW w:w="1198"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2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22"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198"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9"/>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9"/>
                <w:sz w:val="21"/>
                <w:szCs w:val="21"/>
              </w:rPr>
              <w:t> </w:t>
            </w:r>
            <w:r>
              <w:rPr>
                <w:rFonts w:ascii="宋体" w:hAnsi="宋体" w:cs="宋体" w:eastAsia="宋体" w:hint="default"/>
                <w:sz w:val="21"/>
                <w:szCs w:val="21"/>
              </w:rPr>
              <w:t>德</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9"/>
                <w:sz w:val="21"/>
                <w:szCs w:val="21"/>
              </w:rPr>
              <w:t> </w:t>
            </w:r>
            <w:r>
              <w:rPr>
                <w:rFonts w:ascii="宋体" w:hAnsi="宋体" w:cs="宋体" w:eastAsia="宋体" w:hint="default"/>
                <w:sz w:val="21"/>
                <w:szCs w:val="21"/>
              </w:rPr>
              <w:t>门</w:t>
            </w:r>
            <w:r>
              <w:rPr>
                <w:rFonts w:ascii="宋体" w:hAnsi="宋体" w:cs="宋体" w:eastAsia="宋体" w:hint="default"/>
                <w:spacing w:val="-59"/>
                <w:sz w:val="21"/>
                <w:szCs w:val="21"/>
              </w:rPr>
              <w:t> </w:t>
            </w:r>
            <w:r>
              <w:rPr>
                <w:rFonts w:ascii="宋体" w:hAnsi="宋体" w:cs="宋体" w:eastAsia="宋体" w:hint="default"/>
                <w:sz w:val="21"/>
                <w:szCs w:val="21"/>
              </w:rPr>
              <w:t>市</w:t>
            </w:r>
            <w:r>
              <w:rPr>
                <w:rFonts w:ascii="宋体" w:hAnsi="宋体" w:cs="宋体" w:eastAsia="宋体" w:hint="default"/>
                <w:spacing w:val="-57"/>
                <w:sz w:val="21"/>
                <w:szCs w:val="21"/>
              </w:rPr>
              <w:t> </w:t>
            </w:r>
            <w:r>
              <w:rPr>
                <w:rFonts w:ascii="宋体" w:hAnsi="宋体" w:cs="宋体" w:eastAsia="宋体" w:hint="default"/>
                <w:sz w:val="21"/>
                <w:szCs w:val="21"/>
              </w:rPr>
              <w:t>南</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威</w:t>
            </w:r>
            <w:r>
              <w:rPr>
                <w:rFonts w:ascii="宋体" w:hAnsi="宋体" w:cs="宋体" w:eastAsia="宋体" w:hint="default"/>
                <w:spacing w:val="-59"/>
                <w:sz w:val="21"/>
                <w:szCs w:val="21"/>
              </w:rPr>
              <w:t> </w:t>
            </w: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59"/>
                <w:sz w:val="21"/>
                <w:szCs w:val="21"/>
              </w:rPr>
              <w:t> </w:t>
            </w:r>
            <w:r>
              <w:rPr>
                <w:rFonts w:ascii="宋体" w:hAnsi="宋体" w:cs="宋体" w:eastAsia="宋体" w:hint="default"/>
                <w:sz w:val="21"/>
                <w:szCs w:val="21"/>
              </w:rPr>
              <w:t>安</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责</w:t>
            </w:r>
            <w:r>
              <w:rPr>
                <w:rFonts w:ascii="宋体" w:hAnsi="宋体" w:cs="宋体" w:eastAsia="宋体" w:hint="default"/>
                <w:spacing w:val="-5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西安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西安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z w:val="21"/>
              </w:rPr>
              <w:t>70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59"/>
                <w:sz w:val="21"/>
                <w:szCs w:val="21"/>
              </w:rPr>
              <w:t> </w:t>
            </w:r>
            <w:r>
              <w:rPr>
                <w:rFonts w:ascii="宋体" w:hAnsi="宋体" w:cs="宋体" w:eastAsia="宋体" w:hint="default"/>
                <w:sz w:val="21"/>
                <w:szCs w:val="21"/>
              </w:rPr>
              <w:t>都</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神</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9"/>
                <w:sz w:val="21"/>
                <w:szCs w:val="21"/>
              </w:rPr>
              <w:t> </w:t>
            </w:r>
            <w:r>
              <w:rPr>
                <w:rFonts w:ascii="宋体" w:hAnsi="宋体" w:cs="宋体" w:eastAsia="宋体" w:hint="default"/>
                <w:sz w:val="21"/>
                <w:szCs w:val="21"/>
              </w:rPr>
              <w:t>统</w:t>
            </w:r>
            <w:r>
              <w:rPr>
                <w:rFonts w:ascii="宋体" w:hAnsi="宋体" w:cs="宋体" w:eastAsia="宋体" w:hint="default"/>
                <w:spacing w:val="-59"/>
                <w:sz w:val="21"/>
                <w:szCs w:val="21"/>
              </w:rPr>
              <w:t> </w:t>
            </w:r>
            <w:r>
              <w:rPr>
                <w:rFonts w:ascii="宋体" w:hAnsi="宋体" w:cs="宋体" w:eastAsia="宋体" w:hint="default"/>
                <w:sz w:val="21"/>
                <w:szCs w:val="21"/>
              </w:rPr>
              <w:t>集</w:t>
            </w:r>
            <w:r>
              <w:rPr>
                <w:rFonts w:ascii="宋体" w:hAnsi="宋体" w:cs="宋体" w:eastAsia="宋体" w:hint="default"/>
                <w:spacing w:val="-57"/>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责</w:t>
            </w:r>
            <w:r>
              <w:rPr>
                <w:rFonts w:ascii="宋体" w:hAnsi="宋体" w:cs="宋体" w:eastAsia="宋体" w:hint="default"/>
                <w:spacing w:val="-5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昌</w:t>
            </w:r>
            <w:r>
              <w:rPr>
                <w:rFonts w:ascii="宋体" w:hAnsi="宋体" w:cs="宋体" w:eastAsia="宋体" w:hint="default"/>
                <w:spacing w:val="-59"/>
                <w:sz w:val="21"/>
                <w:szCs w:val="21"/>
              </w:rPr>
              <w:t> </w:t>
            </w:r>
            <w:r>
              <w:rPr>
                <w:rFonts w:ascii="宋体" w:hAnsi="宋体" w:cs="宋体" w:eastAsia="宋体" w:hint="default"/>
                <w:sz w:val="21"/>
                <w:szCs w:val="21"/>
              </w:rPr>
              <w:t>吉</w:t>
            </w:r>
            <w:r>
              <w:rPr>
                <w:rFonts w:ascii="宋体" w:hAnsi="宋体" w:cs="宋体" w:eastAsia="宋体" w:hint="default"/>
                <w:spacing w:val="-59"/>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南</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威</w:t>
            </w:r>
            <w:r>
              <w:rPr>
                <w:rFonts w:ascii="宋体" w:hAnsi="宋体" w:cs="宋体" w:eastAsia="宋体" w:hint="default"/>
                <w:spacing w:val="-59"/>
                <w:sz w:val="21"/>
                <w:szCs w:val="21"/>
              </w:rPr>
              <w:t> </w:t>
            </w: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昌吉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昌吉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9"/>
                <w:sz w:val="21"/>
                <w:szCs w:val="21"/>
              </w:rPr>
              <w:t> </w:t>
            </w:r>
            <w:r>
              <w:rPr>
                <w:rFonts w:ascii="宋体" w:hAnsi="宋体" w:cs="宋体" w:eastAsia="宋体" w:hint="default"/>
                <w:sz w:val="21"/>
                <w:szCs w:val="21"/>
              </w:rPr>
              <w:t>西</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9"/>
                <w:sz w:val="21"/>
                <w:szCs w:val="21"/>
              </w:rPr>
              <w:t> </w:t>
            </w:r>
            <w:r>
              <w:rPr>
                <w:rFonts w:ascii="宋体" w:hAnsi="宋体" w:cs="宋体" w:eastAsia="宋体" w:hint="default"/>
                <w:sz w:val="21"/>
                <w:szCs w:val="21"/>
              </w:rPr>
              <w:t>平</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南平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特</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尔</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海南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海南</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9"/>
                <w:sz w:val="21"/>
                <w:szCs w:val="21"/>
              </w:rPr>
              <w:t> </w:t>
            </w:r>
            <w:r>
              <w:rPr>
                <w:rFonts w:ascii="宋体" w:hAnsi="宋体" w:cs="宋体" w:eastAsia="宋体" w:hint="default"/>
                <w:sz w:val="21"/>
                <w:szCs w:val="21"/>
              </w:rPr>
              <w:t>海</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信</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59"/>
                <w:sz w:val="21"/>
                <w:szCs w:val="21"/>
              </w:rPr>
              <w:t> </w:t>
            </w:r>
            <w:r>
              <w:rPr>
                <w:rFonts w:ascii="宋体" w:hAnsi="宋体" w:cs="宋体" w:eastAsia="宋体" w:hint="default"/>
                <w:sz w:val="21"/>
                <w:szCs w:val="21"/>
              </w:rPr>
              <w:t>庆</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9"/>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万</w:t>
            </w:r>
            <w:r>
              <w:rPr>
                <w:rFonts w:ascii="宋体" w:hAnsi="宋体" w:cs="宋体" w:eastAsia="宋体" w:hint="default"/>
                <w:spacing w:val="-57"/>
                <w:sz w:val="21"/>
                <w:szCs w:val="21"/>
              </w:rPr>
              <w:t> </w:t>
            </w:r>
            <w:r>
              <w:rPr>
                <w:rFonts w:ascii="宋体" w:hAnsi="宋体" w:cs="宋体" w:eastAsia="宋体" w:hint="default"/>
                <w:sz w:val="21"/>
                <w:szCs w:val="21"/>
              </w:rPr>
              <w:t>创</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pgSz w:w="11910" w:h="16840"/>
          <w:pgMar w:header="857" w:footer="979" w:top="114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98"/>
        <w:gridCol w:w="1287"/>
        <w:gridCol w:w="1274"/>
        <w:gridCol w:w="1301"/>
        <w:gridCol w:w="1188"/>
        <w:gridCol w:w="1385"/>
        <w:gridCol w:w="1416"/>
      </w:tblGrid>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聚</w:t>
            </w:r>
            <w:r>
              <w:rPr>
                <w:rFonts w:ascii="宋体" w:hAnsi="宋体" w:cs="宋体" w:eastAsia="宋体" w:hint="default"/>
                <w:spacing w:val="-59"/>
                <w:sz w:val="21"/>
                <w:szCs w:val="21"/>
              </w:rPr>
              <w:t> </w:t>
            </w:r>
            <w:r>
              <w:rPr>
                <w:rFonts w:ascii="宋体" w:hAnsi="宋体" w:cs="宋体" w:eastAsia="宋体" w:hint="default"/>
                <w:sz w:val="21"/>
                <w:szCs w:val="21"/>
              </w:rPr>
              <w:t>力</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pacing w:val="-59"/>
                <w:sz w:val="21"/>
                <w:szCs w:val="21"/>
              </w:rPr>
              <w:t> </w:t>
            </w:r>
            <w:r>
              <w:rPr>
                <w:rFonts w:ascii="宋体" w:hAnsi="宋体" w:cs="宋体" w:eastAsia="宋体" w:hint="default"/>
                <w:sz w:val="21"/>
                <w:szCs w:val="21"/>
              </w:rPr>
              <w:t>潭</w:t>
            </w:r>
            <w:r>
              <w:rPr>
                <w:rFonts w:ascii="宋体" w:hAnsi="宋体" w:cs="宋体" w:eastAsia="宋体" w:hint="default"/>
                <w:spacing w:val="-59"/>
                <w:sz w:val="21"/>
                <w:szCs w:val="21"/>
              </w:rPr>
              <w:t> </w:t>
            </w:r>
            <w:r>
              <w:rPr>
                <w:rFonts w:ascii="宋体" w:hAnsi="宋体" w:cs="宋体" w:eastAsia="宋体" w:hint="default"/>
                <w:sz w:val="21"/>
                <w:szCs w:val="21"/>
              </w:rPr>
              <w:t>力</w:t>
            </w:r>
            <w:r>
              <w:rPr>
                <w:rFonts w:ascii="宋体" w:hAnsi="宋体" w:cs="宋体" w:eastAsia="宋体" w:hint="default"/>
                <w:spacing w:val="-57"/>
                <w:sz w:val="21"/>
                <w:szCs w:val="21"/>
              </w:rPr>
              <w:t> </w:t>
            </w:r>
            <w:r>
              <w:rPr>
                <w:rFonts w:ascii="宋体" w:hAnsi="宋体" w:cs="宋体" w:eastAsia="宋体" w:hint="default"/>
                <w:sz w:val="21"/>
                <w:szCs w:val="21"/>
              </w:rPr>
              <w:t>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平潭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平潭</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链</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59"/>
                <w:sz w:val="21"/>
                <w:szCs w:val="21"/>
              </w:rPr>
              <w:t> </w:t>
            </w:r>
            <w:r>
              <w:rPr>
                <w:rFonts w:ascii="宋体" w:hAnsi="宋体" w:cs="宋体" w:eastAsia="宋体" w:hint="default"/>
                <w:sz w:val="21"/>
                <w:szCs w:val="21"/>
              </w:rPr>
              <w:t>徽</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7"/>
                <w:sz w:val="21"/>
                <w:szCs w:val="21"/>
              </w:rPr>
              <w:t> </w:t>
            </w:r>
            <w:r>
              <w:rPr>
                <w:rFonts w:ascii="宋体" w:hAnsi="宋体" w:cs="宋体" w:eastAsia="宋体" w:hint="default"/>
                <w:sz w:val="21"/>
                <w:szCs w:val="21"/>
              </w:rPr>
              <w:t>正</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9"/>
                <w:sz w:val="21"/>
                <w:szCs w:val="21"/>
              </w:rPr>
              <w:t> </w:t>
            </w:r>
            <w:r>
              <w:rPr>
                <w:rFonts w:ascii="宋体" w:hAnsi="宋体" w:cs="宋体" w:eastAsia="宋体" w:hint="default"/>
                <w:sz w:val="21"/>
                <w:szCs w:val="21"/>
              </w:rPr>
              <w:t>江</w:t>
            </w:r>
            <w:r>
              <w:rPr>
                <w:rFonts w:ascii="宋体" w:hAnsi="宋体" w:cs="宋体" w:eastAsia="宋体" w:hint="default"/>
                <w:spacing w:val="-59"/>
                <w:sz w:val="21"/>
                <w:szCs w:val="21"/>
              </w:rPr>
              <w:t> </w:t>
            </w:r>
            <w:r>
              <w:rPr>
                <w:rFonts w:ascii="宋体" w:hAnsi="宋体" w:cs="宋体" w:eastAsia="宋体" w:hint="default"/>
                <w:sz w:val="21"/>
                <w:szCs w:val="21"/>
              </w:rPr>
              <w:t>易</w:t>
            </w:r>
            <w:r>
              <w:rPr>
                <w:rFonts w:ascii="宋体" w:hAnsi="宋体" w:cs="宋体" w:eastAsia="宋体" w:hint="default"/>
                <w:spacing w:val="-57"/>
                <w:sz w:val="21"/>
                <w:szCs w:val="21"/>
              </w:rPr>
              <w:t> </w:t>
            </w:r>
            <w:r>
              <w:rPr>
                <w:rFonts w:ascii="宋体" w:hAnsi="宋体" w:cs="宋体" w:eastAsia="宋体" w:hint="default"/>
                <w:sz w:val="21"/>
                <w:szCs w:val="21"/>
              </w:rPr>
              <w:t>政</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9"/>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迅</w:t>
            </w:r>
            <w:r>
              <w:rPr>
                <w:rFonts w:ascii="宋体" w:hAnsi="宋体" w:cs="宋体" w:eastAsia="宋体" w:hint="default"/>
                <w:spacing w:val="-57"/>
                <w:sz w:val="21"/>
                <w:szCs w:val="21"/>
              </w:rPr>
              <w:t> </w:t>
            </w:r>
            <w:r>
              <w:rPr>
                <w:rFonts w:ascii="宋体" w:hAnsi="宋体" w:cs="宋体" w:eastAsia="宋体" w:hint="default"/>
                <w:sz w:val="21"/>
                <w:szCs w:val="21"/>
              </w:rPr>
              <w:t>奇</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9"/>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59"/>
                <w:sz w:val="21"/>
                <w:szCs w:val="21"/>
              </w:rPr>
              <w:t> </w:t>
            </w:r>
            <w:r>
              <w:rPr>
                <w:rFonts w:ascii="宋体" w:hAnsi="宋体" w:cs="宋体" w:eastAsia="宋体" w:hint="default"/>
                <w:sz w:val="21"/>
                <w:szCs w:val="21"/>
              </w:rPr>
              <w:t>溪</w:t>
            </w:r>
            <w:r>
              <w:rPr>
                <w:rFonts w:ascii="宋体" w:hAnsi="宋体" w:cs="宋体" w:eastAsia="宋体" w:hint="default"/>
                <w:spacing w:val="-59"/>
                <w:sz w:val="21"/>
                <w:szCs w:val="21"/>
              </w:rPr>
              <w:t> </w:t>
            </w:r>
            <w:r>
              <w:rPr>
                <w:rFonts w:ascii="宋体" w:hAnsi="宋体" w:cs="宋体" w:eastAsia="宋体" w:hint="default"/>
                <w:sz w:val="21"/>
                <w:szCs w:val="21"/>
              </w:rPr>
              <w:t>县</w:t>
            </w:r>
            <w:r>
              <w:rPr>
                <w:rFonts w:ascii="宋体" w:hAnsi="宋体" w:cs="宋体" w:eastAsia="宋体" w:hint="default"/>
                <w:spacing w:val="-57"/>
                <w:sz w:val="21"/>
                <w:szCs w:val="21"/>
              </w:rPr>
              <w:t> </w:t>
            </w:r>
            <w:r>
              <w:rPr>
                <w:rFonts w:ascii="宋体" w:hAnsi="宋体" w:cs="宋体" w:eastAsia="宋体" w:hint="default"/>
                <w:sz w:val="21"/>
                <w:szCs w:val="21"/>
              </w:rPr>
              <w:t>南</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威</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9"/>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思</w:t>
            </w:r>
            <w:r>
              <w:rPr>
                <w:rFonts w:ascii="宋体" w:hAnsi="宋体" w:cs="宋体" w:eastAsia="宋体" w:hint="default"/>
                <w:spacing w:val="-59"/>
                <w:sz w:val="21"/>
                <w:szCs w:val="21"/>
              </w:rPr>
              <w:t> </w:t>
            </w:r>
            <w:r>
              <w:rPr>
                <w:rFonts w:ascii="宋体" w:hAnsi="宋体" w:cs="宋体" w:eastAsia="宋体" w:hint="default"/>
                <w:sz w:val="21"/>
                <w:szCs w:val="21"/>
              </w:rPr>
              <w:t>明</w:t>
            </w:r>
            <w:r>
              <w:rPr>
                <w:rFonts w:ascii="宋体" w:hAnsi="宋体" w:cs="宋体" w:eastAsia="宋体" w:hint="default"/>
                <w:spacing w:val="-59"/>
                <w:sz w:val="21"/>
                <w:szCs w:val="21"/>
              </w:rPr>
              <w:t> </w:t>
            </w:r>
            <w:r>
              <w:rPr>
                <w:rFonts w:ascii="宋体" w:hAnsi="宋体" w:cs="宋体" w:eastAsia="宋体" w:hint="default"/>
                <w:sz w:val="21"/>
                <w:szCs w:val="21"/>
              </w:rPr>
              <w:t>德</w:t>
            </w:r>
            <w:r>
              <w:rPr>
                <w:rFonts w:ascii="宋体" w:hAnsi="宋体" w:cs="宋体" w:eastAsia="宋体" w:hint="default"/>
                <w:spacing w:val="-57"/>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据</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大数据应用</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9"/>
                <w:sz w:val="21"/>
                <w:szCs w:val="21"/>
              </w:rPr>
              <w:t> </w:t>
            </w:r>
            <w:r>
              <w:rPr>
                <w:rFonts w:ascii="宋体" w:hAnsi="宋体" w:cs="宋体" w:eastAsia="宋体" w:hint="default"/>
                <w:sz w:val="21"/>
                <w:szCs w:val="21"/>
              </w:rPr>
              <w:t>管</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w:t>
            </w:r>
            <w:r>
              <w:rPr>
                <w:rFonts w:ascii="宋体" w:hAnsi="宋体" w:cs="宋体" w:eastAsia="宋体" w:hint="default"/>
                <w:spacing w:val="-59"/>
                <w:sz w:val="21"/>
                <w:szCs w:val="21"/>
              </w:rPr>
              <w:t> </w:t>
            </w:r>
            <w:r>
              <w:rPr>
                <w:rFonts w:ascii="宋体" w:hAnsi="宋体" w:cs="宋体" w:eastAsia="宋体" w:hint="default"/>
                <w:sz w:val="21"/>
                <w:szCs w:val="21"/>
              </w:rPr>
              <w:t>肃</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9"/>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万</w:t>
            </w:r>
            <w:r>
              <w:rPr>
                <w:rFonts w:ascii="宋体" w:hAnsi="宋体" w:cs="宋体" w:eastAsia="宋体" w:hint="default"/>
                <w:spacing w:val="-57"/>
                <w:sz w:val="21"/>
                <w:szCs w:val="21"/>
              </w:rPr>
              <w:t> </w:t>
            </w:r>
            <w:r>
              <w:rPr>
                <w:rFonts w:ascii="宋体" w:hAnsi="宋体" w:cs="宋体" w:eastAsia="宋体" w:hint="default"/>
                <w:sz w:val="21"/>
                <w:szCs w:val="21"/>
              </w:rPr>
              <w:t>创</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聚</w:t>
            </w:r>
            <w:r>
              <w:rPr>
                <w:rFonts w:ascii="宋体" w:hAnsi="宋体" w:cs="宋体" w:eastAsia="宋体" w:hint="default"/>
                <w:spacing w:val="-59"/>
                <w:sz w:val="21"/>
                <w:szCs w:val="21"/>
              </w:rPr>
              <w:t> </w:t>
            </w:r>
            <w:r>
              <w:rPr>
                <w:rFonts w:ascii="宋体" w:hAnsi="宋体" w:cs="宋体" w:eastAsia="宋体" w:hint="default"/>
                <w:sz w:val="21"/>
                <w:szCs w:val="21"/>
              </w:rPr>
              <w:t>力</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59"/>
                <w:sz w:val="21"/>
                <w:szCs w:val="21"/>
              </w:rPr>
              <w:t> </w:t>
            </w:r>
            <w:r>
              <w:rPr>
                <w:rFonts w:ascii="宋体" w:hAnsi="宋体" w:cs="宋体" w:eastAsia="宋体" w:hint="default"/>
                <w:sz w:val="21"/>
                <w:szCs w:val="21"/>
              </w:rPr>
              <w:t>理</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9"/>
                <w:sz w:val="21"/>
                <w:szCs w:val="21"/>
              </w:rPr>
              <w:t> </w:t>
            </w:r>
            <w:r>
              <w:rPr>
                <w:rFonts w:ascii="宋体" w:hAnsi="宋体" w:cs="宋体" w:eastAsia="宋体" w:hint="default"/>
                <w:sz w:val="21"/>
                <w:szCs w:val="21"/>
              </w:rPr>
              <w:t>威</w:t>
            </w:r>
            <w:r>
              <w:rPr>
                <w:rFonts w:ascii="宋体" w:hAnsi="宋体" w:cs="宋体" w:eastAsia="宋体" w:hint="default"/>
                <w:spacing w:val="-59"/>
                <w:sz w:val="21"/>
                <w:szCs w:val="21"/>
              </w:rPr>
              <w:t> </w:t>
            </w:r>
            <w:r>
              <w:rPr>
                <w:rFonts w:ascii="宋体" w:hAnsi="宋体" w:cs="宋体" w:eastAsia="宋体" w:hint="default"/>
                <w:sz w:val="21"/>
                <w:szCs w:val="21"/>
              </w:rPr>
              <w:t>软</w:t>
            </w:r>
            <w:r>
              <w:rPr>
                <w:rFonts w:ascii="宋体" w:hAnsi="宋体" w:cs="宋体" w:eastAsia="宋体" w:hint="default"/>
                <w:spacing w:val="-57"/>
                <w:sz w:val="21"/>
                <w:szCs w:val="21"/>
              </w:rPr>
              <w:t> </w:t>
            </w:r>
            <w:r>
              <w:rPr>
                <w:rFonts w:ascii="宋体" w:hAnsi="宋体" w:cs="宋体" w:eastAsia="宋体" w:hint="default"/>
                <w:sz w:val="21"/>
                <w:szCs w:val="21"/>
              </w:rPr>
              <w:t>件</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5"/>
                <w:sz w:val="21"/>
                <w:szCs w:val="21"/>
              </w:rPr>
              <w:t>（海南）有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海口</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9"/>
                <w:sz w:val="21"/>
                <w:szCs w:val="21"/>
              </w:rPr>
              <w:t> </w:t>
            </w:r>
            <w:r>
              <w:rPr>
                <w:rFonts w:ascii="宋体" w:hAnsi="宋体" w:cs="宋体" w:eastAsia="宋体" w:hint="default"/>
                <w:sz w:val="21"/>
                <w:szCs w:val="21"/>
              </w:rPr>
              <w:t>海</w:t>
            </w:r>
            <w:r>
              <w:rPr>
                <w:rFonts w:ascii="宋体" w:hAnsi="宋体" w:cs="宋体" w:eastAsia="宋体" w:hint="default"/>
                <w:spacing w:val="-59"/>
                <w:sz w:val="21"/>
                <w:szCs w:val="21"/>
              </w:rPr>
              <w:t> </w:t>
            </w:r>
            <w:r>
              <w:rPr>
                <w:rFonts w:ascii="宋体" w:hAnsi="宋体" w:cs="宋体" w:eastAsia="宋体" w:hint="default"/>
                <w:sz w:val="21"/>
                <w:szCs w:val="21"/>
              </w:rPr>
              <w:t>宜</w:t>
            </w:r>
            <w:r>
              <w:rPr>
                <w:rFonts w:ascii="宋体" w:hAnsi="宋体" w:cs="宋体" w:eastAsia="宋体" w:hint="default"/>
                <w:spacing w:val="-57"/>
                <w:sz w:val="21"/>
                <w:szCs w:val="21"/>
              </w:rPr>
              <w:t> </w:t>
            </w:r>
            <w:r>
              <w:rPr>
                <w:rFonts w:ascii="宋体" w:hAnsi="宋体" w:cs="宋体" w:eastAsia="宋体" w:hint="default"/>
                <w:sz w:val="21"/>
                <w:szCs w:val="21"/>
              </w:rPr>
              <w:t>喆</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9"/>
                <w:sz w:val="21"/>
                <w:szCs w:val="21"/>
              </w:rPr>
              <w:t> </w:t>
            </w:r>
            <w:r>
              <w:rPr>
                <w:rFonts w:ascii="宋体" w:hAnsi="宋体" w:cs="宋体" w:eastAsia="宋体" w:hint="default"/>
                <w:sz w:val="21"/>
                <w:szCs w:val="21"/>
              </w:rPr>
              <w:t>能</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智能科技</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59"/>
                <w:sz w:val="21"/>
                <w:szCs w:val="21"/>
              </w:rPr>
              <w:t> </w:t>
            </w:r>
            <w:r>
              <w:rPr>
                <w:rFonts w:ascii="宋体" w:hAnsi="宋体" w:cs="宋体" w:eastAsia="宋体" w:hint="default"/>
                <w:sz w:val="21"/>
                <w:szCs w:val="21"/>
              </w:rPr>
              <w:t>徽</w:t>
            </w:r>
            <w:r>
              <w:rPr>
                <w:rFonts w:ascii="宋体" w:hAnsi="宋体" w:cs="宋体" w:eastAsia="宋体" w:hint="default"/>
                <w:spacing w:val="-59"/>
                <w:sz w:val="21"/>
                <w:szCs w:val="21"/>
              </w:rPr>
              <w:t> </w:t>
            </w:r>
            <w:r>
              <w:rPr>
                <w:rFonts w:ascii="宋体" w:hAnsi="宋体" w:cs="宋体" w:eastAsia="宋体" w:hint="default"/>
                <w:sz w:val="21"/>
                <w:szCs w:val="21"/>
              </w:rPr>
              <w:t>睿</w:t>
            </w:r>
            <w:r>
              <w:rPr>
                <w:rFonts w:ascii="宋体" w:hAnsi="宋体" w:cs="宋体" w:eastAsia="宋体" w:hint="default"/>
                <w:spacing w:val="-57"/>
                <w:sz w:val="21"/>
                <w:szCs w:val="21"/>
              </w:rPr>
              <w:t> </w:t>
            </w:r>
            <w:r>
              <w:rPr>
                <w:rFonts w:ascii="宋体" w:hAnsi="宋体" w:cs="宋体" w:eastAsia="宋体" w:hint="default"/>
                <w:sz w:val="21"/>
                <w:szCs w:val="21"/>
              </w:rPr>
              <w:t>谷</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微</w:t>
            </w:r>
            <w:r>
              <w:rPr>
                <w:rFonts w:ascii="宋体" w:hAnsi="宋体" w:cs="宋体" w:eastAsia="宋体" w:hint="default"/>
                <w:spacing w:val="-59"/>
                <w:sz w:val="21"/>
                <w:szCs w:val="21"/>
              </w:rPr>
              <w:t> </w:t>
            </w:r>
            <w:r>
              <w:rPr>
                <w:rFonts w:ascii="宋体" w:hAnsi="宋体" w:cs="宋体" w:eastAsia="宋体" w:hint="default"/>
                <w:sz w:val="21"/>
                <w:szCs w:val="21"/>
              </w:rPr>
              <w:t>云</w:t>
            </w:r>
            <w:r>
              <w:rPr>
                <w:rFonts w:ascii="宋体" w:hAnsi="宋体" w:cs="宋体" w:eastAsia="宋体" w:hint="default"/>
                <w:spacing w:val="-59"/>
                <w:sz w:val="21"/>
                <w:szCs w:val="21"/>
              </w:rPr>
              <w:t> </w:t>
            </w:r>
            <w:r>
              <w:rPr>
                <w:rFonts w:ascii="宋体" w:hAnsi="宋体" w:cs="宋体" w:eastAsia="宋体" w:hint="default"/>
                <w:sz w:val="21"/>
                <w:szCs w:val="21"/>
              </w:rPr>
              <w:t>智</w:t>
            </w:r>
            <w:r>
              <w:rPr>
                <w:rFonts w:ascii="宋体" w:hAnsi="宋体" w:cs="宋体" w:eastAsia="宋体" w:hint="default"/>
                <w:spacing w:val="-57"/>
                <w:sz w:val="21"/>
                <w:szCs w:val="21"/>
              </w:rPr>
              <w:t> </w:t>
            </w:r>
            <w:r>
              <w:rPr>
                <w:rFonts w:ascii="宋体" w:hAnsi="宋体" w:cs="宋体" w:eastAsia="宋体" w:hint="default"/>
                <w:sz w:val="21"/>
                <w:szCs w:val="21"/>
              </w:rPr>
              <w:t>慧</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智能科技</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宜</w:t>
            </w:r>
            <w:r>
              <w:rPr>
                <w:rFonts w:ascii="宋体" w:hAnsi="宋体" w:cs="宋体" w:eastAsia="宋体" w:hint="default"/>
                <w:spacing w:val="-57"/>
                <w:sz w:val="21"/>
                <w:szCs w:val="21"/>
              </w:rPr>
              <w:t> </w:t>
            </w:r>
            <w:r>
              <w:rPr>
                <w:rFonts w:ascii="宋体" w:hAnsi="宋体" w:cs="宋体" w:eastAsia="宋体" w:hint="default"/>
                <w:sz w:val="21"/>
                <w:szCs w:val="21"/>
              </w:rPr>
              <w:t>喆</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智能科技</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pgSz w:w="11910" w:h="16840"/>
          <w:pgMar w:header="857" w:footer="979" w:top="114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98"/>
        <w:gridCol w:w="1287"/>
        <w:gridCol w:w="1274"/>
        <w:gridCol w:w="1301"/>
        <w:gridCol w:w="1188"/>
        <w:gridCol w:w="1385"/>
        <w:gridCol w:w="1416"/>
      </w:tblGrid>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9"/>
                <w:sz w:val="21"/>
                <w:szCs w:val="21"/>
              </w:rPr>
              <w:t> </w:t>
            </w:r>
            <w:r>
              <w:rPr>
                <w:rFonts w:ascii="宋体" w:hAnsi="宋体" w:cs="宋体" w:eastAsia="宋体" w:hint="default"/>
                <w:sz w:val="21"/>
                <w:szCs w:val="21"/>
              </w:rPr>
              <w:t>能</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9"/>
                <w:sz w:val="21"/>
                <w:szCs w:val="21"/>
              </w:rPr>
              <w:t> </w:t>
            </w:r>
            <w:r>
              <w:rPr>
                <w:rFonts w:ascii="宋体" w:hAnsi="宋体" w:cs="宋体" w:eastAsia="宋体" w:hint="default"/>
                <w:sz w:val="21"/>
                <w:szCs w:val="21"/>
              </w:rPr>
              <w:t>波</w:t>
            </w:r>
            <w:r>
              <w:rPr>
                <w:rFonts w:ascii="宋体" w:hAnsi="宋体" w:cs="宋体" w:eastAsia="宋体" w:hint="default"/>
                <w:spacing w:val="-59"/>
                <w:sz w:val="21"/>
                <w:szCs w:val="21"/>
              </w:rPr>
              <w:t> </w:t>
            </w:r>
            <w:r>
              <w:rPr>
                <w:rFonts w:ascii="宋体" w:hAnsi="宋体" w:cs="宋体" w:eastAsia="宋体" w:hint="default"/>
                <w:sz w:val="21"/>
                <w:szCs w:val="21"/>
              </w:rPr>
              <w:t>宁</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9"/>
                <w:sz w:val="21"/>
                <w:szCs w:val="21"/>
              </w:rPr>
              <w:t> </w:t>
            </w:r>
            <w:r>
              <w:rPr>
                <w:rFonts w:ascii="宋体" w:hAnsi="宋体" w:cs="宋体" w:eastAsia="宋体" w:hint="default"/>
                <w:sz w:val="21"/>
                <w:szCs w:val="21"/>
              </w:rPr>
              <w:t>苏</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汇</w:t>
            </w:r>
            <w:r>
              <w:rPr>
                <w:rFonts w:ascii="宋体" w:hAnsi="宋体" w:cs="宋体" w:eastAsia="宋体" w:hint="default"/>
                <w:spacing w:val="-59"/>
                <w:sz w:val="21"/>
                <w:szCs w:val="21"/>
              </w:rPr>
              <w:t> </w:t>
            </w:r>
            <w:r>
              <w:rPr>
                <w:rFonts w:ascii="宋体" w:hAnsi="宋体" w:cs="宋体" w:eastAsia="宋体" w:hint="default"/>
                <w:sz w:val="21"/>
                <w:szCs w:val="21"/>
              </w:rPr>
              <w:t>鼎</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37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9"/>
                <w:sz w:val="21"/>
                <w:szCs w:val="21"/>
              </w:rPr>
              <w:t> </w:t>
            </w:r>
            <w:r>
              <w:rPr>
                <w:rFonts w:ascii="宋体" w:hAnsi="宋体" w:cs="宋体" w:eastAsia="宋体" w:hint="default"/>
                <w:sz w:val="21"/>
                <w:szCs w:val="21"/>
              </w:rPr>
              <w:t>慧</w:t>
            </w:r>
            <w:r>
              <w:rPr>
                <w:rFonts w:ascii="宋体" w:hAnsi="宋体" w:cs="宋体" w:eastAsia="宋体" w:hint="default"/>
                <w:spacing w:val="-59"/>
                <w:sz w:val="21"/>
                <w:szCs w:val="21"/>
              </w:rPr>
              <w:t> </w:t>
            </w:r>
            <w:r>
              <w:rPr>
                <w:rFonts w:ascii="宋体" w:hAnsi="宋体" w:cs="宋体" w:eastAsia="宋体" w:hint="default"/>
                <w:sz w:val="21"/>
                <w:szCs w:val="21"/>
              </w:rPr>
              <w:t>城</w:t>
            </w:r>
            <w:r>
              <w:rPr>
                <w:rFonts w:ascii="宋体" w:hAnsi="宋体" w:cs="宋体" w:eastAsia="宋体" w:hint="default"/>
                <w:spacing w:val="-57"/>
                <w:sz w:val="21"/>
                <w:szCs w:val="21"/>
              </w:rPr>
              <w:t> </w:t>
            </w:r>
            <w:r>
              <w:rPr>
                <w:rFonts w:ascii="宋体" w:hAnsi="宋体" w:cs="宋体" w:eastAsia="宋体" w:hint="default"/>
                <w:sz w:val="21"/>
                <w:szCs w:val="21"/>
              </w:rPr>
              <w:t>市</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泉</w:t>
            </w:r>
            <w:r>
              <w:rPr>
                <w:rFonts w:ascii="宋体" w:hAnsi="宋体" w:cs="宋体" w:eastAsia="宋体" w:hint="default"/>
                <w:spacing w:val="-59"/>
                <w:sz w:val="21"/>
                <w:szCs w:val="21"/>
              </w:rPr>
              <w:t> </w:t>
            </w:r>
            <w:r>
              <w:rPr>
                <w:rFonts w:ascii="宋体" w:hAnsi="宋体" w:cs="宋体" w:eastAsia="宋体" w:hint="default"/>
                <w:sz w:val="21"/>
                <w:szCs w:val="21"/>
              </w:rPr>
              <w:t>州</w:t>
            </w:r>
            <w:r>
              <w:rPr>
                <w:rFonts w:ascii="宋体" w:hAnsi="宋体" w:cs="宋体" w:eastAsia="宋体" w:hint="default"/>
                <w:spacing w:val="-57"/>
                <w:sz w:val="21"/>
                <w:szCs w:val="21"/>
              </w:rPr>
              <w:t> </w:t>
            </w:r>
            <w:r>
              <w:rPr>
                <w:rFonts w:ascii="宋体" w:hAnsi="宋体" w:cs="宋体" w:eastAsia="宋体" w:hint="default"/>
                <w:sz w:val="21"/>
                <w:szCs w:val="21"/>
              </w:rPr>
              <w:t>丰</w:t>
            </w:r>
            <w:r>
              <w:rPr>
                <w:rFonts w:ascii="宋体" w:hAnsi="宋体" w:cs="宋体" w:eastAsia="宋体" w:hint="default"/>
                <w:w w:val="100"/>
                <w:sz w:val="21"/>
                <w:szCs w:val="21"/>
              </w:rPr>
              <w:t> </w:t>
            </w:r>
            <w:r>
              <w:rPr>
                <w:rFonts w:ascii="宋体" w:hAnsi="宋体" w:cs="宋体" w:eastAsia="宋体" w:hint="default"/>
                <w:spacing w:val="-15"/>
                <w:sz w:val="21"/>
                <w:szCs w:val="21"/>
              </w:rPr>
              <w:t>泽）运营管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100"/>
              <w:jc w:val="left"/>
              <w:rPr>
                <w:rFonts w:ascii="宋体" w:hAnsi="宋体" w:cs="宋体" w:eastAsia="宋体" w:hint="default"/>
                <w:sz w:val="21"/>
                <w:szCs w:val="21"/>
              </w:rPr>
            </w:pPr>
            <w:r>
              <w:rPr>
                <w:rFonts w:ascii="宋体" w:hAnsi="宋体" w:cs="宋体" w:eastAsia="宋体" w:hint="default"/>
                <w:spacing w:val="4"/>
                <w:sz w:val="21"/>
                <w:szCs w:val="21"/>
              </w:rPr>
              <w:t>智慧城市运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威</w:t>
            </w:r>
            <w:r>
              <w:rPr>
                <w:rFonts w:ascii="宋体" w:hAnsi="宋体" w:cs="宋体" w:eastAsia="宋体" w:hint="default"/>
                <w:spacing w:val="-57"/>
                <w:sz w:val="21"/>
                <w:szCs w:val="21"/>
              </w:rPr>
              <w:t> </w:t>
            </w:r>
            <w:r>
              <w:rPr>
                <w:rFonts w:ascii="宋体" w:hAnsi="宋体" w:cs="宋体" w:eastAsia="宋体" w:hint="default"/>
                <w:sz w:val="21"/>
                <w:szCs w:val="21"/>
              </w:rPr>
              <w:t>盾</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泉</w:t>
            </w:r>
            <w:r>
              <w:rPr>
                <w:rFonts w:ascii="宋体" w:hAnsi="宋体" w:cs="宋体" w:eastAsia="宋体" w:hint="default"/>
                <w:spacing w:val="-59"/>
                <w:sz w:val="21"/>
                <w:szCs w:val="21"/>
              </w:rPr>
              <w:t> </w:t>
            </w:r>
            <w:r>
              <w:rPr>
                <w:rFonts w:ascii="宋体" w:hAnsi="宋体" w:cs="宋体" w:eastAsia="宋体" w:hint="default"/>
                <w:sz w:val="21"/>
                <w:szCs w:val="21"/>
              </w:rPr>
              <w:t>州</w:t>
            </w:r>
            <w:r>
              <w:rPr>
                <w:rFonts w:ascii="宋体" w:hAnsi="宋体" w:cs="宋体" w:eastAsia="宋体" w:hint="default"/>
                <w:spacing w:val="-59"/>
                <w:sz w:val="21"/>
                <w:szCs w:val="21"/>
              </w:rPr>
              <w:t> </w:t>
            </w:r>
            <w:r>
              <w:rPr>
                <w:rFonts w:ascii="宋体" w:hAnsi="宋体" w:cs="宋体" w:eastAsia="宋体" w:hint="default"/>
                <w:sz w:val="21"/>
                <w:szCs w:val="21"/>
              </w:rPr>
              <w:t>威</w:t>
            </w:r>
            <w:r>
              <w:rPr>
                <w:rFonts w:ascii="宋体" w:hAnsi="宋体" w:cs="宋体" w:eastAsia="宋体" w:hint="default"/>
                <w:spacing w:val="-57"/>
                <w:sz w:val="21"/>
                <w:szCs w:val="21"/>
              </w:rPr>
              <w:t> </w:t>
            </w:r>
            <w:r>
              <w:rPr>
                <w:rFonts w:ascii="宋体" w:hAnsi="宋体" w:cs="宋体" w:eastAsia="宋体" w:hint="default"/>
                <w:sz w:val="21"/>
                <w:szCs w:val="21"/>
              </w:rPr>
              <w:t>盾</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9"/>
                <w:sz w:val="21"/>
                <w:szCs w:val="21"/>
              </w:rPr>
              <w:t> </w:t>
            </w:r>
            <w:r>
              <w:rPr>
                <w:rFonts w:ascii="宋体" w:hAnsi="宋体" w:cs="宋体" w:eastAsia="宋体" w:hint="default"/>
                <w:sz w:val="21"/>
                <w:szCs w:val="21"/>
              </w:rPr>
              <w:t>能</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pacing w:val="-59"/>
                <w:sz w:val="21"/>
                <w:szCs w:val="21"/>
              </w:rPr>
              <w:t> </w:t>
            </w:r>
            <w:r>
              <w:rPr>
                <w:rFonts w:ascii="宋体" w:hAnsi="宋体" w:cs="宋体" w:eastAsia="宋体" w:hint="default"/>
                <w:sz w:val="21"/>
                <w:szCs w:val="21"/>
              </w:rPr>
              <w:t>统</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59"/>
                <w:sz w:val="21"/>
                <w:szCs w:val="21"/>
              </w:rPr>
              <w:t> </w:t>
            </w:r>
            <w:r>
              <w:rPr>
                <w:rFonts w:ascii="宋体" w:hAnsi="宋体" w:cs="宋体" w:eastAsia="宋体" w:hint="default"/>
                <w:sz w:val="21"/>
                <w:szCs w:val="21"/>
              </w:rPr>
              <w:t>西</w:t>
            </w:r>
            <w:r>
              <w:rPr>
                <w:rFonts w:ascii="宋体" w:hAnsi="宋体" w:cs="宋体" w:eastAsia="宋体" w:hint="default"/>
                <w:spacing w:val="-59"/>
                <w:sz w:val="21"/>
                <w:szCs w:val="21"/>
              </w:rPr>
              <w:t> </w:t>
            </w:r>
            <w:r>
              <w:rPr>
                <w:rFonts w:ascii="宋体" w:hAnsi="宋体" w:cs="宋体" w:eastAsia="宋体" w:hint="default"/>
                <w:sz w:val="21"/>
                <w:szCs w:val="21"/>
              </w:rPr>
              <w:t>弘</w:t>
            </w:r>
            <w:r>
              <w:rPr>
                <w:rFonts w:ascii="宋体" w:hAnsi="宋体" w:cs="宋体" w:eastAsia="宋体" w:hint="default"/>
                <w:spacing w:val="-57"/>
                <w:sz w:val="21"/>
                <w:szCs w:val="21"/>
              </w:rPr>
              <w:t> </w:t>
            </w:r>
            <w:r>
              <w:rPr>
                <w:rFonts w:ascii="宋体" w:hAnsi="宋体" w:cs="宋体" w:eastAsia="宋体" w:hint="default"/>
                <w:sz w:val="21"/>
                <w:szCs w:val="21"/>
              </w:rPr>
              <w:t>政</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南宁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腾</w:t>
            </w:r>
            <w:r>
              <w:rPr>
                <w:rFonts w:ascii="宋体" w:hAnsi="宋体" w:cs="宋体" w:eastAsia="宋体" w:hint="default"/>
                <w:spacing w:val="-57"/>
                <w:sz w:val="21"/>
                <w:szCs w:val="21"/>
              </w:rPr>
              <w:t> </w:t>
            </w:r>
            <w:r>
              <w:rPr>
                <w:rFonts w:ascii="宋体" w:hAnsi="宋体" w:cs="宋体" w:eastAsia="宋体" w:hint="default"/>
                <w:sz w:val="21"/>
                <w:szCs w:val="21"/>
              </w:rPr>
              <w:t>匠</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致</w:t>
            </w:r>
            <w:r>
              <w:rPr>
                <w:rFonts w:ascii="宋体" w:hAnsi="宋体" w:cs="宋体" w:eastAsia="宋体" w:hint="default"/>
                <w:spacing w:val="-57"/>
                <w:sz w:val="21"/>
                <w:szCs w:val="21"/>
              </w:rPr>
              <w:t> </w:t>
            </w:r>
            <w:r>
              <w:rPr>
                <w:rFonts w:ascii="宋体" w:hAnsi="宋体" w:cs="宋体" w:eastAsia="宋体" w:hint="default"/>
                <w:sz w:val="21"/>
                <w:szCs w:val="21"/>
              </w:rPr>
              <w:t>远</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据</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责</w:t>
            </w:r>
            <w:r>
              <w:rPr>
                <w:rFonts w:ascii="宋体" w:hAnsi="宋体" w:cs="宋体" w:eastAsia="宋体" w:hint="default"/>
                <w:spacing w:val="-5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众</w:t>
            </w:r>
            <w:r>
              <w:rPr>
                <w:rFonts w:ascii="宋体" w:hAnsi="宋体" w:cs="宋体" w:eastAsia="宋体" w:hint="default"/>
                <w:spacing w:val="-57"/>
                <w:sz w:val="21"/>
                <w:szCs w:val="21"/>
              </w:rPr>
              <w:t> </w:t>
            </w:r>
            <w:r>
              <w:rPr>
                <w:rFonts w:ascii="宋体" w:hAnsi="宋体" w:cs="宋体" w:eastAsia="宋体" w:hint="default"/>
                <w:sz w:val="21"/>
                <w:szCs w:val="21"/>
              </w:rPr>
              <w:t>帮</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泉</w:t>
            </w:r>
            <w:r>
              <w:rPr>
                <w:rFonts w:ascii="宋体" w:hAnsi="宋体" w:cs="宋体" w:eastAsia="宋体" w:hint="default"/>
                <w:spacing w:val="-59"/>
                <w:sz w:val="21"/>
                <w:szCs w:val="21"/>
              </w:rPr>
              <w:t> </w:t>
            </w:r>
            <w:r>
              <w:rPr>
                <w:rFonts w:ascii="宋体" w:hAnsi="宋体" w:cs="宋体" w:eastAsia="宋体" w:hint="default"/>
                <w:sz w:val="21"/>
                <w:szCs w:val="21"/>
              </w:rPr>
              <w:t>州</w:t>
            </w:r>
            <w:r>
              <w:rPr>
                <w:rFonts w:ascii="宋体" w:hAnsi="宋体" w:cs="宋体" w:eastAsia="宋体" w:hint="default"/>
                <w:spacing w:val="-59"/>
                <w:sz w:val="21"/>
                <w:szCs w:val="21"/>
              </w:rPr>
              <w:t> </w:t>
            </w:r>
            <w:r>
              <w:rPr>
                <w:rFonts w:ascii="宋体" w:hAnsi="宋体" w:cs="宋体" w:eastAsia="宋体" w:hint="default"/>
                <w:sz w:val="21"/>
                <w:szCs w:val="21"/>
              </w:rPr>
              <w:t>双</w:t>
            </w:r>
            <w:r>
              <w:rPr>
                <w:rFonts w:ascii="宋体" w:hAnsi="宋体" w:cs="宋体" w:eastAsia="宋体" w:hint="default"/>
                <w:spacing w:val="-57"/>
                <w:sz w:val="21"/>
                <w:szCs w:val="21"/>
              </w:rPr>
              <w:t> </w:t>
            </w:r>
            <w:r>
              <w:rPr>
                <w:rFonts w:ascii="宋体" w:hAnsi="宋体" w:cs="宋体" w:eastAsia="宋体" w:hint="default"/>
                <w:sz w:val="21"/>
                <w:szCs w:val="21"/>
              </w:rPr>
              <w:t>创</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聚</w:t>
            </w:r>
            <w:r>
              <w:rPr>
                <w:rFonts w:ascii="宋体" w:hAnsi="宋体" w:cs="宋体" w:eastAsia="宋体" w:hint="default"/>
                <w:spacing w:val="-59"/>
                <w:sz w:val="21"/>
                <w:szCs w:val="21"/>
              </w:rPr>
              <w:t> </w:t>
            </w:r>
            <w:r>
              <w:rPr>
                <w:rFonts w:ascii="宋体" w:hAnsi="宋体" w:cs="宋体" w:eastAsia="宋体" w:hint="default"/>
                <w:sz w:val="21"/>
                <w:szCs w:val="21"/>
              </w:rPr>
              <w:t>力</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责</w:t>
            </w:r>
            <w:r>
              <w:rPr>
                <w:rFonts w:ascii="宋体" w:hAnsi="宋体" w:cs="宋体" w:eastAsia="宋体" w:hint="default"/>
                <w:spacing w:val="-5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37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9"/>
                <w:sz w:val="21"/>
                <w:szCs w:val="21"/>
              </w:rPr>
              <w:t> </w:t>
            </w:r>
            <w:r>
              <w:rPr>
                <w:rFonts w:ascii="宋体" w:hAnsi="宋体" w:cs="宋体" w:eastAsia="宋体" w:hint="default"/>
                <w:sz w:val="21"/>
                <w:szCs w:val="21"/>
              </w:rPr>
              <w:t>海</w:t>
            </w:r>
            <w:r>
              <w:rPr>
                <w:rFonts w:ascii="宋体" w:hAnsi="宋体" w:cs="宋体" w:eastAsia="宋体" w:hint="default"/>
                <w:spacing w:val="-59"/>
                <w:sz w:val="21"/>
                <w:szCs w:val="21"/>
              </w:rPr>
              <w:t> </w:t>
            </w:r>
            <w:r>
              <w:rPr>
                <w:rFonts w:ascii="宋体" w:hAnsi="宋体" w:cs="宋体" w:eastAsia="宋体" w:hint="default"/>
                <w:sz w:val="21"/>
                <w:szCs w:val="21"/>
              </w:rPr>
              <w:t>昱</w:t>
            </w:r>
            <w:r>
              <w:rPr>
                <w:rFonts w:ascii="宋体" w:hAnsi="宋体" w:cs="宋体" w:eastAsia="宋体" w:hint="default"/>
                <w:spacing w:val="-57"/>
                <w:sz w:val="21"/>
                <w:szCs w:val="21"/>
              </w:rPr>
              <w:t> </w:t>
            </w:r>
            <w:r>
              <w:rPr>
                <w:rFonts w:ascii="宋体" w:hAnsi="宋体" w:cs="宋体" w:eastAsia="宋体" w:hint="default"/>
                <w:sz w:val="21"/>
                <w:szCs w:val="21"/>
              </w:rPr>
              <w:t>虹</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9"/>
                <w:sz w:val="21"/>
                <w:szCs w:val="21"/>
              </w:rPr>
              <w:t> </w:t>
            </w:r>
            <w:r>
              <w:rPr>
                <w:rFonts w:ascii="宋体" w:hAnsi="宋体" w:cs="宋体" w:eastAsia="宋体" w:hint="default"/>
                <w:sz w:val="21"/>
                <w:szCs w:val="21"/>
              </w:rPr>
              <w:t>威</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pacing w:val="-15"/>
                <w:sz w:val="21"/>
                <w:szCs w:val="21"/>
              </w:rPr>
              <w:t>圳）有限公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河</w:t>
            </w:r>
            <w:r>
              <w:rPr>
                <w:rFonts w:ascii="宋体" w:hAnsi="宋体" w:cs="宋体" w:eastAsia="宋体" w:hint="default"/>
                <w:spacing w:val="-59"/>
                <w:sz w:val="21"/>
                <w:szCs w:val="21"/>
              </w:rPr>
              <w:t> </w:t>
            </w:r>
            <w:r>
              <w:rPr>
                <w:rFonts w:ascii="宋体" w:hAnsi="宋体" w:cs="宋体" w:eastAsia="宋体" w:hint="default"/>
                <w:sz w:val="21"/>
                <w:szCs w:val="21"/>
              </w:rPr>
              <w:t>南</w:t>
            </w:r>
            <w:r>
              <w:rPr>
                <w:rFonts w:ascii="宋体" w:hAnsi="宋体" w:cs="宋体" w:eastAsia="宋体" w:hint="default"/>
                <w:spacing w:val="-59"/>
                <w:sz w:val="21"/>
                <w:szCs w:val="21"/>
              </w:rPr>
              <w:t> </w:t>
            </w:r>
            <w:r>
              <w:rPr>
                <w:rFonts w:ascii="宋体" w:hAnsi="宋体" w:cs="宋体" w:eastAsia="宋体" w:hint="default"/>
                <w:sz w:val="21"/>
                <w:szCs w:val="21"/>
              </w:rPr>
              <w:t>联</w:t>
            </w:r>
            <w:r>
              <w:rPr>
                <w:rFonts w:ascii="宋体" w:hAnsi="宋体" w:cs="宋体" w:eastAsia="宋体" w:hint="default"/>
                <w:spacing w:val="-57"/>
                <w:sz w:val="21"/>
                <w:szCs w:val="21"/>
              </w:rPr>
              <w:t> </w:t>
            </w:r>
            <w:r>
              <w:rPr>
                <w:rFonts w:ascii="宋体" w:hAnsi="宋体" w:cs="宋体" w:eastAsia="宋体" w:hint="default"/>
                <w:sz w:val="21"/>
                <w:szCs w:val="21"/>
              </w:rPr>
              <w:t>政</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59"/>
                <w:sz w:val="21"/>
                <w:szCs w:val="21"/>
              </w:rPr>
              <w:t> </w:t>
            </w:r>
            <w:r>
              <w:rPr>
                <w:rFonts w:ascii="宋体" w:hAnsi="宋体" w:cs="宋体" w:eastAsia="宋体" w:hint="default"/>
                <w:sz w:val="21"/>
                <w:szCs w:val="21"/>
              </w:rPr>
              <w:t>威</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宿</w:t>
            </w:r>
            <w:r>
              <w:rPr>
                <w:rFonts w:ascii="宋体" w:hAnsi="宋体" w:cs="宋体" w:eastAsia="宋体" w:hint="default"/>
                <w:spacing w:val="-59"/>
                <w:sz w:val="21"/>
                <w:szCs w:val="21"/>
              </w:rPr>
              <w:t> </w:t>
            </w:r>
            <w:r>
              <w:rPr>
                <w:rFonts w:ascii="宋体" w:hAnsi="宋体" w:cs="宋体" w:eastAsia="宋体" w:hint="default"/>
                <w:sz w:val="21"/>
                <w:szCs w:val="21"/>
              </w:rPr>
              <w:t>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7"/>
                <w:sz w:val="21"/>
                <w:szCs w:val="21"/>
              </w:rPr>
              <w:t> </w:t>
            </w:r>
            <w:r>
              <w:rPr>
                <w:rFonts w:ascii="宋体" w:hAnsi="宋体" w:cs="宋体" w:eastAsia="宋体" w:hint="default"/>
                <w:sz w:val="21"/>
                <w:szCs w:val="21"/>
              </w:rPr>
              <w:t>正</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宿州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宿州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智能信息</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left"/>
        <w:rPr>
          <w:rFonts w:ascii="宋体" w:hAnsi="宋体" w:cs="宋体" w:eastAsia="宋体" w:hint="default"/>
          <w:sz w:val="21"/>
          <w:szCs w:val="21"/>
        </w:rPr>
        <w:sectPr>
          <w:pgSz w:w="11910" w:h="16840"/>
          <w:pgMar w:header="857" w:footer="979" w:top="114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pStyle w:val="BodyText"/>
        <w:spacing w:line="240" w:lineRule="auto" w:before="36"/>
        <w:ind w:right="4510"/>
        <w:jc w:val="left"/>
      </w:pPr>
      <w:r>
        <w:rPr>
          <w:spacing w:val="-2"/>
        </w:rPr>
        <w:t>在子公司的持股比例不同于表决权比例的说明：</w:t>
      </w:r>
      <w:r>
        <w:rPr>
          <w:spacing w:val="-65"/>
        </w:rPr>
        <w:t> </w:t>
      </w:r>
      <w:r>
        <w:rPr>
          <w:spacing w:val="-65"/>
        </w:rPr>
      </w:r>
      <w:r>
        <w:rPr/>
        <w:t>无</w:t>
      </w:r>
    </w:p>
    <w:p>
      <w:pPr>
        <w:spacing w:line="240" w:lineRule="auto" w:before="6"/>
        <w:rPr>
          <w:rFonts w:ascii="宋体" w:hAnsi="宋体" w:cs="宋体" w:eastAsia="宋体" w:hint="default"/>
          <w:sz w:val="21"/>
          <w:szCs w:val="21"/>
        </w:rPr>
      </w:pPr>
    </w:p>
    <w:p>
      <w:pPr>
        <w:pStyle w:val="BodyText"/>
        <w:spacing w:line="272" w:lineRule="exact"/>
        <w:ind w:right="123"/>
        <w:jc w:val="left"/>
      </w:pPr>
      <w:r>
        <w:rPr>
          <w:spacing w:val="-1"/>
        </w:rPr>
        <w:t>持有半数或以下表决权但仍控制被投资单位、以及持有半数以上表决权但不控制被投资单位的依</w:t>
      </w:r>
      <w:r>
        <w:rPr>
          <w:spacing w:val="-55"/>
        </w:rPr>
        <w:t> </w:t>
      </w:r>
      <w:r>
        <w:rPr>
          <w:spacing w:val="-55"/>
        </w:rPr>
      </w:r>
      <w:r>
        <w:rPr/>
        <w:t>据：</w:t>
      </w:r>
    </w:p>
    <w:p>
      <w:pPr>
        <w:pStyle w:val="BodyText"/>
        <w:spacing w:line="249" w:lineRule="exact"/>
        <w:ind w:right="2513"/>
        <w:jc w:val="left"/>
      </w:pPr>
      <w:r>
        <w:rPr>
          <w:w w:val="100"/>
        </w:rPr>
        <w:t>无</w:t>
      </w:r>
    </w:p>
    <w:p>
      <w:pPr>
        <w:spacing w:line="240" w:lineRule="auto" w:before="5"/>
        <w:rPr>
          <w:rFonts w:ascii="宋体" w:hAnsi="宋体" w:cs="宋体" w:eastAsia="宋体" w:hint="default"/>
          <w:sz w:val="19"/>
          <w:szCs w:val="19"/>
        </w:rPr>
      </w:pPr>
    </w:p>
    <w:p>
      <w:pPr>
        <w:pStyle w:val="BodyText"/>
        <w:spacing w:line="240" w:lineRule="auto"/>
        <w:ind w:right="4006"/>
        <w:jc w:val="left"/>
      </w:pPr>
      <w:r>
        <w:rPr>
          <w:spacing w:val="-2"/>
        </w:rPr>
        <w:t>对于纳入合并范围的重要的结构化主体，控制的依据：</w:t>
      </w:r>
      <w:r>
        <w:rPr>
          <w:spacing w:val="-59"/>
        </w:rPr>
        <w:t> </w:t>
      </w:r>
      <w:r>
        <w:rPr>
          <w:spacing w:val="-59"/>
        </w:rPr>
      </w:r>
      <w:r>
        <w:rPr/>
        <w:t>无</w:t>
      </w:r>
    </w:p>
    <w:p>
      <w:pPr>
        <w:spacing w:line="240" w:lineRule="auto" w:before="6"/>
        <w:rPr>
          <w:rFonts w:ascii="宋体" w:hAnsi="宋体" w:cs="宋体" w:eastAsia="宋体" w:hint="default"/>
          <w:sz w:val="21"/>
          <w:szCs w:val="21"/>
        </w:rPr>
      </w:pPr>
    </w:p>
    <w:p>
      <w:pPr>
        <w:pStyle w:val="BodyText"/>
        <w:spacing w:line="272" w:lineRule="exact"/>
        <w:ind w:right="5342"/>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19"/>
          <w:szCs w:val="19"/>
        </w:rPr>
      </w:pPr>
    </w:p>
    <w:p>
      <w:pPr>
        <w:pStyle w:val="BodyText"/>
        <w:spacing w:line="272" w:lineRule="exact"/>
        <w:ind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tabs>
          <w:tab w:pos="861" w:val="left" w:leader="none"/>
        </w:tabs>
        <w:spacing w:line="240" w:lineRule="auto" w:before="36"/>
        <w:ind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1060" w:val="left" w:leader="none"/>
        </w:tabs>
        <w:spacing w:line="240" w:lineRule="auto" w:before="56"/>
        <w:ind w:right="-17"/>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6"/>
          <w:szCs w:val="26"/>
        </w:rPr>
      </w:pPr>
    </w:p>
    <w:p>
      <w:pPr>
        <w:pStyle w:val="BodyText"/>
        <w:spacing w:line="240" w:lineRule="auto"/>
        <w:ind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2763" w:space="4278"/>
            <w:col w:w="2249"/>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北京南威水科</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z w:val="21"/>
              </w:rPr>
              <w:t>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-420,898.97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-440,358.10</w:t>
            </w:r>
          </w:p>
        </w:tc>
      </w:tr>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北京万创聚力</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z w:val="21"/>
              </w:rPr>
              <w:t>40%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-3,175,764.38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-2,925,667.23</w:t>
            </w:r>
          </w:p>
        </w:tc>
      </w:tr>
    </w:tbl>
    <w:p>
      <w:pPr>
        <w:spacing w:line="240" w:lineRule="auto" w:before="9"/>
        <w:rPr>
          <w:rFonts w:ascii="宋体" w:hAnsi="宋体" w:cs="宋体" w:eastAsia="宋体" w:hint="default"/>
          <w:sz w:val="14"/>
          <w:szCs w:val="14"/>
        </w:rPr>
      </w:pPr>
    </w:p>
    <w:p>
      <w:pPr>
        <w:pStyle w:val="BodyText"/>
        <w:spacing w:line="274" w:lineRule="exact" w:before="36"/>
        <w:ind w:right="2513"/>
        <w:jc w:val="left"/>
      </w:pPr>
      <w:r>
        <w:rPr/>
        <w:t>子公司少数股东的持股比例不同于表决权比例的说明：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513"/>
        <w:jc w:val="left"/>
      </w:pPr>
      <w:r>
        <w:rPr/>
        <w:t>其他说明：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tabs>
          <w:tab w:pos="861" w:val="left" w:leader="none"/>
        </w:tabs>
        <w:spacing w:line="240" w:lineRule="auto" w:before="36"/>
        <w:ind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tabs>
          <w:tab w:pos="1060" w:val="left" w:leader="none"/>
        </w:tabs>
        <w:spacing w:line="240" w:lineRule="auto" w:before="56"/>
        <w:ind w:right="-4"/>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spacing w:line="240" w:lineRule="auto"/>
        <w:ind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4025" w:space="3015"/>
            <w:col w:w="2250"/>
          </w:cols>
        </w:sectPr>
      </w:pPr>
    </w:p>
    <w:tbl>
      <w:tblPr>
        <w:tblW w:w="0" w:type="auto"/>
        <w:jc w:val="left"/>
        <w:tblInd w:w="105" w:type="dxa"/>
        <w:tblLayout w:type="fixed"/>
        <w:tblCellMar>
          <w:top w:w="0" w:type="dxa"/>
          <w:left w:w="0" w:type="dxa"/>
          <w:bottom w:w="0" w:type="dxa"/>
          <w:right w:w="0" w:type="dxa"/>
        </w:tblCellMar>
        <w:tblLook w:val="01E0"/>
      </w:tblPr>
      <w:tblGrid>
        <w:gridCol w:w="672"/>
        <w:gridCol w:w="713"/>
        <w:gridCol w:w="710"/>
        <w:gridCol w:w="709"/>
        <w:gridCol w:w="806"/>
        <w:gridCol w:w="254"/>
        <w:gridCol w:w="795"/>
        <w:gridCol w:w="850"/>
        <w:gridCol w:w="847"/>
        <w:gridCol w:w="850"/>
        <w:gridCol w:w="794"/>
        <w:gridCol w:w="254"/>
        <w:gridCol w:w="794"/>
      </w:tblGrid>
      <w:tr>
        <w:trPr>
          <w:trHeight w:val="283" w:hRule="exact"/>
        </w:trPr>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29" w:right="108"/>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3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0" w:hRule="exact"/>
        </w:trPr>
        <w:tc>
          <w:tcPr>
            <w:tcW w:w="67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13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5"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7" w:right="137"/>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185"/>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62" w:right="-29"/>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9" w:right="18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101" w:hanging="212"/>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7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101" w:hanging="212"/>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17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62" w:right="-29"/>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179"/>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164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7"/>
                <w:sz w:val="21"/>
                <w:szCs w:val="21"/>
              </w:rPr>
              <w:t>北京</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pacing w:val="17"/>
                <w:sz w:val="21"/>
                <w:szCs w:val="21"/>
              </w:rPr>
              <w:t>南威</w:t>
            </w:r>
            <w:r>
              <w:rPr>
                <w:rFonts w:ascii="宋体" w:hAnsi="宋体" w:cs="宋体" w:eastAsia="宋体" w:hint="default"/>
                <w:spacing w:val="-101"/>
                <w:sz w:val="21"/>
                <w:szCs w:val="21"/>
              </w:rPr>
              <w:t> </w:t>
            </w:r>
            <w:r>
              <w:rPr>
                <w:rFonts w:ascii="宋体" w:hAnsi="宋体" w:cs="宋体" w:eastAsia="宋体" w:hint="default"/>
                <w:spacing w:val="17"/>
                <w:sz w:val="21"/>
                <w:szCs w:val="21"/>
              </w:rPr>
              <w:t>水科</w:t>
            </w:r>
            <w:r>
              <w:rPr>
                <w:rFonts w:ascii="宋体" w:hAnsi="宋体" w:cs="宋体" w:eastAsia="宋体" w:hint="default"/>
                <w:spacing w:val="-101"/>
                <w:sz w:val="21"/>
                <w:szCs w:val="21"/>
              </w:rPr>
              <w:t> </w:t>
            </w:r>
            <w:r>
              <w:rPr>
                <w:rFonts w:ascii="宋体" w:hAnsi="宋体" w:cs="宋体" w:eastAsia="宋体" w:hint="default"/>
                <w:sz w:val="21"/>
                <w:szCs w:val="21"/>
              </w:rPr>
              <w:t>技</w:t>
            </w:r>
            <w:r>
              <w:rPr>
                <w:rFonts w:ascii="宋体" w:hAnsi="宋体" w:cs="宋体" w:eastAsia="宋体" w:hint="default"/>
                <w:spacing w:val="-68"/>
                <w:sz w:val="21"/>
                <w:szCs w:val="21"/>
              </w:rPr>
              <w:t> </w:t>
            </w:r>
            <w:r>
              <w:rPr>
                <w:rFonts w:ascii="宋体" w:hAnsi="宋体" w:cs="宋体" w:eastAsia="宋体" w:hint="default"/>
                <w:sz w:val="21"/>
                <w:szCs w:val="21"/>
              </w:rPr>
              <w:t>术</w:t>
            </w:r>
          </w:p>
          <w:p>
            <w:pPr>
              <w:pStyle w:val="TableParagraph"/>
              <w:spacing w:line="272" w:lineRule="exact" w:before="26"/>
              <w:ind w:left="103" w:right="62"/>
              <w:jc w:val="both"/>
              <w:rPr>
                <w:rFonts w:ascii="宋体" w:hAnsi="宋体" w:cs="宋体" w:eastAsia="宋体" w:hint="default"/>
                <w:sz w:val="21"/>
                <w:szCs w:val="21"/>
              </w:rPr>
            </w:pPr>
            <w:r>
              <w:rPr>
                <w:rFonts w:ascii="宋体" w:hAnsi="宋体" w:cs="宋体" w:eastAsia="宋体" w:hint="default"/>
                <w:spacing w:val="17"/>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835,1</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79.76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6,668</w:t>
            </w:r>
          </w:p>
          <w:p>
            <w:pPr>
              <w:pStyle w:val="TableParagraph"/>
              <w:spacing w:line="241" w:lineRule="exact" w:before="1"/>
              <w:ind w:left="175" w:right="0"/>
              <w:jc w:val="left"/>
              <w:rPr>
                <w:rFonts w:ascii="Times New Roman" w:hAnsi="Times New Roman" w:cs="Times New Roman" w:eastAsia="Times New Roman" w:hint="default"/>
                <w:sz w:val="21"/>
                <w:szCs w:val="21"/>
              </w:rPr>
            </w:pPr>
            <w:r>
              <w:rPr>
                <w:rFonts w:ascii="Times New Roman"/>
                <w:sz w:val="21"/>
              </w:rPr>
              <w:t>,758.</w:t>
            </w:r>
          </w:p>
          <w:p>
            <w:pPr>
              <w:pStyle w:val="TableParagraph"/>
              <w:spacing w:line="241" w:lineRule="exact"/>
              <w:ind w:left="383" w:right="0"/>
              <w:jc w:val="left"/>
              <w:rPr>
                <w:rFonts w:ascii="Times New Roman" w:hAnsi="Times New Roman" w:cs="Times New Roman" w:eastAsia="Times New Roman" w:hint="default"/>
                <w:sz w:val="21"/>
                <w:szCs w:val="21"/>
              </w:rPr>
            </w:pPr>
            <w:r>
              <w:rPr>
                <w:rFonts w:ascii="Times New Roman"/>
                <w:sz w:val="21"/>
              </w:rPr>
              <w:t>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7,503</w:t>
            </w:r>
          </w:p>
          <w:p>
            <w:pPr>
              <w:pStyle w:val="TableParagraph"/>
              <w:spacing w:line="241" w:lineRule="exact" w:before="1"/>
              <w:ind w:left="173" w:right="0"/>
              <w:jc w:val="left"/>
              <w:rPr>
                <w:rFonts w:ascii="Times New Roman" w:hAnsi="Times New Roman" w:cs="Times New Roman" w:eastAsia="Times New Roman" w:hint="default"/>
                <w:sz w:val="21"/>
                <w:szCs w:val="21"/>
              </w:rPr>
            </w:pPr>
            <w:r>
              <w:rPr>
                <w:rFonts w:ascii="Times New Roman"/>
                <w:sz w:val="21"/>
              </w:rPr>
              <w:t>,937.</w:t>
            </w:r>
          </w:p>
          <w:p>
            <w:pPr>
              <w:pStyle w:val="TableParagraph"/>
              <w:spacing w:line="241" w:lineRule="exact"/>
              <w:ind w:left="382" w:right="0"/>
              <w:jc w:val="left"/>
              <w:rPr>
                <w:rFonts w:ascii="Times New Roman" w:hAnsi="Times New Roman" w:cs="Times New Roman" w:eastAsia="Times New Roman" w:hint="default"/>
                <w:sz w:val="21"/>
                <w:szCs w:val="21"/>
              </w:rPr>
            </w:pPr>
            <w:r>
              <w:rPr>
                <w:rFonts w:ascii="Times New Roman"/>
                <w:sz w:val="21"/>
              </w:rPr>
              <w:t>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4,135,</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281.02</w:t>
            </w:r>
          </w:p>
        </w:tc>
        <w:tc>
          <w:tcPr>
            <w:tcW w:w="254"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4,135,</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281.02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1,937,4</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06.58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3,453,6</w:t>
            </w:r>
          </w:p>
          <w:p>
            <w:pPr>
              <w:pStyle w:val="TableParagraph"/>
              <w:spacing w:line="240" w:lineRule="auto" w:before="1"/>
              <w:ind w:left="160" w:right="0"/>
              <w:jc w:val="center"/>
              <w:rPr>
                <w:rFonts w:ascii="Times New Roman" w:hAnsi="Times New Roman" w:cs="Times New Roman" w:eastAsia="Times New Roman" w:hint="default"/>
                <w:sz w:val="21"/>
                <w:szCs w:val="21"/>
              </w:rPr>
            </w:pPr>
            <w:r>
              <w:rPr>
                <w:rFonts w:ascii="Times New Roman"/>
                <w:sz w:val="21"/>
              </w:rPr>
              <w:t>81.93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5,391,0</w:t>
            </w:r>
          </w:p>
          <w:p>
            <w:pPr>
              <w:pStyle w:val="TableParagraph"/>
              <w:spacing w:line="240" w:lineRule="auto" w:before="1"/>
              <w:ind w:left="162" w:right="0"/>
              <w:jc w:val="center"/>
              <w:rPr>
                <w:rFonts w:ascii="Times New Roman" w:hAnsi="Times New Roman" w:cs="Times New Roman" w:eastAsia="Times New Roman" w:hint="default"/>
                <w:sz w:val="21"/>
                <w:szCs w:val="21"/>
              </w:rPr>
            </w:pPr>
            <w:r>
              <w:rPr>
                <w:rFonts w:ascii="Times New Roman"/>
                <w:sz w:val="21"/>
              </w:rPr>
              <w:t>88.51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55" w:right="0"/>
              <w:jc w:val="left"/>
              <w:rPr>
                <w:rFonts w:ascii="Times New Roman" w:hAnsi="Times New Roman" w:cs="Times New Roman" w:eastAsia="Times New Roman" w:hint="default"/>
                <w:sz w:val="21"/>
                <w:szCs w:val="21"/>
              </w:rPr>
            </w:pPr>
            <w:r>
              <w:rPr>
                <w:rFonts w:ascii="Times New Roman"/>
                <w:sz w:val="21"/>
              </w:rPr>
              <w:t>2,345,</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232.15</w:t>
            </w:r>
          </w:p>
        </w:tc>
        <w:tc>
          <w:tcPr>
            <w:tcW w:w="25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2,345,</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232.15</w:t>
            </w:r>
          </w:p>
        </w:tc>
      </w:tr>
      <w:tr>
        <w:trPr>
          <w:trHeight w:val="557"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北京</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万创</w:t>
            </w:r>
            <w:r>
              <w:rPr>
                <w:rFonts w:ascii="宋体" w:hAnsi="宋体" w:cs="宋体" w:eastAsia="宋体" w:hint="default"/>
                <w:spacing w:val="-69"/>
                <w:sz w:val="21"/>
                <w:szCs w:val="21"/>
              </w:rPr>
              <w:t> </w:t>
            </w:r>
            <w:r>
              <w:rPr>
                <w:rFonts w:ascii="宋体" w:hAnsi="宋体" w:cs="宋体" w:eastAsia="宋体" w:hint="default"/>
                <w:sz w:val="21"/>
                <w:szCs w:val="21"/>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7" w:right="0"/>
              <w:jc w:val="left"/>
              <w:rPr>
                <w:rFonts w:ascii="Times New Roman" w:hAnsi="Times New Roman" w:cs="Times New Roman" w:eastAsia="Times New Roman" w:hint="default"/>
                <w:sz w:val="21"/>
                <w:szCs w:val="21"/>
              </w:rPr>
            </w:pPr>
            <w:r>
              <w:rPr>
                <w:rFonts w:ascii="Times New Roman"/>
                <w:sz w:val="21"/>
              </w:rPr>
              <w:t>4,914</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,035.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2" w:right="0"/>
              <w:jc w:val="left"/>
              <w:rPr>
                <w:rFonts w:ascii="Times New Roman" w:hAnsi="Times New Roman" w:cs="Times New Roman" w:eastAsia="Times New Roman" w:hint="default"/>
                <w:sz w:val="21"/>
                <w:szCs w:val="21"/>
              </w:rPr>
            </w:pPr>
            <w:r>
              <w:rPr>
                <w:rFonts w:ascii="Times New Roman"/>
                <w:sz w:val="21"/>
              </w:rPr>
              <w:t>20,79</w:t>
            </w:r>
          </w:p>
          <w:p>
            <w:pPr>
              <w:pStyle w:val="TableParagraph"/>
              <w:spacing w:line="240" w:lineRule="auto" w:before="1"/>
              <w:ind w:left="122" w:right="0"/>
              <w:jc w:val="left"/>
              <w:rPr>
                <w:rFonts w:ascii="Times New Roman" w:hAnsi="Times New Roman" w:cs="Times New Roman" w:eastAsia="Times New Roman" w:hint="default"/>
                <w:sz w:val="21"/>
                <w:szCs w:val="21"/>
              </w:rPr>
            </w:pPr>
            <w:r>
              <w:rPr>
                <w:rFonts w:ascii="Times New Roman"/>
                <w:sz w:val="21"/>
              </w:rPr>
              <w:t>3,557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0" w:right="0"/>
              <w:jc w:val="left"/>
              <w:rPr>
                <w:rFonts w:ascii="Times New Roman" w:hAnsi="Times New Roman" w:cs="Times New Roman" w:eastAsia="Times New Roman" w:hint="default"/>
                <w:sz w:val="21"/>
                <w:szCs w:val="21"/>
              </w:rPr>
            </w:pPr>
            <w:r>
              <w:rPr>
                <w:rFonts w:ascii="Times New Roman"/>
                <w:sz w:val="21"/>
              </w:rPr>
              <w:t>25,70</w:t>
            </w:r>
          </w:p>
          <w:p>
            <w:pPr>
              <w:pStyle w:val="TableParagraph"/>
              <w:spacing w:line="240" w:lineRule="auto" w:before="1"/>
              <w:ind w:left="120" w:right="0"/>
              <w:jc w:val="left"/>
              <w:rPr>
                <w:rFonts w:ascii="Times New Roman" w:hAnsi="Times New Roman" w:cs="Times New Roman" w:eastAsia="Times New Roman" w:hint="default"/>
                <w:sz w:val="21"/>
                <w:szCs w:val="21"/>
              </w:rPr>
            </w:pPr>
            <w:r>
              <w:rPr>
                <w:rFonts w:ascii="Times New Roman"/>
                <w:sz w:val="21"/>
              </w:rPr>
              <w:t>7,592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7" w:right="0"/>
              <w:jc w:val="left"/>
              <w:rPr>
                <w:rFonts w:ascii="Times New Roman" w:hAnsi="Times New Roman" w:cs="Times New Roman" w:eastAsia="Times New Roman" w:hint="default"/>
                <w:sz w:val="21"/>
                <w:szCs w:val="21"/>
              </w:rPr>
            </w:pPr>
            <w:r>
              <w:rPr>
                <w:rFonts w:ascii="Times New Roman"/>
                <w:sz w:val="21"/>
              </w:rPr>
              <w:t>6,021,</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760.71</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53" w:right="0"/>
              <w:jc w:val="left"/>
              <w:rPr>
                <w:rFonts w:ascii="Times New Roman" w:hAnsi="Times New Roman" w:cs="Times New Roman" w:eastAsia="Times New Roman" w:hint="default"/>
                <w:sz w:val="21"/>
                <w:szCs w:val="21"/>
              </w:rPr>
            </w:pPr>
            <w:r>
              <w:rPr>
                <w:rFonts w:ascii="Times New Roman"/>
                <w:sz w:val="21"/>
              </w:rPr>
              <w:t>6,021,</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760.71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Times New Roman" w:hAnsi="Times New Roman" w:cs="Times New Roman" w:eastAsia="Times New Roman" w:hint="default"/>
                <w:sz w:val="21"/>
                <w:szCs w:val="21"/>
              </w:rPr>
            </w:pPr>
            <w:r>
              <w:rPr>
                <w:rFonts w:ascii="Times New Roman"/>
                <w:sz w:val="21"/>
              </w:rPr>
              <w:t>17,819,</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390.12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2" w:right="0"/>
              <w:jc w:val="left"/>
              <w:rPr>
                <w:rFonts w:ascii="Times New Roman" w:hAnsi="Times New Roman" w:cs="Times New Roman" w:eastAsia="Times New Roman" w:hint="default"/>
                <w:sz w:val="21"/>
                <w:szCs w:val="21"/>
              </w:rPr>
            </w:pPr>
            <w:r>
              <w:rPr>
                <w:rFonts w:ascii="Times New Roman"/>
                <w:sz w:val="21"/>
              </w:rPr>
              <w:t>11,310,</w:t>
            </w:r>
          </w:p>
          <w:p>
            <w:pPr>
              <w:pStyle w:val="TableParagraph"/>
              <w:spacing w:line="240" w:lineRule="auto" w:before="1"/>
              <w:ind w:left="155" w:right="0"/>
              <w:jc w:val="left"/>
              <w:rPr>
                <w:rFonts w:ascii="Times New Roman" w:hAnsi="Times New Roman" w:cs="Times New Roman" w:eastAsia="Times New Roman" w:hint="default"/>
                <w:sz w:val="21"/>
                <w:szCs w:val="21"/>
              </w:rPr>
            </w:pPr>
            <w:r>
              <w:rPr>
                <w:rFonts w:ascii="Times New Roman"/>
                <w:sz w:val="21"/>
              </w:rPr>
              <w:t>833.35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Times New Roman" w:hAnsi="Times New Roman" w:cs="Times New Roman" w:eastAsia="Times New Roman" w:hint="default"/>
                <w:sz w:val="21"/>
                <w:szCs w:val="21"/>
              </w:rPr>
            </w:pPr>
            <w:r>
              <w:rPr>
                <w:rFonts w:ascii="Times New Roman"/>
                <w:sz w:val="21"/>
              </w:rPr>
              <w:t>29,130,</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223.47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55" w:right="0"/>
              <w:jc w:val="left"/>
              <w:rPr>
                <w:rFonts w:ascii="Times New Roman" w:hAnsi="Times New Roman" w:cs="Times New Roman" w:eastAsia="Times New Roman" w:hint="default"/>
                <w:sz w:val="21"/>
                <w:szCs w:val="21"/>
              </w:rPr>
            </w:pPr>
            <w:r>
              <w:rPr>
                <w:rFonts w:ascii="Times New Roman"/>
                <w:sz w:val="21"/>
              </w:rPr>
              <w:t>2,755,</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530.75</w:t>
            </w:r>
          </w:p>
        </w:tc>
        <w:tc>
          <w:tcPr>
            <w:tcW w:w="25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58" w:right="0"/>
              <w:jc w:val="left"/>
              <w:rPr>
                <w:rFonts w:ascii="Times New Roman" w:hAnsi="Times New Roman" w:cs="Times New Roman" w:eastAsia="Times New Roman" w:hint="default"/>
                <w:sz w:val="21"/>
                <w:szCs w:val="21"/>
              </w:rPr>
            </w:pPr>
            <w:r>
              <w:rPr>
                <w:rFonts w:ascii="Times New Roman"/>
                <w:sz w:val="21"/>
              </w:rPr>
              <w:t>2,755,</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530.75</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672"/>
        <w:gridCol w:w="713"/>
        <w:gridCol w:w="710"/>
        <w:gridCol w:w="709"/>
        <w:gridCol w:w="806"/>
        <w:gridCol w:w="254"/>
        <w:gridCol w:w="795"/>
        <w:gridCol w:w="850"/>
        <w:gridCol w:w="847"/>
        <w:gridCol w:w="850"/>
        <w:gridCol w:w="794"/>
        <w:gridCol w:w="254"/>
        <w:gridCol w:w="794"/>
      </w:tblGrid>
      <w:tr>
        <w:trPr>
          <w:trHeight w:val="1102"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7"/>
                <w:sz w:val="21"/>
                <w:szCs w:val="21"/>
              </w:rPr>
              <w:t>聚力</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pacing w:val="17"/>
                <w:sz w:val="21"/>
                <w:szCs w:val="21"/>
              </w:rPr>
              <w:t>科技</w:t>
            </w:r>
            <w:r>
              <w:rPr>
                <w:rFonts w:ascii="宋体" w:hAnsi="宋体" w:cs="宋体" w:eastAsia="宋体" w:hint="default"/>
                <w:spacing w:val="-101"/>
                <w:sz w:val="21"/>
                <w:szCs w:val="21"/>
              </w:rPr>
              <w:t> </w:t>
            </w:r>
            <w:r>
              <w:rPr>
                <w:rFonts w:ascii="宋体" w:hAnsi="宋体" w:cs="宋体" w:eastAsia="宋体" w:hint="default"/>
                <w:spacing w:val="17"/>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8" w:right="0"/>
              <w:jc w:val="left"/>
              <w:rPr>
                <w:rFonts w:ascii="Times New Roman" w:hAnsi="Times New Roman" w:cs="Times New Roman" w:eastAsia="Times New Roman" w:hint="default"/>
                <w:sz w:val="21"/>
                <w:szCs w:val="21"/>
              </w:rPr>
            </w:pPr>
            <w:r>
              <w:rPr>
                <w:rFonts w:ascii="Times New Roman"/>
                <w:sz w:val="21"/>
              </w:rPr>
              <w:t>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33" w:right="0"/>
              <w:jc w:val="left"/>
              <w:rPr>
                <w:rFonts w:ascii="Times New Roman" w:hAnsi="Times New Roman" w:cs="Times New Roman" w:eastAsia="Times New Roman" w:hint="default"/>
                <w:sz w:val="21"/>
                <w:szCs w:val="21"/>
              </w:rPr>
            </w:pPr>
            <w:r>
              <w:rPr>
                <w:rFonts w:ascii="Times New Roman"/>
                <w:sz w:val="21"/>
              </w:rPr>
              <w:t>.15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31" w:right="0"/>
              <w:jc w:val="left"/>
              <w:rPr>
                <w:rFonts w:ascii="Times New Roman" w:hAnsi="Times New Roman" w:cs="Times New Roman" w:eastAsia="Times New Roman" w:hint="default"/>
                <w:sz w:val="21"/>
                <w:szCs w:val="21"/>
              </w:rPr>
            </w:pPr>
            <w:r>
              <w:rPr>
                <w:rFonts w:ascii="Times New Roman"/>
                <w:sz w:val="21"/>
              </w:rPr>
              <w:t>.63</w:t>
            </w:r>
          </w:p>
        </w:tc>
        <w:tc>
          <w:tcPr>
            <w:tcW w:w="806"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425"/>
        <w:gridCol w:w="1320"/>
        <w:gridCol w:w="1393"/>
        <w:gridCol w:w="1320"/>
        <w:gridCol w:w="1390"/>
        <w:gridCol w:w="425"/>
        <w:gridCol w:w="1390"/>
        <w:gridCol w:w="425"/>
        <w:gridCol w:w="1390"/>
      </w:tblGrid>
      <w:tr>
        <w:trPr>
          <w:trHeight w:val="324" w:hRule="exact"/>
        </w:trPr>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10" w:right="91"/>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54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889" w:hRule="exact"/>
        </w:trPr>
        <w:tc>
          <w:tcPr>
            <w:tcW w:w="425"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549" w:right="125" w:hanging="420"/>
              <w:jc w:val="left"/>
              <w:rPr>
                <w:rFonts w:ascii="宋体" w:hAnsi="宋体" w:cs="宋体" w:eastAsia="宋体" w:hint="default"/>
                <w:sz w:val="21"/>
                <w:szCs w:val="21"/>
              </w:rPr>
            </w:pPr>
            <w:r>
              <w:rPr>
                <w:rFonts w:ascii="宋体" w:hAnsi="宋体" w:cs="宋体" w:eastAsia="宋体" w:hint="default"/>
                <w:sz w:val="21"/>
                <w:szCs w:val="21"/>
              </w:rPr>
              <w:t>综合收益总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374" w:right="161" w:hanging="212"/>
              <w:jc w:val="left"/>
              <w:rPr>
                <w:rFonts w:ascii="宋体" w:hAnsi="宋体" w:cs="宋体" w:eastAsia="宋体" w:hint="default"/>
                <w:sz w:val="21"/>
                <w:szCs w:val="21"/>
              </w:rPr>
            </w:pPr>
            <w:r>
              <w:rPr>
                <w:rFonts w:ascii="宋体" w:hAnsi="宋体" w:cs="宋体" w:eastAsia="宋体" w:hint="default"/>
                <w:sz w:val="21"/>
                <w:szCs w:val="21"/>
              </w:rPr>
              <w:t>经营活动现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金流量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73" w:lineRule="auto" w:before="39"/>
              <w:ind w:left="103" w:right="98"/>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374" w:right="161" w:hanging="212"/>
              <w:jc w:val="left"/>
              <w:rPr>
                <w:rFonts w:ascii="宋体" w:hAnsi="宋体" w:cs="宋体" w:eastAsia="宋体" w:hint="default"/>
                <w:sz w:val="21"/>
                <w:szCs w:val="21"/>
              </w:rPr>
            </w:pPr>
            <w:r>
              <w:rPr>
                <w:rFonts w:ascii="宋体" w:hAnsi="宋体" w:cs="宋体" w:eastAsia="宋体" w:hint="default"/>
                <w:sz w:val="21"/>
                <w:szCs w:val="21"/>
              </w:rPr>
              <w:t>经营活动现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金流量</w:t>
            </w:r>
          </w:p>
        </w:tc>
      </w:tr>
      <w:tr>
        <w:trPr>
          <w:trHeight w:val="3768"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73" w:lineRule="auto" w:before="39"/>
              <w:ind w:left="103" w:right="98"/>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威</w:t>
            </w:r>
            <w:r>
              <w:rPr>
                <w:rFonts w:ascii="宋体" w:hAnsi="宋体" w:cs="宋体" w:eastAsia="宋体" w:hint="default"/>
                <w:w w:val="100"/>
                <w:sz w:val="21"/>
                <w:szCs w:val="21"/>
              </w:rPr>
              <w:t> </w:t>
            </w:r>
            <w:r>
              <w:rPr>
                <w:rFonts w:ascii="宋体" w:hAnsi="宋体" w:cs="宋体" w:eastAsia="宋体" w:hint="default"/>
                <w:sz w:val="21"/>
                <w:szCs w:val="21"/>
              </w:rPr>
              <w:t>水</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3,079,481.08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-858,977.48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381,778.06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21"/>
                <w:szCs w:val="21"/>
              </w:rPr>
            </w:pPr>
            <w:r>
              <w:rPr>
                <w:rFonts w:ascii="Times New Roman"/>
                <w:sz w:val="21"/>
              </w:rPr>
              <w:t>1,875,241.20</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-2,054,143.64</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2" w:right="0"/>
              <w:jc w:val="center"/>
              <w:rPr>
                <w:rFonts w:ascii="Times New Roman" w:hAnsi="Times New Roman" w:cs="Times New Roman" w:eastAsia="Times New Roman" w:hint="default"/>
                <w:sz w:val="21"/>
                <w:szCs w:val="21"/>
              </w:rPr>
            </w:pPr>
            <w:r>
              <w:rPr>
                <w:rFonts w:ascii="Times New Roman"/>
                <w:sz w:val="21"/>
              </w:rPr>
              <w:t>-2,845,762.01</w:t>
            </w:r>
          </w:p>
        </w:tc>
      </w:tr>
      <w:tr>
        <w:trPr>
          <w:trHeight w:val="3771"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创</w:t>
            </w:r>
            <w:r>
              <w:rPr>
                <w:rFonts w:ascii="宋体" w:hAnsi="宋体" w:cs="宋体" w:eastAsia="宋体" w:hint="default"/>
                <w:w w:val="100"/>
                <w:sz w:val="21"/>
                <w:szCs w:val="21"/>
              </w:rPr>
              <w:t> </w:t>
            </w:r>
            <w:r>
              <w:rPr>
                <w:rFonts w:ascii="宋体" w:hAnsi="宋体" w:cs="宋体" w:eastAsia="宋体" w:hint="default"/>
                <w:sz w:val="21"/>
                <w:szCs w:val="21"/>
              </w:rPr>
              <w:t>聚</w:t>
            </w:r>
            <w:r>
              <w:rPr>
                <w:rFonts w:ascii="宋体" w:hAnsi="宋体" w:cs="宋体" w:eastAsia="宋体" w:hint="default"/>
                <w:w w:val="100"/>
                <w:sz w:val="21"/>
                <w:szCs w:val="21"/>
              </w:rPr>
              <w:t> </w:t>
            </w:r>
            <w:r>
              <w:rPr>
                <w:rFonts w:ascii="宋体" w:hAnsi="宋体" w:cs="宋体" w:eastAsia="宋体" w:hint="default"/>
                <w:sz w:val="21"/>
                <w:szCs w:val="21"/>
              </w:rPr>
              <w:t>力</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4,171,392.36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-7,939,410.95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1,250,550.15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-7,896,837.99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-5,314,080.06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2" w:right="0"/>
              <w:jc w:val="center"/>
              <w:rPr>
                <w:rFonts w:ascii="Times New Roman" w:hAnsi="Times New Roman" w:cs="Times New Roman" w:eastAsia="Times New Roman" w:hint="default"/>
                <w:sz w:val="21"/>
                <w:szCs w:val="21"/>
              </w:rPr>
            </w:pPr>
            <w:r>
              <w:rPr>
                <w:rFonts w:ascii="Times New Roman"/>
                <w:sz w:val="21"/>
              </w:rPr>
              <w:t>-7,676,627.70</w:t>
            </w:r>
          </w:p>
        </w:tc>
      </w:tr>
    </w:tbl>
    <w:p>
      <w:pPr>
        <w:pStyle w:val="BodyText"/>
        <w:spacing w:line="239" w:lineRule="exact"/>
        <w:ind w:left="258" w:right="0"/>
        <w:jc w:val="left"/>
      </w:pPr>
      <w:r>
        <w:rPr/>
        <w:t>其他说明：</w:t>
      </w:r>
    </w:p>
    <w:p>
      <w:pPr>
        <w:pStyle w:val="BodyText"/>
        <w:spacing w:line="273" w:lineRule="exact"/>
        <w:ind w:left="258" w:right="0"/>
        <w:jc w:val="left"/>
      </w:pPr>
      <w:r>
        <w:rPr>
          <w:w w:val="100"/>
        </w:rPr>
        <w:t>无</w:t>
      </w:r>
    </w:p>
    <w:p>
      <w:pPr>
        <w:spacing w:line="240" w:lineRule="auto" w:before="12"/>
        <w:rPr>
          <w:rFonts w:ascii="宋体" w:hAnsi="宋体" w:cs="宋体" w:eastAsia="宋体" w:hint="default"/>
          <w:sz w:val="23"/>
          <w:szCs w:val="23"/>
        </w:rPr>
      </w:pPr>
    </w:p>
    <w:p>
      <w:pPr>
        <w:pStyle w:val="Heading3"/>
        <w:tabs>
          <w:tab w:pos="901" w:val="left" w:leader="none"/>
        </w:tabs>
        <w:spacing w:line="240" w:lineRule="auto"/>
        <w:ind w:left="25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tabs>
          <w:tab w:pos="1100" w:val="left" w:leader="none"/>
        </w:tabs>
        <w:spacing w:line="240" w:lineRule="auto" w:before="58"/>
        <w:ind w:left="258" w:right="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901" w:val="left" w:leader="none"/>
        </w:tabs>
        <w:spacing w:line="240" w:lineRule="auto"/>
        <w:ind w:left="25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203" w:val="left" w:leader="none"/>
        </w:tabs>
        <w:spacing w:line="240" w:lineRule="auto" w:before="59"/>
        <w:ind w:left="258" w:right="0"/>
        <w:jc w:val="left"/>
      </w:pPr>
      <w:r>
        <w:rPr/>
        <w:t>□适用</w:t>
        <w:tab/>
        <w:t>√不适用</w:t>
      </w:r>
    </w:p>
    <w:p>
      <w:pPr>
        <w:spacing w:after="0" w:line="240" w:lineRule="auto"/>
        <w:jc w:val="left"/>
        <w:sectPr>
          <w:pgSz w:w="11910" w:h="16840"/>
          <w:pgMar w:header="857" w:footer="979" w:top="1140" w:bottom="1160" w:left="1540" w:right="660"/>
        </w:sectPr>
      </w:pPr>
    </w:p>
    <w:p>
      <w:pPr>
        <w:spacing w:line="240" w:lineRule="auto" w:before="4"/>
        <w:rPr>
          <w:rFonts w:ascii="宋体" w:hAnsi="宋体" w:cs="宋体" w:eastAsia="宋体" w:hint="default"/>
          <w:sz w:val="23"/>
          <w:szCs w:val="23"/>
        </w:rPr>
      </w:pPr>
    </w:p>
    <w:p>
      <w:pPr>
        <w:pStyle w:val="BodyText"/>
        <w:spacing w:line="274" w:lineRule="exact" w:before="36"/>
        <w:ind w:right="2513"/>
        <w:jc w:val="left"/>
      </w:pPr>
      <w:r>
        <w:rPr/>
        <w:t>其他说明：</w:t>
      </w:r>
    </w:p>
    <w:p>
      <w:pPr>
        <w:pStyle w:val="BodyText"/>
        <w:tabs>
          <w:tab w:pos="1060" w:val="left" w:leader="none"/>
        </w:tabs>
        <w:spacing w:line="301"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2</w:t>
      </w:r>
      <w:r>
        <w:rPr/>
        <w:t>、在子公司的所有者权益份额发生变化且仍控制子公司的交易</w:t>
      </w:r>
      <w:r>
        <w:rPr>
          <w:b w:val="0"/>
          <w:bCs w:val="0"/>
        </w:rPr>
      </w:r>
    </w:p>
    <w:p>
      <w:pPr>
        <w:spacing w:line="264" w:lineRule="auto" w:before="58"/>
        <w:ind w:left="218" w:right="4408" w:firstLine="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适用</w:t>
      </w: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954" w:val="left" w:leader="none"/>
        </w:tabs>
        <w:spacing w:line="240" w:lineRule="auto" w:before="37"/>
        <w:ind w:right="25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12"/>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137"/>
        <w:gridCol w:w="2799"/>
        <w:gridCol w:w="2146"/>
        <w:gridCol w:w="1969"/>
      </w:tblGrid>
      <w:tr>
        <w:trPr>
          <w:trHeight w:val="283"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3"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5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福建网链科技有限公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z w:val="21"/>
              </w:rPr>
              <w:t>70%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w:t>
            </w:r>
          </w:p>
        </w:tc>
      </w:tr>
      <w:tr>
        <w:trPr>
          <w:trHeight w:val="555"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福建神威系统集成有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Times New Roman" w:hAnsi="Times New Roman" w:cs="Times New Roman" w:eastAsia="Times New Roman" w:hint="default"/>
                <w:sz w:val="21"/>
                <w:szCs w:val="21"/>
              </w:rPr>
            </w:pPr>
            <w:r>
              <w:rPr>
                <w:rFonts w:ascii="Times New Roman"/>
                <w:sz w:val="21"/>
              </w:rPr>
              <w:t>60%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tabs>
          <w:tab w:pos="954" w:val="left" w:leader="none"/>
        </w:tabs>
        <w:spacing w:line="240" w:lineRule="auto" w:before="56"/>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6126" w:space="914"/>
            <w:col w:w="2250"/>
          </w:cols>
        </w:sectPr>
      </w:pPr>
    </w:p>
    <w:tbl>
      <w:tblPr>
        <w:tblW w:w="0" w:type="auto"/>
        <w:jc w:val="left"/>
        <w:tblInd w:w="105" w:type="dxa"/>
        <w:tblLayout w:type="fixed"/>
        <w:tblCellMar>
          <w:top w:w="0" w:type="dxa"/>
          <w:left w:w="0" w:type="dxa"/>
          <w:bottom w:w="0" w:type="dxa"/>
          <w:right w:w="0" w:type="dxa"/>
        </w:tblCellMar>
        <w:tblLook w:val="01E0"/>
      </w:tblPr>
      <w:tblGrid>
        <w:gridCol w:w="3500"/>
        <w:gridCol w:w="3540"/>
        <w:gridCol w:w="2009"/>
      </w:tblGrid>
      <w:tr>
        <w:trPr>
          <w:trHeight w:val="554"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福建网链科技有限公司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福建神威系统集成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Calibri" w:hAnsi="Calibri" w:cs="Calibri" w:eastAsia="Calibri" w:hint="default"/>
                <w:sz w:val="21"/>
                <w:szCs w:val="21"/>
              </w:rPr>
              <w:t>/</w:t>
            </w:r>
            <w:r>
              <w:rPr>
                <w:rFonts w:ascii="宋体" w:hAnsi="宋体" w:cs="宋体" w:eastAsia="宋体" w:hint="default"/>
                <w:sz w:val="21"/>
                <w:szCs w:val="21"/>
              </w:rPr>
              <w:t>处置对价</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现金</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1,084,566.88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13,500,000.00</w:t>
            </w:r>
          </w:p>
        </w:tc>
      </w:tr>
      <w:tr>
        <w:trPr>
          <w:trHeight w:val="284"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非现金资产的公允价值</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3500" w:type="dxa"/>
            <w:tcBorders>
              <w:top w:val="single" w:sz="4" w:space="0" w:color="000000"/>
              <w:left w:val="single" w:sz="4" w:space="0" w:color="000000"/>
              <w:bottom w:val="single" w:sz="4" w:space="0" w:color="000000"/>
              <w:right w:val="single" w:sz="4" w:space="0" w:color="000000"/>
            </w:tcBorders>
          </w:tcPr>
          <w:p>
            <w:pP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Calibri" w:hAnsi="Calibri" w:cs="Calibri" w:eastAsia="Calibri" w:hint="default"/>
                <w:sz w:val="21"/>
                <w:szCs w:val="21"/>
              </w:rPr>
              <w:t>/</w:t>
            </w:r>
            <w:r>
              <w:rPr>
                <w:rFonts w:ascii="宋体" w:hAnsi="宋体" w:cs="宋体" w:eastAsia="宋体" w:hint="default"/>
                <w:sz w:val="21"/>
                <w:szCs w:val="21"/>
              </w:rPr>
              <w:t>处置对价合计</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1,084,566.88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13,500,000.00</w:t>
            </w:r>
          </w:p>
        </w:tc>
      </w:tr>
      <w:tr>
        <w:trPr>
          <w:trHeight w:val="554"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4"/>
              <w:jc w:val="left"/>
              <w:rPr>
                <w:rFonts w:ascii="宋体" w:hAnsi="宋体" w:cs="宋体" w:eastAsia="宋体" w:hint="default"/>
                <w:sz w:val="21"/>
                <w:szCs w:val="21"/>
              </w:rPr>
            </w:pPr>
            <w:r>
              <w:rPr>
                <w:rFonts w:ascii="宋体" w:hAnsi="宋体" w:cs="宋体" w:eastAsia="宋体" w:hint="default"/>
                <w:sz w:val="21"/>
                <w:szCs w:val="21"/>
              </w:rPr>
              <w:t>减：按取得</w:t>
            </w:r>
            <w:r>
              <w:rPr>
                <w:rFonts w:ascii="Calibri" w:hAnsi="Calibri" w:cs="Calibri" w:eastAsia="Calibri" w:hint="default"/>
                <w:sz w:val="21"/>
                <w:szCs w:val="21"/>
              </w:rPr>
              <w:t>/</w:t>
            </w:r>
            <w:r>
              <w:rPr>
                <w:rFonts w:ascii="宋体" w:hAnsi="宋体" w:cs="宋体" w:eastAsia="宋体" w:hint="default"/>
                <w:sz w:val="21"/>
                <w:szCs w:val="21"/>
              </w:rPr>
              <w:t>处置的股权比例计算的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子公司净资产份额</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1,304,800.13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12,661,824.06</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-220,233.25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838,175.94</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220,233.25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-838,175.94</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35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4"/>
          <w:szCs w:val="14"/>
        </w:rPr>
      </w:pPr>
    </w:p>
    <w:p>
      <w:pPr>
        <w:pStyle w:val="BodyText"/>
        <w:spacing w:line="274" w:lineRule="exact" w:before="36"/>
        <w:ind w:right="2513"/>
        <w:jc w:val="left"/>
      </w:pPr>
      <w:r>
        <w:rPr/>
        <w:t>其他说明</w:t>
      </w:r>
    </w:p>
    <w:p>
      <w:pPr>
        <w:pStyle w:val="BodyText"/>
        <w:spacing w:line="301" w:lineRule="exact"/>
        <w:ind w:right="2513"/>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pStyle w:val="BodyText"/>
        <w:spacing w:line="297" w:lineRule="auto" w:before="47"/>
        <w:ind w:right="227" w:firstLine="419"/>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4"/>
        </w:rPr>
        <w:t> </w:t>
      </w:r>
      <w:r>
        <w:rPr/>
        <w:t>日，福建网链科技有限公司（以下简称</w:t>
      </w:r>
      <w:r>
        <w:rPr>
          <w:rFonts w:ascii="Times New Roman" w:hAnsi="Times New Roman" w:cs="Times New Roman" w:eastAsia="Times New Roman" w:hint="default"/>
        </w:rPr>
        <w:t>“</w:t>
      </w:r>
      <w:r>
        <w:rPr/>
        <w:t>福建网链</w:t>
      </w:r>
      <w:r>
        <w:rPr>
          <w:rFonts w:ascii="Times New Roman" w:hAnsi="Times New Roman" w:cs="Times New Roman" w:eastAsia="Times New Roman" w:hint="default"/>
        </w:rPr>
        <w:t>”</w:t>
      </w:r>
      <w:r>
        <w:rPr/>
        <w:t>）之股东廖正刚与公司签</w:t>
      </w:r>
      <w:r>
        <w:rPr>
          <w:w w:val="100"/>
        </w:rPr>
        <w:t> </w:t>
      </w:r>
      <w:r>
        <w:rPr/>
        <w:t>订的股份转让协议，将其持有的福建网链科技有限公司 </w:t>
      </w:r>
      <w:r>
        <w:rPr>
          <w:rFonts w:ascii="Times New Roman" w:hAnsi="Times New Roman" w:cs="Times New Roman" w:eastAsia="Times New Roman" w:hint="default"/>
        </w:rPr>
        <w:t>30%</w:t>
      </w:r>
      <w:r>
        <w:rPr/>
        <w:t>的股权（认缴出资额 </w:t>
      </w:r>
      <w:r>
        <w:rPr>
          <w:rFonts w:ascii="Times New Roman" w:hAnsi="Times New Roman" w:cs="Times New Roman" w:eastAsia="Times New Roman" w:hint="default"/>
        </w:rPr>
        <w:t>1500</w:t>
      </w:r>
      <w:r>
        <w:rPr>
          <w:rFonts w:ascii="Times New Roman" w:hAnsi="Times New Roman" w:cs="Times New Roman" w:eastAsia="Times New Roman" w:hint="default"/>
          <w:spacing w:val="-13"/>
        </w:rPr>
        <w:t> </w:t>
      </w:r>
      <w:r>
        <w:rPr/>
        <w:t>万元人民</w:t>
      </w:r>
      <w:r>
        <w:rPr>
          <w:w w:val="100"/>
        </w:rPr>
        <w:t> </w:t>
      </w:r>
      <w:r>
        <w:rPr/>
        <w:t>币，实缴出资额</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万元人民币）以人民币</w:t>
      </w:r>
      <w:r>
        <w:rPr>
          <w:spacing w:val="-53"/>
        </w:rPr>
        <w:t> </w:t>
      </w:r>
      <w:r>
        <w:rPr>
          <w:rFonts w:ascii="Times New Roman" w:hAnsi="Times New Roman" w:cs="Times New Roman" w:eastAsia="Times New Roman" w:hint="default"/>
        </w:rPr>
        <w:t>1,084,566.88</w:t>
      </w:r>
      <w:r>
        <w:rPr>
          <w:rFonts w:ascii="Times New Roman" w:hAnsi="Times New Roman" w:cs="Times New Roman" w:eastAsia="Times New Roman" w:hint="default"/>
          <w:spacing w:val="-3"/>
        </w:rPr>
        <w:t> </w:t>
      </w:r>
      <w:r>
        <w:rPr/>
        <w:t>元转让给公司。</w:t>
      </w:r>
    </w:p>
    <w:p>
      <w:pPr>
        <w:pStyle w:val="BodyText"/>
        <w:spacing w:line="297" w:lineRule="auto" w:before="13"/>
        <w:ind w:right="227" w:firstLine="419"/>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33"/>
        </w:rPr>
        <w:t> </w:t>
      </w:r>
      <w:r>
        <w:rPr>
          <w:spacing w:val="7"/>
        </w:rPr>
        <w:t>日，福建神威系统集成有限责任公司（以下简称</w:t>
      </w:r>
      <w:r>
        <w:rPr>
          <w:rFonts w:ascii="Times New Roman" w:hAnsi="Times New Roman" w:cs="Times New Roman" w:eastAsia="Times New Roman" w:hint="default"/>
          <w:spacing w:val="7"/>
        </w:rPr>
        <w:t>“</w:t>
      </w:r>
      <w:r>
        <w:rPr>
          <w:spacing w:val="7"/>
        </w:rPr>
        <w:t>福建神威</w:t>
      </w:r>
      <w:r>
        <w:rPr>
          <w:rFonts w:ascii="Times New Roman" w:hAnsi="Times New Roman" w:cs="Times New Roman" w:eastAsia="Times New Roman" w:hint="default"/>
          <w:spacing w:val="7"/>
        </w:rPr>
        <w:t>”</w:t>
      </w:r>
      <w:r>
        <w:rPr>
          <w:spacing w:val="7"/>
        </w:rPr>
        <w:t>）之股东</w:t>
      </w:r>
      <w:r>
        <w:rPr>
          <w:w w:val="100"/>
        </w:rPr>
        <w:t> </w:t>
      </w:r>
      <w:r>
        <w:rPr>
          <w:rFonts w:ascii="Times New Roman" w:hAnsi="Times New Roman" w:cs="Times New Roman" w:eastAsia="Times New Roman" w:hint="default"/>
          <w:spacing w:val="-3"/>
        </w:rPr>
        <w:t>MITACINVESTMENTCHINACO.LTD </w:t>
      </w:r>
      <w:r>
        <w:rPr>
          <w:spacing w:val="-5"/>
        </w:rPr>
        <w:t>与公司签订股权转让协议，将期持有的 </w:t>
      </w:r>
      <w:r>
        <w:rPr>
          <w:rFonts w:ascii="Times New Roman" w:hAnsi="Times New Roman" w:cs="Times New Roman" w:eastAsia="Times New Roman" w:hint="default"/>
          <w:spacing w:val="-7"/>
        </w:rPr>
        <w:t>40%</w:t>
      </w:r>
      <w:r>
        <w:rPr>
          <w:spacing w:val="-7"/>
        </w:rPr>
        <w:t>股权（认缴出资</w:t>
      </w:r>
      <w:r>
        <w:rPr>
          <w:spacing w:val="-66"/>
        </w:rPr>
        <w:t> </w:t>
      </w:r>
      <w:r>
        <w:rPr>
          <w:spacing w:val="-66"/>
        </w:rPr>
      </w:r>
      <w:r>
        <w:rPr/>
        <w:t>额</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万元人民币，实缴出资额</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万元人民币）以人民币</w:t>
      </w:r>
      <w:r>
        <w:rPr>
          <w:spacing w:val="-54"/>
        </w:rPr>
        <w:t> </w:t>
      </w:r>
      <w:r>
        <w:rPr>
          <w:rFonts w:ascii="Times New Roman" w:hAnsi="Times New Roman" w:cs="Times New Roman" w:eastAsia="Times New Roman" w:hint="default"/>
        </w:rPr>
        <w:t>1,350</w:t>
      </w:r>
      <w:r>
        <w:rPr>
          <w:rFonts w:ascii="Times New Roman" w:hAnsi="Times New Roman" w:cs="Times New Roman" w:eastAsia="Times New Roman" w:hint="default"/>
          <w:spacing w:val="-4"/>
        </w:rPr>
        <w:t> </w:t>
      </w:r>
      <w:r>
        <w:rPr/>
        <w:t>万元转让给公司。</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280" w:left="1580" w:right="1040"/>
        </w:sectPr>
      </w:pPr>
    </w:p>
    <w:p>
      <w:pPr>
        <w:pStyle w:val="Heading3"/>
        <w:spacing w:line="240" w:lineRule="auto" w:before="36"/>
        <w:ind w:right="-4"/>
        <w:jc w:val="left"/>
        <w:rPr>
          <w:b w:val="0"/>
          <w:bCs w:val="0"/>
        </w:rPr>
      </w:pPr>
      <w:r>
        <w:rPr>
          <w:rFonts w:ascii="宋体" w:hAnsi="宋体" w:cs="宋体" w:eastAsia="宋体" w:hint="default"/>
          <w:spacing w:val="-1"/>
        </w:rPr>
        <w:t>3</w:t>
      </w:r>
      <w:r>
        <w:rPr>
          <w:spacing w:val="-1"/>
        </w:rPr>
        <w:t>、在合营企业或联营企业中的权益</w:t>
      </w:r>
      <w:r>
        <w:rPr>
          <w:b w:val="0"/>
          <w:bCs w:val="0"/>
          <w:spacing w:val="-1"/>
        </w:rPr>
      </w:r>
    </w:p>
    <w:p>
      <w:pPr>
        <w:pStyle w:val="BodyText"/>
        <w:spacing w:line="240" w:lineRule="auto" w:before="58"/>
        <w:ind w:right="-4"/>
        <w:jc w:val="left"/>
      </w:pPr>
      <w:r>
        <w:rPr/>
        <w:t>√适用</w:t>
      </w:r>
      <w:r>
        <w:rPr>
          <w:rFonts w:ascii="Arial" w:hAnsi="Arial" w:cs="Arial" w:eastAsia="Arial" w:hint="default"/>
        </w:rPr>
        <w:t>□</w:t>
      </w:r>
      <w:r>
        <w:rPr>
          <w:rFonts w:ascii="Arial" w:hAnsi="Arial" w:cs="Arial" w:eastAsia="Arial" w:hint="default"/>
          <w:spacing w:val="26"/>
        </w:rPr>
        <w:t> </w:t>
      </w:r>
      <w:r>
        <w:rPr/>
        <w:t>不适用</w:t>
      </w:r>
    </w:p>
    <w:p>
      <w:pPr>
        <w:pStyle w:val="Heading3"/>
        <w:tabs>
          <w:tab w:pos="849" w:val="left" w:leader="none"/>
        </w:tabs>
        <w:spacing w:line="240" w:lineRule="auto" w:before="41"/>
        <w:ind w:right="-4"/>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057" w:val="left" w:leader="none"/>
        </w:tabs>
        <w:spacing w:line="240" w:lineRule="auto" w:before="59"/>
        <w:ind w:right="-4"/>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4"/>
        <w:ind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3487" w:space="3553"/>
            <w:col w:w="2250"/>
          </w:cols>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210"/>
        <w:gridCol w:w="1328"/>
        <w:gridCol w:w="1250"/>
        <w:gridCol w:w="1294"/>
        <w:gridCol w:w="1061"/>
        <w:gridCol w:w="1093"/>
        <w:gridCol w:w="1814"/>
      </w:tblGrid>
      <w:tr>
        <w:trPr>
          <w:trHeight w:val="464" w:hRule="exact"/>
        </w:trPr>
        <w:tc>
          <w:tcPr>
            <w:tcW w:w="1210" w:type="dxa"/>
            <w:vMerge w:val="restart"/>
            <w:tcBorders>
              <w:top w:val="single" w:sz="4" w:space="0" w:color="000000"/>
              <w:left w:val="single" w:sz="4" w:space="0" w:color="000000"/>
              <w:right w:val="single" w:sz="4" w:space="0" w:color="000000"/>
            </w:tcBorders>
          </w:tcPr>
          <w:p>
            <w:pPr>
              <w:pStyle w:val="TableParagraph"/>
              <w:spacing w:line="242" w:lineRule="exact"/>
              <w:ind w:left="180"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4"/>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8"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1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1373"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6"/>
                <w:sz w:val="21"/>
                <w:szCs w:val="21"/>
              </w:rPr>
              <w:t>厦门会同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left="103" w:right="48"/>
              <w:jc w:val="both"/>
              <w:rPr>
                <w:rFonts w:ascii="宋体" w:hAnsi="宋体" w:cs="宋体" w:eastAsia="宋体" w:hint="default"/>
                <w:sz w:val="21"/>
                <w:szCs w:val="21"/>
              </w:rPr>
            </w:pPr>
            <w:r>
              <w:rPr>
                <w:rFonts w:ascii="宋体" w:hAnsi="宋体" w:cs="宋体" w:eastAsia="宋体" w:hint="default"/>
                <w:spacing w:val="36"/>
                <w:sz w:val="21"/>
                <w:szCs w:val="21"/>
              </w:rPr>
              <w:t>鼎盛股权</w:t>
            </w:r>
            <w:r>
              <w:rPr>
                <w:rFonts w:ascii="宋体" w:hAnsi="宋体" w:cs="宋体" w:eastAsia="宋体" w:hint="default"/>
                <w:spacing w:val="-95"/>
                <w:sz w:val="21"/>
                <w:szCs w:val="21"/>
              </w:rPr>
              <w:t> </w:t>
            </w:r>
            <w:r>
              <w:rPr>
                <w:rFonts w:ascii="宋体" w:hAnsi="宋体" w:cs="宋体" w:eastAsia="宋体" w:hint="default"/>
                <w:spacing w:val="36"/>
                <w:sz w:val="21"/>
                <w:szCs w:val="21"/>
              </w:rPr>
              <w:t>投资合伙</w:t>
            </w:r>
            <w:r>
              <w:rPr>
                <w:rFonts w:ascii="宋体" w:hAnsi="宋体" w:cs="宋体" w:eastAsia="宋体" w:hint="default"/>
                <w:spacing w:val="-95"/>
                <w:sz w:val="21"/>
                <w:szCs w:val="21"/>
              </w:rPr>
              <w:t> </w:t>
            </w:r>
            <w:r>
              <w:rPr>
                <w:rFonts w:ascii="宋体" w:hAnsi="宋体" w:cs="宋体" w:eastAsia="宋体" w:hint="default"/>
                <w:spacing w:val="-13"/>
                <w:sz w:val="21"/>
                <w:szCs w:val="21"/>
              </w:rPr>
              <w:t>企业（有限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合伙）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28.29</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6"/>
                <w:sz w:val="21"/>
                <w:szCs w:val="21"/>
              </w:rPr>
              <w:t>福建省应</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ind w:left="103" w:right="48"/>
              <w:jc w:val="both"/>
              <w:rPr>
                <w:rFonts w:ascii="宋体" w:hAnsi="宋体" w:cs="宋体" w:eastAsia="宋体" w:hint="default"/>
                <w:sz w:val="21"/>
                <w:szCs w:val="21"/>
              </w:rPr>
            </w:pPr>
            <w:r>
              <w:rPr>
                <w:rFonts w:ascii="宋体" w:hAnsi="宋体" w:cs="宋体" w:eastAsia="宋体" w:hint="default"/>
                <w:spacing w:val="36"/>
                <w:sz w:val="21"/>
                <w:szCs w:val="21"/>
              </w:rPr>
              <w:t>急通信运</w:t>
            </w:r>
            <w:r>
              <w:rPr>
                <w:rFonts w:ascii="宋体" w:hAnsi="宋体" w:cs="宋体" w:eastAsia="宋体" w:hint="default"/>
                <w:spacing w:val="-95"/>
                <w:sz w:val="21"/>
                <w:szCs w:val="21"/>
              </w:rPr>
              <w:t> </w:t>
            </w:r>
            <w:r>
              <w:rPr>
                <w:rFonts w:ascii="宋体" w:hAnsi="宋体" w:cs="宋体" w:eastAsia="宋体" w:hint="default"/>
                <w:spacing w:val="36"/>
                <w:sz w:val="21"/>
                <w:szCs w:val="21"/>
              </w:rPr>
              <w:t>营有限公</w:t>
            </w:r>
            <w:r>
              <w:rPr>
                <w:rFonts w:ascii="宋体" w:hAnsi="宋体" w:cs="宋体" w:eastAsia="宋体" w:hint="default"/>
                <w:spacing w:val="-95"/>
                <w:sz w:val="21"/>
                <w:szCs w:val="21"/>
              </w:rPr>
              <w:t> </w:t>
            </w:r>
            <w:r>
              <w:rPr>
                <w:rFonts w:ascii="宋体" w:hAnsi="宋体" w:cs="宋体" w:eastAsia="宋体" w:hint="default"/>
                <w:sz w:val="21"/>
                <w:szCs w:val="21"/>
              </w:rPr>
              <w:t>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2"/>
                <w:sz w:val="21"/>
                <w:szCs w:val="21"/>
              </w:rPr>
              <w:t>通信数据服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sz w:val="21"/>
              </w:rPr>
              <w:t>49</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9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6"/>
                <w:sz w:val="21"/>
                <w:szCs w:val="21"/>
              </w:rPr>
              <w:t>宁波梅山</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ind w:left="103" w:right="48"/>
              <w:jc w:val="both"/>
              <w:rPr>
                <w:rFonts w:ascii="宋体" w:hAnsi="宋体" w:cs="宋体" w:eastAsia="宋体" w:hint="default"/>
                <w:sz w:val="21"/>
                <w:szCs w:val="21"/>
              </w:rPr>
            </w:pPr>
            <w:r>
              <w:rPr>
                <w:rFonts w:ascii="宋体" w:hAnsi="宋体" w:cs="宋体" w:eastAsia="宋体" w:hint="default"/>
                <w:spacing w:val="36"/>
                <w:sz w:val="21"/>
                <w:szCs w:val="21"/>
              </w:rPr>
              <w:t>保税港区</w:t>
            </w:r>
            <w:r>
              <w:rPr>
                <w:rFonts w:ascii="宋体" w:hAnsi="宋体" w:cs="宋体" w:eastAsia="宋体" w:hint="default"/>
                <w:spacing w:val="-95"/>
                <w:sz w:val="21"/>
                <w:szCs w:val="21"/>
              </w:rPr>
              <w:t> </w:t>
            </w:r>
            <w:r>
              <w:rPr>
                <w:rFonts w:ascii="宋体" w:hAnsi="宋体" w:cs="宋体" w:eastAsia="宋体" w:hint="default"/>
                <w:spacing w:val="36"/>
                <w:sz w:val="21"/>
                <w:szCs w:val="21"/>
              </w:rPr>
              <w:t>南威道高</w:t>
            </w:r>
            <w:r>
              <w:rPr>
                <w:rFonts w:ascii="宋体" w:hAnsi="宋体" w:cs="宋体" w:eastAsia="宋体" w:hint="default"/>
                <w:spacing w:val="-95"/>
                <w:sz w:val="21"/>
                <w:szCs w:val="21"/>
              </w:rPr>
              <w:t> </w:t>
            </w:r>
            <w:r>
              <w:rPr>
                <w:rFonts w:ascii="宋体" w:hAnsi="宋体" w:cs="宋体" w:eastAsia="宋体" w:hint="default"/>
                <w:spacing w:val="36"/>
                <w:sz w:val="21"/>
                <w:szCs w:val="21"/>
              </w:rPr>
              <w:t>投资管理</w:t>
            </w:r>
            <w:r>
              <w:rPr>
                <w:rFonts w:ascii="宋体" w:hAnsi="宋体" w:cs="宋体" w:eastAsia="宋体" w:hint="default"/>
                <w:spacing w:val="-95"/>
                <w:sz w:val="21"/>
                <w:szCs w:val="21"/>
              </w:rPr>
              <w:t> </w:t>
            </w:r>
            <w:r>
              <w:rPr>
                <w:rFonts w:ascii="宋体" w:hAnsi="宋体" w:cs="宋体" w:eastAsia="宋体" w:hint="default"/>
                <w:spacing w:val="36"/>
                <w:sz w:val="21"/>
                <w:szCs w:val="21"/>
              </w:rPr>
              <w:t>合伙企业</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before="22"/>
              <w:ind w:left="103" w:right="48"/>
              <w:jc w:val="both"/>
              <w:rPr>
                <w:rFonts w:ascii="宋体" w:hAnsi="宋体" w:cs="宋体" w:eastAsia="宋体" w:hint="default"/>
                <w:sz w:val="21"/>
                <w:szCs w:val="21"/>
              </w:rPr>
            </w:pPr>
            <w:r>
              <w:rPr>
                <w:rFonts w:ascii="宋体" w:hAnsi="宋体" w:cs="宋体" w:eastAsia="宋体" w:hint="default"/>
                <w:spacing w:val="36"/>
                <w:sz w:val="21"/>
                <w:szCs w:val="21"/>
              </w:rPr>
              <w:t>（有限合</w:t>
            </w:r>
            <w:r>
              <w:rPr>
                <w:rFonts w:ascii="宋体" w:hAnsi="宋体" w:cs="宋体" w:eastAsia="宋体" w:hint="default"/>
                <w:spacing w:val="-95"/>
                <w:sz w:val="21"/>
                <w:szCs w:val="21"/>
              </w:rPr>
              <w:t> </w:t>
            </w:r>
            <w:r>
              <w:rPr>
                <w:rFonts w:ascii="宋体" w:hAnsi="宋体" w:cs="宋体" w:eastAsia="宋体" w:hint="default"/>
                <w:sz w:val="21"/>
                <w:szCs w:val="21"/>
              </w:rPr>
              <w:t>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50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918"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6"/>
                <w:sz w:val="21"/>
                <w:szCs w:val="21"/>
              </w:rPr>
              <w:t>宁波梅山</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left="103" w:right="48"/>
              <w:jc w:val="both"/>
              <w:rPr>
                <w:rFonts w:ascii="宋体" w:hAnsi="宋体" w:cs="宋体" w:eastAsia="宋体" w:hint="default"/>
                <w:sz w:val="21"/>
                <w:szCs w:val="21"/>
              </w:rPr>
            </w:pPr>
            <w:r>
              <w:rPr>
                <w:rFonts w:ascii="宋体" w:hAnsi="宋体" w:cs="宋体" w:eastAsia="宋体" w:hint="default"/>
                <w:spacing w:val="36"/>
                <w:sz w:val="21"/>
                <w:szCs w:val="21"/>
              </w:rPr>
              <w:t>保税港区</w:t>
            </w:r>
            <w:r>
              <w:rPr>
                <w:rFonts w:ascii="宋体" w:hAnsi="宋体" w:cs="宋体" w:eastAsia="宋体" w:hint="default"/>
                <w:spacing w:val="-95"/>
                <w:sz w:val="21"/>
                <w:szCs w:val="21"/>
              </w:rPr>
              <w:t> </w:t>
            </w:r>
            <w:r>
              <w:rPr>
                <w:rFonts w:ascii="宋体" w:hAnsi="宋体" w:cs="宋体" w:eastAsia="宋体" w:hint="default"/>
                <w:spacing w:val="36"/>
                <w:sz w:val="21"/>
                <w:szCs w:val="21"/>
              </w:rPr>
              <w:t>安高股权</w:t>
            </w:r>
            <w:r>
              <w:rPr>
                <w:rFonts w:ascii="宋体" w:hAnsi="宋体" w:cs="宋体" w:eastAsia="宋体" w:hint="default"/>
                <w:spacing w:val="-95"/>
                <w:sz w:val="21"/>
                <w:szCs w:val="21"/>
              </w:rPr>
              <w:t> </w:t>
            </w:r>
            <w:r>
              <w:rPr>
                <w:rFonts w:ascii="宋体" w:hAnsi="宋体" w:cs="宋体" w:eastAsia="宋体" w:hint="default"/>
                <w:spacing w:val="36"/>
                <w:sz w:val="21"/>
                <w:szCs w:val="21"/>
              </w:rPr>
              <w:t>投资基金</w:t>
            </w:r>
            <w:r>
              <w:rPr>
                <w:rFonts w:ascii="宋体" w:hAnsi="宋体" w:cs="宋体" w:eastAsia="宋体" w:hint="default"/>
                <w:spacing w:val="-95"/>
                <w:sz w:val="21"/>
                <w:szCs w:val="21"/>
              </w:rPr>
              <w:t> </w:t>
            </w:r>
            <w:r>
              <w:rPr>
                <w:rFonts w:ascii="宋体" w:hAnsi="宋体" w:cs="宋体" w:eastAsia="宋体" w:hint="default"/>
                <w:spacing w:val="36"/>
                <w:sz w:val="21"/>
                <w:szCs w:val="21"/>
              </w:rPr>
              <w:t>合伙企业</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7"/>
              <w:ind w:left="103" w:right="48"/>
              <w:jc w:val="both"/>
              <w:rPr>
                <w:rFonts w:ascii="宋体" w:hAnsi="宋体" w:cs="宋体" w:eastAsia="宋体" w:hint="default"/>
                <w:sz w:val="21"/>
                <w:szCs w:val="21"/>
              </w:rPr>
            </w:pPr>
            <w:r>
              <w:rPr>
                <w:rFonts w:ascii="宋体" w:hAnsi="宋体" w:cs="宋体" w:eastAsia="宋体" w:hint="default"/>
                <w:spacing w:val="36"/>
                <w:sz w:val="21"/>
                <w:szCs w:val="21"/>
              </w:rPr>
              <w:t>（有限合</w:t>
            </w:r>
            <w:r>
              <w:rPr>
                <w:rFonts w:ascii="宋体" w:hAnsi="宋体" w:cs="宋体" w:eastAsia="宋体" w:hint="default"/>
                <w:spacing w:val="-95"/>
                <w:sz w:val="21"/>
                <w:szCs w:val="21"/>
              </w:rPr>
              <w:t> </w:t>
            </w:r>
            <w:r>
              <w:rPr>
                <w:rFonts w:ascii="宋体" w:hAnsi="宋体" w:cs="宋体" w:eastAsia="宋体" w:hint="default"/>
                <w:sz w:val="21"/>
                <w:szCs w:val="21"/>
              </w:rPr>
              <w:t>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8.73</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3"/>
        <w:rPr>
          <w:rFonts w:ascii="宋体" w:hAnsi="宋体" w:cs="宋体" w:eastAsia="宋体" w:hint="default"/>
          <w:sz w:val="14"/>
          <w:szCs w:val="14"/>
        </w:rPr>
      </w:pPr>
    </w:p>
    <w:p>
      <w:pPr>
        <w:pStyle w:val="BodyText"/>
        <w:spacing w:line="272" w:lineRule="exact" w:before="64"/>
        <w:ind w:right="3282"/>
        <w:jc w:val="left"/>
      </w:pPr>
      <w:r>
        <w:rPr>
          <w:spacing w:val="-2"/>
        </w:rPr>
        <w:t>在合营企业或联营企业的持股比例不同于表决权比例的说明：</w:t>
      </w:r>
      <w:r>
        <w:rPr>
          <w:spacing w:val="-52"/>
        </w:rPr>
        <w:t> </w:t>
      </w:r>
      <w:r>
        <w:rPr>
          <w:spacing w:val="-52"/>
        </w:rPr>
      </w:r>
      <w:r>
        <w:rPr/>
        <w:t>无</w:t>
      </w:r>
    </w:p>
    <w:p>
      <w:pPr>
        <w:spacing w:line="240" w:lineRule="auto" w:before="6"/>
        <w:rPr>
          <w:rFonts w:ascii="宋体" w:hAnsi="宋体" w:cs="宋体" w:eastAsia="宋体" w:hint="default"/>
          <w:sz w:val="19"/>
          <w:szCs w:val="19"/>
        </w:rPr>
      </w:pPr>
    </w:p>
    <w:p>
      <w:pPr>
        <w:pStyle w:val="BodyText"/>
        <w:spacing w:line="274" w:lineRule="exact"/>
        <w:ind w:right="434"/>
        <w:jc w:val="left"/>
      </w:pPr>
      <w:r>
        <w:rPr/>
        <w:t>持有</w:t>
      </w:r>
      <w:r>
        <w:rPr>
          <w:spacing w:val="-58"/>
        </w:rPr>
        <w:t> </w:t>
      </w:r>
      <w:r>
        <w:rPr>
          <w:rFonts w:ascii="Times New Roman" w:hAnsi="Times New Roman" w:cs="Times New Roman" w:eastAsia="Times New Roman" w:hint="default"/>
        </w:rPr>
        <w:t>20%</w:t>
      </w:r>
      <w:r>
        <w:rPr/>
        <w:t>以下表决权但具有重大影响，或者持有</w:t>
      </w:r>
      <w:r>
        <w:rPr>
          <w:spacing w:val="-58"/>
        </w:rPr>
        <w:t> </w:t>
      </w:r>
      <w:r>
        <w:rPr>
          <w:rFonts w:ascii="Times New Roman" w:hAnsi="Times New Roman" w:cs="Times New Roman" w:eastAsia="Times New Roman" w:hint="default"/>
        </w:rPr>
        <w:t>20%</w:t>
      </w:r>
      <w:r>
        <w:rPr/>
        <w:t>或以上表决权但不具有重大影响的依据：</w:t>
      </w:r>
      <w:r>
        <w:rPr>
          <w:w w:val="100"/>
        </w:rPr>
        <w:t> </w:t>
      </w:r>
      <w:r>
        <w:rPr/>
        <w:t>无</w:t>
      </w:r>
    </w:p>
    <w:p>
      <w:pPr>
        <w:spacing w:line="240" w:lineRule="auto" w:before="0"/>
        <w:rPr>
          <w:rFonts w:ascii="宋体" w:hAnsi="宋体" w:cs="宋体" w:eastAsia="宋体" w:hint="default"/>
          <w:sz w:val="22"/>
          <w:szCs w:val="22"/>
        </w:rPr>
      </w:pPr>
    </w:p>
    <w:p>
      <w:pPr>
        <w:pStyle w:val="Heading3"/>
        <w:tabs>
          <w:tab w:pos="849" w:val="left" w:leader="none"/>
        </w:tabs>
        <w:spacing w:line="240" w:lineRule="auto"/>
        <w:ind w:right="3282"/>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1163" w:val="left" w:leader="none"/>
        </w:tabs>
        <w:spacing w:line="240" w:lineRule="auto" w:before="58"/>
        <w:ind w:right="3282"/>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20"/>
        </w:sectPr>
      </w:pPr>
    </w:p>
    <w:p>
      <w:pPr>
        <w:pStyle w:val="Heading3"/>
        <w:tabs>
          <w:tab w:pos="849" w:val="left" w:leader="none"/>
        </w:tabs>
        <w:spacing w:line="240" w:lineRule="auto" w:before="36"/>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057" w:val="left" w:leader="none"/>
        </w:tabs>
        <w:spacing w:line="240" w:lineRule="auto" w:before="56"/>
        <w:ind w:right="-7"/>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20"/>
          <w:cols w:num="2" w:equalWidth="0">
            <w:col w:w="3591" w:space="3142"/>
            <w:col w:w="25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876"/>
        <w:gridCol w:w="727"/>
        <w:gridCol w:w="867"/>
        <w:gridCol w:w="730"/>
        <w:gridCol w:w="727"/>
        <w:gridCol w:w="728"/>
        <w:gridCol w:w="727"/>
        <w:gridCol w:w="778"/>
      </w:tblGrid>
      <w:tr>
        <w:trPr>
          <w:trHeight w:val="286" w:hRule="exact"/>
        </w:trPr>
        <w:tc>
          <w:tcPr>
            <w:tcW w:w="2905" w:type="dxa"/>
            <w:vMerge w:val="restart"/>
            <w:tcBorders>
              <w:top w:val="single" w:sz="4" w:space="0" w:color="000000"/>
              <w:left w:val="single" w:sz="4" w:space="0" w:color="000000"/>
              <w:right w:val="single" w:sz="6" w:space="0" w:color="000000"/>
            </w:tcBorders>
          </w:tcPr>
          <w:p>
            <w:pPr/>
          </w:p>
        </w:tc>
        <w:tc>
          <w:tcPr>
            <w:tcW w:w="3200" w:type="dxa"/>
            <w:gridSpan w:val="4"/>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Calibri" w:hAnsi="Calibri" w:cs="Calibri" w:eastAsia="Calibri" w:hint="default"/>
                <w:sz w:val="21"/>
                <w:szCs w:val="21"/>
              </w:rPr>
              <w:t>/</w:t>
            </w:r>
            <w:r>
              <w:rPr>
                <w:rFonts w:ascii="宋体" w:hAnsi="宋体" w:cs="宋体" w:eastAsia="宋体" w:hint="default"/>
                <w:sz w:val="21"/>
                <w:szCs w:val="21"/>
              </w:rPr>
              <w:t>本期发生额</w:t>
            </w:r>
          </w:p>
        </w:tc>
        <w:tc>
          <w:tcPr>
            <w:tcW w:w="2960" w:type="dxa"/>
            <w:gridSpan w:val="4"/>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4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Calibri" w:hAnsi="Calibri" w:cs="Calibri" w:eastAsia="Calibri" w:hint="default"/>
                <w:sz w:val="21"/>
                <w:szCs w:val="21"/>
              </w:rPr>
              <w:t>/</w:t>
            </w:r>
            <w:r>
              <w:rPr>
                <w:rFonts w:ascii="宋体" w:hAnsi="宋体" w:cs="宋体" w:eastAsia="宋体" w:hint="default"/>
                <w:sz w:val="21"/>
                <w:szCs w:val="21"/>
              </w:rPr>
              <w:t>上期发生额</w:t>
            </w:r>
          </w:p>
        </w:tc>
      </w:tr>
      <w:tr>
        <w:trPr>
          <w:trHeight w:val="2468" w:hRule="exact"/>
        </w:trPr>
        <w:tc>
          <w:tcPr>
            <w:tcW w:w="2905" w:type="dxa"/>
            <w:vMerge/>
            <w:tcBorders>
              <w:left w:val="single" w:sz="4"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厦门会</w:t>
            </w:r>
          </w:p>
          <w:p>
            <w:pPr>
              <w:pStyle w:val="TableParagraph"/>
              <w:spacing w:line="237" w:lineRule="auto" w:before="2"/>
              <w:ind w:left="115" w:right="110"/>
              <w:jc w:val="both"/>
              <w:rPr>
                <w:rFonts w:ascii="宋体" w:hAnsi="宋体" w:cs="宋体" w:eastAsia="宋体" w:hint="default"/>
                <w:sz w:val="21"/>
                <w:szCs w:val="21"/>
              </w:rPr>
            </w:pPr>
            <w:r>
              <w:rPr>
                <w:rFonts w:ascii="宋体" w:hAnsi="宋体" w:cs="宋体" w:eastAsia="宋体" w:hint="default"/>
                <w:sz w:val="21"/>
                <w:szCs w:val="21"/>
              </w:rPr>
              <w:t>同鼎盛</w:t>
            </w:r>
            <w:r>
              <w:rPr>
                <w:rFonts w:ascii="宋体" w:hAnsi="宋体" w:cs="宋体" w:eastAsia="宋体" w:hint="default"/>
                <w:spacing w:val="-102"/>
                <w:sz w:val="21"/>
                <w:szCs w:val="21"/>
              </w:rPr>
              <w:t> </w:t>
            </w:r>
            <w:r>
              <w:rPr>
                <w:rFonts w:ascii="宋体" w:hAnsi="宋体" w:cs="宋体" w:eastAsia="宋体" w:hint="default"/>
                <w:sz w:val="21"/>
                <w:szCs w:val="21"/>
              </w:rPr>
              <w:t>股权投</w:t>
            </w:r>
            <w:r>
              <w:rPr>
                <w:rFonts w:ascii="宋体" w:hAnsi="宋体" w:cs="宋体" w:eastAsia="宋体" w:hint="default"/>
                <w:spacing w:val="-102"/>
                <w:sz w:val="21"/>
                <w:szCs w:val="21"/>
              </w:rPr>
              <w:t> </w:t>
            </w:r>
            <w:r>
              <w:rPr>
                <w:rFonts w:ascii="宋体" w:hAnsi="宋体" w:cs="宋体" w:eastAsia="宋体" w:hint="default"/>
                <w:sz w:val="21"/>
                <w:szCs w:val="21"/>
              </w:rPr>
              <w:t>资合伙</w:t>
            </w:r>
            <w:r>
              <w:rPr>
                <w:rFonts w:ascii="宋体" w:hAnsi="宋体" w:cs="宋体" w:eastAsia="宋体" w:hint="default"/>
                <w:spacing w:val="-102"/>
                <w:sz w:val="21"/>
                <w:szCs w:val="21"/>
              </w:rPr>
              <w:t> </w:t>
            </w:r>
            <w:r>
              <w:rPr>
                <w:rFonts w:ascii="宋体" w:hAnsi="宋体" w:cs="宋体" w:eastAsia="宋体" w:hint="default"/>
                <w:sz w:val="21"/>
                <w:szCs w:val="21"/>
              </w:rPr>
              <w:t>企业</w:t>
            </w:r>
          </w:p>
          <w:p>
            <w:pPr>
              <w:pStyle w:val="TableParagraph"/>
              <w:spacing w:line="272" w:lineRule="exact" w:before="26"/>
              <w:ind w:left="115" w:right="110"/>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72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43" w:right="0"/>
              <w:jc w:val="both"/>
              <w:rPr>
                <w:rFonts w:ascii="宋体" w:hAnsi="宋体" w:cs="宋体" w:eastAsia="宋体" w:hint="default"/>
                <w:sz w:val="21"/>
                <w:szCs w:val="21"/>
              </w:rPr>
            </w:pPr>
            <w:r>
              <w:rPr>
                <w:rFonts w:ascii="宋体" w:hAnsi="宋体" w:cs="宋体" w:eastAsia="宋体" w:hint="default"/>
                <w:sz w:val="21"/>
                <w:szCs w:val="21"/>
              </w:rPr>
              <w:t>福建</w:t>
            </w:r>
          </w:p>
          <w:p>
            <w:pPr>
              <w:pStyle w:val="TableParagraph"/>
              <w:spacing w:line="237" w:lineRule="auto" w:before="2"/>
              <w:ind w:left="143" w:right="144"/>
              <w:jc w:val="both"/>
              <w:rPr>
                <w:rFonts w:ascii="宋体" w:hAnsi="宋体" w:cs="宋体" w:eastAsia="宋体" w:hint="default"/>
                <w:sz w:val="21"/>
                <w:szCs w:val="21"/>
              </w:rPr>
            </w:pPr>
            <w:r>
              <w:rPr>
                <w:rFonts w:ascii="宋体" w:hAnsi="宋体" w:cs="宋体" w:eastAsia="宋体" w:hint="default"/>
                <w:sz w:val="21"/>
                <w:szCs w:val="21"/>
              </w:rPr>
              <w:t>省应</w:t>
            </w:r>
            <w:r>
              <w:rPr>
                <w:rFonts w:ascii="宋体" w:hAnsi="宋体" w:cs="宋体" w:eastAsia="宋体" w:hint="default"/>
                <w:spacing w:val="-103"/>
                <w:sz w:val="21"/>
                <w:szCs w:val="21"/>
              </w:rPr>
              <w:t> </w:t>
            </w:r>
            <w:r>
              <w:rPr>
                <w:rFonts w:ascii="宋体" w:hAnsi="宋体" w:cs="宋体" w:eastAsia="宋体" w:hint="default"/>
                <w:sz w:val="21"/>
                <w:szCs w:val="21"/>
              </w:rPr>
              <w:t>急通</w:t>
            </w:r>
            <w:r>
              <w:rPr>
                <w:rFonts w:ascii="宋体" w:hAnsi="宋体" w:cs="宋体" w:eastAsia="宋体" w:hint="default"/>
                <w:spacing w:val="-103"/>
                <w:sz w:val="21"/>
                <w:szCs w:val="21"/>
              </w:rPr>
              <w:t> </w:t>
            </w:r>
            <w:r>
              <w:rPr>
                <w:rFonts w:ascii="宋体" w:hAnsi="宋体" w:cs="宋体" w:eastAsia="宋体" w:hint="default"/>
                <w:sz w:val="21"/>
                <w:szCs w:val="21"/>
              </w:rPr>
              <w:t>信运</w:t>
            </w:r>
            <w:r>
              <w:rPr>
                <w:rFonts w:ascii="宋体" w:hAnsi="宋体" w:cs="宋体" w:eastAsia="宋体" w:hint="default"/>
                <w:spacing w:val="-103"/>
                <w:sz w:val="21"/>
                <w:szCs w:val="21"/>
              </w:rPr>
              <w:t> </w:t>
            </w:r>
            <w:r>
              <w:rPr>
                <w:rFonts w:ascii="宋体" w:hAnsi="宋体" w:cs="宋体" w:eastAsia="宋体" w:hint="default"/>
                <w:sz w:val="21"/>
                <w:szCs w:val="21"/>
              </w:rPr>
              <w:t>营有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86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宁波梅</w:t>
            </w:r>
          </w:p>
          <w:p>
            <w:pPr>
              <w:pStyle w:val="TableParagraph"/>
              <w:spacing w:line="237" w:lineRule="auto" w:before="2"/>
              <w:ind w:left="107" w:right="108"/>
              <w:jc w:val="both"/>
              <w:rPr>
                <w:rFonts w:ascii="宋体" w:hAnsi="宋体" w:cs="宋体" w:eastAsia="宋体" w:hint="default"/>
                <w:sz w:val="21"/>
                <w:szCs w:val="21"/>
              </w:rPr>
            </w:pPr>
            <w:r>
              <w:rPr>
                <w:rFonts w:ascii="宋体" w:hAnsi="宋体" w:cs="宋体" w:eastAsia="宋体" w:hint="default"/>
                <w:sz w:val="21"/>
                <w:szCs w:val="21"/>
              </w:rPr>
              <w:t>山保税</w:t>
            </w:r>
            <w:r>
              <w:rPr>
                <w:rFonts w:ascii="宋体" w:hAnsi="宋体" w:cs="宋体" w:eastAsia="宋体" w:hint="default"/>
                <w:spacing w:val="-102"/>
                <w:sz w:val="21"/>
                <w:szCs w:val="21"/>
              </w:rPr>
              <w:t> </w:t>
            </w:r>
            <w:r>
              <w:rPr>
                <w:rFonts w:ascii="宋体" w:hAnsi="宋体" w:cs="宋体" w:eastAsia="宋体" w:hint="default"/>
                <w:sz w:val="21"/>
                <w:szCs w:val="21"/>
              </w:rPr>
              <w:t>港区南</w:t>
            </w:r>
            <w:r>
              <w:rPr>
                <w:rFonts w:ascii="宋体" w:hAnsi="宋体" w:cs="宋体" w:eastAsia="宋体" w:hint="default"/>
                <w:spacing w:val="-102"/>
                <w:sz w:val="21"/>
                <w:szCs w:val="21"/>
              </w:rPr>
              <w:t> </w:t>
            </w:r>
            <w:r>
              <w:rPr>
                <w:rFonts w:ascii="宋体" w:hAnsi="宋体" w:cs="宋体" w:eastAsia="宋体" w:hint="default"/>
                <w:sz w:val="21"/>
                <w:szCs w:val="21"/>
              </w:rPr>
              <w:t>威道高</w:t>
            </w:r>
            <w:r>
              <w:rPr>
                <w:rFonts w:ascii="宋体" w:hAnsi="宋体" w:cs="宋体" w:eastAsia="宋体" w:hint="default"/>
                <w:spacing w:val="-102"/>
                <w:sz w:val="21"/>
                <w:szCs w:val="21"/>
              </w:rPr>
              <w:t> </w:t>
            </w:r>
            <w:r>
              <w:rPr>
                <w:rFonts w:ascii="宋体" w:hAnsi="宋体" w:cs="宋体" w:eastAsia="宋体" w:hint="default"/>
                <w:sz w:val="21"/>
                <w:szCs w:val="21"/>
              </w:rPr>
              <w:t>投资合</w:t>
            </w:r>
            <w:r>
              <w:rPr>
                <w:rFonts w:ascii="宋体" w:hAnsi="宋体" w:cs="宋体" w:eastAsia="宋体" w:hint="default"/>
                <w:spacing w:val="-102"/>
                <w:sz w:val="21"/>
                <w:szCs w:val="21"/>
              </w:rPr>
              <w:t> </w:t>
            </w:r>
            <w:r>
              <w:rPr>
                <w:rFonts w:ascii="宋体" w:hAnsi="宋体" w:cs="宋体" w:eastAsia="宋体" w:hint="default"/>
                <w:sz w:val="21"/>
                <w:szCs w:val="21"/>
              </w:rPr>
              <w:t>伙企业</w:t>
            </w:r>
          </w:p>
          <w:p>
            <w:pPr>
              <w:pStyle w:val="TableParagraph"/>
              <w:spacing w:line="274" w:lineRule="exact" w:before="22"/>
              <w:ind w:left="107" w:right="108"/>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73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46" w:right="144"/>
              <w:jc w:val="both"/>
              <w:rPr>
                <w:rFonts w:ascii="宋体" w:hAnsi="宋体" w:cs="宋体" w:eastAsia="宋体" w:hint="default"/>
                <w:sz w:val="21"/>
                <w:szCs w:val="21"/>
              </w:rPr>
            </w:pPr>
            <w:r>
              <w:rPr>
                <w:rFonts w:ascii="宋体" w:hAnsi="宋体" w:cs="宋体" w:eastAsia="宋体" w:hint="default"/>
                <w:sz w:val="21"/>
                <w:szCs w:val="21"/>
              </w:rPr>
              <w:t>梅山</w:t>
            </w:r>
            <w:r>
              <w:rPr>
                <w:rFonts w:ascii="宋体" w:hAnsi="宋体" w:cs="宋体" w:eastAsia="宋体" w:hint="default"/>
                <w:spacing w:val="-103"/>
                <w:sz w:val="21"/>
                <w:szCs w:val="21"/>
              </w:rPr>
              <w:t> </w:t>
            </w:r>
            <w:r>
              <w:rPr>
                <w:rFonts w:ascii="宋体" w:hAnsi="宋体" w:cs="宋体" w:eastAsia="宋体" w:hint="default"/>
                <w:sz w:val="21"/>
                <w:szCs w:val="21"/>
              </w:rPr>
              <w:t>保税</w:t>
            </w:r>
            <w:r>
              <w:rPr>
                <w:rFonts w:ascii="宋体" w:hAnsi="宋体" w:cs="宋体" w:eastAsia="宋体" w:hint="default"/>
                <w:spacing w:val="-103"/>
                <w:sz w:val="21"/>
                <w:szCs w:val="21"/>
              </w:rPr>
              <w:t> </w:t>
            </w:r>
            <w:r>
              <w:rPr>
                <w:rFonts w:ascii="宋体" w:hAnsi="宋体" w:cs="宋体" w:eastAsia="宋体" w:hint="default"/>
                <w:sz w:val="21"/>
                <w:szCs w:val="21"/>
              </w:rPr>
              <w:t>港区</w:t>
            </w:r>
            <w:r>
              <w:rPr>
                <w:rFonts w:ascii="宋体" w:hAnsi="宋体" w:cs="宋体" w:eastAsia="宋体" w:hint="default"/>
                <w:spacing w:val="-103"/>
                <w:sz w:val="21"/>
                <w:szCs w:val="21"/>
              </w:rPr>
              <w:t> </w:t>
            </w:r>
            <w:r>
              <w:rPr>
                <w:rFonts w:ascii="宋体" w:hAnsi="宋体" w:cs="宋体" w:eastAsia="宋体" w:hint="default"/>
                <w:sz w:val="21"/>
                <w:szCs w:val="21"/>
              </w:rPr>
              <w:t>安高</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基金</w:t>
            </w:r>
            <w:r>
              <w:rPr>
                <w:rFonts w:ascii="宋体" w:hAnsi="宋体" w:cs="宋体" w:eastAsia="宋体" w:hint="default"/>
                <w:spacing w:val="-103"/>
                <w:sz w:val="21"/>
                <w:szCs w:val="21"/>
              </w:rPr>
              <w:t> </w:t>
            </w:r>
            <w:r>
              <w:rPr>
                <w:rFonts w:ascii="宋体" w:hAnsi="宋体" w:cs="宋体" w:eastAsia="宋体" w:hint="default"/>
                <w:sz w:val="21"/>
                <w:szCs w:val="21"/>
              </w:rPr>
              <w:t>合伙</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厦门</w:t>
            </w:r>
          </w:p>
          <w:p>
            <w:pPr>
              <w:pStyle w:val="TableParagraph"/>
              <w:spacing w:line="237" w:lineRule="auto" w:before="2"/>
              <w:ind w:left="146" w:right="143"/>
              <w:jc w:val="both"/>
              <w:rPr>
                <w:rFonts w:ascii="宋体" w:hAnsi="宋体" w:cs="宋体" w:eastAsia="宋体" w:hint="default"/>
                <w:sz w:val="21"/>
                <w:szCs w:val="21"/>
              </w:rPr>
            </w:pPr>
            <w:r>
              <w:rPr>
                <w:rFonts w:ascii="宋体" w:hAnsi="宋体" w:cs="宋体" w:eastAsia="宋体" w:hint="default"/>
                <w:sz w:val="21"/>
                <w:szCs w:val="21"/>
              </w:rPr>
              <w:t>会同</w:t>
            </w:r>
            <w:r>
              <w:rPr>
                <w:rFonts w:ascii="宋体" w:hAnsi="宋体" w:cs="宋体" w:eastAsia="宋体" w:hint="default"/>
                <w:spacing w:val="-103"/>
                <w:sz w:val="21"/>
                <w:szCs w:val="21"/>
              </w:rPr>
              <w:t> </w:t>
            </w:r>
            <w:r>
              <w:rPr>
                <w:rFonts w:ascii="宋体" w:hAnsi="宋体" w:cs="宋体" w:eastAsia="宋体" w:hint="default"/>
                <w:sz w:val="21"/>
                <w:szCs w:val="21"/>
              </w:rPr>
              <w:t>鼎盛</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合伙</w:t>
            </w:r>
            <w:r>
              <w:rPr>
                <w:rFonts w:ascii="宋体" w:hAnsi="宋体" w:cs="宋体" w:eastAsia="宋体" w:hint="default"/>
                <w:spacing w:val="-103"/>
                <w:sz w:val="21"/>
                <w:szCs w:val="21"/>
              </w:rPr>
              <w:t> </w:t>
            </w:r>
            <w:r>
              <w:rPr>
                <w:rFonts w:ascii="宋体" w:hAnsi="宋体" w:cs="宋体" w:eastAsia="宋体" w:hint="default"/>
                <w:sz w:val="21"/>
                <w:szCs w:val="21"/>
              </w:rPr>
              <w:t>企业</w:t>
            </w:r>
          </w:p>
          <w:p>
            <w:pPr>
              <w:pStyle w:val="TableParagraph"/>
              <w:spacing w:line="272" w:lineRule="exact" w:before="27"/>
              <w:ind w:left="146" w:right="14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z w:val="21"/>
                <w:szCs w:val="21"/>
              </w:rPr>
              <w:t>限合</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福建</w:t>
            </w:r>
          </w:p>
          <w:p>
            <w:pPr>
              <w:pStyle w:val="TableParagraph"/>
              <w:spacing w:line="237" w:lineRule="auto" w:before="2"/>
              <w:ind w:left="146" w:right="142"/>
              <w:jc w:val="both"/>
              <w:rPr>
                <w:rFonts w:ascii="宋体" w:hAnsi="宋体" w:cs="宋体" w:eastAsia="宋体" w:hint="default"/>
                <w:sz w:val="21"/>
                <w:szCs w:val="21"/>
              </w:rPr>
            </w:pPr>
            <w:r>
              <w:rPr>
                <w:rFonts w:ascii="宋体" w:hAnsi="宋体" w:cs="宋体" w:eastAsia="宋体" w:hint="default"/>
                <w:sz w:val="21"/>
                <w:szCs w:val="21"/>
              </w:rPr>
              <w:t>省应</w:t>
            </w:r>
            <w:r>
              <w:rPr>
                <w:rFonts w:ascii="宋体" w:hAnsi="宋体" w:cs="宋体" w:eastAsia="宋体" w:hint="default"/>
                <w:spacing w:val="-103"/>
                <w:sz w:val="21"/>
                <w:szCs w:val="21"/>
              </w:rPr>
              <w:t> </w:t>
            </w:r>
            <w:r>
              <w:rPr>
                <w:rFonts w:ascii="宋体" w:hAnsi="宋体" w:cs="宋体" w:eastAsia="宋体" w:hint="default"/>
                <w:sz w:val="21"/>
                <w:szCs w:val="21"/>
              </w:rPr>
              <w:t>急通</w:t>
            </w:r>
            <w:r>
              <w:rPr>
                <w:rFonts w:ascii="宋体" w:hAnsi="宋体" w:cs="宋体" w:eastAsia="宋体" w:hint="default"/>
                <w:spacing w:val="-103"/>
                <w:sz w:val="21"/>
                <w:szCs w:val="21"/>
              </w:rPr>
              <w:t> </w:t>
            </w:r>
            <w:r>
              <w:rPr>
                <w:rFonts w:ascii="宋体" w:hAnsi="宋体" w:cs="宋体" w:eastAsia="宋体" w:hint="default"/>
                <w:sz w:val="21"/>
                <w:szCs w:val="21"/>
              </w:rPr>
              <w:t>信运</w:t>
            </w:r>
            <w:r>
              <w:rPr>
                <w:rFonts w:ascii="宋体" w:hAnsi="宋体" w:cs="宋体" w:eastAsia="宋体" w:hint="default"/>
                <w:spacing w:val="-103"/>
                <w:sz w:val="21"/>
                <w:szCs w:val="21"/>
              </w:rPr>
              <w:t> </w:t>
            </w:r>
            <w:r>
              <w:rPr>
                <w:rFonts w:ascii="宋体" w:hAnsi="宋体" w:cs="宋体" w:eastAsia="宋体" w:hint="default"/>
                <w:sz w:val="21"/>
                <w:szCs w:val="21"/>
              </w:rPr>
              <w:t>营有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46" w:right="143"/>
              <w:jc w:val="both"/>
              <w:rPr>
                <w:rFonts w:ascii="宋体" w:hAnsi="宋体" w:cs="宋体" w:eastAsia="宋体" w:hint="default"/>
                <w:sz w:val="21"/>
                <w:szCs w:val="21"/>
              </w:rPr>
            </w:pPr>
            <w:r>
              <w:rPr>
                <w:rFonts w:ascii="宋体" w:hAnsi="宋体" w:cs="宋体" w:eastAsia="宋体" w:hint="default"/>
                <w:sz w:val="21"/>
                <w:szCs w:val="21"/>
              </w:rPr>
              <w:t>梅山</w:t>
            </w:r>
            <w:r>
              <w:rPr>
                <w:rFonts w:ascii="宋体" w:hAnsi="宋体" w:cs="宋体" w:eastAsia="宋体" w:hint="default"/>
                <w:spacing w:val="-103"/>
                <w:sz w:val="21"/>
                <w:szCs w:val="21"/>
              </w:rPr>
              <w:t> </w:t>
            </w:r>
            <w:r>
              <w:rPr>
                <w:rFonts w:ascii="宋体" w:hAnsi="宋体" w:cs="宋体" w:eastAsia="宋体" w:hint="default"/>
                <w:sz w:val="21"/>
                <w:szCs w:val="21"/>
              </w:rPr>
              <w:t>保税</w:t>
            </w:r>
            <w:r>
              <w:rPr>
                <w:rFonts w:ascii="宋体" w:hAnsi="宋体" w:cs="宋体" w:eastAsia="宋体" w:hint="default"/>
                <w:spacing w:val="-103"/>
                <w:sz w:val="21"/>
                <w:szCs w:val="21"/>
              </w:rPr>
              <w:t> </w:t>
            </w:r>
            <w:r>
              <w:rPr>
                <w:rFonts w:ascii="宋体" w:hAnsi="宋体" w:cs="宋体" w:eastAsia="宋体" w:hint="default"/>
                <w:sz w:val="21"/>
                <w:szCs w:val="21"/>
              </w:rPr>
              <w:t>港区</w:t>
            </w:r>
            <w:r>
              <w:rPr>
                <w:rFonts w:ascii="宋体" w:hAnsi="宋体" w:cs="宋体" w:eastAsia="宋体" w:hint="default"/>
                <w:spacing w:val="-103"/>
                <w:sz w:val="21"/>
                <w:szCs w:val="21"/>
              </w:rPr>
              <w:t> </w:t>
            </w:r>
            <w:r>
              <w:rPr>
                <w:rFonts w:ascii="宋体" w:hAnsi="宋体" w:cs="宋体" w:eastAsia="宋体" w:hint="default"/>
                <w:sz w:val="21"/>
                <w:szCs w:val="21"/>
              </w:rPr>
              <w:t>南威</w:t>
            </w:r>
            <w:r>
              <w:rPr>
                <w:rFonts w:ascii="宋体" w:hAnsi="宋体" w:cs="宋体" w:eastAsia="宋体" w:hint="default"/>
                <w:spacing w:val="-103"/>
                <w:sz w:val="21"/>
                <w:szCs w:val="21"/>
              </w:rPr>
              <w:t> </w:t>
            </w:r>
            <w:r>
              <w:rPr>
                <w:rFonts w:ascii="宋体" w:hAnsi="宋体" w:cs="宋体" w:eastAsia="宋体" w:hint="default"/>
                <w:sz w:val="21"/>
                <w:szCs w:val="21"/>
              </w:rPr>
              <w:t>道高</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合伙</w:t>
            </w:r>
            <w:r>
              <w:rPr>
                <w:rFonts w:ascii="宋体" w:hAnsi="宋体" w:cs="宋体" w:eastAsia="宋体" w:hint="default"/>
                <w:spacing w:val="-103"/>
                <w:sz w:val="21"/>
                <w:szCs w:val="21"/>
              </w:rPr>
              <w:t> </w:t>
            </w:r>
            <w:r>
              <w:rPr>
                <w:rFonts w:ascii="宋体" w:hAnsi="宋体" w:cs="宋体" w:eastAsia="宋体" w:hint="default"/>
                <w:sz w:val="21"/>
                <w:szCs w:val="21"/>
              </w:rPr>
              <w:t>企业</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2"/>
              <w:ind w:left="170" w:right="168"/>
              <w:jc w:val="both"/>
              <w:rPr>
                <w:rFonts w:ascii="宋体" w:hAnsi="宋体" w:cs="宋体" w:eastAsia="宋体" w:hint="default"/>
                <w:sz w:val="21"/>
                <w:szCs w:val="21"/>
              </w:rPr>
            </w:pPr>
            <w:r>
              <w:rPr>
                <w:rFonts w:ascii="宋体" w:hAnsi="宋体" w:cs="宋体" w:eastAsia="宋体" w:hint="default"/>
                <w:sz w:val="21"/>
                <w:szCs w:val="21"/>
              </w:rPr>
              <w:t>梅山</w:t>
            </w:r>
            <w:r>
              <w:rPr>
                <w:rFonts w:ascii="宋体" w:hAnsi="宋体" w:cs="宋体" w:eastAsia="宋体" w:hint="default"/>
                <w:spacing w:val="-103"/>
                <w:sz w:val="21"/>
                <w:szCs w:val="21"/>
              </w:rPr>
              <w:t> </w:t>
            </w:r>
            <w:r>
              <w:rPr>
                <w:rFonts w:ascii="宋体" w:hAnsi="宋体" w:cs="宋体" w:eastAsia="宋体" w:hint="default"/>
                <w:sz w:val="21"/>
                <w:szCs w:val="21"/>
              </w:rPr>
              <w:t>保税</w:t>
            </w:r>
            <w:r>
              <w:rPr>
                <w:rFonts w:ascii="宋体" w:hAnsi="宋体" w:cs="宋体" w:eastAsia="宋体" w:hint="default"/>
                <w:spacing w:val="-103"/>
                <w:sz w:val="21"/>
                <w:szCs w:val="21"/>
              </w:rPr>
              <w:t> </w:t>
            </w:r>
            <w:r>
              <w:rPr>
                <w:rFonts w:ascii="宋体" w:hAnsi="宋体" w:cs="宋体" w:eastAsia="宋体" w:hint="default"/>
                <w:sz w:val="21"/>
                <w:szCs w:val="21"/>
              </w:rPr>
              <w:t>港区</w:t>
            </w:r>
            <w:r>
              <w:rPr>
                <w:rFonts w:ascii="宋体" w:hAnsi="宋体" w:cs="宋体" w:eastAsia="宋体" w:hint="default"/>
                <w:spacing w:val="-103"/>
                <w:sz w:val="21"/>
                <w:szCs w:val="21"/>
              </w:rPr>
              <w:t> </w:t>
            </w:r>
            <w:r>
              <w:rPr>
                <w:rFonts w:ascii="宋体" w:hAnsi="宋体" w:cs="宋体" w:eastAsia="宋体" w:hint="default"/>
                <w:sz w:val="21"/>
                <w:szCs w:val="21"/>
              </w:rPr>
              <w:t>安高</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基金</w:t>
            </w:r>
            <w:r>
              <w:rPr>
                <w:rFonts w:ascii="宋体" w:hAnsi="宋体" w:cs="宋体" w:eastAsia="宋体" w:hint="default"/>
                <w:spacing w:val="-103"/>
                <w:sz w:val="21"/>
                <w:szCs w:val="21"/>
              </w:rPr>
              <w:t> </w:t>
            </w:r>
            <w:r>
              <w:rPr>
                <w:rFonts w:ascii="宋体" w:hAnsi="宋体" w:cs="宋体" w:eastAsia="宋体" w:hint="default"/>
                <w:sz w:val="21"/>
                <w:szCs w:val="21"/>
              </w:rPr>
              <w:t>合伙</w:t>
            </w:r>
          </w:p>
        </w:tc>
      </w:tr>
    </w:tbl>
    <w:p>
      <w:pPr>
        <w:spacing w:after="0" w:line="237" w:lineRule="auto"/>
        <w:jc w:val="both"/>
        <w:rPr>
          <w:rFonts w:ascii="宋体" w:hAnsi="宋体" w:cs="宋体" w:eastAsia="宋体" w:hint="default"/>
          <w:sz w:val="21"/>
          <w:szCs w:val="21"/>
        </w:rPr>
        <w:sectPr>
          <w:type w:val="continuous"/>
          <w:pgSz w:w="11910" w:h="16840"/>
          <w:pgMar w:top="1580" w:bottom="280" w:left="158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05"/>
        <w:gridCol w:w="876"/>
        <w:gridCol w:w="727"/>
        <w:gridCol w:w="867"/>
        <w:gridCol w:w="730"/>
        <w:gridCol w:w="727"/>
        <w:gridCol w:w="728"/>
        <w:gridCol w:w="727"/>
        <w:gridCol w:w="778"/>
      </w:tblGrid>
      <w:tr>
        <w:trPr>
          <w:trHeight w:val="1109"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46" w:right="0"/>
              <w:jc w:val="both"/>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37" w:lineRule="auto"/>
              <w:ind w:left="146" w:right="144"/>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z w:val="21"/>
                <w:szCs w:val="21"/>
              </w:rPr>
              <w:t>限合</w:t>
            </w:r>
            <w:r>
              <w:rPr>
                <w:rFonts w:ascii="宋体" w:hAnsi="宋体" w:cs="宋体" w:eastAsia="宋体" w:hint="default"/>
                <w:spacing w:val="-103"/>
                <w:sz w:val="21"/>
                <w:szCs w:val="21"/>
              </w:rPr>
              <w:t> </w:t>
            </w:r>
            <w:r>
              <w:rPr>
                <w:rFonts w:ascii="宋体" w:hAnsi="宋体" w:cs="宋体" w:eastAsia="宋体" w:hint="default"/>
                <w:sz w:val="21"/>
                <w:szCs w:val="21"/>
              </w:rPr>
              <w:t>伙）</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46" w:right="0"/>
              <w:jc w:val="left"/>
              <w:rPr>
                <w:rFonts w:ascii="宋体" w:hAnsi="宋体" w:cs="宋体" w:eastAsia="宋体" w:hint="default"/>
                <w:sz w:val="21"/>
                <w:szCs w:val="21"/>
              </w:rPr>
            </w:pPr>
            <w:r>
              <w:rPr>
                <w:rFonts w:ascii="宋体" w:hAnsi="宋体" w:cs="宋体" w:eastAsia="宋体" w:hint="default"/>
                <w:sz w:val="21"/>
                <w:szCs w:val="21"/>
              </w:rPr>
              <w:t>伙）</w:t>
            </w: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46" w:right="0"/>
              <w:jc w:val="left"/>
              <w:rPr>
                <w:rFonts w:ascii="宋体" w:hAnsi="宋体" w:cs="宋体" w:eastAsia="宋体" w:hint="default"/>
                <w:sz w:val="21"/>
                <w:szCs w:val="21"/>
              </w:rPr>
            </w:pPr>
            <w:r>
              <w:rPr>
                <w:rFonts w:ascii="宋体" w:hAnsi="宋体" w:cs="宋体" w:eastAsia="宋体" w:hint="default"/>
                <w:sz w:val="21"/>
                <w:szCs w:val="21"/>
              </w:rPr>
              <w:t>（有</w:t>
            </w:r>
          </w:p>
          <w:p>
            <w:pPr>
              <w:pStyle w:val="TableParagraph"/>
              <w:spacing w:line="240" w:lineRule="auto"/>
              <w:ind w:left="146" w:right="143"/>
              <w:jc w:val="left"/>
              <w:rPr>
                <w:rFonts w:ascii="宋体" w:hAnsi="宋体" w:cs="宋体" w:eastAsia="宋体" w:hint="default"/>
                <w:sz w:val="21"/>
                <w:szCs w:val="21"/>
              </w:rPr>
            </w:pPr>
            <w:r>
              <w:rPr>
                <w:rFonts w:ascii="宋体" w:hAnsi="宋体" w:cs="宋体" w:eastAsia="宋体" w:hint="default"/>
                <w:sz w:val="21"/>
                <w:szCs w:val="21"/>
              </w:rPr>
              <w:t>限合</w:t>
            </w:r>
            <w:r>
              <w:rPr>
                <w:rFonts w:ascii="宋体" w:hAnsi="宋体" w:cs="宋体" w:eastAsia="宋体" w:hint="default"/>
                <w:spacing w:val="-103"/>
                <w:sz w:val="21"/>
                <w:szCs w:val="21"/>
              </w:rPr>
              <w:t> </w:t>
            </w:r>
            <w:r>
              <w:rPr>
                <w:rFonts w:ascii="宋体" w:hAnsi="宋体" w:cs="宋体" w:eastAsia="宋体" w:hint="default"/>
                <w:sz w:val="21"/>
                <w:szCs w:val="21"/>
              </w:rPr>
              <w:t>伙）</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70" w:right="0"/>
              <w:jc w:val="both"/>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37" w:lineRule="auto"/>
              <w:ind w:left="170" w:right="16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z w:val="21"/>
                <w:szCs w:val="21"/>
              </w:rPr>
              <w:t>限合</w:t>
            </w:r>
            <w:r>
              <w:rPr>
                <w:rFonts w:ascii="宋体" w:hAnsi="宋体" w:cs="宋体" w:eastAsia="宋体" w:hint="default"/>
                <w:spacing w:val="-103"/>
                <w:sz w:val="21"/>
                <w:szCs w:val="21"/>
              </w:rPr>
              <w:t> </w:t>
            </w:r>
            <w:r>
              <w:rPr>
                <w:rFonts w:ascii="宋体" w:hAnsi="宋体" w:cs="宋体" w:eastAsia="宋体" w:hint="default"/>
                <w:sz w:val="21"/>
                <w:szCs w:val="21"/>
              </w:rPr>
              <w:t>伙）</w:t>
            </w: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29" w:right="0"/>
              <w:jc w:val="left"/>
              <w:rPr>
                <w:rFonts w:ascii="Times New Roman" w:hAnsi="Times New Roman" w:cs="Times New Roman" w:eastAsia="Times New Roman" w:hint="default"/>
                <w:sz w:val="21"/>
                <w:szCs w:val="21"/>
              </w:rPr>
            </w:pPr>
            <w:r>
              <w:rPr>
                <w:rFonts w:ascii="Times New Roman"/>
                <w:sz w:val="21"/>
              </w:rPr>
              <w:t>12,330,</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287.99</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36" w:right="0"/>
              <w:jc w:val="left"/>
              <w:rPr>
                <w:rFonts w:ascii="Times New Roman" w:hAnsi="Times New Roman" w:cs="Times New Roman" w:eastAsia="Times New Roman" w:hint="default"/>
                <w:sz w:val="21"/>
                <w:szCs w:val="21"/>
              </w:rPr>
            </w:pPr>
            <w:r>
              <w:rPr>
                <w:rFonts w:ascii="Times New Roman"/>
                <w:sz w:val="21"/>
              </w:rPr>
              <w:t>80,09</w:t>
            </w:r>
          </w:p>
          <w:p>
            <w:pPr>
              <w:pStyle w:val="TableParagraph"/>
              <w:spacing w:line="241" w:lineRule="exact"/>
              <w:ind w:left="136" w:right="0"/>
              <w:jc w:val="left"/>
              <w:rPr>
                <w:rFonts w:ascii="Times New Roman" w:hAnsi="Times New Roman" w:cs="Times New Roman" w:eastAsia="Times New Roman" w:hint="default"/>
                <w:sz w:val="21"/>
                <w:szCs w:val="21"/>
              </w:rPr>
            </w:pPr>
            <w:r>
              <w:rPr>
                <w:rFonts w:ascii="Times New Roman"/>
                <w:sz w:val="21"/>
              </w:rPr>
              <w:t>5,599</w:t>
            </w:r>
          </w:p>
          <w:p>
            <w:pPr>
              <w:pStyle w:val="TableParagraph"/>
              <w:spacing w:line="240" w:lineRule="auto" w:before="1"/>
              <w:ind w:left="347" w:right="0"/>
              <w:jc w:val="left"/>
              <w:rPr>
                <w:rFonts w:ascii="Times New Roman" w:hAnsi="Times New Roman" w:cs="Times New Roman" w:eastAsia="Times New Roman" w:hint="default"/>
                <w:sz w:val="21"/>
                <w:szCs w:val="21"/>
              </w:rPr>
            </w:pPr>
            <w:r>
              <w:rPr>
                <w:rFonts w:ascii="Times New Roman"/>
                <w:sz w:val="21"/>
              </w:rPr>
              <w:t>.38</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1" w:right="0"/>
              <w:jc w:val="center"/>
              <w:rPr>
                <w:rFonts w:ascii="Times New Roman" w:hAnsi="Times New Roman" w:cs="Times New Roman" w:eastAsia="Times New Roman" w:hint="default"/>
                <w:sz w:val="21"/>
                <w:szCs w:val="21"/>
              </w:rPr>
            </w:pPr>
            <w:r>
              <w:rPr>
                <w:rFonts w:ascii="Times New Roman"/>
                <w:sz w:val="21"/>
              </w:rPr>
              <w:t>2,004,0</w:t>
            </w:r>
          </w:p>
          <w:p>
            <w:pPr>
              <w:pStyle w:val="TableParagraph"/>
              <w:spacing w:line="240" w:lineRule="auto" w:before="1"/>
              <w:ind w:left="180" w:right="0"/>
              <w:jc w:val="center"/>
              <w:rPr>
                <w:rFonts w:ascii="Times New Roman" w:hAnsi="Times New Roman" w:cs="Times New Roman" w:eastAsia="Times New Roman" w:hint="default"/>
                <w:sz w:val="21"/>
                <w:szCs w:val="21"/>
              </w:rPr>
            </w:pPr>
            <w:r>
              <w:rPr>
                <w:rFonts w:ascii="Times New Roman"/>
                <w:sz w:val="21"/>
              </w:rPr>
              <w:t>66.56</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31" w:right="0"/>
              <w:jc w:val="center"/>
              <w:rPr>
                <w:rFonts w:ascii="Times New Roman" w:hAnsi="Times New Roman" w:cs="Times New Roman" w:eastAsia="Times New Roman" w:hint="default"/>
                <w:sz w:val="21"/>
                <w:szCs w:val="21"/>
              </w:rPr>
            </w:pPr>
            <w:r>
              <w:rPr>
                <w:rFonts w:ascii="Times New Roman"/>
                <w:sz w:val="21"/>
              </w:rPr>
              <w:t>4,500,0</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00.00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145,6</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56,99</w:t>
            </w:r>
          </w:p>
          <w:p>
            <w:pPr>
              <w:pStyle w:val="TableParagraph"/>
              <w:spacing w:line="241" w:lineRule="exact"/>
              <w:ind w:left="141" w:right="0"/>
              <w:jc w:val="center"/>
              <w:rPr>
                <w:rFonts w:ascii="Times New Roman" w:hAnsi="Times New Roman" w:cs="Times New Roman" w:eastAsia="Times New Roman" w:hint="default"/>
                <w:sz w:val="21"/>
                <w:szCs w:val="21"/>
              </w:rPr>
            </w:pPr>
            <w:r>
              <w:rPr>
                <w:rFonts w:ascii="Times New Roman"/>
                <w:sz w:val="21"/>
              </w:rPr>
              <w:t>8.26</w:t>
            </w: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29" w:right="0"/>
              <w:jc w:val="left"/>
              <w:rPr>
                <w:rFonts w:ascii="Times New Roman" w:hAnsi="Times New Roman" w:cs="Times New Roman" w:eastAsia="Times New Roman" w:hint="default"/>
                <w:sz w:val="21"/>
                <w:szCs w:val="21"/>
              </w:rPr>
            </w:pPr>
            <w:r>
              <w:rPr>
                <w:rFonts w:ascii="Times New Roman"/>
                <w:sz w:val="21"/>
              </w:rPr>
              <w:t>16,830,</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287.99</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225,7</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52,59</w:t>
            </w:r>
          </w:p>
          <w:p>
            <w:pPr>
              <w:pStyle w:val="TableParagraph"/>
              <w:spacing w:line="241" w:lineRule="exact"/>
              <w:ind w:left="141" w:right="0"/>
              <w:jc w:val="center"/>
              <w:rPr>
                <w:rFonts w:ascii="Times New Roman" w:hAnsi="Times New Roman" w:cs="Times New Roman" w:eastAsia="Times New Roman" w:hint="default"/>
                <w:sz w:val="21"/>
                <w:szCs w:val="21"/>
              </w:rPr>
            </w:pPr>
            <w:r>
              <w:rPr>
                <w:rFonts w:ascii="Times New Roman"/>
                <w:sz w:val="21"/>
              </w:rPr>
              <w:t>7.64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1" w:right="0"/>
              <w:jc w:val="center"/>
              <w:rPr>
                <w:rFonts w:ascii="Times New Roman" w:hAnsi="Times New Roman" w:cs="Times New Roman" w:eastAsia="Times New Roman" w:hint="default"/>
                <w:sz w:val="21"/>
                <w:szCs w:val="21"/>
              </w:rPr>
            </w:pPr>
            <w:r>
              <w:rPr>
                <w:rFonts w:ascii="Times New Roman"/>
                <w:sz w:val="21"/>
              </w:rPr>
              <w:t>2,004,0</w:t>
            </w:r>
          </w:p>
          <w:p>
            <w:pPr>
              <w:pStyle w:val="TableParagraph"/>
              <w:spacing w:line="240" w:lineRule="auto" w:before="1"/>
              <w:ind w:left="180" w:right="0"/>
              <w:jc w:val="center"/>
              <w:rPr>
                <w:rFonts w:ascii="Times New Roman" w:hAnsi="Times New Roman" w:cs="Times New Roman" w:eastAsia="Times New Roman" w:hint="default"/>
                <w:sz w:val="21"/>
                <w:szCs w:val="21"/>
              </w:rPr>
            </w:pPr>
            <w:r>
              <w:rPr>
                <w:rFonts w:ascii="Times New Roman"/>
                <w:sz w:val="21"/>
              </w:rPr>
              <w:t>66.56</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72"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z w:val="21"/>
              </w:rPr>
              <w:t>1,200.0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60,98</w:t>
            </w:r>
          </w:p>
          <w:p>
            <w:pPr>
              <w:pStyle w:val="TableParagraph"/>
              <w:spacing w:line="241" w:lineRule="exact" w:before="1"/>
              <w:ind w:left="136" w:right="0"/>
              <w:jc w:val="left"/>
              <w:rPr>
                <w:rFonts w:ascii="Times New Roman" w:hAnsi="Times New Roman" w:cs="Times New Roman" w:eastAsia="Times New Roman" w:hint="default"/>
                <w:sz w:val="21"/>
                <w:szCs w:val="21"/>
              </w:rPr>
            </w:pPr>
            <w:r>
              <w:rPr>
                <w:rFonts w:ascii="Times New Roman"/>
                <w:sz w:val="21"/>
              </w:rPr>
              <w:t>4,448</w:t>
            </w:r>
          </w:p>
          <w:p>
            <w:pPr>
              <w:pStyle w:val="TableParagraph"/>
              <w:spacing w:line="241" w:lineRule="exact"/>
              <w:ind w:left="347" w:right="0"/>
              <w:jc w:val="left"/>
              <w:rPr>
                <w:rFonts w:ascii="Times New Roman" w:hAnsi="Times New Roman" w:cs="Times New Roman" w:eastAsia="Times New Roman" w:hint="default"/>
                <w:sz w:val="21"/>
                <w:szCs w:val="21"/>
              </w:rPr>
            </w:pPr>
            <w:r>
              <w:rPr>
                <w:rFonts w:ascii="Times New Roman"/>
                <w:sz w:val="21"/>
              </w:rPr>
              <w:t>.70</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z w:val="21"/>
              </w:rPr>
              <w:t>1,016.6</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4</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z w:val="21"/>
              </w:rPr>
              <w:t>1,200.0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60,98</w:t>
            </w:r>
          </w:p>
          <w:p>
            <w:pPr>
              <w:pStyle w:val="TableParagraph"/>
              <w:spacing w:line="241" w:lineRule="exact" w:before="1"/>
              <w:ind w:left="136" w:right="0"/>
              <w:jc w:val="left"/>
              <w:rPr>
                <w:rFonts w:ascii="Times New Roman" w:hAnsi="Times New Roman" w:cs="Times New Roman" w:eastAsia="Times New Roman" w:hint="default"/>
                <w:sz w:val="21"/>
                <w:szCs w:val="21"/>
              </w:rPr>
            </w:pPr>
            <w:r>
              <w:rPr>
                <w:rFonts w:ascii="Times New Roman"/>
                <w:sz w:val="21"/>
              </w:rPr>
              <w:t>4,448</w:t>
            </w:r>
          </w:p>
          <w:p>
            <w:pPr>
              <w:pStyle w:val="TableParagraph"/>
              <w:spacing w:line="241" w:lineRule="exact"/>
              <w:ind w:left="347" w:right="0"/>
              <w:jc w:val="left"/>
              <w:rPr>
                <w:rFonts w:ascii="Times New Roman" w:hAnsi="Times New Roman" w:cs="Times New Roman" w:eastAsia="Times New Roman" w:hint="default"/>
                <w:sz w:val="21"/>
                <w:szCs w:val="21"/>
              </w:rPr>
            </w:pPr>
            <w:r>
              <w:rPr>
                <w:rFonts w:ascii="Times New Roman"/>
                <w:sz w:val="21"/>
              </w:rPr>
              <w:t>.70</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z w:val="21"/>
              </w:rPr>
              <w:t>1,016.6</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4</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29" w:right="0"/>
              <w:jc w:val="left"/>
              <w:rPr>
                <w:rFonts w:ascii="Times New Roman" w:hAnsi="Times New Roman" w:cs="Times New Roman" w:eastAsia="Times New Roman" w:hint="default"/>
                <w:sz w:val="21"/>
                <w:szCs w:val="21"/>
              </w:rPr>
            </w:pPr>
            <w:r>
              <w:rPr>
                <w:rFonts w:ascii="Times New Roman"/>
                <w:sz w:val="21"/>
              </w:rPr>
              <w:t>16,829,</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087.99</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164,7</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68,14</w:t>
            </w:r>
          </w:p>
          <w:p>
            <w:pPr>
              <w:pStyle w:val="TableParagraph"/>
              <w:spacing w:line="241" w:lineRule="exact"/>
              <w:ind w:left="141" w:right="0"/>
              <w:jc w:val="center"/>
              <w:rPr>
                <w:rFonts w:ascii="Times New Roman" w:hAnsi="Times New Roman" w:cs="Times New Roman" w:eastAsia="Times New Roman" w:hint="default"/>
                <w:sz w:val="21"/>
                <w:szCs w:val="21"/>
              </w:rPr>
            </w:pPr>
            <w:r>
              <w:rPr>
                <w:rFonts w:ascii="Times New Roman"/>
                <w:sz w:val="21"/>
              </w:rPr>
              <w:t>8.94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1" w:right="0"/>
              <w:jc w:val="center"/>
              <w:rPr>
                <w:rFonts w:ascii="Times New Roman" w:hAnsi="Times New Roman" w:cs="Times New Roman" w:eastAsia="Times New Roman" w:hint="default"/>
                <w:sz w:val="21"/>
                <w:szCs w:val="21"/>
              </w:rPr>
            </w:pPr>
            <w:r>
              <w:rPr>
                <w:rFonts w:ascii="Times New Roman"/>
                <w:sz w:val="21"/>
              </w:rPr>
              <w:t>2,003,0</w:t>
            </w:r>
          </w:p>
          <w:p>
            <w:pPr>
              <w:pStyle w:val="TableParagraph"/>
              <w:spacing w:line="240" w:lineRule="auto" w:before="1"/>
              <w:ind w:left="180" w:right="0"/>
              <w:jc w:val="center"/>
              <w:rPr>
                <w:rFonts w:ascii="Times New Roman" w:hAnsi="Times New Roman" w:cs="Times New Roman" w:eastAsia="Times New Roman" w:hint="default"/>
                <w:sz w:val="21"/>
                <w:szCs w:val="21"/>
              </w:rPr>
            </w:pPr>
            <w:r>
              <w:rPr>
                <w:rFonts w:ascii="Times New Roman"/>
                <w:sz w:val="21"/>
              </w:rPr>
              <w:t>49.92</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85"/>
              <w:ind w:left="103" w:right="82"/>
              <w:jc w:val="left"/>
              <w:rPr>
                <w:rFonts w:ascii="宋体" w:hAnsi="宋体" w:cs="宋体" w:eastAsia="宋体" w:hint="default"/>
                <w:sz w:val="21"/>
                <w:szCs w:val="21"/>
              </w:rPr>
            </w:pPr>
            <w:r>
              <w:rPr>
                <w:rFonts w:ascii="宋体" w:hAnsi="宋体" w:cs="宋体" w:eastAsia="宋体" w:hint="default"/>
                <w:spacing w:val="12"/>
                <w:sz w:val="21"/>
                <w:szCs w:val="21"/>
              </w:rPr>
              <w:t>按持股比例计算的净资产份</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31" w:right="0"/>
              <w:jc w:val="center"/>
              <w:rPr>
                <w:rFonts w:ascii="Times New Roman" w:hAnsi="Times New Roman" w:cs="Times New Roman" w:eastAsia="Times New Roman" w:hint="default"/>
                <w:sz w:val="21"/>
                <w:szCs w:val="21"/>
              </w:rPr>
            </w:pPr>
            <w:r>
              <w:rPr>
                <w:rFonts w:ascii="Times New Roman"/>
                <w:sz w:val="21"/>
              </w:rPr>
              <w:t>4,760,9</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48.99</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80,73</w:t>
            </w:r>
          </w:p>
          <w:p>
            <w:pPr>
              <w:pStyle w:val="TableParagraph"/>
              <w:spacing w:line="241" w:lineRule="exact" w:before="1"/>
              <w:ind w:left="136" w:right="0"/>
              <w:jc w:val="left"/>
              <w:rPr>
                <w:rFonts w:ascii="Times New Roman" w:hAnsi="Times New Roman" w:cs="Times New Roman" w:eastAsia="Times New Roman" w:hint="default"/>
                <w:sz w:val="21"/>
                <w:szCs w:val="21"/>
              </w:rPr>
            </w:pPr>
            <w:r>
              <w:rPr>
                <w:rFonts w:ascii="Times New Roman"/>
                <w:sz w:val="21"/>
              </w:rPr>
              <w:t>6,392</w:t>
            </w:r>
          </w:p>
          <w:p>
            <w:pPr>
              <w:pStyle w:val="TableParagraph"/>
              <w:spacing w:line="241" w:lineRule="exact"/>
              <w:ind w:left="347" w:right="0"/>
              <w:jc w:val="left"/>
              <w:rPr>
                <w:rFonts w:ascii="Times New Roman" w:hAnsi="Times New Roman" w:cs="Times New Roman" w:eastAsia="Times New Roman" w:hint="default"/>
                <w:sz w:val="21"/>
                <w:szCs w:val="21"/>
              </w:rPr>
            </w:pPr>
            <w:r>
              <w:rPr>
                <w:rFonts w:ascii="Times New Roman"/>
                <w:sz w:val="21"/>
              </w:rPr>
              <w:t>.98</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1" w:right="0"/>
              <w:jc w:val="center"/>
              <w:rPr>
                <w:rFonts w:ascii="Times New Roman" w:hAnsi="Times New Roman" w:cs="Times New Roman" w:eastAsia="Times New Roman" w:hint="default"/>
                <w:sz w:val="21"/>
                <w:szCs w:val="21"/>
              </w:rPr>
            </w:pPr>
            <w:r>
              <w:rPr>
                <w:rFonts w:ascii="Times New Roman"/>
                <w:sz w:val="21"/>
              </w:rPr>
              <w:t>1,001,5</w:t>
            </w:r>
          </w:p>
          <w:p>
            <w:pPr>
              <w:pStyle w:val="TableParagraph"/>
              <w:spacing w:line="240" w:lineRule="auto" w:before="1"/>
              <w:ind w:left="180" w:right="0"/>
              <w:jc w:val="center"/>
              <w:rPr>
                <w:rFonts w:ascii="Times New Roman" w:hAnsi="Times New Roman" w:cs="Times New Roman" w:eastAsia="Times New Roman" w:hint="default"/>
                <w:sz w:val="21"/>
                <w:szCs w:val="21"/>
              </w:rPr>
            </w:pPr>
            <w:r>
              <w:rPr>
                <w:rFonts w:ascii="Times New Roman"/>
                <w:sz w:val="21"/>
              </w:rPr>
              <w:t>24.96</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2,545,6</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10.75</w:t>
            </w: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商誉</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内部交易未实现利润</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2,545,6</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10.75</w:t>
            </w: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85"/>
              <w:ind w:left="103" w:right="82"/>
              <w:jc w:val="left"/>
              <w:rPr>
                <w:rFonts w:ascii="宋体" w:hAnsi="宋体" w:cs="宋体" w:eastAsia="宋体" w:hint="default"/>
                <w:sz w:val="21"/>
                <w:szCs w:val="21"/>
              </w:rPr>
            </w:pPr>
            <w:r>
              <w:rPr>
                <w:rFonts w:ascii="宋体" w:hAnsi="宋体" w:cs="宋体" w:eastAsia="宋体" w:hint="default"/>
                <w:spacing w:val="12"/>
                <w:sz w:val="21"/>
                <w:szCs w:val="21"/>
              </w:rPr>
              <w:t>对联营企业权益投资的账面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价值</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16"/>
              <w:ind w:left="31" w:right="0"/>
              <w:jc w:val="center"/>
              <w:rPr>
                <w:rFonts w:ascii="Times New Roman" w:hAnsi="Times New Roman" w:cs="Times New Roman" w:eastAsia="Times New Roman" w:hint="default"/>
                <w:sz w:val="21"/>
                <w:szCs w:val="21"/>
              </w:rPr>
            </w:pPr>
            <w:r>
              <w:rPr>
                <w:rFonts w:ascii="Times New Roman"/>
                <w:sz w:val="21"/>
              </w:rPr>
              <w:t>7,306,5</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59.74</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6" w:right="0"/>
              <w:jc w:val="left"/>
              <w:rPr>
                <w:rFonts w:ascii="Times New Roman" w:hAnsi="Times New Roman" w:cs="Times New Roman" w:eastAsia="Times New Roman" w:hint="default"/>
                <w:sz w:val="21"/>
                <w:szCs w:val="21"/>
              </w:rPr>
            </w:pPr>
            <w:r>
              <w:rPr>
                <w:rFonts w:ascii="Times New Roman"/>
                <w:sz w:val="21"/>
              </w:rPr>
              <w:t>80,73</w:t>
            </w:r>
          </w:p>
          <w:p>
            <w:pPr>
              <w:pStyle w:val="TableParagraph"/>
              <w:spacing w:line="241" w:lineRule="exact"/>
              <w:ind w:left="136" w:right="0"/>
              <w:jc w:val="left"/>
              <w:rPr>
                <w:rFonts w:ascii="Times New Roman" w:hAnsi="Times New Roman" w:cs="Times New Roman" w:eastAsia="Times New Roman" w:hint="default"/>
                <w:sz w:val="21"/>
                <w:szCs w:val="21"/>
              </w:rPr>
            </w:pPr>
            <w:r>
              <w:rPr>
                <w:rFonts w:ascii="Times New Roman"/>
                <w:sz w:val="21"/>
              </w:rPr>
              <w:t>6,392</w:t>
            </w:r>
          </w:p>
          <w:p>
            <w:pPr>
              <w:pStyle w:val="TableParagraph"/>
              <w:spacing w:line="240" w:lineRule="auto" w:before="1"/>
              <w:ind w:left="347" w:right="0"/>
              <w:jc w:val="left"/>
              <w:rPr>
                <w:rFonts w:ascii="Times New Roman" w:hAnsi="Times New Roman" w:cs="Times New Roman" w:eastAsia="Times New Roman" w:hint="default"/>
                <w:sz w:val="21"/>
                <w:szCs w:val="21"/>
              </w:rPr>
            </w:pPr>
            <w:r>
              <w:rPr>
                <w:rFonts w:ascii="Times New Roman"/>
                <w:sz w:val="21"/>
              </w:rPr>
              <w:t>.98</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16"/>
              <w:ind w:left="21" w:right="0"/>
              <w:jc w:val="center"/>
              <w:rPr>
                <w:rFonts w:ascii="Times New Roman" w:hAnsi="Times New Roman" w:cs="Times New Roman" w:eastAsia="Times New Roman" w:hint="default"/>
                <w:sz w:val="21"/>
                <w:szCs w:val="21"/>
              </w:rPr>
            </w:pPr>
            <w:r>
              <w:rPr>
                <w:rFonts w:ascii="Times New Roman"/>
                <w:sz w:val="21"/>
              </w:rPr>
              <w:t>1,001,5</w:t>
            </w:r>
          </w:p>
          <w:p>
            <w:pPr>
              <w:pStyle w:val="TableParagraph"/>
              <w:spacing w:line="241" w:lineRule="exact"/>
              <w:ind w:left="180" w:right="0"/>
              <w:jc w:val="center"/>
              <w:rPr>
                <w:rFonts w:ascii="Times New Roman" w:hAnsi="Times New Roman" w:cs="Times New Roman" w:eastAsia="Times New Roman" w:hint="default"/>
                <w:sz w:val="21"/>
                <w:szCs w:val="21"/>
              </w:rPr>
            </w:pPr>
            <w:r>
              <w:rPr>
                <w:rFonts w:ascii="Times New Roman"/>
                <w:sz w:val="21"/>
              </w:rPr>
              <w:t>24.96</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存在公开报价的联营企业权</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36" w:right="0"/>
              <w:jc w:val="left"/>
              <w:rPr>
                <w:rFonts w:ascii="Times New Roman" w:hAnsi="Times New Roman" w:cs="Times New Roman" w:eastAsia="Times New Roman" w:hint="default"/>
                <w:sz w:val="21"/>
                <w:szCs w:val="21"/>
              </w:rPr>
            </w:pPr>
            <w:r>
              <w:rPr>
                <w:rFonts w:ascii="Times New Roman"/>
                <w:sz w:val="21"/>
              </w:rPr>
              <w:t>16,93</w:t>
            </w:r>
          </w:p>
          <w:p>
            <w:pPr>
              <w:pStyle w:val="TableParagraph"/>
              <w:spacing w:line="241" w:lineRule="exact"/>
              <w:ind w:left="136" w:right="0"/>
              <w:jc w:val="left"/>
              <w:rPr>
                <w:rFonts w:ascii="Times New Roman" w:hAnsi="Times New Roman" w:cs="Times New Roman" w:eastAsia="Times New Roman" w:hint="default"/>
                <w:sz w:val="21"/>
                <w:szCs w:val="21"/>
              </w:rPr>
            </w:pPr>
            <w:r>
              <w:rPr>
                <w:rFonts w:ascii="Times New Roman"/>
                <w:sz w:val="21"/>
              </w:rPr>
              <w:t>2,593</w:t>
            </w:r>
          </w:p>
          <w:p>
            <w:pPr>
              <w:pStyle w:val="TableParagraph"/>
              <w:spacing w:line="240" w:lineRule="auto" w:before="1"/>
              <w:ind w:left="347" w:right="0"/>
              <w:jc w:val="left"/>
              <w:rPr>
                <w:rFonts w:ascii="Times New Roman" w:hAnsi="Times New Roman" w:cs="Times New Roman" w:eastAsia="Times New Roman" w:hint="default"/>
                <w:sz w:val="21"/>
                <w:szCs w:val="21"/>
              </w:rPr>
            </w:pPr>
            <w:r>
              <w:rPr>
                <w:rFonts w:ascii="Times New Roman"/>
                <w:sz w:val="21"/>
              </w:rPr>
              <w:t>.37</w:t>
            </w: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65" w:right="0"/>
              <w:jc w:val="left"/>
              <w:rPr>
                <w:rFonts w:ascii="Times New Roman" w:hAnsi="Times New Roman" w:cs="Times New Roman" w:eastAsia="Times New Roman" w:hint="default"/>
                <w:sz w:val="21"/>
                <w:szCs w:val="21"/>
              </w:rPr>
            </w:pPr>
            <w:r>
              <w:rPr>
                <w:rFonts w:ascii="Times New Roman"/>
                <w:sz w:val="21"/>
              </w:rPr>
              <w:t>-7,753,</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412.01</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2,122</w:t>
            </w:r>
          </w:p>
          <w:p>
            <w:pPr>
              <w:pStyle w:val="TableParagraph"/>
              <w:spacing w:line="241" w:lineRule="exact" w:before="1"/>
              <w:ind w:left="189" w:right="0"/>
              <w:jc w:val="left"/>
              <w:rPr>
                <w:rFonts w:ascii="Times New Roman" w:hAnsi="Times New Roman" w:cs="Times New Roman" w:eastAsia="Times New Roman" w:hint="default"/>
                <w:sz w:val="21"/>
                <w:szCs w:val="21"/>
              </w:rPr>
            </w:pPr>
            <w:r>
              <w:rPr>
                <w:rFonts w:ascii="Times New Roman"/>
                <w:sz w:val="21"/>
              </w:rPr>
              <w:t>,148.</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94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z w:val="21"/>
              </w:rPr>
              <w:t>3,049.9</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2</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76"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867"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16"/>
              <w:ind w:left="165" w:right="0"/>
              <w:jc w:val="left"/>
              <w:rPr>
                <w:rFonts w:ascii="Times New Roman" w:hAnsi="Times New Roman" w:cs="Times New Roman" w:eastAsia="Times New Roman" w:hint="default"/>
                <w:sz w:val="21"/>
                <w:szCs w:val="21"/>
              </w:rPr>
            </w:pPr>
            <w:r>
              <w:rPr>
                <w:rFonts w:ascii="Times New Roman"/>
                <w:sz w:val="21"/>
              </w:rPr>
              <w:t>-7,753,</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412.01</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6" w:right="0"/>
              <w:jc w:val="left"/>
              <w:rPr>
                <w:rFonts w:ascii="Times New Roman" w:hAnsi="Times New Roman" w:cs="Times New Roman" w:eastAsia="Times New Roman" w:hint="default"/>
                <w:sz w:val="21"/>
                <w:szCs w:val="21"/>
              </w:rPr>
            </w:pPr>
            <w:r>
              <w:rPr>
                <w:rFonts w:ascii="Times New Roman"/>
                <w:sz w:val="21"/>
              </w:rPr>
              <w:t>2,122</w:t>
            </w:r>
          </w:p>
          <w:p>
            <w:pPr>
              <w:pStyle w:val="TableParagraph"/>
              <w:spacing w:line="241" w:lineRule="exact"/>
              <w:ind w:left="189" w:right="0"/>
              <w:jc w:val="left"/>
              <w:rPr>
                <w:rFonts w:ascii="Times New Roman" w:hAnsi="Times New Roman" w:cs="Times New Roman" w:eastAsia="Times New Roman" w:hint="default"/>
                <w:sz w:val="21"/>
                <w:szCs w:val="21"/>
              </w:rPr>
            </w:pPr>
            <w:r>
              <w:rPr>
                <w:rFonts w:ascii="Times New Roman"/>
                <w:sz w:val="21"/>
              </w:rPr>
              <w:t>,148.</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94</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16"/>
              <w:ind w:right="96"/>
              <w:jc w:val="right"/>
              <w:rPr>
                <w:rFonts w:ascii="Times New Roman" w:hAnsi="Times New Roman" w:cs="Times New Roman" w:eastAsia="Times New Roman" w:hint="default"/>
                <w:sz w:val="21"/>
                <w:szCs w:val="21"/>
              </w:rPr>
            </w:pPr>
            <w:r>
              <w:rPr>
                <w:rFonts w:ascii="Times New Roman"/>
                <w:sz w:val="21"/>
              </w:rPr>
              <w:t>3,049.9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2</w:t>
            </w:r>
          </w:p>
        </w:tc>
        <w:tc>
          <w:tcPr>
            <w:tcW w:w="730"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本年度收到的来自联营企业</w:t>
            </w:r>
            <w:r>
              <w:rPr>
                <w:rFonts w:ascii="宋体" w:hAnsi="宋体" w:cs="宋体" w:eastAsia="宋体" w:hint="default"/>
                <w:sz w:val="21"/>
                <w:szCs w:val="21"/>
              </w:rPr>
            </w:r>
          </w:p>
        </w:tc>
        <w:tc>
          <w:tcPr>
            <w:tcW w:w="876" w:type="dxa"/>
            <w:tcBorders>
              <w:top w:val="single" w:sz="6" w:space="0" w:color="000000"/>
              <w:left w:val="single" w:sz="6" w:space="0" w:color="000000"/>
              <w:bottom w:val="single" w:sz="4" w:space="0" w:color="000000"/>
              <w:right w:val="single" w:sz="6" w:space="0" w:color="000000"/>
            </w:tcBorders>
          </w:tcPr>
          <w:p>
            <w:pPr/>
          </w:p>
        </w:tc>
        <w:tc>
          <w:tcPr>
            <w:tcW w:w="727" w:type="dxa"/>
            <w:tcBorders>
              <w:top w:val="single" w:sz="6" w:space="0" w:color="000000"/>
              <w:left w:val="single" w:sz="6" w:space="0" w:color="000000"/>
              <w:bottom w:val="single" w:sz="4" w:space="0" w:color="000000"/>
              <w:right w:val="single" w:sz="6" w:space="0" w:color="000000"/>
            </w:tcBorders>
          </w:tcPr>
          <w:p>
            <w:pPr/>
          </w:p>
        </w:tc>
        <w:tc>
          <w:tcPr>
            <w:tcW w:w="867" w:type="dxa"/>
            <w:tcBorders>
              <w:top w:val="single" w:sz="6" w:space="0" w:color="000000"/>
              <w:left w:val="single" w:sz="6" w:space="0" w:color="000000"/>
              <w:bottom w:val="single" w:sz="4" w:space="0" w:color="000000"/>
              <w:right w:val="single" w:sz="6" w:space="0" w:color="000000"/>
            </w:tcBorders>
          </w:tcPr>
          <w:p>
            <w:pPr/>
          </w:p>
        </w:tc>
        <w:tc>
          <w:tcPr>
            <w:tcW w:w="730" w:type="dxa"/>
            <w:tcBorders>
              <w:top w:val="single" w:sz="6" w:space="0" w:color="000000"/>
              <w:left w:val="single" w:sz="6" w:space="0" w:color="000000"/>
              <w:bottom w:val="single" w:sz="4" w:space="0" w:color="000000"/>
              <w:right w:val="single" w:sz="6" w:space="0" w:color="000000"/>
            </w:tcBorders>
          </w:tcPr>
          <w:p>
            <w:pPr/>
          </w:p>
        </w:tc>
        <w:tc>
          <w:tcPr>
            <w:tcW w:w="727" w:type="dxa"/>
            <w:tcBorders>
              <w:top w:val="single" w:sz="6" w:space="0" w:color="000000"/>
              <w:left w:val="single" w:sz="6" w:space="0" w:color="000000"/>
              <w:bottom w:val="single" w:sz="4" w:space="0" w:color="000000"/>
              <w:right w:val="single" w:sz="6" w:space="0" w:color="000000"/>
            </w:tcBorders>
          </w:tcPr>
          <w:p>
            <w:pPr/>
          </w:p>
        </w:tc>
        <w:tc>
          <w:tcPr>
            <w:tcW w:w="728" w:type="dxa"/>
            <w:tcBorders>
              <w:top w:val="single" w:sz="6" w:space="0" w:color="000000"/>
              <w:left w:val="single" w:sz="6" w:space="0" w:color="000000"/>
              <w:bottom w:val="single" w:sz="4" w:space="0" w:color="000000"/>
              <w:right w:val="single" w:sz="6" w:space="0" w:color="000000"/>
            </w:tcBorders>
          </w:tcPr>
          <w:p>
            <w:pPr/>
          </w:p>
        </w:tc>
        <w:tc>
          <w:tcPr>
            <w:tcW w:w="727" w:type="dxa"/>
            <w:tcBorders>
              <w:top w:val="single" w:sz="6" w:space="0" w:color="000000"/>
              <w:left w:val="single" w:sz="6" w:space="0" w:color="000000"/>
              <w:bottom w:val="single" w:sz="4" w:space="0" w:color="000000"/>
              <w:right w:val="single" w:sz="6" w:space="0" w:color="000000"/>
            </w:tcBorders>
          </w:tcPr>
          <w:p>
            <w:pPr/>
          </w:p>
        </w:tc>
        <w:tc>
          <w:tcPr>
            <w:tcW w:w="778"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57" w:footer="979" w:top="1140" w:bottom="1160" w:left="158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05"/>
        <w:gridCol w:w="876"/>
        <w:gridCol w:w="727"/>
        <w:gridCol w:w="867"/>
        <w:gridCol w:w="730"/>
        <w:gridCol w:w="727"/>
        <w:gridCol w:w="728"/>
        <w:gridCol w:w="727"/>
        <w:gridCol w:w="778"/>
      </w:tblGrid>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876" w:type="dxa"/>
            <w:tcBorders>
              <w:top w:val="single" w:sz="4" w:space="0" w:color="000000"/>
              <w:left w:val="single" w:sz="6" w:space="0" w:color="000000"/>
              <w:bottom w:val="single" w:sz="4" w:space="0" w:color="000000"/>
              <w:right w:val="single" w:sz="6" w:space="0" w:color="000000"/>
            </w:tcBorders>
          </w:tcPr>
          <w:p>
            <w:pPr/>
          </w:p>
        </w:tc>
        <w:tc>
          <w:tcPr>
            <w:tcW w:w="727" w:type="dxa"/>
            <w:tcBorders>
              <w:top w:val="single" w:sz="4" w:space="0" w:color="000000"/>
              <w:left w:val="single" w:sz="6" w:space="0" w:color="000000"/>
              <w:bottom w:val="single" w:sz="4" w:space="0" w:color="000000"/>
              <w:right w:val="single" w:sz="6" w:space="0" w:color="000000"/>
            </w:tcBorders>
          </w:tcPr>
          <w:p>
            <w:pPr/>
          </w:p>
        </w:tc>
        <w:tc>
          <w:tcPr>
            <w:tcW w:w="867" w:type="dxa"/>
            <w:tcBorders>
              <w:top w:val="single" w:sz="4" w:space="0" w:color="000000"/>
              <w:left w:val="single" w:sz="6" w:space="0" w:color="000000"/>
              <w:bottom w:val="single" w:sz="4" w:space="0" w:color="000000"/>
              <w:right w:val="single" w:sz="6" w:space="0" w:color="000000"/>
            </w:tcBorders>
          </w:tcPr>
          <w:p>
            <w:pPr/>
          </w:p>
        </w:tc>
        <w:tc>
          <w:tcPr>
            <w:tcW w:w="730" w:type="dxa"/>
            <w:tcBorders>
              <w:top w:val="single" w:sz="4" w:space="0" w:color="000000"/>
              <w:left w:val="single" w:sz="6" w:space="0" w:color="000000"/>
              <w:bottom w:val="single" w:sz="4" w:space="0" w:color="000000"/>
              <w:right w:val="single" w:sz="6" w:space="0" w:color="000000"/>
            </w:tcBorders>
          </w:tcPr>
          <w:p>
            <w:pPr/>
          </w:p>
        </w:tc>
        <w:tc>
          <w:tcPr>
            <w:tcW w:w="727" w:type="dxa"/>
            <w:tcBorders>
              <w:top w:val="single" w:sz="6" w:space="0" w:color="000000"/>
              <w:left w:val="single" w:sz="6" w:space="0" w:color="000000"/>
              <w:bottom w:val="single" w:sz="4" w:space="0" w:color="000000"/>
              <w:right w:val="single" w:sz="6" w:space="0" w:color="000000"/>
            </w:tcBorders>
          </w:tcPr>
          <w:p>
            <w:pPr/>
          </w:p>
        </w:tc>
        <w:tc>
          <w:tcPr>
            <w:tcW w:w="728" w:type="dxa"/>
            <w:tcBorders>
              <w:top w:val="single" w:sz="6" w:space="0" w:color="000000"/>
              <w:left w:val="single" w:sz="6" w:space="0" w:color="000000"/>
              <w:bottom w:val="single" w:sz="4" w:space="0" w:color="000000"/>
              <w:right w:val="single" w:sz="6" w:space="0" w:color="000000"/>
            </w:tcBorders>
          </w:tcPr>
          <w:p>
            <w:pPr/>
          </w:p>
        </w:tc>
        <w:tc>
          <w:tcPr>
            <w:tcW w:w="727" w:type="dxa"/>
            <w:tcBorders>
              <w:top w:val="single" w:sz="6" w:space="0" w:color="000000"/>
              <w:left w:val="single" w:sz="6" w:space="0" w:color="000000"/>
              <w:bottom w:val="single" w:sz="4" w:space="0" w:color="000000"/>
              <w:right w:val="single" w:sz="6" w:space="0" w:color="000000"/>
            </w:tcBorders>
          </w:tcPr>
          <w:p>
            <w:pPr/>
          </w:p>
        </w:tc>
        <w:tc>
          <w:tcPr>
            <w:tcW w:w="778"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3"/>
        <w:rPr>
          <w:rFonts w:ascii="Times New Roman" w:hAnsi="Times New Roman" w:cs="Times New Roman" w:eastAsia="Times New Roman" w:hint="default"/>
          <w:sz w:val="16"/>
          <w:szCs w:val="16"/>
        </w:rPr>
      </w:pPr>
    </w:p>
    <w:p>
      <w:pPr>
        <w:pStyle w:val="BodyText"/>
        <w:spacing w:line="274" w:lineRule="exact" w:before="36"/>
        <w:ind w:right="3282"/>
        <w:jc w:val="left"/>
      </w:pPr>
      <w:r>
        <w:rPr/>
        <w:t>其他说明</w:t>
      </w:r>
    </w:p>
    <w:p>
      <w:pPr>
        <w:pStyle w:val="BodyText"/>
        <w:spacing w:line="301" w:lineRule="exact"/>
        <w:ind w:right="3282"/>
        <w:jc w:val="left"/>
      </w:pPr>
      <w:r>
        <w:rPr/>
        <w:t>重要的合营及联营企业</w:t>
      </w:r>
      <w:r>
        <w:rPr>
          <w:spacing w:val="-55"/>
        </w:rPr>
        <w:t> </w:t>
      </w:r>
      <w:r>
        <w:rPr>
          <w:rFonts w:ascii="Calibri" w:hAnsi="Calibri" w:cs="Calibri" w:eastAsia="Calibri" w:hint="default"/>
        </w:rPr>
        <w:t>2017</w:t>
      </w:r>
      <w:r>
        <w:rPr>
          <w:rFonts w:ascii="Calibri" w:hAnsi="Calibri" w:cs="Calibri" w:eastAsia="Calibri" w:hint="default"/>
          <w:spacing w:val="4"/>
        </w:rPr>
        <w:t> </w:t>
      </w:r>
      <w:r>
        <w:rPr/>
        <w:t>年开始经营活动。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20"/>
        </w:sectPr>
      </w:pPr>
    </w:p>
    <w:p>
      <w:pPr>
        <w:pStyle w:val="Heading3"/>
        <w:tabs>
          <w:tab w:pos="849" w:val="left" w:leader="none"/>
        </w:tabs>
        <w:spacing w:line="240" w:lineRule="auto" w:before="36"/>
        <w:ind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1163" w:val="left" w:leader="none"/>
        </w:tabs>
        <w:spacing w:line="240" w:lineRule="auto" w:before="56"/>
        <w:ind w:right="0"/>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20"/>
          <w:cols w:num="2" w:equalWidth="0">
            <w:col w:w="5069" w:space="1664"/>
            <w:col w:w="25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4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Calibri" w:hAnsi="Calibri" w:cs="Calibri" w:eastAsia="Calibri" w:hint="default"/>
                <w:sz w:val="21"/>
                <w:szCs w:val="21"/>
              </w:rPr>
              <w:t>/</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4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Calibri" w:hAnsi="Calibri" w:cs="Calibri" w:eastAsia="Calibri" w:hint="default"/>
                <w:sz w:val="21"/>
                <w:szCs w:val="21"/>
              </w:rPr>
              <w:t>/</w:t>
            </w:r>
            <w:r>
              <w:rPr>
                <w:rFonts w:ascii="宋体" w:hAnsi="宋体" w:cs="宋体" w:eastAsia="宋体" w:hint="default"/>
                <w:sz w:val="21"/>
                <w:szCs w:val="21"/>
              </w:rPr>
              <w:t>上期发生额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67"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154,631.56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154,576.56</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275.00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-26,801.26</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275.00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-26,801.26</w:t>
            </w:r>
          </w:p>
        </w:tc>
      </w:tr>
    </w:tbl>
    <w:p>
      <w:pPr>
        <w:pStyle w:val="BodyText"/>
        <w:spacing w:line="239" w:lineRule="exact"/>
        <w:ind w:right="3282"/>
        <w:jc w:val="left"/>
      </w:pPr>
      <w:r>
        <w:rPr/>
        <w:t>其他说明</w:t>
      </w:r>
    </w:p>
    <w:p>
      <w:pPr>
        <w:pStyle w:val="BodyText"/>
        <w:spacing w:line="273" w:lineRule="exact"/>
        <w:ind w:right="3282"/>
        <w:jc w:val="left"/>
      </w:pPr>
      <w:r>
        <w:rPr>
          <w:w w:val="100"/>
        </w:rPr>
        <w:t>无</w:t>
      </w:r>
    </w:p>
    <w:p>
      <w:pPr>
        <w:spacing w:line="240" w:lineRule="auto" w:before="12"/>
        <w:rPr>
          <w:rFonts w:ascii="宋体" w:hAnsi="宋体" w:cs="宋体" w:eastAsia="宋体" w:hint="default"/>
          <w:sz w:val="23"/>
          <w:szCs w:val="23"/>
        </w:rPr>
      </w:pPr>
    </w:p>
    <w:p>
      <w:pPr>
        <w:pStyle w:val="Heading3"/>
        <w:tabs>
          <w:tab w:pos="849" w:val="left" w:leader="none"/>
        </w:tabs>
        <w:spacing w:line="240" w:lineRule="auto"/>
        <w:ind w:right="434"/>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163" w:val="left" w:leader="none"/>
        </w:tabs>
        <w:spacing w:line="240" w:lineRule="auto" w:before="58"/>
        <w:ind w:right="3282"/>
        <w:jc w:val="left"/>
      </w:pPr>
      <w:r>
        <w:rPr/>
        <w:t>□适用</w:t>
        <w:tab/>
        <w:t>√不适用</w:t>
      </w:r>
    </w:p>
    <w:p>
      <w:pPr>
        <w:spacing w:line="240" w:lineRule="auto" w:before="12"/>
        <w:rPr>
          <w:rFonts w:ascii="宋体" w:hAnsi="宋体" w:cs="宋体" w:eastAsia="宋体" w:hint="default"/>
          <w:sz w:val="23"/>
          <w:szCs w:val="23"/>
        </w:rPr>
      </w:pPr>
    </w:p>
    <w:p>
      <w:pPr>
        <w:pStyle w:val="Heading3"/>
        <w:tabs>
          <w:tab w:pos="849" w:val="left" w:leader="none"/>
        </w:tabs>
        <w:spacing w:line="240" w:lineRule="auto"/>
        <w:ind w:right="3282"/>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1163" w:val="left" w:leader="none"/>
        </w:tabs>
        <w:spacing w:line="240" w:lineRule="auto" w:before="59"/>
        <w:ind w:right="3282"/>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tabs>
          <w:tab w:pos="849" w:val="left" w:leader="none"/>
        </w:tabs>
        <w:spacing w:line="240" w:lineRule="auto"/>
        <w:ind w:right="3282"/>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163" w:val="left" w:leader="none"/>
        </w:tabs>
        <w:spacing w:line="240" w:lineRule="auto" w:before="56"/>
        <w:ind w:right="3282"/>
        <w:jc w:val="left"/>
      </w:pPr>
      <w:r>
        <w:rPr/>
        <w:t>□适用</w:t>
        <w:tab/>
        <w:t>√不适用</w:t>
      </w:r>
    </w:p>
    <w:p>
      <w:pPr>
        <w:spacing w:line="240" w:lineRule="auto" w:before="2"/>
        <w:rPr>
          <w:rFonts w:ascii="宋体" w:hAnsi="宋体" w:cs="宋体" w:eastAsia="宋体" w:hint="default"/>
          <w:sz w:val="24"/>
          <w:szCs w:val="24"/>
        </w:rPr>
      </w:pPr>
    </w:p>
    <w:p>
      <w:pPr>
        <w:pStyle w:val="Heading3"/>
        <w:tabs>
          <w:tab w:pos="849" w:val="left" w:leader="none"/>
        </w:tabs>
        <w:spacing w:line="240" w:lineRule="auto"/>
        <w:ind w:right="3282"/>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163" w:val="left" w:leader="none"/>
        </w:tabs>
        <w:spacing w:line="240" w:lineRule="auto" w:before="56"/>
        <w:ind w:right="3282"/>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3282"/>
        <w:jc w:val="left"/>
        <w:rPr>
          <w:b w:val="0"/>
          <w:bCs w:val="0"/>
        </w:rPr>
      </w:pPr>
      <w:r>
        <w:rPr>
          <w:rFonts w:ascii="宋体" w:hAnsi="宋体" w:cs="宋体" w:eastAsia="宋体" w:hint="default"/>
        </w:rPr>
        <w:t>4</w:t>
      </w:r>
      <w:r>
        <w:rPr/>
        <w:t>、重要的共同经营</w:t>
      </w:r>
      <w:r>
        <w:rPr>
          <w:b w:val="0"/>
          <w:bCs w:val="0"/>
        </w:rPr>
      </w:r>
    </w:p>
    <w:p>
      <w:pPr>
        <w:pStyle w:val="BodyText"/>
        <w:tabs>
          <w:tab w:pos="1060" w:val="left" w:leader="none"/>
        </w:tabs>
        <w:spacing w:line="240" w:lineRule="auto" w:before="58"/>
        <w:ind w:right="3282"/>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spacing w:line="290" w:lineRule="auto" w:before="0"/>
        <w:ind w:left="218" w:right="3282" w:firstLine="0"/>
        <w:jc w:val="left"/>
        <w:rPr>
          <w:rFonts w:ascii="宋体" w:hAnsi="宋体" w:cs="宋体" w:eastAsia="宋体" w:hint="default"/>
          <w:sz w:val="21"/>
          <w:szCs w:val="21"/>
        </w:rPr>
      </w:pP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、在未纳入合并财务报表范围的结构化主体中的权益</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未纳入合并财务报表范围的结构化主体的相关说明：</w:t>
      </w:r>
    </w:p>
    <w:p>
      <w:pPr>
        <w:spacing w:after="0" w:line="290" w:lineRule="auto"/>
        <w:jc w:val="left"/>
        <w:rPr>
          <w:rFonts w:ascii="宋体" w:hAnsi="宋体" w:cs="宋体" w:eastAsia="宋体" w:hint="default"/>
          <w:sz w:val="21"/>
          <w:szCs w:val="21"/>
        </w:rPr>
        <w:sectPr>
          <w:type w:val="continuous"/>
          <w:pgSz w:w="11910" w:h="16840"/>
          <w:pgMar w:top="1580" w:bottom="280" w:left="1580" w:right="1020"/>
        </w:sectPr>
      </w:pPr>
    </w:p>
    <w:p>
      <w:pPr>
        <w:spacing w:line="240" w:lineRule="auto" w:before="4"/>
        <w:rPr>
          <w:rFonts w:ascii="宋体" w:hAnsi="宋体" w:cs="宋体" w:eastAsia="宋体" w:hint="default"/>
          <w:sz w:val="23"/>
          <w:szCs w:val="23"/>
        </w:rPr>
      </w:pPr>
    </w:p>
    <w:p>
      <w:pPr>
        <w:pStyle w:val="BodyText"/>
        <w:tabs>
          <w:tab w:pos="980" w:val="left" w:leader="none"/>
        </w:tabs>
        <w:spacing w:line="240" w:lineRule="auto" w:before="36"/>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left="138" w:right="47"/>
        <w:jc w:val="left"/>
        <w:rPr>
          <w:b w:val="0"/>
          <w:bCs w:val="0"/>
        </w:rPr>
      </w:pPr>
      <w:r>
        <w:rPr>
          <w:rFonts w:ascii="宋体" w:hAnsi="宋体" w:cs="宋体" w:eastAsia="宋体" w:hint="default"/>
        </w:rPr>
        <w:t>6</w:t>
      </w:r>
      <w:r>
        <w:rPr/>
        <w:t>、其他</w:t>
      </w:r>
      <w:r>
        <w:rPr>
          <w:b w:val="0"/>
          <w:bCs w:val="0"/>
        </w:rPr>
      </w:r>
    </w:p>
    <w:p>
      <w:pPr>
        <w:pStyle w:val="BodyText"/>
        <w:tabs>
          <w:tab w:pos="1083" w:val="left" w:leader="none"/>
        </w:tabs>
        <w:spacing w:line="240" w:lineRule="auto" w:before="56"/>
        <w:ind w:left="138" w:right="47"/>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47"/>
        <w:jc w:val="left"/>
        <w:rPr>
          <w:b w:val="0"/>
          <w:bCs w:val="0"/>
        </w:rPr>
      </w:pPr>
      <w:r>
        <w:rPr/>
        <w:t>十、与金融工具相关的风险</w:t>
      </w:r>
      <w:r>
        <w:rPr>
          <w:b w:val="0"/>
          <w:bCs w:val="0"/>
        </w:rPr>
      </w:r>
    </w:p>
    <w:p>
      <w:pPr>
        <w:pStyle w:val="BodyText"/>
        <w:tabs>
          <w:tab w:pos="980" w:val="left" w:leader="none"/>
        </w:tabs>
        <w:spacing w:line="240" w:lineRule="auto" w:before="58"/>
        <w:ind w:left="138" w:right="47"/>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660" w:right="1120"/>
        </w:sectPr>
      </w:pPr>
    </w:p>
    <w:p>
      <w:pPr>
        <w:pStyle w:val="Heading3"/>
        <w:spacing w:line="240" w:lineRule="auto" w:before="36"/>
        <w:ind w:left="138" w:right="-18"/>
        <w:jc w:val="left"/>
        <w:rPr>
          <w:b w:val="0"/>
          <w:bCs w:val="0"/>
        </w:rPr>
      </w:pPr>
      <w:r>
        <w:rPr/>
        <w:t>十一、公允价值的披露</w:t>
      </w:r>
      <w:r>
        <w:rPr>
          <w:b w:val="0"/>
          <w:bCs w:val="0"/>
        </w:rPr>
      </w:r>
    </w:p>
    <w:p>
      <w:pPr>
        <w:pStyle w:val="Heading3"/>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83" w:val="left" w:leader="none"/>
        </w:tabs>
        <w:spacing w:line="240" w:lineRule="auto" w:before="56"/>
        <w:ind w:left="138" w:right="-18"/>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0"/>
          <w:szCs w:val="30"/>
        </w:rPr>
      </w:pPr>
    </w:p>
    <w:p>
      <w:pPr>
        <w:pStyle w:val="BodyText"/>
        <w:spacing w:line="240" w:lineRule="auto"/>
        <w:ind w:left="138"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660" w:right="1120"/>
          <w:cols w:num="2" w:equalWidth="0">
            <w:col w:w="4783" w:space="2257"/>
            <w:col w:w="2090"/>
          </w:cols>
        </w:sectPr>
      </w:pPr>
    </w:p>
    <w:tbl>
      <w:tblPr>
        <w:tblW w:w="0" w:type="auto"/>
        <w:jc w:val="left"/>
        <w:tblInd w:w="104" w:type="dxa"/>
        <w:tblLayout w:type="fixed"/>
        <w:tblCellMar>
          <w:top w:w="0" w:type="dxa"/>
          <w:left w:w="0" w:type="dxa"/>
          <w:bottom w:w="0" w:type="dxa"/>
          <w:right w:w="0" w:type="dxa"/>
        </w:tblCellMar>
        <w:tblLook w:val="01E0"/>
      </w:tblPr>
      <w:tblGrid>
        <w:gridCol w:w="2367"/>
        <w:gridCol w:w="1666"/>
        <w:gridCol w:w="1628"/>
        <w:gridCol w:w="1693"/>
        <w:gridCol w:w="1538"/>
      </w:tblGrid>
      <w:tr>
        <w:trPr>
          <w:trHeight w:val="283" w:hRule="exact"/>
        </w:trPr>
        <w:tc>
          <w:tcPr>
            <w:tcW w:w="2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67"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113,710,759.27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113,710,759.27</w:t>
            </w: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交易性金融资产</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113,710,759.27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113,710,759.27</w:t>
            </w: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）衍生金融资产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）其他理财产品</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113,710,759.27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113,710,759.27</w:t>
            </w:r>
          </w:p>
        </w:tc>
      </w:tr>
      <w:tr>
        <w:trPr>
          <w:trHeight w:val="82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7"/>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指定以公允价值计量且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其变动计入当期损益的金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）其他</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出租用的土地使用权</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出租的建筑物</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9"/>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持有并准备增值后转让</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的土地使用权</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消耗性生物资产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生产性生物资产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持续以公允价值计量的</w:t>
            </w:r>
            <w:r>
              <w:rPr>
                <w:rFonts w:ascii="宋体" w:hAnsi="宋体" w:cs="宋体" w:eastAsia="宋体" w:hint="default"/>
                <w:spacing w:val="18"/>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113,710,759.27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113,710,759.27</w:t>
            </w:r>
          </w:p>
        </w:tc>
      </w:tr>
      <w:tr>
        <w:trPr>
          <w:trHeight w:val="305"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20"/>
        </w:sectPr>
      </w:pPr>
    </w:p>
    <w:p>
      <w:pPr>
        <w:spacing w:line="240" w:lineRule="auto" w:before="8"/>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2367"/>
        <w:gridCol w:w="1666"/>
        <w:gridCol w:w="1628"/>
        <w:gridCol w:w="1693"/>
        <w:gridCol w:w="1538"/>
      </w:tblGrid>
      <w:tr>
        <w:trPr>
          <w:trHeight w:val="82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持续以公允价值计量的</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非持续以公允价值计量</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非持续以公允价值计量</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333"/>
        <w:gridCol w:w="1522"/>
        <w:gridCol w:w="1402"/>
        <w:gridCol w:w="1793"/>
      </w:tblGrid>
      <w:tr>
        <w:trPr>
          <w:trHeight w:val="554"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期末公允价值</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估值技术</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重要可观察输入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r>
      <w:tr>
        <w:trPr>
          <w:trHeight w:val="554"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以公允价值计量且变动计入当期损益的金融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113,710,759.27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公开市场交</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易</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上市公司流通股票投资</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证券公司理财产品投资</w:t>
            </w:r>
          </w:p>
        </w:tc>
        <w:tc>
          <w:tcPr>
            <w:tcW w:w="152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123"/>
        <w:jc w:val="left"/>
      </w:pPr>
      <w:r>
        <w:rPr/>
        <w:t>注：交易性金融资产投资均存在活跃市场，以公开的市场交易价格基础来确定公允价值。</w:t>
      </w:r>
    </w:p>
    <w:p>
      <w:pPr>
        <w:spacing w:line="240" w:lineRule="auto" w:before="12"/>
        <w:rPr>
          <w:rFonts w:ascii="宋体" w:hAnsi="宋体" w:cs="宋体" w:eastAsia="宋体" w:hint="default"/>
          <w:sz w:val="23"/>
          <w:szCs w:val="23"/>
        </w:rPr>
      </w:pPr>
    </w:p>
    <w:p>
      <w:pPr>
        <w:pStyle w:val="Heading3"/>
        <w:spacing w:line="240" w:lineRule="auto"/>
        <w:ind w:right="123"/>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2"/>
        <w:rPr>
          <w:rFonts w:ascii="宋体" w:hAnsi="宋体" w:cs="宋体" w:eastAsia="宋体" w:hint="default"/>
          <w:sz w:val="24"/>
          <w:szCs w:val="24"/>
        </w:rPr>
      </w:pPr>
    </w:p>
    <w:p>
      <w:pPr>
        <w:pStyle w:val="Heading3"/>
        <w:spacing w:line="240" w:lineRule="auto"/>
        <w:ind w:right="123"/>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3"/>
        <w:rPr>
          <w:rFonts w:ascii="宋体" w:hAnsi="宋体" w:cs="宋体" w:eastAsia="宋体" w:hint="default"/>
          <w:sz w:val="26"/>
          <w:szCs w:val="26"/>
        </w:rPr>
      </w:pPr>
    </w:p>
    <w:p>
      <w:pPr>
        <w:pStyle w:val="Heading3"/>
        <w:spacing w:line="272" w:lineRule="exact"/>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163" w:val="left" w:leader="none"/>
        </w:tabs>
        <w:spacing w:line="240" w:lineRule="auto" w:before="34"/>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2"/>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163" w:val="left" w:leader="none"/>
        </w:tabs>
        <w:spacing w:line="240" w:lineRule="auto" w:before="56"/>
        <w:ind w:right="2513"/>
        <w:jc w:val="left"/>
      </w:pPr>
      <w:r>
        <w:rPr/>
        <w:t>□适用</w:t>
        <w:tab/>
        <w:t>√不适用</w:t>
      </w:r>
    </w:p>
    <w:p>
      <w:pPr>
        <w:spacing w:after="0" w:line="240" w:lineRule="auto"/>
        <w:jc w:val="left"/>
        <w:sectPr>
          <w:pgSz w:w="11910" w:h="16840"/>
          <w:pgMar w:header="857" w:footer="979" w:top="1140" w:bottom="1160" w:left="1580" w:right="1040"/>
        </w:sectPr>
      </w:pPr>
    </w:p>
    <w:p>
      <w:pPr>
        <w:spacing w:line="240" w:lineRule="auto" w:before="4"/>
        <w:rPr>
          <w:rFonts w:ascii="宋体" w:hAnsi="宋体" w:cs="宋体" w:eastAsia="宋体" w:hint="default"/>
          <w:sz w:val="23"/>
          <w:szCs w:val="23"/>
        </w:rPr>
      </w:pPr>
    </w:p>
    <w:p>
      <w:pPr>
        <w:pStyle w:val="Heading3"/>
        <w:spacing w:line="240" w:lineRule="auto" w:before="36"/>
        <w:ind w:right="2513"/>
        <w:jc w:val="left"/>
        <w:rPr>
          <w:b w:val="0"/>
          <w:bCs w:val="0"/>
        </w:rPr>
      </w:pPr>
      <w:r>
        <w:rPr>
          <w:rFonts w:ascii="宋体" w:hAnsi="宋体" w:cs="宋体" w:eastAsia="宋体" w:hint="default"/>
        </w:rPr>
        <w:t>9</w:t>
      </w:r>
      <w:r>
        <w:rPr/>
        <w:t>、</w:t>
      </w:r>
      <w:r>
        <w:rPr>
          <w:spacing w:val="2"/>
        </w:rPr>
        <w:t> </w:t>
      </w:r>
      <w:r>
        <w:rPr/>
        <w:t>其他</w:t>
      </w:r>
      <w:r>
        <w:rPr>
          <w:b w:val="0"/>
          <w:bCs w:val="0"/>
        </w:rPr>
      </w:r>
    </w:p>
    <w:p>
      <w:pPr>
        <w:tabs>
          <w:tab w:pos="1163" w:val="left" w:leader="none"/>
        </w:tabs>
        <w:spacing w:line="290" w:lineRule="auto" w:before="58"/>
        <w:ind w:left="218" w:right="674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十二、关联方及关联交易</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tabs>
          <w:tab w:pos="1163" w:val="left" w:leader="none"/>
        </w:tabs>
        <w:spacing w:line="240" w:lineRule="auto" w:before="12"/>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line="290" w:lineRule="auto" w:before="0"/>
        <w:ind w:left="218" w:right="440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163" w:val="left" w:leader="none"/>
        </w:tabs>
        <w:spacing w:line="226" w:lineRule="exact"/>
        <w:ind w:right="2513"/>
        <w:jc w:val="left"/>
      </w:pPr>
      <w:r>
        <w:rPr/>
        <w:t>√适用</w:t>
        <w:tab/>
        <w:t>□不适用</w:t>
      </w:r>
    </w:p>
    <w:p>
      <w:pPr>
        <w:pStyle w:val="BodyText"/>
        <w:spacing w:line="301" w:lineRule="exact"/>
        <w:ind w:right="2513"/>
        <w:jc w:val="left"/>
      </w:pPr>
      <w:r>
        <w:rPr>
          <w:spacing w:val="-2"/>
        </w:rPr>
        <w:t>本企业子公司的情况详见附注“九、在其他主体中的权益附注</w:t>
      </w:r>
      <w:r>
        <w:rPr/>
        <w:t> </w:t>
      </w:r>
      <w:r>
        <w:rPr>
          <w:rFonts w:ascii="Calibri" w:hAnsi="Calibri" w:cs="Calibri" w:eastAsia="Calibri" w:hint="default"/>
          <w:spacing w:val="-1"/>
        </w:rPr>
        <w:t>1”</w:t>
      </w:r>
      <w:r>
        <w:rPr>
          <w:spacing w:val="-1"/>
        </w:rPr>
        <w:t>。</w:t>
      </w:r>
    </w:p>
    <w:p>
      <w:pPr>
        <w:spacing w:line="240" w:lineRule="auto" w:before="12"/>
        <w:rPr>
          <w:rFonts w:ascii="宋体" w:hAnsi="宋体" w:cs="宋体" w:eastAsia="宋体" w:hint="default"/>
          <w:sz w:val="21"/>
          <w:szCs w:val="21"/>
        </w:rPr>
      </w:pPr>
    </w:p>
    <w:p>
      <w:pPr>
        <w:spacing w:line="290" w:lineRule="auto" w:before="0"/>
        <w:ind w:left="218" w:right="381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tabs>
          <w:tab w:pos="954" w:val="left" w:leader="none"/>
        </w:tabs>
        <w:spacing w:line="240" w:lineRule="exact"/>
        <w:ind w:right="25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88" w:lineRule="exact"/>
        <w:ind w:right="123"/>
        <w:jc w:val="left"/>
      </w:pPr>
      <w:r>
        <w:rPr>
          <w:spacing w:val="-2"/>
        </w:rPr>
        <w:t>本企业重要的合营或联营企业详见附注注“九、在其他主体中的权益附注</w:t>
      </w:r>
      <w:r>
        <w:rPr>
          <w:spacing w:val="8"/>
        </w:rPr>
        <w:t> </w:t>
      </w:r>
      <w:r>
        <w:rPr>
          <w:rFonts w:ascii="Calibri" w:hAnsi="Calibri" w:cs="Calibri" w:eastAsia="Calibri" w:hint="default"/>
          <w:spacing w:val="-1"/>
        </w:rPr>
        <w:t>3”</w:t>
      </w:r>
      <w:r>
        <w:rPr>
          <w:spacing w:val="-1"/>
        </w:rPr>
        <w:t>。</w:t>
      </w:r>
    </w:p>
    <w:p>
      <w:pPr>
        <w:spacing w:line="240" w:lineRule="auto" w:before="5"/>
        <w:rPr>
          <w:rFonts w:ascii="宋体" w:hAnsi="宋体" w:cs="宋体" w:eastAsia="宋体" w:hint="default"/>
          <w:sz w:val="19"/>
          <w:szCs w:val="19"/>
        </w:rPr>
      </w:pPr>
    </w:p>
    <w:p>
      <w:pPr>
        <w:pStyle w:val="BodyText"/>
        <w:spacing w:line="272" w:lineRule="exact"/>
        <w:ind w:right="123"/>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tabs>
          <w:tab w:pos="1060" w:val="left" w:leader="none"/>
        </w:tabs>
        <w:spacing w:line="264" w:lineRule="exact"/>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69" w:hRule="exact"/>
        </w:trPr>
        <w:tc>
          <w:tcPr>
            <w:tcW w:w="3985"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5"/>
          <w:szCs w:val="15"/>
        </w:rPr>
      </w:pPr>
    </w:p>
    <w:p>
      <w:pPr>
        <w:pStyle w:val="BodyText"/>
        <w:spacing w:line="274" w:lineRule="exact" w:before="36"/>
        <w:ind w:right="2513"/>
        <w:jc w:val="left"/>
      </w:pPr>
      <w:r>
        <w:rPr/>
        <w:t>其他说明</w:t>
      </w:r>
    </w:p>
    <w:p>
      <w:pPr>
        <w:pStyle w:val="BodyText"/>
        <w:tabs>
          <w:tab w:pos="954" w:val="left" w:leader="none"/>
        </w:tabs>
        <w:spacing w:line="301" w:lineRule="exact"/>
        <w:ind w:right="2513"/>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302" w:lineRule="auto" w:before="46"/>
        <w:ind w:right="123" w:firstLine="419"/>
        <w:jc w:val="left"/>
      </w:pPr>
      <w:r>
        <w:rPr>
          <w:rFonts w:ascii="Times New Roman" w:hAnsi="Times New Roman" w:cs="Times New Roman" w:eastAsia="Times New Roman" w:hint="default"/>
          <w:w w:val="100"/>
        </w:rPr>
        <w:t>2017 </w:t>
      </w:r>
      <w:r>
        <w:rPr>
          <w:w w:val="100"/>
        </w:rPr>
        <w:t>年 </w:t>
      </w:r>
      <w:r>
        <w:rPr>
          <w:rFonts w:ascii="Times New Roman" w:hAnsi="Times New Roman" w:cs="Times New Roman" w:eastAsia="Times New Roman" w:hint="default"/>
          <w:w w:val="100"/>
        </w:rPr>
        <w:t>3 </w:t>
      </w:r>
      <w:r>
        <w:rPr>
          <w:w w:val="100"/>
        </w:rPr>
        <w:t>月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w w:val="100"/>
        </w:rPr>
        <w:t> </w:t>
      </w:r>
      <w:r>
        <w:rPr>
          <w:spacing w:val="-10"/>
          <w:w w:val="100"/>
        </w:rPr>
        <w:t>日，公司披露了《关于收到中标通知书的公告》（详见公告编号：</w:t>
      </w:r>
      <w:r>
        <w:rPr>
          <w:rFonts w:ascii="Times New Roman" w:hAnsi="Times New Roman" w:cs="Times New Roman" w:eastAsia="Times New Roman" w:hint="default"/>
          <w:spacing w:val="-10"/>
          <w:w w:val="100"/>
        </w:rPr>
        <w:t>2017-027</w:t>
      </w:r>
      <w:r>
        <w:rPr>
          <w:spacing w:val="-10"/>
          <w:w w:val="100"/>
        </w:rPr>
        <w:t>），</w:t>
      </w:r>
      <w:r>
        <w:rPr>
          <w:spacing w:val="-106"/>
          <w:w w:val="100"/>
        </w:rPr>
        <w:t> </w:t>
      </w:r>
      <w:r>
        <w:rPr>
          <w:spacing w:val="-2"/>
          <w:w w:val="100"/>
        </w:rPr>
        <w:t>确认收到</w:t>
      </w:r>
      <w:r>
        <w:rPr>
          <w:rFonts w:ascii="Times New Roman" w:hAnsi="Times New Roman" w:cs="Times New Roman" w:eastAsia="Times New Roman" w:hint="default"/>
          <w:spacing w:val="-2"/>
          <w:w w:val="100"/>
        </w:rPr>
        <w:t>“</w:t>
      </w:r>
      <w:r>
        <w:rPr>
          <w:spacing w:val="-2"/>
          <w:w w:val="100"/>
        </w:rPr>
        <w:t>福建省应急通信工程</w:t>
      </w:r>
      <w:r>
        <w:rPr>
          <w:spacing w:val="-44"/>
          <w:w w:val="100"/>
        </w:rPr>
        <w:t> </w:t>
      </w:r>
      <w:r>
        <w:rPr>
          <w:rFonts w:ascii="Times New Roman" w:hAnsi="Times New Roman" w:cs="Times New Roman" w:eastAsia="Times New Roman" w:hint="default"/>
          <w:w w:val="100"/>
        </w:rPr>
        <w:t>PPP</w:t>
      </w:r>
      <w:r>
        <w:rPr>
          <w:rFonts w:ascii="Times New Roman" w:hAnsi="Times New Roman" w:cs="Times New Roman" w:eastAsia="Times New Roman" w:hint="default"/>
          <w:spacing w:val="12"/>
          <w:w w:val="100"/>
        </w:rPr>
        <w:t> </w:t>
      </w:r>
      <w:r>
        <w:rPr>
          <w:spacing w:val="-6"/>
          <w:w w:val="100"/>
        </w:rPr>
        <w:t>项目采购（二次）</w:t>
      </w:r>
      <w:r>
        <w:rPr>
          <w:rFonts w:ascii="Times New Roman" w:hAnsi="Times New Roman" w:cs="Times New Roman" w:eastAsia="Times New Roman" w:hint="default"/>
          <w:spacing w:val="-6"/>
          <w:w w:val="100"/>
        </w:rPr>
        <w:t>”</w:t>
      </w:r>
      <w:r>
        <w:rPr>
          <w:spacing w:val="-6"/>
          <w:w w:val="100"/>
        </w:rPr>
        <w:t>项目招标代理机构发出的《中标通知书》，</w:t>
      </w:r>
      <w:r>
        <w:rPr>
          <w:spacing w:val="-100"/>
          <w:w w:val="100"/>
        </w:rPr>
        <w:t> </w:t>
      </w:r>
      <w:r>
        <w:rPr>
          <w:spacing w:val="-100"/>
          <w:w w:val="100"/>
        </w:rPr>
      </w:r>
      <w:r>
        <w:rPr/>
        <w:t>确定本公司为项目的中标社会资本。本项目采取特许经营方式，由中标的社会资本与福建省省电</w:t>
      </w:r>
      <w:r>
        <w:rPr>
          <w:spacing w:val="-97"/>
        </w:rPr>
        <w:t> </w:t>
      </w:r>
      <w:r>
        <w:rPr>
          <w:spacing w:val="-97"/>
        </w:rPr>
      </w:r>
      <w:r>
        <w:rPr>
          <w:spacing w:val="-5"/>
        </w:rPr>
        <w:t>子信息（集团）有限公司对本项目的项目公司（</w:t>
      </w:r>
      <w:r>
        <w:rPr>
          <w:rFonts w:ascii="Times New Roman" w:hAnsi="Times New Roman" w:cs="Times New Roman" w:eastAsia="Times New Roman" w:hint="default"/>
          <w:spacing w:val="-5"/>
        </w:rPr>
        <w:t>SPV</w:t>
      </w:r>
      <w:r>
        <w:rPr>
          <w:spacing w:val="-5"/>
        </w:rPr>
        <w:t>）</w:t>
      </w:r>
      <w:r>
        <w:rPr>
          <w:rFonts w:ascii="Times New Roman" w:hAnsi="Times New Roman" w:cs="Times New Roman" w:eastAsia="Times New Roman" w:hint="default"/>
          <w:spacing w:val="-5"/>
        </w:rPr>
        <w:t>“</w:t>
      </w:r>
      <w:r>
        <w:rPr>
          <w:spacing w:val="-5"/>
        </w:rPr>
        <w:t>福建省应急通信运营有限公司</w:t>
      </w:r>
      <w:r>
        <w:rPr>
          <w:rFonts w:ascii="Times New Roman" w:hAnsi="Times New Roman" w:cs="Times New Roman" w:eastAsia="Times New Roman" w:hint="default"/>
          <w:spacing w:val="-5"/>
        </w:rPr>
        <w:t>”</w:t>
      </w:r>
      <w:r>
        <w:rPr>
          <w:spacing w:val="-5"/>
        </w:rPr>
        <w:t>进行注资，</w:t>
      </w:r>
      <w:r>
        <w:rPr>
          <w:spacing w:val="-30"/>
        </w:rPr>
        <w:t> </w:t>
      </w:r>
      <w:r>
        <w:rPr>
          <w:spacing w:val="-30"/>
        </w:rPr>
      </w:r>
      <w:r>
        <w:rPr/>
        <w:t>其中公司作为社会资本方出资</w:t>
      </w:r>
      <w:r>
        <w:rPr>
          <w:spacing w:val="-54"/>
        </w:rPr>
        <w:t> </w:t>
      </w:r>
      <w:r>
        <w:rPr>
          <w:rFonts w:ascii="Times New Roman" w:hAnsi="Times New Roman" w:cs="Times New Roman" w:eastAsia="Times New Roman" w:hint="default"/>
        </w:rPr>
        <w:t>49%</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日该项目公司完成了工商变更登记手续。</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3"/>
        <w:spacing w:line="240" w:lineRule="auto"/>
        <w:ind w:right="2513"/>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tabs>
          <w:tab w:pos="1060" w:val="left" w:leader="none"/>
        </w:tabs>
        <w:spacing w:line="240" w:lineRule="auto" w:before="58"/>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与公司受同一控股股东控制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福建冠恒华威资产管理有限公司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与公司受同一控股股东控制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福建海丝博亚国际酒店有限公司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与公司受同一控股股东控制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泉州玛珂迩妇产医院有限公司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与公司受同一控股股东控制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泉州市数字云谷信息产业发展有限公司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宋体" w:hAnsi="宋体" w:cs="宋体" w:eastAsia="宋体" w:hint="default"/>
                <w:sz w:val="21"/>
                <w:szCs w:val="21"/>
              </w:rPr>
              <w:t>以上股东受同一控股股东控制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福建省星云大数据应用服务有限公司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宋体" w:hAnsi="宋体" w:cs="宋体" w:eastAsia="宋体" w:hint="default"/>
                <w:sz w:val="21"/>
                <w:szCs w:val="21"/>
              </w:rPr>
              <w:t>以上股东受同一控股股东控制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福建省枢建通信技术有限公司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宋体" w:hAnsi="宋体" w:cs="宋体" w:eastAsia="宋体" w:hint="default"/>
                <w:sz w:val="21"/>
                <w:szCs w:val="21"/>
              </w:rPr>
              <w:t>以上股东受同一控股股东控制</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福建省和格实业集团有限公司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与重要子公司</w:t>
            </w:r>
            <w:r>
              <w:rPr>
                <w:rFonts w:ascii="宋体" w:hAnsi="宋体" w:cs="宋体" w:eastAsia="宋体" w:hint="default"/>
                <w:spacing w:val="-57"/>
                <w:sz w:val="21"/>
                <w:szCs w:val="21"/>
              </w:rPr>
              <w:t> </w:t>
            </w:r>
            <w:r>
              <w:rPr>
                <w:rFonts w:ascii="Calibri" w:hAnsi="Calibri" w:cs="Calibri" w:eastAsia="Calibri" w:hint="default"/>
                <w:sz w:val="21"/>
                <w:szCs w:val="21"/>
              </w:rPr>
              <w:t>10%</w:t>
            </w:r>
            <w:r>
              <w:rPr>
                <w:rFonts w:ascii="宋体" w:hAnsi="宋体" w:cs="宋体" w:eastAsia="宋体" w:hint="default"/>
                <w:sz w:val="21"/>
                <w:szCs w:val="21"/>
              </w:rPr>
              <w:t>以上股东受同一控股股东控制</w:t>
            </w:r>
          </w:p>
        </w:tc>
      </w:tr>
    </w:tbl>
    <w:p>
      <w:pPr>
        <w:spacing w:line="240" w:lineRule="auto" w:before="3"/>
        <w:rPr>
          <w:rFonts w:ascii="宋体" w:hAnsi="宋体" w:cs="宋体" w:eastAsia="宋体" w:hint="default"/>
          <w:sz w:val="29"/>
          <w:szCs w:val="29"/>
        </w:rPr>
      </w:pPr>
    </w:p>
    <w:p>
      <w:pPr>
        <w:pStyle w:val="BodyText"/>
        <w:spacing w:line="240" w:lineRule="auto" w:before="36"/>
        <w:ind w:left="638" w:right="2513"/>
        <w:jc w:val="left"/>
      </w:pPr>
      <w:r>
        <w:rPr/>
        <w:t>其他说明</w:t>
      </w:r>
    </w:p>
    <w:p>
      <w:pPr>
        <w:spacing w:after="0" w:line="240" w:lineRule="auto"/>
        <w:jc w:val="left"/>
        <w:sectPr>
          <w:pgSz w:w="11910" w:h="16840"/>
          <w:pgMar w:header="857" w:footer="979" w:top="1140" w:bottom="1160" w:left="1580" w:right="1040"/>
        </w:sectPr>
      </w:pPr>
    </w:p>
    <w:p>
      <w:pPr>
        <w:spacing w:line="240" w:lineRule="auto" w:before="2"/>
        <w:rPr>
          <w:rFonts w:ascii="宋体" w:hAnsi="宋体" w:cs="宋体" w:eastAsia="宋体" w:hint="default"/>
          <w:sz w:val="29"/>
          <w:szCs w:val="29"/>
        </w:rPr>
      </w:pPr>
    </w:p>
    <w:p>
      <w:pPr>
        <w:pStyle w:val="BodyText"/>
        <w:spacing w:line="297" w:lineRule="auto" w:before="36"/>
        <w:ind w:left="138" w:right="148" w:firstLine="419"/>
        <w:jc w:val="both"/>
      </w:pPr>
      <w:r>
        <w:rPr/>
        <w:t>注</w:t>
      </w:r>
      <w:r>
        <w:rPr>
          <w:spacing w:val="33"/>
        </w:rPr>
        <w:t> </w:t>
      </w:r>
      <w:r>
        <w:rPr>
          <w:rFonts w:ascii="Times New Roman" w:hAnsi="Times New Roman" w:cs="Times New Roman" w:eastAsia="Times New Roman" w:hint="default"/>
        </w:rPr>
        <w:t>1</w:t>
      </w:r>
      <w:r>
        <w:rPr/>
        <w:t>：根据公司战略部署，公司全资子公司福建南威软件有限公司（以下简称</w:t>
      </w:r>
      <w:r>
        <w:rPr>
          <w:rFonts w:ascii="Times New Roman" w:hAnsi="Times New Roman" w:cs="Times New Roman" w:eastAsia="Times New Roman" w:hint="default"/>
        </w:rPr>
        <w:t>“</w:t>
      </w:r>
      <w:r>
        <w:rPr/>
        <w:t>福建南威</w:t>
      </w:r>
      <w:r>
        <w:rPr>
          <w:rFonts w:ascii="Times New Roman" w:hAnsi="Times New Roman" w:cs="Times New Roman" w:eastAsia="Times New Roman" w:hint="default"/>
        </w:rPr>
        <w:t>”</w:t>
      </w:r>
      <w:r>
        <w:rPr/>
        <w:t>）</w:t>
      </w:r>
      <w:r>
        <w:rPr>
          <w:w w:val="100"/>
        </w:rPr>
        <w:t> </w:t>
      </w:r>
      <w:r>
        <w:rPr>
          <w:spacing w:val="-4"/>
        </w:rPr>
        <w:t>以增资扩股方式引入战略投资者福建省电子信息（集团）有限责任公司（以下简称</w:t>
      </w:r>
      <w:r>
        <w:rPr>
          <w:rFonts w:ascii="Times New Roman" w:hAnsi="Times New Roman" w:cs="Times New Roman" w:eastAsia="Times New Roman" w:hint="default"/>
          <w:spacing w:val="-4"/>
        </w:rPr>
        <w:t>“</w:t>
      </w:r>
      <w:r>
        <w:rPr>
          <w:spacing w:val="-4"/>
        </w:rPr>
        <w:t>福建省电子信</w:t>
      </w:r>
      <w:r>
        <w:rPr>
          <w:spacing w:val="-26"/>
        </w:rPr>
        <w:t> </w:t>
      </w:r>
      <w:r>
        <w:rPr>
          <w:spacing w:val="-26"/>
        </w:rPr>
      </w:r>
      <w:r>
        <w:rPr>
          <w:spacing w:val="-11"/>
          <w:w w:val="100"/>
        </w:rPr>
        <w:t>息集团</w:t>
      </w:r>
      <w:r>
        <w:rPr>
          <w:rFonts w:ascii="Times New Roman" w:hAnsi="Times New Roman" w:cs="Times New Roman" w:eastAsia="Times New Roman" w:hint="default"/>
          <w:spacing w:val="-11"/>
          <w:w w:val="100"/>
        </w:rPr>
        <w:t>”</w:t>
      </w:r>
      <w:r>
        <w:rPr>
          <w:spacing w:val="-11"/>
          <w:w w:val="100"/>
        </w:rPr>
        <w:t>），福建省电子信息集团将以</w:t>
      </w:r>
      <w:r>
        <w:rPr>
          <w:spacing w:val="-50"/>
          <w:w w:val="100"/>
        </w:rPr>
        <w:t> </w:t>
      </w:r>
      <w:r>
        <w:rPr>
          <w:rFonts w:ascii="Times New Roman" w:hAnsi="Times New Roman" w:cs="Times New Roman" w:eastAsia="Times New Roman" w:hint="default"/>
          <w:spacing w:val="-1"/>
          <w:w w:val="100"/>
        </w:rPr>
        <w:t>8,000</w:t>
      </w:r>
      <w:r>
        <w:rPr>
          <w:rFonts w:ascii="Times New Roman" w:hAnsi="Times New Roman" w:cs="Times New Roman" w:eastAsia="Times New Roman" w:hint="default"/>
          <w:w w:val="100"/>
        </w:rPr>
        <w:t> </w:t>
      </w:r>
      <w:r>
        <w:rPr>
          <w:spacing w:val="-10"/>
          <w:w w:val="100"/>
        </w:rPr>
        <w:t>万元（人民币，下同）认购福建南威新增注册资本</w:t>
      </w:r>
      <w:r>
        <w:rPr>
          <w:spacing w:val="-50"/>
          <w:w w:val="100"/>
        </w:rPr>
        <w:t> </w:t>
      </w:r>
      <w:r>
        <w:rPr>
          <w:rFonts w:ascii="Times New Roman" w:hAnsi="Times New Roman" w:cs="Times New Roman" w:eastAsia="Times New Roman" w:hint="default"/>
          <w:spacing w:val="-1"/>
          <w:w w:val="100"/>
        </w:rPr>
        <w:t>2,500</w:t>
      </w:r>
      <w:r>
        <w:rPr>
          <w:rFonts w:ascii="Times New Roman" w:hAnsi="Times New Roman" w:cs="Times New Roman" w:eastAsia="Times New Roman" w:hint="default"/>
          <w:w w:val="100"/>
        </w:rPr>
        <w:t> </w:t>
      </w:r>
      <w:r>
        <w:rPr/>
        <w:t>万元，取得福建南威 </w:t>
      </w:r>
      <w:r>
        <w:rPr>
          <w:rFonts w:ascii="Times New Roman" w:hAnsi="Times New Roman" w:cs="Times New Roman" w:eastAsia="Times New Roman" w:hint="default"/>
        </w:rPr>
        <w:t>20%</w:t>
      </w:r>
      <w:r>
        <w:rPr/>
        <w:t>的股权。福建南威增资扩股及股权变动相关事项已完成，并于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w w:val="10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日完成工商变更手续。故公司将福建省电子信息集团及其控制公司认定为关联方。</w:t>
      </w:r>
    </w:p>
    <w:p>
      <w:pPr>
        <w:pStyle w:val="BodyText"/>
        <w:spacing w:line="297" w:lineRule="auto" w:before="13"/>
        <w:ind w:left="138" w:right="150" w:firstLine="419"/>
        <w:jc w:val="both"/>
      </w:pPr>
      <w:r>
        <w:rPr/>
        <w:t>注</w:t>
      </w:r>
      <w:r>
        <w:rPr>
          <w:spacing w:val="4"/>
        </w:rPr>
        <w:t> </w:t>
      </w:r>
      <w:r>
        <w:rPr>
          <w:rFonts w:ascii="Times New Roman" w:hAnsi="Times New Roman" w:cs="Times New Roman" w:eastAsia="Times New Roman" w:hint="default"/>
        </w:rPr>
        <w:t>2</w:t>
      </w:r>
      <w:r>
        <w:rPr/>
        <w:t>：本报告中有关与福建省电子信息集团及期控制的公司关联方交易均为本年全部交易，</w:t>
      </w:r>
      <w:r>
        <w:rPr>
          <w:w w:val="100"/>
        </w:rPr>
        <w:t> </w:t>
      </w:r>
      <w:r>
        <w:rPr/>
        <w:t>及期末往来余额均作为关联交易披露。</w:t>
      </w:r>
    </w:p>
    <w:p>
      <w:pPr>
        <w:pStyle w:val="BodyText"/>
        <w:spacing w:line="240" w:lineRule="auto" w:before="34"/>
        <w:ind w:left="558" w:right="47"/>
        <w:jc w:val="left"/>
      </w:pPr>
      <w:r>
        <w:rPr>
          <w:rFonts w:ascii="Times New Roman" w:hAnsi="Times New Roman" w:cs="Times New Roman" w:eastAsia="Times New Roman" w:hint="default"/>
        </w:rPr>
        <w:t>2</w:t>
      </w:r>
      <w:r>
        <w:rPr/>
        <w:t>、公司不具有收益权但实际承担其运营的特殊目的的主体情况</w:t>
      </w:r>
    </w:p>
    <w:p>
      <w:pPr>
        <w:pStyle w:val="BodyText"/>
        <w:spacing w:line="302" w:lineRule="auto" w:before="69"/>
        <w:ind w:left="138" w:right="148" w:firstLine="419"/>
        <w:jc w:val="both"/>
      </w:pPr>
      <w:r>
        <w:rPr/>
        <w:t>泉州微软技术中心于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6"/>
        </w:rPr>
        <w:t>日依据《微软（中国）有限公司、福建南威软件工程发展</w:t>
      </w:r>
      <w:r>
        <w:rPr>
          <w:w w:val="100"/>
        </w:rPr>
        <w:t> </w:t>
      </w:r>
      <w:r>
        <w:rPr>
          <w:spacing w:val="-3"/>
        </w:rPr>
        <w:t>有限公司关于组建</w:t>
      </w:r>
      <w:r>
        <w:rPr>
          <w:rFonts w:ascii="Times New Roman" w:hAnsi="Times New Roman" w:cs="Times New Roman" w:eastAsia="Times New Roman" w:hint="default"/>
          <w:spacing w:val="-3"/>
        </w:rPr>
        <w:t>“</w:t>
      </w:r>
      <w:r>
        <w:rPr>
          <w:spacing w:val="-3"/>
        </w:rPr>
        <w:t>泉州微软技术中心</w:t>
      </w:r>
      <w:r>
        <w:rPr>
          <w:rFonts w:ascii="Times New Roman" w:hAnsi="Times New Roman" w:cs="Times New Roman" w:eastAsia="Times New Roman" w:hint="default"/>
          <w:spacing w:val="-3"/>
        </w:rPr>
        <w:t>”</w:t>
      </w:r>
      <w:r>
        <w:rPr>
          <w:spacing w:val="-3"/>
        </w:rPr>
        <w:t>的合作协议》成立，于泉州民政局注册，登记证号为</w:t>
      </w:r>
      <w:r>
        <w:rPr>
          <w:rFonts w:ascii="Times New Roman" w:hAnsi="Times New Roman" w:cs="Times New Roman" w:eastAsia="Times New Roman" w:hint="default"/>
          <w:spacing w:val="-3"/>
        </w:rPr>
        <w:t>“</w:t>
      </w:r>
      <w:r>
        <w:rPr>
          <w:spacing w:val="-3"/>
        </w:rPr>
        <w:t>民证</w:t>
      </w:r>
      <w:r>
        <w:rPr>
          <w:spacing w:val="-43"/>
        </w:rPr>
        <w:t> </w:t>
      </w:r>
      <w:r>
        <w:rPr/>
        <w:t>字第 </w:t>
      </w:r>
      <w:r>
        <w:rPr>
          <w:rFonts w:ascii="Times New Roman" w:hAnsi="Times New Roman" w:cs="Times New Roman" w:eastAsia="Times New Roman" w:hint="default"/>
        </w:rPr>
        <w:t>350500040006 </w:t>
      </w:r>
      <w:r>
        <w:rPr/>
        <w:t>号</w:t>
      </w:r>
      <w:r>
        <w:rPr>
          <w:rFonts w:ascii="Times New Roman" w:hAnsi="Times New Roman" w:cs="Times New Roman" w:eastAsia="Times New Roman" w:hint="default"/>
        </w:rPr>
        <w:t>”</w:t>
      </w:r>
      <w:r>
        <w:rPr/>
        <w:t>，注册时资本为 </w:t>
      </w:r>
      <w:r>
        <w:rPr>
          <w:rFonts w:ascii="Times New Roman" w:hAnsi="Times New Roman" w:cs="Times New Roman" w:eastAsia="Times New Roman" w:hint="default"/>
        </w:rPr>
        <w:t>100 </w:t>
      </w:r>
      <w:r>
        <w:rPr/>
        <w:t>万元。中心成立时，举办者为福建新微。</w:t>
      </w:r>
      <w:r>
        <w:rPr>
          <w:rFonts w:ascii="Times New Roman" w:hAnsi="Times New Roman" w:cs="Times New Roman" w:eastAsia="Times New Roman" w:hint="default"/>
        </w:rPr>
        <w:t>2010 </w:t>
      </w:r>
      <w:r>
        <w:rPr/>
        <w:t>年</w:t>
      </w:r>
      <w:r>
        <w:rPr>
          <w:spacing w:val="-36"/>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
          <w:w w:val="100"/>
        </w:rPr>
        <w:t> </w:t>
      </w:r>
      <w:r>
        <w:rPr>
          <w:spacing w:val="-1"/>
        </w:rPr>
        <w:t>月福建新微出售后，举办者变更为公司。根据《微软（中国）有限公司、福建南威软件工程发展</w:t>
      </w:r>
      <w:r>
        <w:rPr>
          <w:spacing w:val="-55"/>
        </w:rPr>
        <w:t> </w:t>
      </w:r>
      <w:r>
        <w:rPr>
          <w:spacing w:val="-55"/>
        </w:rPr>
      </w:r>
      <w:r>
        <w:rPr>
          <w:spacing w:val="-6"/>
          <w:w w:val="100"/>
        </w:rPr>
        <w:t>有限公司关于组建</w:t>
      </w:r>
      <w:r>
        <w:rPr>
          <w:rFonts w:ascii="Times New Roman" w:hAnsi="Times New Roman" w:cs="Times New Roman" w:eastAsia="Times New Roman" w:hint="default"/>
          <w:spacing w:val="-6"/>
          <w:w w:val="100"/>
        </w:rPr>
        <w:t>“</w:t>
      </w:r>
      <w:r>
        <w:rPr>
          <w:spacing w:val="-6"/>
          <w:w w:val="100"/>
        </w:rPr>
        <w:t>泉州微软技术中心</w:t>
      </w:r>
      <w:r>
        <w:rPr>
          <w:rFonts w:ascii="Times New Roman" w:hAnsi="Times New Roman" w:cs="Times New Roman" w:eastAsia="Times New Roman" w:hint="default"/>
          <w:spacing w:val="-6"/>
          <w:w w:val="100"/>
        </w:rPr>
        <w:t>”</w:t>
      </w:r>
      <w:r>
        <w:rPr>
          <w:spacing w:val="-6"/>
          <w:w w:val="100"/>
        </w:rPr>
        <w:t>的合作协议》，泉州微软技术中心由公司自行发起设立，微</w:t>
      </w:r>
      <w:r>
        <w:rPr>
          <w:spacing w:val="-79"/>
          <w:w w:val="100"/>
        </w:rPr>
        <w:t> </w:t>
      </w:r>
      <w:r>
        <w:rPr>
          <w:spacing w:val="-79"/>
          <w:w w:val="100"/>
        </w:rPr>
      </w:r>
      <w:r>
        <w:rPr>
          <w:spacing w:val="-1"/>
        </w:rPr>
        <w:t>软（中国）有限公司不参与泉州微软技术中心的的经营与管理，并且对中心的盈利和亏损不负任</w:t>
      </w:r>
      <w:r>
        <w:rPr>
          <w:spacing w:val="-55"/>
        </w:rPr>
        <w:t> </w:t>
      </w:r>
      <w:r>
        <w:rPr>
          <w:spacing w:val="-55"/>
        </w:rPr>
      </w:r>
      <w:r>
        <w:rPr>
          <w:spacing w:val="-5"/>
        </w:rPr>
        <w:t>何责任。微软（中国）有限公司对泉州微软技术中心可在一定条件下提前 </w:t>
      </w:r>
      <w:r>
        <w:rPr>
          <w:rFonts w:ascii="Times New Roman" w:hAnsi="Times New Roman" w:cs="Times New Roman" w:eastAsia="Times New Roman" w:hint="default"/>
        </w:rPr>
        <w:t>30 </w:t>
      </w:r>
      <w:r>
        <w:rPr/>
        <w:t>天通知合作双方终止</w:t>
      </w:r>
      <w:r>
        <w:rPr>
          <w:spacing w:val="-95"/>
        </w:rPr>
        <w:t> </w:t>
      </w:r>
      <w:r>
        <w:rPr>
          <w:spacing w:val="-95"/>
        </w:rPr>
      </w:r>
      <w:r>
        <w:rPr/>
        <w:t>使用或变更</w:t>
      </w:r>
      <w:r>
        <w:rPr>
          <w:rFonts w:ascii="Times New Roman" w:hAnsi="Times New Roman" w:cs="Times New Roman" w:eastAsia="Times New Roman" w:hint="default"/>
        </w:rPr>
        <w:t>“</w:t>
      </w:r>
      <w:r>
        <w:rPr/>
        <w:t>泉州微软技术中心</w:t>
      </w:r>
      <w:r>
        <w:rPr>
          <w:rFonts w:ascii="Times New Roman" w:hAnsi="Times New Roman" w:cs="Times New Roman" w:eastAsia="Times New Roman" w:hint="default"/>
        </w:rPr>
        <w:t>”</w:t>
      </w:r>
      <w:r>
        <w:rPr/>
        <w:t>这一名称。</w:t>
      </w:r>
    </w:p>
    <w:p>
      <w:pPr>
        <w:pStyle w:val="BodyText"/>
        <w:spacing w:line="309" w:lineRule="auto" w:before="9"/>
        <w:ind w:left="138" w:right="148" w:firstLine="419"/>
        <w:jc w:val="both"/>
      </w:pPr>
      <w:r>
        <w:rPr>
          <w:spacing w:val="-1"/>
        </w:rPr>
        <w:t>泉州微软技术中心的设立的宗旨是通过整合国内外先进资源，搭建技术传递、技术交流、技</w:t>
      </w:r>
      <w:r>
        <w:rPr>
          <w:w w:val="100"/>
        </w:rPr>
        <w:t> </w:t>
      </w:r>
      <w:r>
        <w:rPr>
          <w:spacing w:val="-1"/>
        </w:rPr>
        <w:t>术人才培养的平台，促进福建省、泉州市信息化的健康发展；同时，借助微软全球的运作经验，</w:t>
      </w:r>
      <w:r>
        <w:rPr>
          <w:spacing w:val="-55"/>
        </w:rPr>
        <w:t> </w:t>
      </w:r>
      <w:r>
        <w:rPr>
          <w:spacing w:val="-55"/>
        </w:rPr>
      </w:r>
      <w:r>
        <w:rPr>
          <w:spacing w:val="-1"/>
        </w:rPr>
        <w:t>为福建省和泉州市信息化建设在战略层面上提供技术支持。泉州微软技术中心章程中规定，该中</w:t>
      </w:r>
      <w:r>
        <w:rPr>
          <w:spacing w:val="-55"/>
        </w:rPr>
        <w:t> </w:t>
      </w:r>
      <w:r>
        <w:rPr>
          <w:spacing w:val="-55"/>
        </w:rPr>
      </w:r>
      <w:r>
        <w:rPr>
          <w:spacing w:val="-4"/>
        </w:rPr>
        <w:t>心实现的盈余不分红，用于业务范围内的事业发展。截止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5"/>
        </w:rPr>
        <w:t>日，公司同泉州微软技</w:t>
      </w:r>
      <w:r>
        <w:rPr>
          <w:spacing w:val="-102"/>
        </w:rPr>
        <w:t> </w:t>
      </w:r>
      <w:r>
        <w:rPr>
          <w:spacing w:val="-102"/>
        </w:rPr>
      </w:r>
      <w:r>
        <w:rPr/>
        <w:t>术中心间不存在担保或抵押的情况。</w:t>
      </w: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7" w:footer="979" w:top="1140" w:bottom="1160" w:left="1660" w:right="1120"/>
        </w:sectPr>
      </w:pPr>
    </w:p>
    <w:p>
      <w:pPr>
        <w:pStyle w:val="Heading3"/>
        <w:spacing w:line="240" w:lineRule="auto" w:before="36"/>
        <w:ind w:left="13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Calibri" w:hAnsi="Calibri" w:cs="Calibri" w:eastAsia="Calibri" w:hint="default"/>
          <w:sz w:val="21"/>
          <w:szCs w:val="21"/>
        </w:rPr>
        <w:t>/</w:t>
      </w:r>
      <w:r>
        <w:rPr>
          <w:rFonts w:ascii="宋体" w:hAnsi="宋体" w:cs="宋体" w:eastAsia="宋体" w:hint="default"/>
          <w:sz w:val="21"/>
          <w:szCs w:val="21"/>
        </w:rPr>
        <w:t>接受劳务情况表</w:t>
      </w:r>
    </w:p>
    <w:p>
      <w:pPr>
        <w:pStyle w:val="BodyText"/>
        <w:tabs>
          <w:tab w:pos="980" w:val="left" w:leader="none"/>
        </w:tabs>
        <w:spacing w:line="208" w:lineRule="exact"/>
        <w:ind w:left="138"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4341" w:space="2392"/>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1,096,084.59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746,094.00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福建海丝博亚国际酒店有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酒店服务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1,855,525.12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1,555,688.26</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泉州市数字云谷信息产业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采购物资</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1,213,668.38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福建省枢建通信技术有限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采购物资</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31,824,142.34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35,989,420.43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2,301,782.26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1120"/>
        </w:sectPr>
      </w:pPr>
    </w:p>
    <w:p>
      <w:pPr>
        <w:spacing w:line="240" w:lineRule="auto" w:before="6"/>
        <w:rPr>
          <w:rFonts w:ascii="宋体" w:hAnsi="宋体" w:cs="宋体" w:eastAsia="宋体" w:hint="default"/>
          <w:sz w:val="16"/>
          <w:szCs w:val="16"/>
        </w:rPr>
      </w:pPr>
    </w:p>
    <w:p>
      <w:pPr>
        <w:pStyle w:val="BodyText"/>
        <w:spacing w:line="288" w:lineRule="exact"/>
        <w:ind w:left="138" w:right="0"/>
        <w:jc w:val="left"/>
      </w:pPr>
      <w:r>
        <w:rPr>
          <w:spacing w:val="-2"/>
        </w:rPr>
        <w:t>出售商品</w:t>
      </w:r>
      <w:r>
        <w:rPr>
          <w:rFonts w:ascii="Calibri" w:hAnsi="Calibri" w:cs="Calibri" w:eastAsia="Calibri" w:hint="default"/>
          <w:spacing w:val="-2"/>
        </w:rPr>
        <w:t>/</w:t>
      </w:r>
      <w:r>
        <w:rPr>
          <w:spacing w:val="-2"/>
        </w:rPr>
        <w:t>提供劳务情况表</w:t>
      </w:r>
    </w:p>
    <w:p>
      <w:pPr>
        <w:pStyle w:val="BodyText"/>
        <w:tabs>
          <w:tab w:pos="874" w:val="left" w:leader="none"/>
        </w:tabs>
        <w:spacing w:line="288" w:lineRule="exact"/>
        <w:ind w:left="138"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2532" w:space="4201"/>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580" w:bottom="280" w:left="1660" w:right="1120"/>
        </w:sectPr>
      </w:pPr>
    </w:p>
    <w:p>
      <w:pPr>
        <w:spacing w:line="240" w:lineRule="auto" w:before="8"/>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泉州玛珂迩妇产医院有限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智能化工程服务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155,954.70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1,025,641.03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福建冠恒华威资产管理有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其他业务服务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55,719.48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福建省应急通信运营有限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在建系统集成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131,152,207.78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泉州市数字云谷信息产业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在建系统集成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6,477,302.50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其他业务服务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51,488.58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137,836,953.56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1,081,360.51</w:t>
            </w:r>
          </w:p>
        </w:tc>
      </w:tr>
    </w:tbl>
    <w:p>
      <w:pPr>
        <w:spacing w:line="240" w:lineRule="auto" w:before="3"/>
        <w:rPr>
          <w:rFonts w:ascii="宋体" w:hAnsi="宋体" w:cs="宋体" w:eastAsia="宋体" w:hint="default"/>
          <w:sz w:val="14"/>
          <w:szCs w:val="14"/>
        </w:rPr>
      </w:pPr>
    </w:p>
    <w:p>
      <w:pPr>
        <w:pStyle w:val="BodyText"/>
        <w:spacing w:line="275" w:lineRule="exact" w:before="36"/>
        <w:ind w:left="138" w:right="47"/>
        <w:jc w:val="left"/>
      </w:pPr>
      <w:r>
        <w:rPr/>
        <w:t>购销商品、提供和接受劳务的关联交易说明</w:t>
      </w:r>
    </w:p>
    <w:p>
      <w:pPr>
        <w:pStyle w:val="BodyText"/>
        <w:tabs>
          <w:tab w:pos="980" w:val="left" w:leader="none"/>
        </w:tabs>
        <w:spacing w:line="301"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spacing w:line="271"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Calibri" w:hAnsi="Calibri" w:cs="Calibri" w:eastAsia="Calibri" w:hint="default"/>
          <w:sz w:val="21"/>
          <w:szCs w:val="21"/>
        </w:rPr>
        <w:t>/</w:t>
      </w:r>
      <w:r>
        <w:rPr>
          <w:rFonts w:ascii="宋体" w:hAnsi="宋体" w:cs="宋体" w:eastAsia="宋体" w:hint="default"/>
          <w:sz w:val="21"/>
          <w:szCs w:val="21"/>
        </w:rPr>
        <w:t>承包情况表：</w:t>
      </w:r>
    </w:p>
    <w:p>
      <w:pPr>
        <w:pStyle w:val="BodyText"/>
        <w:tabs>
          <w:tab w:pos="980" w:val="left" w:leader="none"/>
        </w:tabs>
        <w:spacing w:line="240"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88" w:lineRule="exact"/>
        <w:ind w:left="138" w:right="47"/>
        <w:jc w:val="left"/>
      </w:pPr>
      <w:r>
        <w:rPr/>
        <w:t>关联托管</w:t>
      </w:r>
      <w:r>
        <w:rPr>
          <w:rFonts w:ascii="Calibri" w:hAnsi="Calibri" w:cs="Calibri" w:eastAsia="Calibri" w:hint="default"/>
        </w:rPr>
        <w:t>/</w:t>
      </w:r>
      <w:r>
        <w:rPr/>
        <w:t>承包情况说明</w:t>
      </w:r>
    </w:p>
    <w:p>
      <w:pPr>
        <w:pStyle w:val="BodyText"/>
        <w:tabs>
          <w:tab w:pos="980" w:val="left" w:leader="none"/>
        </w:tabs>
        <w:spacing w:line="288"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86" w:lineRule="exact"/>
        <w:ind w:left="138" w:right="47"/>
        <w:jc w:val="left"/>
      </w:pPr>
      <w:r>
        <w:rPr/>
        <w:t>本公司委托管理</w:t>
      </w:r>
      <w:r>
        <w:rPr>
          <w:rFonts w:ascii="Calibri" w:hAnsi="Calibri" w:cs="Calibri" w:eastAsia="Calibri" w:hint="default"/>
        </w:rPr>
        <w:t>/</w:t>
      </w:r>
      <w:r>
        <w:rPr/>
        <w:t>出包情况表：</w:t>
      </w:r>
    </w:p>
    <w:p>
      <w:pPr>
        <w:pStyle w:val="BodyText"/>
        <w:tabs>
          <w:tab w:pos="980" w:val="left" w:leader="none"/>
        </w:tabs>
        <w:spacing w:line="286"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7"/>
        <w:rPr>
          <w:rFonts w:ascii="宋体" w:hAnsi="宋体" w:cs="宋体" w:eastAsia="宋体" w:hint="default"/>
          <w:sz w:val="17"/>
          <w:szCs w:val="17"/>
        </w:rPr>
      </w:pPr>
    </w:p>
    <w:p>
      <w:pPr>
        <w:pStyle w:val="BodyText"/>
        <w:spacing w:line="286" w:lineRule="exact"/>
        <w:ind w:left="138" w:right="47"/>
        <w:jc w:val="left"/>
      </w:pPr>
      <w:r>
        <w:rPr/>
        <w:t>关联管理</w:t>
      </w:r>
      <w:r>
        <w:rPr>
          <w:rFonts w:ascii="Calibri" w:hAnsi="Calibri" w:cs="Calibri" w:eastAsia="Calibri" w:hint="default"/>
        </w:rPr>
        <w:t>/</w:t>
      </w:r>
      <w:r>
        <w:rPr/>
        <w:t>出包情况说明</w:t>
      </w:r>
    </w:p>
    <w:p>
      <w:pPr>
        <w:pStyle w:val="BodyText"/>
        <w:tabs>
          <w:tab w:pos="980" w:val="left" w:leader="none"/>
        </w:tabs>
        <w:spacing w:line="286" w:lineRule="exact"/>
        <w:ind w:left="138" w:right="47"/>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tabs>
          <w:tab w:pos="874" w:val="left" w:leader="none"/>
        </w:tabs>
        <w:spacing w:line="254" w:lineRule="exact"/>
        <w:ind w:left="138" w:right="-1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2032" w:space="4701"/>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福建新微科技有限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8,163.33</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泉州微软技术中心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595,615.95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1,329,306.51</w:t>
            </w:r>
          </w:p>
        </w:tc>
      </w:tr>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left"/>
              <w:rPr>
                <w:rFonts w:ascii="Calibri" w:hAnsi="Calibri" w:cs="Calibri" w:eastAsia="Calibri" w:hint="default"/>
                <w:sz w:val="21"/>
                <w:szCs w:val="21"/>
              </w:rPr>
            </w:pPr>
            <w:r>
              <w:rPr>
                <w:rFonts w:ascii="Calibri"/>
                <w:w w:val="100"/>
                <w:sz w:val="21"/>
              </w:rPr>
              <w:t>/</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595,615.95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1,337,469.84</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80" w:bottom="280" w:left="1660" w:right="1120"/>
        </w:sectPr>
      </w:pPr>
    </w:p>
    <w:p>
      <w:pPr>
        <w:pStyle w:val="BodyText"/>
        <w:spacing w:line="273" w:lineRule="exact" w:before="36"/>
        <w:ind w:left="138" w:right="-8"/>
        <w:jc w:val="left"/>
      </w:pPr>
      <w:r>
        <w:rPr>
          <w:spacing w:val="-1"/>
        </w:rPr>
        <w:t>本公司作为承租方：</w:t>
      </w:r>
    </w:p>
    <w:p>
      <w:pPr>
        <w:pStyle w:val="BodyText"/>
        <w:tabs>
          <w:tab w:pos="874" w:val="left" w:leader="none"/>
        </w:tabs>
        <w:spacing w:line="300" w:lineRule="exact"/>
        <w:ind w:left="138" w:right="-1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2032" w:space="4701"/>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福建省和格实业集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177,162.16</w:t>
            </w: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177,162.16</w:t>
            </w: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4" w:lineRule="exact" w:before="36"/>
        <w:ind w:left="138" w:right="47"/>
        <w:jc w:val="left"/>
      </w:pPr>
      <w:r>
        <w:rPr/>
        <w:t>关联租赁情况说明</w:t>
      </w:r>
    </w:p>
    <w:p>
      <w:pPr>
        <w:pStyle w:val="BodyText"/>
        <w:tabs>
          <w:tab w:pos="874" w:val="left" w:leader="none"/>
        </w:tabs>
        <w:spacing w:line="301" w:lineRule="exact"/>
        <w:ind w:left="138" w:right="47"/>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40" w:lineRule="auto" w:before="46"/>
        <w:ind w:left="558" w:right="47"/>
        <w:jc w:val="left"/>
        <w:rPr>
          <w:rFonts w:ascii="Times New Roman" w:hAnsi="Times New Roman" w:cs="Times New Roman" w:eastAsia="Times New Roman" w:hint="default"/>
        </w:rPr>
      </w:pPr>
      <w:r>
        <w:rPr>
          <w:w w:val="100"/>
        </w:rPr>
        <w:t>泉州</w:t>
      </w:r>
      <w:r>
        <w:rPr>
          <w:spacing w:val="-3"/>
          <w:w w:val="100"/>
        </w:rPr>
        <w:t>微</w:t>
      </w:r>
      <w:r>
        <w:rPr>
          <w:w w:val="100"/>
        </w:rPr>
        <w:t>软</w:t>
      </w:r>
      <w:r>
        <w:rPr>
          <w:spacing w:val="-3"/>
          <w:w w:val="100"/>
        </w:rPr>
        <w:t>技</w:t>
      </w:r>
      <w:r>
        <w:rPr>
          <w:w w:val="100"/>
        </w:rPr>
        <w:t>术</w:t>
      </w:r>
      <w:r>
        <w:rPr>
          <w:spacing w:val="-3"/>
          <w:w w:val="100"/>
        </w:rPr>
        <w:t>中</w:t>
      </w:r>
      <w:r>
        <w:rPr>
          <w:w w:val="100"/>
        </w:rPr>
        <w:t>心</w:t>
      </w:r>
      <w:r>
        <w:rPr>
          <w:spacing w:val="-3"/>
          <w:w w:val="100"/>
        </w:rPr>
        <w:t>向</w:t>
      </w:r>
      <w:r>
        <w:rPr>
          <w:w w:val="100"/>
        </w:rPr>
        <w:t>公</w:t>
      </w:r>
      <w:r>
        <w:rPr>
          <w:spacing w:val="-3"/>
          <w:w w:val="100"/>
        </w:rPr>
        <w:t>司</w:t>
      </w:r>
      <w:r>
        <w:rPr>
          <w:w w:val="100"/>
        </w:rPr>
        <w:t>承租</w:t>
      </w:r>
      <w:r>
        <w:rPr>
          <w:spacing w:val="-3"/>
          <w:w w:val="100"/>
        </w:rPr>
        <w:t>南</w:t>
      </w:r>
      <w:r>
        <w:rPr>
          <w:w w:val="100"/>
        </w:rPr>
        <w:t>威</w:t>
      </w:r>
      <w:r>
        <w:rPr>
          <w:spacing w:val="-3"/>
          <w:w w:val="100"/>
        </w:rPr>
        <w:t>大</w:t>
      </w:r>
      <w:r>
        <w:rPr>
          <w:w w:val="100"/>
        </w:rPr>
        <w:t>厦</w:t>
      </w:r>
      <w:r>
        <w:rPr>
          <w:spacing w:val="-7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2"/>
        </w:rPr>
        <w:t> </w:t>
      </w:r>
      <w:r>
        <w:rPr>
          <w:spacing w:val="-3"/>
          <w:w w:val="100"/>
        </w:rPr>
        <w:t>号</w:t>
      </w:r>
      <w:r>
        <w:rPr>
          <w:w w:val="100"/>
        </w:rPr>
        <w:t>楼第</w:t>
      </w:r>
      <w:r>
        <w:rPr>
          <w:spacing w:val="-76"/>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15</w:t>
      </w:r>
      <w:r>
        <w:rPr>
          <w:rFonts w:ascii="Times New Roman" w:hAnsi="Times New Roman" w:cs="Times New Roman" w:eastAsia="Times New Roman" w:hint="default"/>
          <w:spacing w:val="-22"/>
        </w:rPr>
        <w:t> </w:t>
      </w:r>
      <w:r>
        <w:rPr>
          <w:spacing w:val="-3"/>
          <w:w w:val="100"/>
        </w:rPr>
        <w:t>层</w:t>
      </w:r>
      <w:r>
        <w:rPr>
          <w:w w:val="100"/>
        </w:rPr>
        <w:t>用</w:t>
      </w:r>
      <w:r>
        <w:rPr>
          <w:spacing w:val="-3"/>
          <w:w w:val="100"/>
        </w:rPr>
        <w:t>于</w:t>
      </w:r>
      <w:r>
        <w:rPr>
          <w:w w:val="100"/>
        </w:rPr>
        <w:t>营</w:t>
      </w:r>
      <w:r>
        <w:rPr>
          <w:spacing w:val="-3"/>
          <w:w w:val="100"/>
        </w:rPr>
        <w:t>运</w:t>
      </w:r>
      <w:r>
        <w:rPr>
          <w:w w:val="100"/>
        </w:rPr>
        <w:t>办公</w:t>
      </w:r>
      <w:r>
        <w:rPr>
          <w:spacing w:val="-108"/>
          <w:w w:val="100"/>
        </w:rPr>
        <w:t>，</w:t>
      </w:r>
      <w:r>
        <w:rPr>
          <w:w w:val="100"/>
        </w:rPr>
        <w:t>本</w:t>
      </w:r>
      <w:r>
        <w:rPr>
          <w:spacing w:val="-3"/>
          <w:w w:val="100"/>
        </w:rPr>
        <w:t>期确</w:t>
      </w:r>
      <w:r>
        <w:rPr>
          <w:w w:val="100"/>
        </w:rPr>
        <w:t>认的</w:t>
      </w:r>
      <w:r>
        <w:rPr>
          <w:spacing w:val="-3"/>
          <w:w w:val="100"/>
        </w:rPr>
        <w:t>为</w:t>
      </w:r>
      <w:r>
        <w:rPr>
          <w:w w:val="100"/>
        </w:rPr>
        <w:t>自</w:t>
      </w:r>
      <w:r>
        <w:rPr>
          <w:spacing w:val="-74"/>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p>
    <w:p>
      <w:pPr>
        <w:spacing w:after="0" w:line="240" w:lineRule="auto"/>
        <w:jc w:val="left"/>
        <w:rPr>
          <w:rFonts w:ascii="Times New Roman" w:hAnsi="Times New Roman" w:cs="Times New Roman" w:eastAsia="Times New Roman" w:hint="default"/>
        </w:rPr>
        <w:sectPr>
          <w:type w:val="continuous"/>
          <w:pgSz w:w="11910" w:h="16840"/>
          <w:pgMar w:top="1580" w:bottom="280" w:left="1660" w:right="11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7"/>
        <w:ind w:right="2513"/>
        <w:jc w:val="left"/>
      </w:pP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日产生的租赁收入。</w:t>
      </w:r>
    </w:p>
    <w:p>
      <w:pPr>
        <w:spacing w:line="240" w:lineRule="auto" w:before="8"/>
        <w:rPr>
          <w:rFonts w:ascii="宋体" w:hAnsi="宋体" w:cs="宋体" w:eastAsia="宋体" w:hint="default"/>
          <w:sz w:val="23"/>
          <w:szCs w:val="23"/>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tabs>
          <w:tab w:pos="1060" w:val="left" w:leader="none"/>
        </w:tabs>
        <w:spacing w:line="254"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7"/>
          <w:szCs w:val="17"/>
        </w:rPr>
      </w:pPr>
    </w:p>
    <w:p>
      <w:pPr>
        <w:pStyle w:val="BodyText"/>
        <w:spacing w:line="274" w:lineRule="exact"/>
        <w:ind w:right="2513"/>
        <w:jc w:val="left"/>
      </w:pPr>
      <w:r>
        <w:rPr/>
        <w:t>本公司作为被担保方</w:t>
      </w:r>
    </w:p>
    <w:p>
      <w:pPr>
        <w:pStyle w:val="BodyText"/>
        <w:spacing w:line="291" w:lineRule="exact"/>
        <w:ind w:right="2513"/>
        <w:jc w:val="left"/>
      </w:pPr>
      <w:r>
        <w:rPr>
          <w:rFonts w:ascii="Arial" w:hAnsi="Arial" w:cs="Arial" w:eastAsia="Arial" w:hint="default"/>
        </w:rPr>
        <w:t>□</w:t>
      </w:r>
      <w:r>
        <w:rPr>
          <w:rFonts w:ascii="Arial" w:hAnsi="Arial" w:cs="Arial" w:eastAsia="Arial" w:hint="default"/>
          <w:spacing w:val="27"/>
        </w:rPr>
        <w:t> </w:t>
      </w:r>
      <w:r>
        <w:rPr/>
        <w:t>适用</w:t>
      </w:r>
      <w:r>
        <w:rPr>
          <w:rFonts w:ascii="Cambria" w:hAnsi="Cambria" w:cs="Cambria" w:eastAsia="Cambria" w:hint="default"/>
        </w:rPr>
        <w:t>√</w:t>
      </w:r>
      <w:r>
        <w:rPr/>
        <w:t>不适用</w:t>
      </w:r>
    </w:p>
    <w:p>
      <w:pPr>
        <w:spacing w:line="240" w:lineRule="auto" w:before="1"/>
        <w:rPr>
          <w:rFonts w:ascii="宋体" w:hAnsi="宋体" w:cs="宋体" w:eastAsia="宋体" w:hint="default"/>
          <w:sz w:val="18"/>
          <w:szCs w:val="18"/>
        </w:rPr>
      </w:pPr>
    </w:p>
    <w:p>
      <w:pPr>
        <w:pStyle w:val="BodyText"/>
        <w:spacing w:line="274" w:lineRule="exact"/>
        <w:ind w:right="2513"/>
        <w:jc w:val="left"/>
      </w:pPr>
      <w:r>
        <w:rPr/>
        <w:t>关联担保情况说明</w:t>
      </w:r>
    </w:p>
    <w:p>
      <w:pPr>
        <w:pStyle w:val="BodyText"/>
        <w:spacing w:line="291" w:lineRule="exact"/>
        <w:ind w:right="2513"/>
        <w:jc w:val="left"/>
      </w:pPr>
      <w:r>
        <w:rPr>
          <w:rFonts w:ascii="Arial" w:hAnsi="Arial" w:cs="Arial" w:eastAsia="Arial" w:hint="default"/>
        </w:rPr>
        <w:t>□</w:t>
      </w:r>
      <w:r>
        <w:rPr>
          <w:rFonts w:ascii="Arial" w:hAnsi="Arial" w:cs="Arial" w:eastAsia="Arial" w:hint="default"/>
          <w:spacing w:val="27"/>
        </w:rPr>
        <w:t> </w:t>
      </w:r>
      <w:r>
        <w:rPr/>
        <w:t>适用</w:t>
      </w:r>
      <w:r>
        <w:rPr>
          <w:rFonts w:ascii="Cambria" w:hAnsi="Cambria" w:cs="Cambria" w:eastAsia="Cambria" w:hint="default"/>
        </w:rPr>
        <w:t>√</w:t>
      </w:r>
      <w:r>
        <w:rPr/>
        <w:t>不适用</w:t>
      </w:r>
    </w:p>
    <w:p>
      <w:pPr>
        <w:spacing w:line="240" w:lineRule="auto" w:before="0"/>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right="2513"/>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580" w:right="1040"/>
        </w:sectPr>
      </w:pPr>
    </w:p>
    <w:p>
      <w:pPr>
        <w:pStyle w:val="Heading3"/>
        <w:spacing w:line="240" w:lineRule="auto" w:before="36"/>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tabs>
          <w:tab w:pos="1060" w:val="left" w:leader="none"/>
        </w:tabs>
        <w:spacing w:line="240" w:lineRule="auto" w:before="58"/>
        <w:ind w:right="-1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单位：万元币种：人民币</w:t>
      </w:r>
    </w:p>
    <w:p>
      <w:pPr>
        <w:spacing w:after="0" w:line="240" w:lineRule="auto"/>
        <w:jc w:val="left"/>
        <w:sectPr>
          <w:type w:val="continuous"/>
          <w:pgSz w:w="11910" w:h="16840"/>
          <w:pgMar w:top="1580" w:bottom="280" w:left="1580" w:right="1040"/>
          <w:cols w:num="2" w:equalWidth="0">
            <w:col w:w="2525" w:space="39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373.08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363.69</w:t>
            </w: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163" w:val="left" w:leader="none"/>
        </w:tabs>
        <w:spacing w:line="240" w:lineRule="auto" w:before="58"/>
        <w:ind w:right="2513"/>
        <w:jc w:val="left"/>
      </w:pPr>
      <w:r>
        <w:rPr/>
        <w:t>□适用</w:t>
        <w:tab/>
        <w:t>√不适用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163" w:val="left" w:leader="none"/>
        </w:tabs>
        <w:spacing w:line="240" w:lineRule="auto" w:before="14"/>
        <w:ind w:right="-16"/>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spacing w:line="240" w:lineRule="auto"/>
        <w:ind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580" w:right="1040"/>
          <w:cols w:num="2" w:equalWidth="0">
            <w:col w:w="2544" w:space="4496"/>
            <w:col w:w="2250"/>
          </w:cols>
        </w:sectPr>
      </w:pPr>
    </w:p>
    <w:tbl>
      <w:tblPr>
        <w:tblW w:w="0" w:type="auto"/>
        <w:jc w:val="left"/>
        <w:tblInd w:w="182" w:type="dxa"/>
        <w:tblLayout w:type="fixed"/>
        <w:tblCellMar>
          <w:top w:w="0" w:type="dxa"/>
          <w:left w:w="0" w:type="dxa"/>
          <w:bottom w:w="0" w:type="dxa"/>
          <w:right w:w="0" w:type="dxa"/>
        </w:tblCellMar>
        <w:tblLook w:val="01E0"/>
      </w:tblPr>
      <w:tblGrid>
        <w:gridCol w:w="1447"/>
        <w:gridCol w:w="1366"/>
        <w:gridCol w:w="1366"/>
        <w:gridCol w:w="1364"/>
        <w:gridCol w:w="1490"/>
        <w:gridCol w:w="1863"/>
      </w:tblGrid>
      <w:tr>
        <w:trPr>
          <w:trHeight w:val="28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07"/>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福建新微科技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54,577.90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1,637.34</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泉州玛珂迩妇</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pacing w:val="4"/>
                <w:sz w:val="21"/>
                <w:szCs w:val="21"/>
              </w:rPr>
              <w:t>产医院有限公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720,000.00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21,600</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福建海丝博亚</w:t>
            </w:r>
          </w:p>
          <w:p>
            <w:pPr>
              <w:pStyle w:val="TableParagraph"/>
              <w:spacing w:line="240" w:lineRule="auto"/>
              <w:ind w:left="26" w:right="23"/>
              <w:jc w:val="left"/>
              <w:rPr>
                <w:rFonts w:ascii="宋体" w:hAnsi="宋体" w:cs="宋体" w:eastAsia="宋体" w:hint="default"/>
                <w:sz w:val="21"/>
                <w:szCs w:val="21"/>
              </w:rPr>
            </w:pPr>
            <w:r>
              <w:rPr>
                <w:rFonts w:ascii="宋体" w:hAnsi="宋体" w:cs="宋体" w:eastAsia="宋体" w:hint="default"/>
                <w:spacing w:val="4"/>
                <w:sz w:val="21"/>
                <w:szCs w:val="21"/>
              </w:rPr>
              <w:t>国际酒店有限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60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福建省星云大</w:t>
            </w:r>
          </w:p>
          <w:p>
            <w:pPr>
              <w:pStyle w:val="TableParagraph"/>
              <w:spacing w:line="272" w:lineRule="exact" w:before="26"/>
              <w:ind w:left="26" w:right="23"/>
              <w:jc w:val="left"/>
              <w:rPr>
                <w:rFonts w:ascii="宋体" w:hAnsi="宋体" w:cs="宋体" w:eastAsia="宋体" w:hint="default"/>
                <w:sz w:val="21"/>
                <w:szCs w:val="21"/>
              </w:rPr>
            </w:pPr>
            <w:r>
              <w:rPr>
                <w:rFonts w:ascii="宋体" w:hAnsi="宋体" w:cs="宋体" w:eastAsia="宋体" w:hint="default"/>
                <w:spacing w:val="4"/>
                <w:sz w:val="21"/>
                <w:szCs w:val="21"/>
              </w:rPr>
              <w:t>数据应用服务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7,124,670.00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712,467.00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福建省应急通</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pacing w:val="4"/>
                <w:sz w:val="21"/>
                <w:szCs w:val="21"/>
              </w:rPr>
              <w:t>信运营有限公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55,650,000.00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1,669,500.00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1447"/>
        <w:gridCol w:w="1366"/>
        <w:gridCol w:w="1366"/>
        <w:gridCol w:w="1364"/>
        <w:gridCol w:w="1490"/>
        <w:gridCol w:w="1863"/>
      </w:tblGrid>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泉州市数字云</w:t>
            </w:r>
          </w:p>
          <w:p>
            <w:pPr>
              <w:pStyle w:val="TableParagraph"/>
              <w:spacing w:line="240" w:lineRule="auto"/>
              <w:ind w:left="26" w:right="23"/>
              <w:jc w:val="left"/>
              <w:rPr>
                <w:rFonts w:ascii="宋体" w:hAnsi="宋体" w:cs="宋体" w:eastAsia="宋体" w:hint="default"/>
                <w:sz w:val="21"/>
                <w:szCs w:val="21"/>
              </w:rPr>
            </w:pPr>
            <w:r>
              <w:rPr>
                <w:rFonts w:ascii="宋体" w:hAnsi="宋体" w:cs="宋体" w:eastAsia="宋体" w:hint="default"/>
                <w:spacing w:val="4"/>
                <w:sz w:val="21"/>
                <w:szCs w:val="21"/>
              </w:rPr>
              <w:t>谷信息产业发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3,577,500.00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107,325.00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其他应收账款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福建海丝博亚</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pacing w:val="4"/>
                <w:sz w:val="21"/>
                <w:szCs w:val="21"/>
              </w:rPr>
              <w:t>国际酒店有限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4,551.20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136.54</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福建省星云大</w:t>
            </w:r>
          </w:p>
          <w:p>
            <w:pPr>
              <w:pStyle w:val="TableParagraph"/>
              <w:spacing w:line="240" w:lineRule="auto"/>
              <w:ind w:left="26" w:right="23"/>
              <w:jc w:val="left"/>
              <w:rPr>
                <w:rFonts w:ascii="宋体" w:hAnsi="宋体" w:cs="宋体" w:eastAsia="宋体" w:hint="default"/>
                <w:sz w:val="21"/>
                <w:szCs w:val="21"/>
              </w:rPr>
            </w:pPr>
            <w:r>
              <w:rPr>
                <w:rFonts w:ascii="宋体" w:hAnsi="宋体" w:cs="宋体" w:eastAsia="宋体" w:hint="default"/>
                <w:spacing w:val="4"/>
                <w:sz w:val="21"/>
                <w:szCs w:val="21"/>
              </w:rPr>
              <w:t>数据应用服务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20"/>
              <w:jc w:val="left"/>
              <w:rPr>
                <w:rFonts w:ascii="宋体" w:hAnsi="宋体" w:cs="宋体" w:eastAsia="宋体" w:hint="default"/>
                <w:sz w:val="21"/>
                <w:szCs w:val="21"/>
              </w:rPr>
            </w:pPr>
            <w:r>
              <w:rPr>
                <w:rFonts w:ascii="宋体" w:hAnsi="宋体" w:cs="宋体" w:eastAsia="宋体" w:hint="default"/>
                <w:spacing w:val="17"/>
                <w:sz w:val="21"/>
                <w:szCs w:val="21"/>
              </w:rPr>
              <w:t>其他非流动</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泉州市数字云</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pacing w:val="4"/>
                <w:sz w:val="21"/>
                <w:szCs w:val="21"/>
              </w:rPr>
              <w:t>谷信息产业发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12,500,000.00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79,006,747.90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2,493,929.34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726,551.20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21,796.54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7" w:footer="979" w:top="1140" w:bottom="1160" w:left="1660" w:right="1120"/>
        </w:sectPr>
      </w:pPr>
    </w:p>
    <w:p>
      <w:pPr>
        <w:pStyle w:val="Heading3"/>
        <w:spacing w:line="240" w:lineRule="auto" w:before="36"/>
        <w:ind w:left="138" w:right="-13"/>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083" w:val="left" w:leader="none"/>
        </w:tabs>
        <w:spacing w:line="240" w:lineRule="auto" w:before="56"/>
        <w:ind w:left="138" w:right="-13"/>
        <w:jc w:val="left"/>
      </w:pPr>
      <w:r>
        <w:rPr/>
        <w:t>√适用</w:t>
        <w:tab/>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138"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1910" w:h="16840"/>
          <w:pgMar w:top="1580" w:bottom="280" w:left="1660" w:right="1120"/>
          <w:cols w:num="2" w:equalWidth="0">
            <w:col w:w="1927" w:space="5114"/>
            <w:col w:w="2089"/>
          </w:cols>
        </w:sect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福建省枢建通信技术</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31,714,927.35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福建新微科技有限公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322,213.83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10,200.00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福建海丝博亚国际酒</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店有限公司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26,865.92</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福建省和格实业集团</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196,650.00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泉州微软技术中心</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595,615.95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福建新微科技有限公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1,295,603.06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456,389.80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33,556,260.16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1,062,205.75</w:t>
            </w:r>
          </w:p>
        </w:tc>
      </w:tr>
    </w:tbl>
    <w:p>
      <w:pPr>
        <w:pStyle w:val="BodyText"/>
        <w:spacing w:line="240" w:lineRule="auto" w:before="46"/>
        <w:ind w:left="558" w:right="4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日，公司与福建省应急通信运营有限公司签订了《福建省应急通信工程宽带</w:t>
      </w:r>
    </w:p>
    <w:p>
      <w:pPr>
        <w:pStyle w:val="BodyText"/>
        <w:spacing w:line="297" w:lineRule="auto" w:before="69"/>
        <w:ind w:left="138" w:right="144"/>
        <w:jc w:val="left"/>
      </w:pPr>
      <w:r>
        <w:rPr>
          <w:spacing w:val="-9"/>
          <w:w w:val="100"/>
        </w:rPr>
        <w:t>集群通信系统建设项目合同书》，合同总额</w:t>
      </w:r>
      <w:r>
        <w:rPr>
          <w:spacing w:val="-52"/>
          <w:w w:val="100"/>
        </w:rPr>
        <w:t> </w:t>
      </w:r>
      <w:r>
        <w:rPr>
          <w:rFonts w:ascii="Times New Roman" w:hAnsi="Times New Roman" w:cs="Times New Roman" w:eastAsia="Times New Roman" w:hint="default"/>
          <w:spacing w:val="-1"/>
          <w:w w:val="100"/>
        </w:rPr>
        <w:t>15,900</w:t>
      </w:r>
      <w:r>
        <w:rPr>
          <w:rFonts w:ascii="Times New Roman" w:hAnsi="Times New Roman" w:cs="Times New Roman" w:eastAsia="Times New Roman" w:hint="default"/>
          <w:spacing w:val="-2"/>
          <w:w w:val="100"/>
        </w:rPr>
        <w:t> </w:t>
      </w:r>
      <w:r>
        <w:rPr>
          <w:spacing w:val="-7"/>
          <w:w w:val="100"/>
        </w:rPr>
        <w:t>万元；</w:t>
      </w:r>
      <w:r>
        <w:rPr>
          <w:rFonts w:ascii="Times New Roman" w:hAnsi="Times New Roman" w:cs="Times New Roman" w:eastAsia="Times New Roman" w:hint="default"/>
          <w:spacing w:val="-7"/>
          <w:w w:val="100"/>
        </w:rPr>
        <w:t>2017</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w w:val="100"/>
        </w:rPr>
        <w:t>月</w:t>
      </w:r>
      <w:r>
        <w:rPr>
          <w:spacing w:val="-54"/>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2"/>
          <w:w w:val="100"/>
        </w:rPr>
        <w:t>日公司披露收到</w:t>
      </w:r>
      <w:r>
        <w:rPr>
          <w:rFonts w:ascii="Times New Roman" w:hAnsi="Times New Roman" w:cs="Times New Roman" w:eastAsia="Times New Roman" w:hint="default"/>
          <w:spacing w:val="-2"/>
          <w:w w:val="100"/>
        </w:rPr>
        <w:t>“</w:t>
      </w:r>
      <w:r>
        <w:rPr>
          <w:spacing w:val="-2"/>
          <w:w w:val="100"/>
        </w:rPr>
        <w:t>福建省应</w:t>
      </w:r>
      <w:r>
        <w:rPr>
          <w:w w:val="100"/>
        </w:rPr>
        <w:t> </w:t>
      </w:r>
      <w:r>
        <w:rPr/>
        <w:t>急通信工程 </w:t>
      </w:r>
      <w:r>
        <w:rPr>
          <w:rFonts w:ascii="Times New Roman" w:hAnsi="Times New Roman" w:cs="Times New Roman" w:eastAsia="Times New Roman" w:hint="default"/>
        </w:rPr>
        <w:t>PPP</w:t>
      </w:r>
      <w:r>
        <w:rPr>
          <w:rFonts w:ascii="Times New Roman" w:hAnsi="Times New Roman" w:cs="Times New Roman" w:eastAsia="Times New Roman" w:hint="default"/>
          <w:spacing w:val="33"/>
        </w:rPr>
        <w:t> </w:t>
      </w:r>
      <w:r>
        <w:rPr/>
        <w:t>项目采购（二次）</w:t>
      </w:r>
      <w:r>
        <w:rPr>
          <w:rFonts w:ascii="Times New Roman" w:hAnsi="Times New Roman" w:cs="Times New Roman" w:eastAsia="Times New Roman" w:hint="default"/>
        </w:rPr>
        <w:t>”</w:t>
      </w:r>
      <w:r>
        <w:rPr/>
        <w:t>项目的中标通知书，公司作为社会资本方与福建省电子信息</w:t>
      </w:r>
    </w:p>
    <w:p>
      <w:pPr>
        <w:pStyle w:val="BodyText"/>
        <w:spacing w:line="297" w:lineRule="auto" w:before="14"/>
        <w:ind w:left="138" w:right="47"/>
        <w:jc w:val="left"/>
      </w:pPr>
      <w:r>
        <w:rPr>
          <w:spacing w:val="-1"/>
        </w:rPr>
        <w:t>（集团）有限责任公司（代表政府方）共同增资项目公司</w:t>
      </w:r>
      <w:r>
        <w:rPr>
          <w:rFonts w:ascii="Times New Roman" w:hAnsi="Times New Roman" w:cs="Times New Roman" w:eastAsia="Times New Roman" w:hint="default"/>
          <w:spacing w:val="-1"/>
        </w:rPr>
        <w:t>“</w:t>
      </w:r>
      <w:r>
        <w:rPr>
          <w:spacing w:val="-1"/>
        </w:rPr>
        <w:t>福建省应急通信运营有限公司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5"/>
        </w:rPr>
        <w:t>日，福建省应急通信运营有限公司完成工商变更登记，公司持有项目公司</w:t>
      </w:r>
      <w:r>
        <w:rPr>
          <w:spacing w:val="-43"/>
        </w:rPr>
        <w:t> </w:t>
      </w:r>
      <w:r>
        <w:rPr>
          <w:rFonts w:ascii="Times New Roman" w:hAnsi="Times New Roman" w:cs="Times New Roman" w:eastAsia="Times New Roman" w:hint="default"/>
        </w:rPr>
        <w:t>49%</w:t>
      </w:r>
      <w:r>
        <w:rPr/>
        <w:t>的股权，</w:t>
      </w:r>
    </w:p>
    <w:p>
      <w:pPr>
        <w:pStyle w:val="BodyText"/>
        <w:spacing w:line="304" w:lineRule="auto" w:before="13"/>
        <w:ind w:left="138" w:right="147"/>
        <w:jc w:val="both"/>
      </w:pPr>
      <w:r>
        <w:rPr/>
        <w:t>福建省电子信息（集团）有限责任公司持有其</w:t>
      </w:r>
      <w:r>
        <w:rPr>
          <w:spacing w:val="-55"/>
        </w:rPr>
        <w:t> </w:t>
      </w:r>
      <w:r>
        <w:rPr>
          <w:rFonts w:ascii="Times New Roman" w:hAnsi="Times New Roman" w:cs="Times New Roman" w:eastAsia="Times New Roman" w:hint="default"/>
        </w:rPr>
        <w:t>51%</w:t>
      </w:r>
      <w:r>
        <w:rPr/>
        <w:t>的股权。自</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日起，福建省应急</w:t>
      </w:r>
      <w:r>
        <w:rPr>
          <w:spacing w:val="-3"/>
          <w:w w:val="100"/>
        </w:rPr>
        <w:t> </w:t>
      </w:r>
      <w:r>
        <w:rPr>
          <w:spacing w:val="-1"/>
        </w:rPr>
        <w:t>通信运营有限公司成为公司的参股子公司及关联方。截至报告期期末，公司应收福建省应急通信</w:t>
      </w:r>
      <w:r>
        <w:rPr>
          <w:spacing w:val="-55"/>
        </w:rPr>
        <w:t> </w:t>
      </w:r>
      <w:r>
        <w:rPr>
          <w:spacing w:val="-55"/>
        </w:rPr>
      </w:r>
      <w:r>
        <w:rPr/>
        <w:t>运营有限公司项目款项</w:t>
      </w:r>
      <w:r>
        <w:rPr>
          <w:spacing w:val="-54"/>
        </w:rPr>
        <w:t> </w:t>
      </w:r>
      <w:r>
        <w:rPr>
          <w:rFonts w:ascii="Times New Roman" w:hAnsi="Times New Roman" w:cs="Times New Roman" w:eastAsia="Times New Roman" w:hint="default"/>
        </w:rPr>
        <w:t>5,565</w:t>
      </w:r>
      <w:r>
        <w:rPr>
          <w:rFonts w:ascii="Times New Roman" w:hAnsi="Times New Roman" w:cs="Times New Roman" w:eastAsia="Times New Roman" w:hint="default"/>
          <w:spacing w:val="-2"/>
        </w:rPr>
        <w:t> </w:t>
      </w:r>
      <w:r>
        <w:rPr/>
        <w:t>万元。</w:t>
      </w:r>
    </w:p>
    <w:p>
      <w:pPr>
        <w:spacing w:line="240" w:lineRule="auto" w:before="2"/>
        <w:rPr>
          <w:rFonts w:ascii="宋体" w:hAnsi="宋体" w:cs="宋体" w:eastAsia="宋体" w:hint="default"/>
          <w:sz w:val="20"/>
          <w:szCs w:val="20"/>
        </w:rPr>
      </w:pPr>
    </w:p>
    <w:p>
      <w:pPr>
        <w:pStyle w:val="Heading3"/>
        <w:spacing w:line="240" w:lineRule="auto"/>
        <w:ind w:left="138" w:right="0"/>
        <w:jc w:val="both"/>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138" w:right="0"/>
        <w:jc w:val="both"/>
      </w:pPr>
      <w:r>
        <w:rPr/>
        <w:t>□适用  </w:t>
      </w:r>
      <w:r>
        <w:rPr>
          <w:spacing w:val="1"/>
        </w:rPr>
        <w:t> </w:t>
      </w:r>
      <w:r>
        <w:rPr/>
        <w:t>√不适用</w:t>
      </w:r>
    </w:p>
    <w:p>
      <w:pPr>
        <w:spacing w:line="240" w:lineRule="auto" w:before="4"/>
        <w:rPr>
          <w:rFonts w:ascii="宋体" w:hAnsi="宋体" w:cs="宋体" w:eastAsia="宋体" w:hint="default"/>
          <w:sz w:val="22"/>
          <w:szCs w:val="22"/>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9"/>
        <w:ind w:left="138" w:right="0"/>
        <w:jc w:val="both"/>
      </w:pPr>
      <w:r>
        <w:rPr/>
        <w:t>□适用   </w:t>
      </w:r>
      <w:r>
        <w:rPr>
          <w:rFonts w:ascii="Calibri" w:hAnsi="Calibri" w:cs="Calibri" w:eastAsia="Calibri" w:hint="default"/>
        </w:rPr>
        <w:t>√</w:t>
      </w:r>
      <w:r>
        <w:rPr/>
        <w:t>不适用</w:t>
      </w:r>
    </w:p>
    <w:p>
      <w:pPr>
        <w:spacing w:after="0" w:line="240" w:lineRule="auto"/>
        <w:jc w:val="both"/>
        <w:sectPr>
          <w:type w:val="continuous"/>
          <w:pgSz w:w="11910" w:h="16840"/>
          <w:pgMar w:top="1580" w:bottom="280" w:left="1660" w:right="1120"/>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7" w:footer="979" w:top="1140" w:bottom="1160" w:left="1580" w:right="1040"/>
        </w:sectPr>
      </w:pPr>
    </w:p>
    <w:p>
      <w:pPr>
        <w:pStyle w:val="Heading3"/>
        <w:spacing w:line="240" w:lineRule="auto" w:before="36"/>
        <w:ind w:right="-20"/>
        <w:jc w:val="left"/>
        <w:rPr>
          <w:b w:val="0"/>
          <w:bCs w:val="0"/>
        </w:rPr>
      </w:pPr>
      <w:r>
        <w:rPr/>
        <w:t>十三、股份支付</w:t>
      </w:r>
      <w:r>
        <w:rPr>
          <w:b w:val="0"/>
          <w:bCs w:val="0"/>
        </w:rPr>
      </w:r>
    </w:p>
    <w:p>
      <w:pPr>
        <w:pStyle w:val="Heading3"/>
        <w:spacing w:line="240" w:lineRule="auto" w:before="58"/>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tabs>
          <w:tab w:pos="1060" w:val="left" w:leader="none"/>
        </w:tabs>
        <w:spacing w:line="240" w:lineRule="auto" w:before="56"/>
        <w:ind w:right="-2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单位：股币种：人民币</w:t>
      </w:r>
    </w:p>
    <w:p>
      <w:pPr>
        <w:spacing w:after="0" w:line="240" w:lineRule="auto"/>
        <w:jc w:val="left"/>
        <w:sectPr>
          <w:type w:val="continuous"/>
          <w:pgSz w:w="11910" w:h="16840"/>
          <w:pgMar w:top="1580" w:bottom="280" w:left="1580" w:right="1040"/>
          <w:cols w:num="2" w:equalWidth="0">
            <w:col w:w="2333" w:space="440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525,000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2,550,688</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258,720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513"/>
        <w:jc w:val="left"/>
      </w:pPr>
      <w:r>
        <w:rPr/>
        <w:t>其他说明</w:t>
      </w:r>
    </w:p>
    <w:p>
      <w:pPr>
        <w:pStyle w:val="BodyText"/>
        <w:spacing w:line="240" w:lineRule="auto" w:before="73"/>
        <w:ind w:left="638" w:right="123"/>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3"/>
        </w:rPr>
        <w:t>日，公司完成本次激励计划的首次授予并披露《关于限制性股票激励计划首</w:t>
      </w:r>
    </w:p>
    <w:p>
      <w:pPr>
        <w:pStyle w:val="BodyText"/>
        <w:spacing w:line="240" w:lineRule="auto" w:before="69"/>
        <w:ind w:right="123"/>
        <w:jc w:val="left"/>
        <w:rPr>
          <w:rFonts w:ascii="Times New Roman" w:hAnsi="Times New Roman" w:cs="Times New Roman" w:eastAsia="Times New Roman" w:hint="default"/>
        </w:rPr>
      </w:pPr>
      <w:r>
        <w:rPr>
          <w:w w:val="100"/>
        </w:rPr>
        <w:t>次授</w:t>
      </w:r>
      <w:r>
        <w:rPr>
          <w:spacing w:val="-3"/>
          <w:w w:val="100"/>
        </w:rPr>
        <w:t>予</w:t>
      </w:r>
      <w:r>
        <w:rPr>
          <w:w w:val="100"/>
        </w:rPr>
        <w:t>登</w:t>
      </w:r>
      <w:r>
        <w:rPr>
          <w:spacing w:val="-3"/>
          <w:w w:val="100"/>
        </w:rPr>
        <w:t>记</w:t>
      </w:r>
      <w:r>
        <w:rPr>
          <w:w w:val="100"/>
        </w:rPr>
        <w:t>完</w:t>
      </w:r>
      <w:r>
        <w:rPr>
          <w:spacing w:val="-3"/>
          <w:w w:val="100"/>
        </w:rPr>
        <w:t>成</w:t>
      </w:r>
      <w:r>
        <w:rPr>
          <w:w w:val="100"/>
        </w:rPr>
        <w:t>的</w:t>
      </w:r>
      <w:r>
        <w:rPr>
          <w:spacing w:val="-3"/>
          <w:w w:val="100"/>
        </w:rPr>
        <w:t>公</w:t>
      </w:r>
      <w:r>
        <w:rPr>
          <w:w w:val="100"/>
        </w:rPr>
        <w:t>告</w:t>
      </w:r>
      <w:r>
        <w:rPr>
          <w:spacing w:val="-108"/>
          <w:w w:val="100"/>
        </w:rPr>
        <w:t>》</w:t>
      </w:r>
      <w:r>
        <w:rPr>
          <w:spacing w:val="-3"/>
          <w:w w:val="100"/>
        </w:rPr>
        <w:t>。</w:t>
      </w:r>
      <w:r>
        <w:rPr>
          <w:w w:val="100"/>
        </w:rPr>
        <w:t>本激</w:t>
      </w:r>
      <w:r>
        <w:rPr>
          <w:spacing w:val="-3"/>
          <w:w w:val="100"/>
        </w:rPr>
        <w:t>励</w:t>
      </w:r>
      <w:r>
        <w:rPr>
          <w:w w:val="100"/>
        </w:rPr>
        <w:t>计</w:t>
      </w:r>
      <w:r>
        <w:rPr>
          <w:spacing w:val="-3"/>
          <w:w w:val="100"/>
        </w:rPr>
        <w:t>划</w:t>
      </w:r>
      <w:r>
        <w:rPr>
          <w:w w:val="100"/>
        </w:rPr>
        <w:t>首</w:t>
      </w:r>
      <w:r>
        <w:rPr>
          <w:spacing w:val="-3"/>
          <w:w w:val="100"/>
        </w:rPr>
        <w:t>次</w:t>
      </w:r>
      <w:r>
        <w:rPr>
          <w:w w:val="100"/>
        </w:rPr>
        <w:t>授</w:t>
      </w:r>
      <w:r>
        <w:rPr>
          <w:spacing w:val="-3"/>
          <w:w w:val="100"/>
        </w:rPr>
        <w:t>予</w:t>
      </w:r>
      <w:r>
        <w:rPr>
          <w:w w:val="100"/>
        </w:rPr>
        <w:t>激</w:t>
      </w:r>
      <w:r>
        <w:rPr>
          <w:spacing w:val="-3"/>
          <w:w w:val="100"/>
        </w:rPr>
        <w:t>励</w:t>
      </w:r>
      <w:r>
        <w:rPr>
          <w:w w:val="100"/>
        </w:rPr>
        <w:t>对象</w:t>
      </w:r>
      <w:r>
        <w:rPr>
          <w:spacing w:val="-3"/>
          <w:w w:val="100"/>
        </w:rPr>
        <w:t>的</w:t>
      </w:r>
      <w:r>
        <w:rPr>
          <w:w w:val="100"/>
        </w:rPr>
        <w:t>限</w:t>
      </w:r>
      <w:r>
        <w:rPr>
          <w:spacing w:val="-3"/>
          <w:w w:val="100"/>
        </w:rPr>
        <w:t>制</w:t>
      </w:r>
      <w:r>
        <w:rPr>
          <w:w w:val="100"/>
        </w:rPr>
        <w:t>性</w:t>
      </w:r>
      <w:r>
        <w:rPr>
          <w:spacing w:val="-3"/>
          <w:w w:val="100"/>
        </w:rPr>
        <w:t>股</w:t>
      </w:r>
      <w:r>
        <w:rPr>
          <w:w w:val="100"/>
        </w:rPr>
        <w:t>票</w:t>
      </w:r>
      <w:r>
        <w:rPr>
          <w:spacing w:val="-3"/>
          <w:w w:val="100"/>
        </w:rPr>
        <w:t>授</w:t>
      </w:r>
      <w:r>
        <w:rPr>
          <w:w w:val="100"/>
        </w:rPr>
        <w:t>予</w:t>
      </w:r>
      <w:r>
        <w:rPr>
          <w:spacing w:val="-3"/>
          <w:w w:val="100"/>
        </w:rPr>
        <w:t>日</w:t>
      </w:r>
      <w:r>
        <w:rPr>
          <w:w w:val="100"/>
        </w:rPr>
        <w:t>为</w:t>
      </w:r>
      <w:r>
        <w:rPr>
          <w:spacing w:val="-3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4"/>
        </w:rPr>
        <w:t> </w:t>
      </w:r>
      <w:r>
        <w:rPr>
          <w:w w:val="100"/>
        </w:rPr>
        <w:t>年</w:t>
      </w:r>
      <w:r>
        <w:rPr>
          <w:spacing w:val="-41"/>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4"/>
        </w:rPr>
        <w:t> </w:t>
      </w:r>
      <w:r>
        <w:rPr>
          <w:w w:val="100"/>
        </w:rPr>
        <w:t>月</w:t>
      </w:r>
      <w:r>
        <w:rPr>
          <w:spacing w:val="-41"/>
        </w:rPr>
        <w:t> </w:t>
      </w:r>
      <w:r>
        <w:rPr>
          <w:rFonts w:ascii="Times New Roman" w:hAnsi="Times New Roman" w:cs="Times New Roman" w:eastAsia="Times New Roman" w:hint="default"/>
          <w:w w:val="100"/>
        </w:rPr>
        <w:t>28</w:t>
      </w:r>
    </w:p>
    <w:p>
      <w:pPr>
        <w:pStyle w:val="BodyText"/>
        <w:spacing w:line="240" w:lineRule="auto" w:before="69"/>
        <w:ind w:right="123"/>
        <w:jc w:val="left"/>
      </w:pPr>
      <w:r>
        <w:rPr/>
        <w:t>日，限制性股票登记日为</w:t>
      </w:r>
      <w:r>
        <w:rPr>
          <w:spacing w:val="-53"/>
        </w:rPr>
        <w:t> </w:t>
      </w:r>
      <w:r>
        <w:rPr>
          <w:rFonts w:ascii="Times New Roman" w:hAnsi="Times New Roman" w:cs="Times New Roman" w:eastAsia="Times New Roman" w:hint="default"/>
        </w:rPr>
        <w:t>2016 </w:t>
      </w:r>
      <w:r>
        <w:rPr/>
        <w:t>年</w:t>
      </w:r>
      <w:r>
        <w:rPr>
          <w:spacing w:val="-53"/>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20 </w:t>
      </w:r>
      <w:r>
        <w:rPr/>
        <w:t>日，限制性股票登记数量为</w:t>
      </w:r>
      <w:r>
        <w:rPr>
          <w:spacing w:val="-53"/>
        </w:rPr>
        <w:t> </w:t>
      </w:r>
      <w:r>
        <w:rPr>
          <w:rFonts w:ascii="Times New Roman" w:hAnsi="Times New Roman" w:cs="Times New Roman" w:eastAsia="Times New Roman" w:hint="default"/>
        </w:rPr>
        <w:t>1,707,880</w:t>
      </w:r>
      <w:r>
        <w:rPr>
          <w:rFonts w:ascii="Times New Roman" w:hAnsi="Times New Roman" w:cs="Times New Roman" w:eastAsia="Times New Roman" w:hint="default"/>
          <w:spacing w:val="3"/>
        </w:rPr>
        <w:t> </w:t>
      </w:r>
      <w:r>
        <w:rPr/>
        <w:t>股，授予对象共</w:t>
      </w:r>
    </w:p>
    <w:p>
      <w:pPr>
        <w:pStyle w:val="BodyText"/>
        <w:spacing w:line="240" w:lineRule="auto" w:before="69"/>
        <w:ind w:right="123"/>
        <w:jc w:val="left"/>
      </w:pPr>
      <w:r>
        <w:rPr>
          <w:rFonts w:ascii="Times New Roman" w:hAnsi="Times New Roman" w:cs="Times New Roman" w:eastAsia="Times New Roman" w:hint="default"/>
        </w:rPr>
        <w:t>168</w:t>
      </w:r>
      <w:r>
        <w:rPr>
          <w:rFonts w:ascii="Times New Roman" w:hAnsi="Times New Roman" w:cs="Times New Roman" w:eastAsia="Times New Roman" w:hint="default"/>
          <w:spacing w:val="1"/>
        </w:rPr>
        <w:t> </w:t>
      </w:r>
      <w:r>
        <w:rPr/>
        <w:t>人，授予价格为每股</w:t>
      </w:r>
      <w:r>
        <w:rPr>
          <w:spacing w:val="-53"/>
        </w:rPr>
        <w:t> </w:t>
      </w:r>
      <w:r>
        <w:rPr>
          <w:rFonts w:ascii="Times New Roman" w:hAnsi="Times New Roman" w:cs="Times New Roman" w:eastAsia="Times New Roman" w:hint="default"/>
        </w:rPr>
        <w:t>36.10</w:t>
      </w:r>
      <w:r>
        <w:rPr>
          <w:rFonts w:ascii="Times New Roman" w:hAnsi="Times New Roman" w:cs="Times New Roman" w:eastAsia="Times New Roman" w:hint="default"/>
          <w:spacing w:val="1"/>
        </w:rPr>
        <w:t> </w:t>
      </w:r>
      <w:r>
        <w:rPr/>
        <w:t>元。本次授予完成后公司注册资本为人民币</w:t>
      </w:r>
      <w:r>
        <w:rPr>
          <w:spacing w:val="-52"/>
        </w:rPr>
        <w:t> </w:t>
      </w:r>
      <w:r>
        <w:rPr>
          <w:rFonts w:ascii="Times New Roman" w:hAnsi="Times New Roman" w:cs="Times New Roman" w:eastAsia="Times New Roman" w:hint="default"/>
        </w:rPr>
        <w:t>101,707,880</w:t>
      </w:r>
      <w:r>
        <w:rPr>
          <w:rFonts w:ascii="Times New Roman" w:hAnsi="Times New Roman" w:cs="Times New Roman" w:eastAsia="Times New Roman" w:hint="default"/>
          <w:spacing w:val="-1"/>
        </w:rPr>
        <w:t> </w:t>
      </w:r>
      <w:r>
        <w:rPr/>
        <w:t>元，股本</w:t>
      </w:r>
    </w:p>
    <w:p>
      <w:pPr>
        <w:pStyle w:val="BodyText"/>
        <w:spacing w:line="240" w:lineRule="auto" w:before="69"/>
        <w:ind w:right="2513"/>
        <w:jc w:val="left"/>
      </w:pPr>
      <w:r>
        <w:rPr/>
        <w:t>总数</w:t>
      </w:r>
      <w:r>
        <w:rPr>
          <w:spacing w:val="-53"/>
        </w:rPr>
        <w:t> </w:t>
      </w:r>
      <w:r>
        <w:rPr>
          <w:rFonts w:ascii="Times New Roman" w:hAnsi="Times New Roman" w:cs="Times New Roman" w:eastAsia="Times New Roman" w:hint="default"/>
        </w:rPr>
        <w:t>101,707,880 </w:t>
      </w:r>
      <w:r>
        <w:rPr>
          <w:spacing w:val="-3"/>
        </w:rPr>
        <w:t>股。</w:t>
      </w:r>
      <w:r>
        <w:rPr/>
      </w:r>
    </w:p>
    <w:p>
      <w:pPr>
        <w:pStyle w:val="BodyText"/>
        <w:spacing w:line="240" w:lineRule="auto" w:before="69"/>
        <w:ind w:left="638" w:right="12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年年度股东大会审议通过《关于公司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年度利润分配及资</w:t>
      </w:r>
    </w:p>
    <w:p>
      <w:pPr>
        <w:pStyle w:val="BodyText"/>
        <w:spacing w:line="240" w:lineRule="auto" w:before="69"/>
        <w:ind w:right="123"/>
        <w:jc w:val="left"/>
      </w:pPr>
      <w:r>
        <w:rPr>
          <w:w w:val="100"/>
        </w:rPr>
        <w:t>本公</w:t>
      </w:r>
      <w:r>
        <w:rPr>
          <w:spacing w:val="-3"/>
          <w:w w:val="100"/>
        </w:rPr>
        <w:t>积</w:t>
      </w:r>
      <w:r>
        <w:rPr>
          <w:w w:val="100"/>
        </w:rPr>
        <w:t>转</w:t>
      </w:r>
      <w:r>
        <w:rPr>
          <w:spacing w:val="-3"/>
          <w:w w:val="100"/>
        </w:rPr>
        <w:t>增</w:t>
      </w:r>
      <w:r>
        <w:rPr>
          <w:w w:val="100"/>
        </w:rPr>
        <w:t>股</w:t>
      </w:r>
      <w:r>
        <w:rPr>
          <w:spacing w:val="-3"/>
          <w:w w:val="100"/>
        </w:rPr>
        <w:t>本</w:t>
      </w:r>
      <w:r>
        <w:rPr>
          <w:w w:val="100"/>
        </w:rPr>
        <w:t>预</w:t>
      </w:r>
      <w:r>
        <w:rPr>
          <w:spacing w:val="-3"/>
          <w:w w:val="100"/>
        </w:rPr>
        <w:t>案</w:t>
      </w:r>
      <w:r>
        <w:rPr>
          <w:spacing w:val="-106"/>
          <w:w w:val="100"/>
        </w:rPr>
        <w:t>》</w:t>
      </w:r>
      <w:r>
        <w:rPr>
          <w:spacing w:val="-3"/>
          <w:w w:val="100"/>
        </w:rPr>
        <w:t>，本</w:t>
      </w:r>
      <w:r>
        <w:rPr>
          <w:w w:val="100"/>
        </w:rPr>
        <w:t>次利</w:t>
      </w:r>
      <w:r>
        <w:rPr>
          <w:spacing w:val="-3"/>
          <w:w w:val="100"/>
        </w:rPr>
        <w:t>润</w:t>
      </w:r>
      <w:r>
        <w:rPr>
          <w:w w:val="100"/>
        </w:rPr>
        <w:t>分</w:t>
      </w:r>
      <w:r>
        <w:rPr>
          <w:spacing w:val="-3"/>
          <w:w w:val="100"/>
        </w:rPr>
        <w:t>配</w:t>
      </w:r>
      <w:r>
        <w:rPr>
          <w:w w:val="100"/>
        </w:rPr>
        <w:t>及</w:t>
      </w:r>
      <w:r>
        <w:rPr>
          <w:spacing w:val="-3"/>
          <w:w w:val="100"/>
        </w:rPr>
        <w:t>转</w:t>
      </w:r>
      <w:r>
        <w:rPr>
          <w:w w:val="100"/>
        </w:rPr>
        <w:t>增</w:t>
      </w:r>
      <w:r>
        <w:rPr>
          <w:spacing w:val="-3"/>
          <w:w w:val="100"/>
        </w:rPr>
        <w:t>股</w:t>
      </w:r>
      <w:r>
        <w:rPr>
          <w:w w:val="100"/>
        </w:rPr>
        <w:t>本</w:t>
      </w:r>
      <w:r>
        <w:rPr>
          <w:spacing w:val="-3"/>
          <w:w w:val="100"/>
        </w:rPr>
        <w:t>以</w:t>
      </w:r>
      <w:r>
        <w:rPr>
          <w:w w:val="100"/>
        </w:rPr>
        <w:t>方案</w:t>
      </w:r>
      <w:r>
        <w:rPr>
          <w:spacing w:val="-3"/>
          <w:w w:val="100"/>
        </w:rPr>
        <w:t>实</w:t>
      </w:r>
      <w:r>
        <w:rPr>
          <w:w w:val="100"/>
        </w:rPr>
        <w:t>施</w:t>
      </w:r>
      <w:r>
        <w:rPr>
          <w:spacing w:val="-3"/>
          <w:w w:val="100"/>
        </w:rPr>
        <w:t>前</w:t>
      </w:r>
      <w:r>
        <w:rPr>
          <w:w w:val="100"/>
        </w:rPr>
        <w:t>的</w:t>
      </w:r>
      <w:r>
        <w:rPr>
          <w:spacing w:val="-3"/>
          <w:w w:val="100"/>
        </w:rPr>
        <w:t>公</w:t>
      </w:r>
      <w:r>
        <w:rPr>
          <w:w w:val="100"/>
        </w:rPr>
        <w:t>司</w:t>
      </w:r>
      <w:r>
        <w:rPr>
          <w:spacing w:val="-3"/>
          <w:w w:val="100"/>
        </w:rPr>
        <w:t>总股</w:t>
      </w:r>
      <w:r>
        <w:rPr>
          <w:w w:val="100"/>
        </w:rPr>
        <w:t>本</w:t>
      </w:r>
      <w:r>
        <w:rPr>
          <w:spacing w:val="-48"/>
        </w:rPr>
        <w:t> </w:t>
      </w:r>
      <w:r>
        <w:rPr>
          <w:rFonts w:ascii="Times New Roman" w:hAnsi="Times New Roman" w:cs="Times New Roman" w:eastAsia="Times New Roman" w:hint="default"/>
          <w:w w:val="100"/>
        </w:rPr>
        <w:t>101,7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7,8</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r>
        <w:rPr>
          <w:rFonts w:ascii="Times New Roman" w:hAnsi="Times New Roman" w:cs="Times New Roman" w:eastAsia="Times New Roman" w:hint="default"/>
          <w:spacing w:val="7"/>
        </w:rPr>
        <w:t> </w:t>
      </w:r>
      <w:r>
        <w:rPr>
          <w:spacing w:val="-3"/>
          <w:w w:val="100"/>
        </w:rPr>
        <w:t>股</w:t>
      </w:r>
      <w:r>
        <w:rPr>
          <w:w w:val="100"/>
        </w:rPr>
        <w:t>为基</w:t>
      </w:r>
    </w:p>
    <w:p>
      <w:pPr>
        <w:pStyle w:val="BodyText"/>
        <w:spacing w:line="240" w:lineRule="auto" w:before="69"/>
        <w:ind w:right="123"/>
        <w:jc w:val="left"/>
      </w:pPr>
      <w:r>
        <w:rPr>
          <w:w w:val="100"/>
        </w:rPr>
        <w:t>数，</w:t>
      </w:r>
      <w:r>
        <w:rPr>
          <w:spacing w:val="-3"/>
          <w:w w:val="100"/>
        </w:rPr>
        <w:t>每</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36"/>
        </w:rPr>
        <w:t> </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6"/>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以</w:t>
      </w:r>
      <w:r>
        <w:rPr>
          <w:spacing w:val="-3"/>
          <w:w w:val="100"/>
        </w:rPr>
        <w:t>资</w:t>
      </w:r>
      <w:r>
        <w:rPr>
          <w:w w:val="100"/>
        </w:rPr>
        <w:t>本</w:t>
      </w:r>
      <w:r>
        <w:rPr>
          <w:spacing w:val="-3"/>
          <w:w w:val="100"/>
        </w:rPr>
        <w:t>公积</w:t>
      </w:r>
      <w:r>
        <w:rPr>
          <w:w w:val="100"/>
        </w:rPr>
        <w:t>金向</w:t>
      </w:r>
      <w:r>
        <w:rPr>
          <w:spacing w:val="-3"/>
          <w:w w:val="100"/>
        </w:rPr>
        <w:t>全</w:t>
      </w:r>
      <w:r>
        <w:rPr>
          <w:w w:val="100"/>
        </w:rPr>
        <w:t>体</w:t>
      </w:r>
      <w:r>
        <w:rPr>
          <w:spacing w:val="-3"/>
          <w:w w:val="100"/>
        </w:rPr>
        <w:t>股</w:t>
      </w:r>
      <w:r>
        <w:rPr>
          <w:w w:val="100"/>
        </w:rPr>
        <w:t>东</w:t>
      </w:r>
      <w:r>
        <w:rPr>
          <w:spacing w:val="-3"/>
          <w:w w:val="100"/>
        </w:rPr>
        <w:t>每</w:t>
      </w:r>
      <w:r>
        <w:rPr>
          <w:w w:val="100"/>
        </w:rPr>
        <w:t>股</w:t>
      </w:r>
      <w:r>
        <w:rPr>
          <w:spacing w:val="-3"/>
          <w:w w:val="100"/>
        </w:rPr>
        <w:t>转</w:t>
      </w:r>
      <w:r>
        <w:rPr>
          <w:w w:val="100"/>
        </w:rPr>
        <w:t>增</w:t>
      </w:r>
      <w:r>
        <w:rPr>
          <w:spacing w:val="-39"/>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5"/>
        </w:rPr>
        <w:t> </w:t>
      </w:r>
      <w:r>
        <w:rPr>
          <w:w w:val="100"/>
        </w:rPr>
        <w:t>股，</w:t>
      </w:r>
      <w:r>
        <w:rPr>
          <w:spacing w:val="-3"/>
          <w:w w:val="100"/>
        </w:rPr>
        <w:t>共</w:t>
      </w:r>
      <w:r>
        <w:rPr>
          <w:w w:val="100"/>
        </w:rPr>
        <w:t>计</w:t>
      </w:r>
      <w:r>
        <w:rPr>
          <w:spacing w:val="-3"/>
          <w:w w:val="100"/>
        </w:rPr>
        <w:t>派</w:t>
      </w:r>
      <w:r>
        <w:rPr>
          <w:w w:val="100"/>
        </w:rPr>
        <w:t>发</w:t>
      </w:r>
      <w:r>
        <w:rPr>
          <w:spacing w:val="-3"/>
          <w:w w:val="100"/>
        </w:rPr>
        <w:t>现</w:t>
      </w:r>
      <w:r>
        <w:rPr>
          <w:w w:val="100"/>
        </w:rPr>
        <w:t>金</w:t>
      </w:r>
    </w:p>
    <w:p>
      <w:pPr>
        <w:pStyle w:val="BodyText"/>
        <w:spacing w:line="240" w:lineRule="auto" w:before="69"/>
        <w:ind w:right="123"/>
        <w:jc w:val="left"/>
      </w:pPr>
      <w:r>
        <w:rPr>
          <w:w w:val="100"/>
        </w:rPr>
        <w:t>红利</w:t>
      </w:r>
      <w:r>
        <w:rPr>
          <w:spacing w:val="-4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73,</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60.80</w:t>
      </w:r>
      <w:r>
        <w:rPr>
          <w:rFonts w:ascii="Times New Roman" w:hAnsi="Times New Roman" w:cs="Times New Roman" w:eastAsia="Times New Roman" w:hint="default"/>
          <w:spacing w:val="9"/>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转增</w:t>
      </w:r>
      <w:r>
        <w:rPr>
          <w:spacing w:val="-4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5,12</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,640</w:t>
      </w:r>
      <w:r>
        <w:rPr>
          <w:rFonts w:ascii="Times New Roman" w:hAnsi="Times New Roman" w:cs="Times New Roman" w:eastAsia="Times New Roman" w:hint="default"/>
          <w:spacing w:val="9"/>
        </w:rPr>
        <w:t> </w:t>
      </w:r>
      <w:r>
        <w:rPr>
          <w:spacing w:val="-3"/>
          <w:w w:val="100"/>
        </w:rPr>
        <w:t>股</w:t>
      </w:r>
      <w:r>
        <w:rPr>
          <w:w w:val="100"/>
        </w:rPr>
        <w:t>，本</w:t>
      </w:r>
      <w:r>
        <w:rPr>
          <w:spacing w:val="-3"/>
          <w:w w:val="100"/>
        </w:rPr>
        <w:t>次</w:t>
      </w:r>
      <w:r>
        <w:rPr>
          <w:w w:val="100"/>
        </w:rPr>
        <w:t>分</w:t>
      </w:r>
      <w:r>
        <w:rPr>
          <w:spacing w:val="-3"/>
          <w:w w:val="100"/>
        </w:rPr>
        <w:t>配</w:t>
      </w:r>
      <w:r>
        <w:rPr>
          <w:w w:val="100"/>
        </w:rPr>
        <w:t>后</w:t>
      </w:r>
      <w:r>
        <w:rPr>
          <w:spacing w:val="-3"/>
          <w:w w:val="100"/>
        </w:rPr>
        <w:t>公</w:t>
      </w:r>
      <w:r>
        <w:rPr>
          <w:w w:val="100"/>
        </w:rPr>
        <w:t>司</w:t>
      </w:r>
      <w:r>
        <w:rPr>
          <w:spacing w:val="-3"/>
          <w:w w:val="100"/>
        </w:rPr>
        <w:t>总</w:t>
      </w:r>
      <w:r>
        <w:rPr>
          <w:w w:val="100"/>
        </w:rPr>
        <w:t>股</w:t>
      </w:r>
      <w:r>
        <w:rPr>
          <w:spacing w:val="-3"/>
          <w:w w:val="100"/>
        </w:rPr>
        <w:t>本</w:t>
      </w:r>
      <w:r>
        <w:rPr>
          <w:w w:val="100"/>
        </w:rPr>
        <w:t>为</w:t>
      </w:r>
      <w:r>
        <w:rPr>
          <w:spacing w:val="-43"/>
        </w:rPr>
        <w:t> </w:t>
      </w:r>
      <w:r>
        <w:rPr>
          <w:rFonts w:ascii="Times New Roman" w:hAnsi="Times New Roman" w:cs="Times New Roman" w:eastAsia="Times New Roman" w:hint="default"/>
          <w:w w:val="100"/>
        </w:rPr>
        <w:t>406,8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1,520</w:t>
      </w:r>
      <w:r>
        <w:rPr>
          <w:rFonts w:ascii="Times New Roman" w:hAnsi="Times New Roman" w:cs="Times New Roman" w:eastAsia="Times New Roman" w:hint="default"/>
          <w:spacing w:val="7"/>
        </w:rPr>
        <w:t> </w:t>
      </w:r>
      <w:r>
        <w:rPr>
          <w:spacing w:val="-3"/>
          <w:w w:val="100"/>
        </w:rPr>
        <w:t>股。</w:t>
      </w:r>
      <w:r>
        <w:rPr>
          <w:w w:val="100"/>
        </w:rPr>
      </w:r>
    </w:p>
    <w:p>
      <w:pPr>
        <w:pStyle w:val="BodyText"/>
        <w:spacing w:line="240" w:lineRule="auto" w:before="69"/>
        <w:ind w:right="123"/>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年度权益分派方案实施完毕，首次授予的限制性股票数量由</w:t>
      </w:r>
      <w:r>
        <w:rPr>
          <w:spacing w:val="-51"/>
        </w:rPr>
        <w:t> </w:t>
      </w:r>
      <w:r>
        <w:rPr>
          <w:rFonts w:ascii="Times New Roman" w:hAnsi="Times New Roman" w:cs="Times New Roman" w:eastAsia="Times New Roman" w:hint="default"/>
        </w:rPr>
        <w:t>1,707,880</w:t>
      </w:r>
    </w:p>
    <w:p>
      <w:pPr>
        <w:pStyle w:val="BodyText"/>
        <w:spacing w:line="240" w:lineRule="auto" w:before="69"/>
        <w:ind w:right="2513"/>
        <w:jc w:val="left"/>
      </w:pPr>
      <w:r>
        <w:rPr/>
        <w:t>股相应调整至</w:t>
      </w:r>
      <w:r>
        <w:rPr>
          <w:spacing w:val="-52"/>
        </w:rPr>
        <w:t> </w:t>
      </w:r>
      <w:r>
        <w:rPr>
          <w:rFonts w:ascii="Times New Roman" w:hAnsi="Times New Roman" w:cs="Times New Roman" w:eastAsia="Times New Roman" w:hint="default"/>
        </w:rPr>
        <w:t>6,831,520</w:t>
      </w:r>
      <w:r>
        <w:rPr>
          <w:rFonts w:ascii="Times New Roman" w:hAnsi="Times New Roman" w:cs="Times New Roman" w:eastAsia="Times New Roman" w:hint="default"/>
          <w:spacing w:val="-1"/>
        </w:rPr>
        <w:t> </w:t>
      </w:r>
      <w:r>
        <w:rPr>
          <w:spacing w:val="-3"/>
        </w:rPr>
        <w:t>股。</w:t>
      </w:r>
      <w:r>
        <w:rPr/>
      </w:r>
    </w:p>
    <w:p>
      <w:pPr>
        <w:pStyle w:val="BodyText"/>
        <w:spacing w:line="304" w:lineRule="auto" w:before="69"/>
        <w:ind w:right="2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spacing w:val="-3"/>
        </w:rPr>
        <w:t>日，公司分别召开第三届董事会第八次会议和第三届监事会第七次会议，审议</w:t>
      </w:r>
      <w:r>
        <w:rPr>
          <w:w w:val="100"/>
        </w:rPr>
        <w:t> </w:t>
      </w:r>
      <w:r>
        <w:rPr>
          <w:spacing w:val="-1"/>
        </w:rPr>
        <w:t>通过《关于回购注销部分激励对象已获授但尚未解锁的限制性股票的议案》和《关于调整首次授</w:t>
      </w:r>
      <w:r>
        <w:rPr>
          <w:spacing w:val="-55"/>
        </w:rPr>
        <w:t> </w:t>
      </w:r>
      <w:r>
        <w:rPr>
          <w:spacing w:val="-55"/>
        </w:rPr>
      </w:r>
      <w:r>
        <w:rPr>
          <w:spacing w:val="-5"/>
          <w:w w:val="100"/>
        </w:rPr>
        <w:t>予限制性股票回购数量及回购价格的议案》，同意对不符合解锁条件的</w:t>
      </w:r>
      <w:r>
        <w:rPr>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9"/>
          <w:w w:val="100"/>
        </w:rPr>
        <w:t> </w:t>
      </w:r>
      <w:r>
        <w:rPr>
          <w:spacing w:val="-2"/>
          <w:w w:val="100"/>
        </w:rPr>
        <w:t>名激励对象合计持有的</w:t>
      </w:r>
    </w:p>
    <w:p>
      <w:pPr>
        <w:pStyle w:val="BodyText"/>
        <w:spacing w:line="240" w:lineRule="auto" w:before="6"/>
        <w:ind w:right="123"/>
        <w:jc w:val="left"/>
      </w:pPr>
      <w:r>
        <w:rPr>
          <w:rFonts w:ascii="Times New Roman" w:hAnsi="Times New Roman" w:cs="Times New Roman" w:eastAsia="Times New Roman" w:hint="default"/>
        </w:rPr>
        <w:t>258,720</w:t>
      </w:r>
      <w:r>
        <w:rPr>
          <w:rFonts w:ascii="Times New Roman" w:hAnsi="Times New Roman" w:cs="Times New Roman" w:eastAsia="Times New Roman" w:hint="default"/>
          <w:spacing w:val="-2"/>
        </w:rPr>
        <w:t> </w:t>
      </w:r>
      <w:r>
        <w:rPr/>
        <w:t>股已获授但尚未解锁的限制性股票按</w:t>
      </w:r>
      <w:r>
        <w:rPr>
          <w:spacing w:val="-55"/>
        </w:rPr>
        <w:t> </w:t>
      </w:r>
      <w:r>
        <w:rPr>
          <w:rFonts w:ascii="Times New Roman" w:hAnsi="Times New Roman" w:cs="Times New Roman" w:eastAsia="Times New Roman" w:hint="default"/>
        </w:rPr>
        <w:t>8.985</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股进行回购注销。</w:t>
      </w:r>
    </w:p>
    <w:p>
      <w:pPr>
        <w:pStyle w:val="BodyText"/>
        <w:spacing w:line="302" w:lineRule="auto" w:before="69"/>
        <w:ind w:right="0" w:firstLine="4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3"/>
        </w:rPr>
        <w:t>日，公司第三届董事会第十二次会议审议通过了《关于限制性股票激励计划</w:t>
      </w:r>
      <w:r>
        <w:rPr>
          <w:w w:val="100"/>
        </w:rPr>
        <w:t> </w:t>
      </w:r>
      <w:r>
        <w:rPr>
          <w:spacing w:val="-6"/>
          <w:w w:val="100"/>
        </w:rPr>
        <w:t>首次授予的限制性股票第一个解锁期可解锁的议案》，满足公司限制性股票激励计划首次授予第一</w:t>
      </w:r>
      <w:r>
        <w:rPr>
          <w:w w:val="100"/>
        </w:rPr>
        <w:t> </w:t>
      </w:r>
      <w:r>
        <w:rPr>
          <w:spacing w:val="-9"/>
          <w:w w:val="100"/>
        </w:rPr>
        <w:t>个解锁期的解锁条件，授予的</w:t>
      </w:r>
      <w:r>
        <w:rPr>
          <w:spacing w:val="-43"/>
          <w:w w:val="100"/>
        </w:rPr>
        <w:t> </w:t>
      </w:r>
      <w:r>
        <w:rPr>
          <w:rFonts w:ascii="Times New Roman" w:hAnsi="Times New Roman" w:cs="Times New Roman" w:eastAsia="Times New Roman" w:hint="default"/>
          <w:w w:val="100"/>
        </w:rPr>
        <w:t>158</w:t>
      </w:r>
      <w:r>
        <w:rPr>
          <w:rFonts w:ascii="Times New Roman" w:hAnsi="Times New Roman" w:cs="Times New Roman" w:eastAsia="Times New Roman" w:hint="default"/>
          <w:spacing w:val="6"/>
          <w:w w:val="100"/>
        </w:rPr>
        <w:t> </w:t>
      </w:r>
      <w:r>
        <w:rPr>
          <w:spacing w:val="-2"/>
          <w:w w:val="100"/>
        </w:rPr>
        <w:t>名符合解锁条件的激励对象获授的限制性股票办理第一期解锁，</w:t>
      </w:r>
      <w:r>
        <w:rPr>
          <w:spacing w:val="-102"/>
          <w:w w:val="100"/>
        </w:rPr>
        <w:t> </w:t>
      </w:r>
      <w:r>
        <w:rPr>
          <w:spacing w:val="-102"/>
          <w:w w:val="100"/>
        </w:rPr>
      </w:r>
      <w:r>
        <w:rPr/>
        <w:t>解锁比例为</w:t>
      </w:r>
      <w:r>
        <w:rPr>
          <w:spacing w:val="-54"/>
        </w:rPr>
        <w:t> </w:t>
      </w:r>
      <w:r>
        <w:rPr>
          <w:rFonts w:ascii="Times New Roman" w:hAnsi="Times New Roman" w:cs="Times New Roman" w:eastAsia="Times New Roman" w:hint="default"/>
        </w:rPr>
        <w:t>40%</w:t>
      </w:r>
      <w:r>
        <w:rPr/>
        <w:t>，解锁的限制性股票数量合计为</w:t>
      </w:r>
      <w:r>
        <w:rPr>
          <w:spacing w:val="-54"/>
        </w:rPr>
        <w:t> </w:t>
      </w:r>
      <w:r>
        <w:rPr>
          <w:rFonts w:ascii="Times New Roman" w:hAnsi="Times New Roman" w:cs="Times New Roman" w:eastAsia="Times New Roman" w:hint="default"/>
        </w:rPr>
        <w:t>2,550,688</w:t>
      </w:r>
      <w:r>
        <w:rPr>
          <w:rFonts w:ascii="Times New Roman" w:hAnsi="Times New Roman" w:cs="Times New Roman" w:eastAsia="Times New Roman" w:hint="default"/>
          <w:spacing w:val="-3"/>
        </w:rPr>
        <w:t> </w:t>
      </w:r>
      <w:r>
        <w:rPr/>
        <w:t>股。</w:t>
      </w:r>
    </w:p>
    <w:p>
      <w:pPr>
        <w:pStyle w:val="BodyText"/>
        <w:spacing w:line="304" w:lineRule="auto" w:before="9"/>
        <w:ind w:right="228" w:firstLine="419"/>
        <w:jc w:val="both"/>
      </w:pPr>
      <w:r>
        <w:rPr/>
        <w:t>公司限制性股票激励对象自获授限制性股票之日起</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7"/>
        </w:rPr>
        <w:t>个月内为锁定期。在锁定期内，激励对</w:t>
      </w:r>
      <w:r>
        <w:rPr>
          <w:w w:val="100"/>
        </w:rPr>
        <w:t> </w:t>
      </w:r>
      <w:r>
        <w:rPr>
          <w:spacing w:val="-1"/>
        </w:rPr>
        <w:t>象根据本计划获授的限制性股票予以锁定，不得转让、不得用于偿还债务。限制性股票解锁安排</w:t>
      </w:r>
      <w:r>
        <w:rPr>
          <w:spacing w:val="-55"/>
        </w:rPr>
        <w:t> </w:t>
      </w:r>
      <w:r>
        <w:rPr>
          <w:spacing w:val="-55"/>
        </w:rPr>
      </w:r>
      <w:r>
        <w:rPr/>
        <w:t>及公司业绩考核条件如下：</w:t>
      </w:r>
    </w:p>
    <w:p>
      <w:pPr>
        <w:pStyle w:val="BodyText"/>
        <w:spacing w:line="240" w:lineRule="auto" w:before="28"/>
        <w:ind w:right="2513"/>
        <w:jc w:val="left"/>
      </w:pPr>
      <w:r>
        <w:rPr>
          <w:rFonts w:ascii="Times New Roman" w:hAnsi="Times New Roman" w:cs="Times New Roman" w:eastAsia="Times New Roman" w:hint="default"/>
        </w:rPr>
        <w:t>1</w:t>
      </w:r>
      <w:r>
        <w:rPr/>
        <w:t>、首次授予的限制性股票各年度业绩考核条件具体如下：</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01"/>
        <w:gridCol w:w="2201"/>
        <w:gridCol w:w="2213"/>
        <w:gridCol w:w="2209"/>
      </w:tblGrid>
      <w:tr>
        <w:trPr>
          <w:trHeight w:val="26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95" w:right="0"/>
              <w:jc w:val="left"/>
              <w:rPr>
                <w:rFonts w:ascii="宋体" w:hAnsi="宋体" w:cs="宋体" w:eastAsia="宋体" w:hint="default"/>
                <w:sz w:val="20"/>
                <w:szCs w:val="20"/>
              </w:rPr>
            </w:pPr>
            <w:r>
              <w:rPr>
                <w:rFonts w:ascii="宋体" w:hAnsi="宋体" w:cs="宋体" w:eastAsia="宋体" w:hint="default"/>
                <w:sz w:val="20"/>
                <w:szCs w:val="20"/>
              </w:rPr>
              <w:t>解锁安排</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93" w:right="0"/>
              <w:jc w:val="left"/>
              <w:rPr>
                <w:rFonts w:ascii="宋体" w:hAnsi="宋体" w:cs="宋体" w:eastAsia="宋体" w:hint="default"/>
                <w:sz w:val="20"/>
                <w:szCs w:val="20"/>
              </w:rPr>
            </w:pPr>
            <w:r>
              <w:rPr>
                <w:rFonts w:ascii="宋体" w:hAnsi="宋体" w:cs="宋体" w:eastAsia="宋体" w:hint="default"/>
                <w:sz w:val="20"/>
                <w:szCs w:val="20"/>
              </w:rPr>
              <w:t>解锁安排</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98" w:right="0"/>
              <w:jc w:val="left"/>
              <w:rPr>
                <w:rFonts w:ascii="宋体" w:hAnsi="宋体" w:cs="宋体" w:eastAsia="宋体" w:hint="default"/>
                <w:sz w:val="20"/>
                <w:szCs w:val="20"/>
              </w:rPr>
            </w:pPr>
            <w:r>
              <w:rPr>
                <w:rFonts w:ascii="宋体" w:hAnsi="宋体" w:cs="宋体" w:eastAsia="宋体" w:hint="default"/>
                <w:sz w:val="20"/>
                <w:szCs w:val="20"/>
              </w:rPr>
              <w:t>公司业绩考核条件</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99" w:right="0"/>
              <w:jc w:val="left"/>
              <w:rPr>
                <w:rFonts w:ascii="宋体" w:hAnsi="宋体" w:cs="宋体" w:eastAsia="宋体" w:hint="default"/>
                <w:sz w:val="20"/>
                <w:szCs w:val="20"/>
              </w:rPr>
            </w:pPr>
            <w:r>
              <w:rPr>
                <w:rFonts w:ascii="宋体" w:hAnsi="宋体" w:cs="宋体" w:eastAsia="宋体" w:hint="default"/>
                <w:sz w:val="20"/>
                <w:szCs w:val="20"/>
              </w:rPr>
              <w:t>解锁比例</w:t>
            </w:r>
          </w:p>
        </w:tc>
      </w:tr>
      <w:tr>
        <w:trPr>
          <w:trHeight w:val="109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第一次解锁期</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个月后</w:t>
            </w:r>
          </w:p>
          <w:p>
            <w:pPr>
              <w:pStyle w:val="TableParagraph"/>
              <w:spacing w:line="230"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的首个交易日起至授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予日起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个月内的最</w:t>
            </w:r>
            <w:r>
              <w:rPr>
                <w:rFonts w:ascii="宋体" w:hAnsi="宋体" w:cs="宋体" w:eastAsia="宋体" w:hint="default"/>
                <w:w w:val="100"/>
                <w:sz w:val="21"/>
                <w:szCs w:val="21"/>
              </w:rPr>
              <w:t> </w:t>
            </w:r>
            <w:r>
              <w:rPr>
                <w:rFonts w:ascii="宋体" w:hAnsi="宋体" w:cs="宋体" w:eastAsia="宋体" w:hint="default"/>
                <w:sz w:val="21"/>
                <w:szCs w:val="21"/>
              </w:rPr>
              <w:t>后一个交易日当日止</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17"/>
              <w:ind w:left="100" w:right="98"/>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年的净利润为</w:t>
            </w:r>
            <w:r>
              <w:rPr>
                <w:rFonts w:ascii="宋体" w:hAnsi="宋体" w:cs="宋体" w:eastAsia="宋体" w:hint="default"/>
                <w:w w:val="100"/>
                <w:sz w:val="21"/>
                <w:szCs w:val="21"/>
              </w:rPr>
              <w:t> </w:t>
            </w:r>
            <w:r>
              <w:rPr>
                <w:rFonts w:ascii="宋体" w:hAnsi="宋体" w:cs="宋体" w:eastAsia="宋体" w:hint="default"/>
                <w:sz w:val="21"/>
                <w:szCs w:val="21"/>
              </w:rPr>
              <w:t>基准，</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w:t>
            </w:r>
            <w:r>
              <w:rPr>
                <w:rFonts w:ascii="宋体" w:hAnsi="宋体" w:cs="宋体" w:eastAsia="宋体" w:hint="default"/>
                <w:w w:val="100"/>
                <w:sz w:val="21"/>
                <w:szCs w:val="21"/>
              </w:rPr>
              <w:t> </w:t>
            </w:r>
            <w:r>
              <w:rPr>
                <w:rFonts w:ascii="宋体" w:hAnsi="宋体" w:cs="宋体" w:eastAsia="宋体" w:hint="default"/>
                <w:sz w:val="21"/>
                <w:szCs w:val="21"/>
              </w:rPr>
              <w:t>增长率不低于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40%</w:t>
            </w:r>
          </w:p>
        </w:tc>
      </w:tr>
      <w:tr>
        <w:trPr>
          <w:trHeight w:val="55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第二次解锁期</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个月后</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的首个交易日起至授</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年的净利润为</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基准，</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201"/>
        <w:gridCol w:w="2201"/>
        <w:gridCol w:w="2213"/>
        <w:gridCol w:w="2209"/>
      </w:tblGrid>
      <w:tr>
        <w:trPr>
          <w:trHeight w:val="557"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予日起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个月内的最</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后一个交易日当日止</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增长率不低于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220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第三次解锁期</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个月后</w:t>
            </w:r>
          </w:p>
          <w:p>
            <w:pPr>
              <w:pStyle w:val="TableParagraph"/>
              <w:spacing w:line="230"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的首个交易日起至授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予日起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个月内的最</w:t>
            </w:r>
            <w:r>
              <w:rPr>
                <w:rFonts w:ascii="宋体" w:hAnsi="宋体" w:cs="宋体" w:eastAsia="宋体" w:hint="default"/>
                <w:w w:val="100"/>
                <w:sz w:val="21"/>
                <w:szCs w:val="21"/>
              </w:rPr>
              <w:t> </w:t>
            </w:r>
            <w:r>
              <w:rPr>
                <w:rFonts w:ascii="宋体" w:hAnsi="宋体" w:cs="宋体" w:eastAsia="宋体" w:hint="default"/>
                <w:sz w:val="21"/>
                <w:szCs w:val="21"/>
              </w:rPr>
              <w:t>后一个交易日当日止</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15"/>
              <w:ind w:left="100" w:right="98"/>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年的净利润为</w:t>
            </w:r>
            <w:r>
              <w:rPr>
                <w:rFonts w:ascii="宋体" w:hAnsi="宋体" w:cs="宋体" w:eastAsia="宋体" w:hint="default"/>
                <w:w w:val="100"/>
                <w:sz w:val="21"/>
                <w:szCs w:val="21"/>
              </w:rPr>
              <w:t> </w:t>
            </w:r>
            <w:r>
              <w:rPr>
                <w:rFonts w:ascii="宋体" w:hAnsi="宋体" w:cs="宋体" w:eastAsia="宋体" w:hint="default"/>
                <w:sz w:val="21"/>
                <w:szCs w:val="21"/>
              </w:rPr>
              <w:t>基准，</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年净利润</w:t>
            </w:r>
            <w:r>
              <w:rPr>
                <w:rFonts w:ascii="宋体" w:hAnsi="宋体" w:cs="宋体" w:eastAsia="宋体" w:hint="default"/>
                <w:w w:val="100"/>
                <w:sz w:val="21"/>
                <w:szCs w:val="21"/>
              </w:rPr>
              <w:t> </w:t>
            </w:r>
            <w:r>
              <w:rPr>
                <w:rFonts w:ascii="宋体" w:hAnsi="宋体" w:cs="宋体" w:eastAsia="宋体" w:hint="default"/>
                <w:sz w:val="21"/>
                <w:szCs w:val="21"/>
              </w:rPr>
              <w:t>增长率不低于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z w:val="21"/>
              </w:rPr>
              <w:t>30%</w:t>
            </w:r>
          </w:p>
        </w:tc>
      </w:tr>
    </w:tbl>
    <w:p>
      <w:pPr>
        <w:pStyle w:val="BodyText"/>
        <w:spacing w:line="241" w:lineRule="exact"/>
        <w:ind w:right="2513"/>
        <w:jc w:val="left"/>
      </w:pPr>
      <w:r>
        <w:rPr>
          <w:rFonts w:ascii="宋体" w:hAnsi="宋体" w:cs="宋体" w:eastAsia="宋体" w:hint="default"/>
        </w:rPr>
        <w:t>2</w:t>
      </w:r>
      <w:r>
        <w:rPr/>
        <w:t>、</w:t>
      </w:r>
      <w:r>
        <w:rPr>
          <w:spacing w:val="1"/>
        </w:rPr>
        <w:t> </w:t>
      </w:r>
      <w:r>
        <w:rPr/>
        <w:t>预留部份限制性股票各年度业绩考核条件具体如下：</w:t>
      </w:r>
    </w:p>
    <w:p>
      <w:pPr>
        <w:spacing w:line="240" w:lineRule="auto" w:before="4"/>
        <w:rPr>
          <w:rFonts w:ascii="宋体" w:hAnsi="宋体" w:cs="宋体" w:eastAsia="宋体" w:hint="default"/>
          <w:sz w:val="2"/>
          <w:szCs w:val="2"/>
        </w:rPr>
      </w:pPr>
    </w:p>
    <w:tbl>
      <w:tblPr>
        <w:tblW w:w="0" w:type="auto"/>
        <w:jc w:val="left"/>
        <w:tblInd w:w="530" w:type="dxa"/>
        <w:tblLayout w:type="fixed"/>
        <w:tblCellMar>
          <w:top w:w="0" w:type="dxa"/>
          <w:left w:w="0" w:type="dxa"/>
          <w:bottom w:w="0" w:type="dxa"/>
          <w:right w:w="0" w:type="dxa"/>
        </w:tblCellMar>
        <w:tblLook w:val="01E0"/>
      </w:tblPr>
      <w:tblGrid>
        <w:gridCol w:w="2096"/>
        <w:gridCol w:w="2095"/>
        <w:gridCol w:w="2108"/>
        <w:gridCol w:w="2101"/>
      </w:tblGrid>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4"/>
              <w:jc w:val="right"/>
              <w:rPr>
                <w:rFonts w:ascii="宋体" w:hAnsi="宋体" w:cs="宋体" w:eastAsia="宋体" w:hint="default"/>
                <w:sz w:val="21"/>
                <w:szCs w:val="21"/>
              </w:rPr>
            </w:pPr>
            <w:r>
              <w:rPr>
                <w:rFonts w:ascii="宋体" w:hAnsi="宋体" w:cs="宋体" w:eastAsia="宋体" w:hint="default"/>
                <w:spacing w:val="-1"/>
                <w:sz w:val="21"/>
                <w:szCs w:val="21"/>
              </w:rPr>
              <w:t>预留解锁期</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解锁安排</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公司业绩考核条件</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解锁比例</w:t>
            </w:r>
          </w:p>
        </w:tc>
      </w:tr>
      <w:tr>
        <w:trPr>
          <w:trHeight w:val="16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07"/>
              <w:jc w:val="right"/>
              <w:rPr>
                <w:rFonts w:ascii="宋体" w:hAnsi="宋体" w:cs="宋体" w:eastAsia="宋体" w:hint="default"/>
                <w:sz w:val="21"/>
                <w:szCs w:val="21"/>
              </w:rPr>
            </w:pPr>
            <w:r>
              <w:rPr>
                <w:rFonts w:ascii="宋体" w:hAnsi="宋体" w:cs="宋体" w:eastAsia="宋体" w:hint="default"/>
                <w:spacing w:val="-1"/>
                <w:sz w:val="21"/>
                <w:szCs w:val="21"/>
              </w:rPr>
              <w:t>第一次预留解锁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6"/>
                <w:sz w:val="21"/>
                <w:szCs w:val="21"/>
              </w:rPr>
              <w:t> </w:t>
            </w:r>
            <w:r>
              <w:rPr>
                <w:rFonts w:ascii="宋体" w:hAnsi="宋体" w:cs="宋体" w:eastAsia="宋体" w:hint="default"/>
                <w:sz w:val="21"/>
                <w:szCs w:val="21"/>
              </w:rPr>
              <w:t>预</w:t>
            </w:r>
            <w:r>
              <w:rPr>
                <w:rFonts w:ascii="宋体" w:hAnsi="宋体" w:cs="宋体" w:eastAsia="宋体" w:hint="default"/>
                <w:spacing w:val="-78"/>
                <w:sz w:val="21"/>
                <w:szCs w:val="21"/>
              </w:rPr>
              <w:t> </w:t>
            </w:r>
            <w:r>
              <w:rPr>
                <w:rFonts w:ascii="宋体" w:hAnsi="宋体" w:cs="宋体" w:eastAsia="宋体" w:hint="default"/>
                <w:sz w:val="21"/>
                <w:szCs w:val="21"/>
              </w:rPr>
              <w:t>留</w:t>
            </w:r>
            <w:r>
              <w:rPr>
                <w:rFonts w:ascii="宋体" w:hAnsi="宋体" w:cs="宋体" w:eastAsia="宋体" w:hint="default"/>
                <w:spacing w:val="-78"/>
                <w:sz w:val="21"/>
                <w:szCs w:val="21"/>
              </w:rPr>
              <w:t> </w:t>
            </w:r>
            <w:r>
              <w:rPr>
                <w:rFonts w:ascii="宋体" w:hAnsi="宋体" w:cs="宋体" w:eastAsia="宋体" w:hint="default"/>
                <w:sz w:val="21"/>
                <w:szCs w:val="21"/>
              </w:rPr>
              <w:t>部</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spacing w:val="-78"/>
                <w:sz w:val="21"/>
                <w:szCs w:val="21"/>
              </w:rPr>
              <w:t> </w:t>
            </w:r>
            <w:r>
              <w:rPr>
                <w:rFonts w:ascii="宋体" w:hAnsi="宋体" w:cs="宋体" w:eastAsia="宋体" w:hint="default"/>
                <w:sz w:val="21"/>
                <w:szCs w:val="21"/>
              </w:rPr>
              <w:t>权</w:t>
            </w:r>
            <w:r>
              <w:rPr>
                <w:rFonts w:ascii="宋体" w:hAnsi="宋体" w:cs="宋体" w:eastAsia="宋体" w:hint="default"/>
                <w:spacing w:val="-78"/>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的</w:t>
            </w:r>
          </w:p>
          <w:p>
            <w:pPr>
              <w:pStyle w:val="TableParagraph"/>
              <w:spacing w:line="230" w:lineRule="auto" w:before="9"/>
              <w:ind w:left="100" w:right="101"/>
              <w:jc w:val="both"/>
              <w:rPr>
                <w:rFonts w:ascii="宋体" w:hAnsi="宋体" w:cs="宋体" w:eastAsia="宋体" w:hint="default"/>
                <w:sz w:val="21"/>
                <w:szCs w:val="21"/>
              </w:rPr>
            </w:pPr>
            <w:r>
              <w:rPr>
                <w:rFonts w:ascii="宋体" w:hAnsi="宋体" w:cs="宋体" w:eastAsia="宋体" w:hint="default"/>
                <w:sz w:val="21"/>
                <w:szCs w:val="21"/>
              </w:rPr>
              <w:t>授予日起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个月后</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首</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8"/>
                <w:sz w:val="21"/>
                <w:szCs w:val="21"/>
              </w:rPr>
              <w:t> </w:t>
            </w: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起</w:t>
            </w:r>
            <w:r>
              <w:rPr>
                <w:rFonts w:ascii="宋体" w:hAnsi="宋体" w:cs="宋体" w:eastAsia="宋体" w:hint="default"/>
                <w:spacing w:val="-76"/>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pacing w:val="9"/>
                <w:sz w:val="21"/>
                <w:szCs w:val="21"/>
              </w:rPr>
              <w:t>相应的授予日起</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个</w:t>
            </w:r>
            <w:r>
              <w:rPr>
                <w:rFonts w:ascii="宋体" w:hAnsi="宋体" w:cs="宋体" w:eastAsia="宋体" w:hint="default"/>
                <w:spacing w:val="-76"/>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最</w:t>
            </w:r>
            <w:r>
              <w:rPr>
                <w:rFonts w:ascii="宋体" w:hAnsi="宋体" w:cs="宋体" w:eastAsia="宋体" w:hint="default"/>
                <w:spacing w:val="-78"/>
                <w:sz w:val="21"/>
                <w:szCs w:val="21"/>
              </w:rPr>
              <w:t> </w:t>
            </w:r>
            <w:r>
              <w:rPr>
                <w:rFonts w:ascii="宋体" w:hAnsi="宋体" w:cs="宋体" w:eastAsia="宋体" w:hint="default"/>
                <w:sz w:val="21"/>
                <w:szCs w:val="21"/>
              </w:rPr>
              <w:t>后</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交易日当日止</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28" w:lineRule="auto"/>
              <w:ind w:left="101" w:right="101"/>
              <w:jc w:val="both"/>
              <w:rPr>
                <w:rFonts w:ascii="宋体" w:hAnsi="宋体" w:cs="宋体" w:eastAsia="宋体"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年的净利润</w:t>
            </w:r>
            <w:r>
              <w:rPr>
                <w:rFonts w:ascii="宋体" w:hAnsi="宋体" w:cs="宋体" w:eastAsia="宋体" w:hint="default"/>
                <w:w w:val="100"/>
                <w:sz w:val="21"/>
                <w:szCs w:val="21"/>
              </w:rPr>
              <w:t> </w:t>
            </w:r>
            <w:r>
              <w:rPr>
                <w:rFonts w:ascii="宋体" w:hAnsi="宋体" w:cs="宋体" w:eastAsia="宋体" w:hint="default"/>
                <w:spacing w:val="-8"/>
                <w:sz w:val="21"/>
                <w:szCs w:val="21"/>
              </w:rPr>
              <w:t>为基准，</w:t>
            </w:r>
            <w:r>
              <w:rPr>
                <w:rFonts w:ascii="Times New Roman" w:hAnsi="Times New Roman" w:cs="Times New Roman" w:eastAsia="Times New Roman" w:hint="default"/>
                <w:spacing w:val="-8"/>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年净利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r>
              <w:rPr>
                <w:rFonts w:ascii="宋体" w:hAnsi="宋体" w:cs="宋体" w:eastAsia="宋体" w:hint="default"/>
                <w:spacing w:val="-35"/>
                <w:sz w:val="21"/>
                <w:szCs w:val="21"/>
              </w:rPr>
              <w:t> </w:t>
            </w:r>
            <w:r>
              <w:rPr>
                <w:rFonts w:ascii="宋体" w:hAnsi="宋体" w:cs="宋体" w:eastAsia="宋体" w:hint="default"/>
                <w:sz w:val="21"/>
                <w:szCs w:val="21"/>
              </w:rPr>
              <w:t>增</w:t>
            </w:r>
            <w:r>
              <w:rPr>
                <w:rFonts w:ascii="宋体" w:hAnsi="宋体" w:cs="宋体" w:eastAsia="宋体" w:hint="default"/>
                <w:spacing w:val="-35"/>
                <w:sz w:val="21"/>
                <w:szCs w:val="21"/>
              </w:rPr>
              <w:t> </w:t>
            </w:r>
            <w:r>
              <w:rPr>
                <w:rFonts w:ascii="宋体" w:hAnsi="宋体" w:cs="宋体" w:eastAsia="宋体" w:hint="default"/>
                <w:sz w:val="21"/>
                <w:szCs w:val="21"/>
              </w:rPr>
              <w:t>长</w:t>
            </w:r>
            <w:r>
              <w:rPr>
                <w:rFonts w:ascii="宋体" w:hAnsi="宋体" w:cs="宋体" w:eastAsia="宋体" w:hint="default"/>
                <w:spacing w:val="-35"/>
                <w:sz w:val="21"/>
                <w:szCs w:val="21"/>
              </w:rPr>
              <w:t> </w:t>
            </w:r>
            <w:r>
              <w:rPr>
                <w:rFonts w:ascii="宋体" w:hAnsi="宋体" w:cs="宋体" w:eastAsia="宋体" w:hint="default"/>
                <w:sz w:val="21"/>
                <w:szCs w:val="21"/>
              </w:rPr>
              <w:t>率</w:t>
            </w:r>
            <w:r>
              <w:rPr>
                <w:rFonts w:ascii="宋体" w:hAnsi="宋体" w:cs="宋体" w:eastAsia="宋体" w:hint="default"/>
                <w:spacing w:val="-35"/>
                <w:sz w:val="21"/>
                <w:szCs w:val="21"/>
              </w:rPr>
              <w:t> </w:t>
            </w:r>
            <w:r>
              <w:rPr>
                <w:rFonts w:ascii="宋体" w:hAnsi="宋体" w:cs="宋体" w:eastAsia="宋体" w:hint="default"/>
                <w:sz w:val="21"/>
                <w:szCs w:val="21"/>
              </w:rPr>
              <w:t>不</w:t>
            </w:r>
            <w:r>
              <w:rPr>
                <w:rFonts w:ascii="宋体" w:hAnsi="宋体" w:cs="宋体" w:eastAsia="宋体" w:hint="default"/>
                <w:spacing w:val="-35"/>
                <w:sz w:val="21"/>
                <w:szCs w:val="21"/>
              </w:rPr>
              <w:t> </w:t>
            </w:r>
            <w:r>
              <w:rPr>
                <w:rFonts w:ascii="宋体" w:hAnsi="宋体" w:cs="宋体" w:eastAsia="宋体" w:hint="default"/>
                <w:sz w:val="21"/>
                <w:szCs w:val="21"/>
              </w:rPr>
              <w:t>低</w:t>
            </w:r>
            <w:r>
              <w:rPr>
                <w:rFonts w:ascii="宋体" w:hAnsi="宋体" w:cs="宋体" w:eastAsia="宋体" w:hint="default"/>
                <w:spacing w:val="-38"/>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99"/>
              <w:jc w:val="right"/>
              <w:rPr>
                <w:rFonts w:ascii="Times New Roman" w:hAnsi="Times New Roman" w:cs="Times New Roman" w:eastAsia="Times New Roman" w:hint="default"/>
                <w:sz w:val="20"/>
                <w:szCs w:val="20"/>
              </w:rPr>
            </w:pPr>
            <w:r>
              <w:rPr>
                <w:rFonts w:ascii="Times New Roman"/>
                <w:sz w:val="20"/>
              </w:rPr>
              <w:t>50%</w:t>
            </w:r>
          </w:p>
        </w:tc>
      </w:tr>
      <w:tr>
        <w:trPr>
          <w:trHeight w:val="164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07"/>
              <w:jc w:val="right"/>
              <w:rPr>
                <w:rFonts w:ascii="宋体" w:hAnsi="宋体" w:cs="宋体" w:eastAsia="宋体" w:hint="default"/>
                <w:sz w:val="21"/>
                <w:szCs w:val="21"/>
              </w:rPr>
            </w:pPr>
            <w:r>
              <w:rPr>
                <w:rFonts w:ascii="宋体" w:hAnsi="宋体" w:cs="宋体" w:eastAsia="宋体" w:hint="default"/>
                <w:spacing w:val="-1"/>
                <w:sz w:val="21"/>
                <w:szCs w:val="21"/>
              </w:rPr>
              <w:t>第二次预留解锁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6"/>
                <w:sz w:val="21"/>
                <w:szCs w:val="21"/>
              </w:rPr>
              <w:t> </w:t>
            </w:r>
            <w:r>
              <w:rPr>
                <w:rFonts w:ascii="宋体" w:hAnsi="宋体" w:cs="宋体" w:eastAsia="宋体" w:hint="default"/>
                <w:sz w:val="21"/>
                <w:szCs w:val="21"/>
              </w:rPr>
              <w:t>预</w:t>
            </w:r>
            <w:r>
              <w:rPr>
                <w:rFonts w:ascii="宋体" w:hAnsi="宋体" w:cs="宋体" w:eastAsia="宋体" w:hint="default"/>
                <w:spacing w:val="-78"/>
                <w:sz w:val="21"/>
                <w:szCs w:val="21"/>
              </w:rPr>
              <w:t> </w:t>
            </w:r>
            <w:r>
              <w:rPr>
                <w:rFonts w:ascii="宋体" w:hAnsi="宋体" w:cs="宋体" w:eastAsia="宋体" w:hint="default"/>
                <w:sz w:val="21"/>
                <w:szCs w:val="21"/>
              </w:rPr>
              <w:t>留</w:t>
            </w:r>
            <w:r>
              <w:rPr>
                <w:rFonts w:ascii="宋体" w:hAnsi="宋体" w:cs="宋体" w:eastAsia="宋体" w:hint="default"/>
                <w:spacing w:val="-78"/>
                <w:sz w:val="21"/>
                <w:szCs w:val="21"/>
              </w:rPr>
              <w:t> </w:t>
            </w:r>
            <w:r>
              <w:rPr>
                <w:rFonts w:ascii="宋体" w:hAnsi="宋体" w:cs="宋体" w:eastAsia="宋体" w:hint="default"/>
                <w:sz w:val="21"/>
                <w:szCs w:val="21"/>
              </w:rPr>
              <w:t>部</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spacing w:val="-78"/>
                <w:sz w:val="21"/>
                <w:szCs w:val="21"/>
              </w:rPr>
              <w:t> </w:t>
            </w:r>
            <w:r>
              <w:rPr>
                <w:rFonts w:ascii="宋体" w:hAnsi="宋体" w:cs="宋体" w:eastAsia="宋体" w:hint="default"/>
                <w:sz w:val="21"/>
                <w:szCs w:val="21"/>
              </w:rPr>
              <w:t>权</w:t>
            </w:r>
            <w:r>
              <w:rPr>
                <w:rFonts w:ascii="宋体" w:hAnsi="宋体" w:cs="宋体" w:eastAsia="宋体" w:hint="default"/>
                <w:spacing w:val="-78"/>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的</w:t>
            </w:r>
          </w:p>
          <w:p>
            <w:pPr>
              <w:pStyle w:val="TableParagraph"/>
              <w:spacing w:line="230" w:lineRule="auto" w:before="9"/>
              <w:ind w:left="100" w:right="101"/>
              <w:jc w:val="both"/>
              <w:rPr>
                <w:rFonts w:ascii="宋体" w:hAnsi="宋体" w:cs="宋体" w:eastAsia="宋体" w:hint="default"/>
                <w:sz w:val="21"/>
                <w:szCs w:val="21"/>
              </w:rPr>
            </w:pPr>
            <w:r>
              <w:rPr>
                <w:rFonts w:ascii="宋体" w:hAnsi="宋体" w:cs="宋体" w:eastAsia="宋体" w:hint="default"/>
                <w:sz w:val="21"/>
                <w:szCs w:val="21"/>
              </w:rPr>
              <w:t>授予日起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个月后</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首</w:t>
            </w:r>
            <w:r>
              <w:rPr>
                <w:rFonts w:ascii="宋体" w:hAnsi="宋体" w:cs="宋体" w:eastAsia="宋体" w:hint="default"/>
                <w:spacing w:val="-78"/>
                <w:sz w:val="21"/>
                <w:szCs w:val="21"/>
              </w:rPr>
              <w:t> </w:t>
            </w:r>
            <w:r>
              <w:rPr>
                <w:rFonts w:ascii="宋体" w:hAnsi="宋体" w:cs="宋体" w:eastAsia="宋体" w:hint="default"/>
                <w:sz w:val="21"/>
                <w:szCs w:val="21"/>
              </w:rPr>
              <w:t>个</w:t>
            </w:r>
            <w:r>
              <w:rPr>
                <w:rFonts w:ascii="宋体" w:hAnsi="宋体" w:cs="宋体" w:eastAsia="宋体" w:hint="default"/>
                <w:spacing w:val="-78"/>
                <w:sz w:val="21"/>
                <w:szCs w:val="21"/>
              </w:rPr>
              <w:t> </w:t>
            </w:r>
            <w:r>
              <w:rPr>
                <w:rFonts w:ascii="宋体" w:hAnsi="宋体" w:cs="宋体" w:eastAsia="宋体" w:hint="default"/>
                <w:sz w:val="21"/>
                <w:szCs w:val="21"/>
              </w:rPr>
              <w:t>交</w:t>
            </w:r>
            <w:r>
              <w:rPr>
                <w:rFonts w:ascii="宋体" w:hAnsi="宋体" w:cs="宋体" w:eastAsia="宋体" w:hint="default"/>
                <w:spacing w:val="-76"/>
                <w:sz w:val="21"/>
                <w:szCs w:val="21"/>
              </w:rPr>
              <w:t> </w:t>
            </w:r>
            <w:r>
              <w:rPr>
                <w:rFonts w:ascii="宋体" w:hAnsi="宋体" w:cs="宋体" w:eastAsia="宋体" w:hint="default"/>
                <w:sz w:val="21"/>
                <w:szCs w:val="21"/>
              </w:rPr>
              <w:t>易</w:t>
            </w:r>
            <w:r>
              <w:rPr>
                <w:rFonts w:ascii="宋体" w:hAnsi="宋体" w:cs="宋体" w:eastAsia="宋体" w:hint="default"/>
                <w:spacing w:val="-78"/>
                <w:sz w:val="21"/>
                <w:szCs w:val="21"/>
              </w:rPr>
              <w:t> </w:t>
            </w: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起</w:t>
            </w:r>
            <w:r>
              <w:rPr>
                <w:rFonts w:ascii="宋体" w:hAnsi="宋体" w:cs="宋体" w:eastAsia="宋体" w:hint="default"/>
                <w:spacing w:val="-76"/>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pacing w:val="9"/>
                <w:sz w:val="21"/>
                <w:szCs w:val="21"/>
              </w:rPr>
              <w:t>相应的授予日起</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个</w:t>
            </w:r>
            <w:r>
              <w:rPr>
                <w:rFonts w:ascii="宋体" w:hAnsi="宋体" w:cs="宋体" w:eastAsia="宋体" w:hint="default"/>
                <w:spacing w:val="-76"/>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最</w:t>
            </w:r>
            <w:r>
              <w:rPr>
                <w:rFonts w:ascii="宋体" w:hAnsi="宋体" w:cs="宋体" w:eastAsia="宋体" w:hint="default"/>
                <w:spacing w:val="-78"/>
                <w:sz w:val="21"/>
                <w:szCs w:val="21"/>
              </w:rPr>
              <w:t> </w:t>
            </w:r>
            <w:r>
              <w:rPr>
                <w:rFonts w:ascii="宋体" w:hAnsi="宋体" w:cs="宋体" w:eastAsia="宋体" w:hint="default"/>
                <w:sz w:val="21"/>
                <w:szCs w:val="21"/>
              </w:rPr>
              <w:t>后</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交易日当日止</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28" w:lineRule="auto"/>
              <w:ind w:left="101" w:right="101"/>
              <w:jc w:val="both"/>
              <w:rPr>
                <w:rFonts w:ascii="宋体" w:hAnsi="宋体" w:cs="宋体" w:eastAsia="宋体"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年的净利润</w:t>
            </w:r>
            <w:r>
              <w:rPr>
                <w:rFonts w:ascii="宋体" w:hAnsi="宋体" w:cs="宋体" w:eastAsia="宋体" w:hint="default"/>
                <w:w w:val="100"/>
                <w:sz w:val="21"/>
                <w:szCs w:val="21"/>
              </w:rPr>
              <w:t> </w:t>
            </w:r>
            <w:r>
              <w:rPr>
                <w:rFonts w:ascii="宋体" w:hAnsi="宋体" w:cs="宋体" w:eastAsia="宋体" w:hint="default"/>
                <w:spacing w:val="-8"/>
                <w:sz w:val="21"/>
                <w:szCs w:val="21"/>
              </w:rPr>
              <w:t>为基准，</w:t>
            </w:r>
            <w:r>
              <w:rPr>
                <w:rFonts w:ascii="Times New Roman" w:hAnsi="Times New Roman" w:cs="Times New Roman" w:eastAsia="Times New Roman" w:hint="default"/>
                <w:spacing w:val="-8"/>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年净利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r>
              <w:rPr>
                <w:rFonts w:ascii="宋体" w:hAnsi="宋体" w:cs="宋体" w:eastAsia="宋体" w:hint="default"/>
                <w:spacing w:val="-35"/>
                <w:sz w:val="21"/>
                <w:szCs w:val="21"/>
              </w:rPr>
              <w:t> </w:t>
            </w:r>
            <w:r>
              <w:rPr>
                <w:rFonts w:ascii="宋体" w:hAnsi="宋体" w:cs="宋体" w:eastAsia="宋体" w:hint="default"/>
                <w:sz w:val="21"/>
                <w:szCs w:val="21"/>
              </w:rPr>
              <w:t>增</w:t>
            </w:r>
            <w:r>
              <w:rPr>
                <w:rFonts w:ascii="宋体" w:hAnsi="宋体" w:cs="宋体" w:eastAsia="宋体" w:hint="default"/>
                <w:spacing w:val="-35"/>
                <w:sz w:val="21"/>
                <w:szCs w:val="21"/>
              </w:rPr>
              <w:t> </w:t>
            </w:r>
            <w:r>
              <w:rPr>
                <w:rFonts w:ascii="宋体" w:hAnsi="宋体" w:cs="宋体" w:eastAsia="宋体" w:hint="default"/>
                <w:sz w:val="21"/>
                <w:szCs w:val="21"/>
              </w:rPr>
              <w:t>长</w:t>
            </w:r>
            <w:r>
              <w:rPr>
                <w:rFonts w:ascii="宋体" w:hAnsi="宋体" w:cs="宋体" w:eastAsia="宋体" w:hint="default"/>
                <w:spacing w:val="-35"/>
                <w:sz w:val="21"/>
                <w:szCs w:val="21"/>
              </w:rPr>
              <w:t> </w:t>
            </w:r>
            <w:r>
              <w:rPr>
                <w:rFonts w:ascii="宋体" w:hAnsi="宋体" w:cs="宋体" w:eastAsia="宋体" w:hint="default"/>
                <w:sz w:val="21"/>
                <w:szCs w:val="21"/>
              </w:rPr>
              <w:t>率</w:t>
            </w:r>
            <w:r>
              <w:rPr>
                <w:rFonts w:ascii="宋体" w:hAnsi="宋体" w:cs="宋体" w:eastAsia="宋体" w:hint="default"/>
                <w:spacing w:val="-35"/>
                <w:sz w:val="21"/>
                <w:szCs w:val="21"/>
              </w:rPr>
              <w:t> </w:t>
            </w:r>
            <w:r>
              <w:rPr>
                <w:rFonts w:ascii="宋体" w:hAnsi="宋体" w:cs="宋体" w:eastAsia="宋体" w:hint="default"/>
                <w:sz w:val="21"/>
                <w:szCs w:val="21"/>
              </w:rPr>
              <w:t>不</w:t>
            </w:r>
            <w:r>
              <w:rPr>
                <w:rFonts w:ascii="宋体" w:hAnsi="宋体" w:cs="宋体" w:eastAsia="宋体" w:hint="default"/>
                <w:spacing w:val="-35"/>
                <w:sz w:val="21"/>
                <w:szCs w:val="21"/>
              </w:rPr>
              <w:t> </w:t>
            </w:r>
            <w:r>
              <w:rPr>
                <w:rFonts w:ascii="宋体" w:hAnsi="宋体" w:cs="宋体" w:eastAsia="宋体" w:hint="default"/>
                <w:sz w:val="21"/>
                <w:szCs w:val="21"/>
              </w:rPr>
              <w:t>低</w:t>
            </w:r>
            <w:r>
              <w:rPr>
                <w:rFonts w:ascii="宋体" w:hAnsi="宋体" w:cs="宋体" w:eastAsia="宋体" w:hint="default"/>
                <w:spacing w:val="-38"/>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99"/>
              <w:jc w:val="right"/>
              <w:rPr>
                <w:rFonts w:ascii="Times New Roman" w:hAnsi="Times New Roman" w:cs="Times New Roman" w:eastAsia="Times New Roman" w:hint="default"/>
                <w:sz w:val="20"/>
                <w:szCs w:val="20"/>
              </w:rPr>
            </w:pPr>
            <w:r>
              <w:rPr>
                <w:rFonts w:ascii="Times New Roman"/>
                <w:sz w:val="20"/>
              </w:rPr>
              <w:t>50%</w:t>
            </w:r>
          </w:p>
        </w:tc>
      </w:tr>
    </w:tbl>
    <w:p>
      <w:pPr>
        <w:pStyle w:val="BodyText"/>
        <w:spacing w:line="297" w:lineRule="auto" w:before="42"/>
        <w:ind w:left="642" w:right="224" w:firstLine="420"/>
        <w:jc w:val="left"/>
      </w:pPr>
      <w:r>
        <w:rPr/>
        <w:t>注：以上</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年的</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指归属于上市公司股东的扣除非经常性损益后的净</w:t>
      </w:r>
      <w:r>
        <w:rPr>
          <w:w w:val="100"/>
        </w:rPr>
        <w:t> </w:t>
      </w:r>
      <w:r>
        <w:rPr/>
        <w:t>利润。股权激励计划的成本应计入公司相关成本或费用，并在经常性损益中列支。</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3</w:t>
      </w:r>
      <w:r>
        <w:rPr/>
        <w:t>、 以权益结算的股份支付情况</w:t>
      </w:r>
      <w:r>
        <w:rPr>
          <w:b w:val="0"/>
          <w:bCs w:val="0"/>
        </w:rPr>
      </w:r>
    </w:p>
    <w:p>
      <w:pPr>
        <w:pStyle w:val="BodyText"/>
        <w:tabs>
          <w:tab w:pos="1060" w:val="left" w:leader="none"/>
        </w:tabs>
        <w:spacing w:line="240" w:lineRule="auto" w:before="56"/>
        <w:ind w:right="-3"/>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173" w:space="356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布莱克</w:t>
            </w:r>
            <w:r>
              <w:rPr>
                <w:rFonts w:ascii="Calibri" w:hAnsi="Calibri" w:cs="Calibri" w:eastAsia="Calibri" w:hint="default"/>
                <w:sz w:val="21"/>
                <w:szCs w:val="21"/>
              </w:rPr>
              <w:t>-</w:t>
            </w:r>
            <w:r>
              <w:rPr>
                <w:rFonts w:ascii="宋体" w:hAnsi="宋体" w:cs="宋体" w:eastAsia="宋体" w:hint="default"/>
                <w:sz w:val="21"/>
                <w:szCs w:val="21"/>
              </w:rPr>
              <w:t>斯科尔斯期权定价模型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预计可以达到行权条件，被授予对象均可行权</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19,731,369.94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1,716,108,899</w:t>
            </w:r>
          </w:p>
        </w:tc>
      </w:tr>
    </w:tbl>
    <w:p>
      <w:pPr>
        <w:pStyle w:val="BodyText"/>
        <w:spacing w:line="239" w:lineRule="exact"/>
        <w:ind w:right="2513"/>
        <w:jc w:val="left"/>
      </w:pPr>
      <w:r>
        <w:rPr/>
        <w:t>其他说明</w:t>
      </w:r>
    </w:p>
    <w:p>
      <w:pPr>
        <w:pStyle w:val="BodyText"/>
        <w:spacing w:line="273" w:lineRule="exact"/>
        <w:ind w:right="2513"/>
        <w:jc w:val="left"/>
      </w:pPr>
      <w:r>
        <w:rPr>
          <w:w w:val="100"/>
        </w:rPr>
        <w:t>无</w:t>
      </w:r>
    </w:p>
    <w:p>
      <w:pPr>
        <w:spacing w:line="240" w:lineRule="auto" w:before="13"/>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4</w:t>
      </w:r>
      <w:r>
        <w:rPr/>
        <w:t>、 以现金结算的股份支付情况</w:t>
      </w:r>
      <w:r>
        <w:rPr>
          <w:b w:val="0"/>
          <w:bCs w:val="0"/>
        </w:rPr>
      </w:r>
    </w:p>
    <w:p>
      <w:pPr>
        <w:pStyle w:val="BodyText"/>
        <w:tabs>
          <w:tab w:pos="1060" w:val="left" w:leader="none"/>
        </w:tabs>
        <w:spacing w:line="240" w:lineRule="auto" w:before="58"/>
        <w:ind w:right="2513"/>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5</w:t>
      </w:r>
      <w:r>
        <w:rPr/>
        <w:t>、 股份支付的修改、终止情况</w:t>
      </w:r>
      <w:r>
        <w:rPr>
          <w:b w:val="0"/>
          <w:bCs w:val="0"/>
        </w:rPr>
      </w:r>
    </w:p>
    <w:p>
      <w:pPr>
        <w:pStyle w:val="BodyText"/>
        <w:tabs>
          <w:tab w:pos="1163" w:val="left" w:leader="none"/>
        </w:tabs>
        <w:spacing w:line="240" w:lineRule="auto" w:before="58"/>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2"/>
        <w:rPr>
          <w:rFonts w:ascii="宋体" w:hAnsi="宋体" w:cs="宋体" w:eastAsia="宋体" w:hint="default"/>
          <w:sz w:val="24"/>
          <w:szCs w:val="24"/>
        </w:rPr>
      </w:pPr>
    </w:p>
    <w:p>
      <w:pPr>
        <w:pStyle w:val="Heading3"/>
        <w:spacing w:line="290" w:lineRule="auto"/>
        <w:ind w:right="6940"/>
        <w:jc w:val="left"/>
        <w:rPr>
          <w:b w:val="0"/>
          <w:bCs w:val="0"/>
        </w:rPr>
      </w:pPr>
      <w:r>
        <w:rPr/>
        <w:t>十四、承诺及或有事项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right="3812"/>
        <w:jc w:val="left"/>
      </w:pPr>
      <w:r>
        <w:rPr/>
        <w:t>√适用</w:t>
      </w:r>
      <w:r>
        <w:rPr>
          <w:rFonts w:ascii="Arial" w:hAnsi="Arial" w:cs="Arial" w:eastAsia="Arial" w:hint="default"/>
        </w:rPr>
        <w:t>□</w:t>
      </w:r>
      <w:r>
        <w:rPr>
          <w:rFonts w:ascii="Arial" w:hAnsi="Arial" w:cs="Arial" w:eastAsia="Arial" w:hint="default"/>
          <w:spacing w:val="25"/>
        </w:rPr>
        <w:t> </w:t>
      </w:r>
      <w:r>
        <w:rPr/>
        <w:t>不适用</w:t>
      </w:r>
      <w:r>
        <w:rPr>
          <w:w w:val="100"/>
        </w:rPr>
        <w:t> </w:t>
      </w:r>
      <w:r>
        <w:rPr>
          <w:spacing w:val="-2"/>
        </w:rPr>
        <w:t>资产负债表日存在的对外重要承诺、性质、金额</w:t>
      </w:r>
    </w:p>
    <w:p>
      <w:pPr>
        <w:spacing w:after="0" w:line="272" w:lineRule="exact"/>
        <w:jc w:val="left"/>
        <w:sectPr>
          <w:type w:val="continuous"/>
          <w:pgSz w:w="11910" w:h="16840"/>
          <w:pgMar w:top="1580" w:bottom="280" w:left="1580" w:right="1040"/>
        </w:sectPr>
      </w:pPr>
    </w:p>
    <w:p>
      <w:pPr>
        <w:spacing w:line="240" w:lineRule="auto" w:before="2"/>
        <w:rPr>
          <w:rFonts w:ascii="宋体" w:hAnsi="宋体" w:cs="宋体" w:eastAsia="宋体" w:hint="default"/>
          <w:sz w:val="29"/>
          <w:szCs w:val="29"/>
        </w:rPr>
      </w:pPr>
    </w:p>
    <w:p>
      <w:pPr>
        <w:pStyle w:val="BodyText"/>
        <w:spacing w:line="240" w:lineRule="auto" w:before="36"/>
        <w:ind w:left="558" w:right="130"/>
        <w:jc w:val="left"/>
      </w:pPr>
      <w:r>
        <w:rPr>
          <w:rFonts w:ascii="Times New Roman" w:hAnsi="Times New Roman" w:cs="Times New Roman" w:eastAsia="Times New Roman" w:hint="default"/>
        </w:rPr>
        <w:t>(1)</w:t>
      </w:r>
      <w:r>
        <w:rPr/>
        <w:t>助学社会公益活动承诺</w:t>
      </w:r>
    </w:p>
    <w:p>
      <w:pPr>
        <w:pStyle w:val="BodyText"/>
        <w:spacing w:line="240" w:lineRule="auto" w:before="69"/>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spacing w:val="-3"/>
        </w:rPr>
        <w:t>日召开的第二届董事会第三十次会议审议通过《关于设立南威助学基金会的</w:t>
      </w:r>
    </w:p>
    <w:p>
      <w:pPr>
        <w:pStyle w:val="BodyText"/>
        <w:spacing w:line="240" w:lineRule="auto" w:before="69"/>
        <w:ind w:left="138" w:right="0"/>
        <w:jc w:val="left"/>
      </w:pPr>
      <w:r>
        <w:rPr>
          <w:w w:val="100"/>
        </w:rPr>
        <w:t>议案</w:t>
      </w:r>
      <w:r>
        <w:rPr>
          <w:spacing w:val="-108"/>
          <w:w w:val="100"/>
        </w:rPr>
        <w:t>》</w:t>
      </w:r>
      <w:r>
        <w:rPr>
          <w:spacing w:val="-15"/>
          <w:w w:val="100"/>
        </w:rPr>
        <w:t>，</w:t>
      </w:r>
      <w:r>
        <w:rPr>
          <w:w w:val="100"/>
        </w:rPr>
        <w:t>公</w:t>
      </w:r>
      <w:r>
        <w:rPr>
          <w:spacing w:val="-3"/>
          <w:w w:val="100"/>
        </w:rPr>
        <w:t>司</w:t>
      </w:r>
      <w:r>
        <w:rPr>
          <w:w w:val="100"/>
        </w:rPr>
        <w:t>拟</w:t>
      </w:r>
      <w:r>
        <w:rPr>
          <w:spacing w:val="-3"/>
          <w:w w:val="100"/>
        </w:rPr>
        <w:t>作</w:t>
      </w:r>
      <w:r>
        <w:rPr>
          <w:w w:val="100"/>
        </w:rPr>
        <w:t>为</w:t>
      </w:r>
      <w:r>
        <w:rPr>
          <w:spacing w:val="-3"/>
          <w:w w:val="100"/>
        </w:rPr>
        <w:t>独</w:t>
      </w:r>
      <w:r>
        <w:rPr>
          <w:w w:val="100"/>
        </w:rPr>
        <w:t>立</w:t>
      </w:r>
      <w:r>
        <w:rPr>
          <w:spacing w:val="-3"/>
          <w:w w:val="100"/>
        </w:rPr>
        <w:t>发</w:t>
      </w:r>
      <w:r>
        <w:rPr>
          <w:w w:val="100"/>
        </w:rPr>
        <w:t>起组</w:t>
      </w:r>
      <w:r>
        <w:rPr>
          <w:spacing w:val="-3"/>
          <w:w w:val="100"/>
        </w:rPr>
        <w:t>织</w:t>
      </w:r>
      <w:r>
        <w:rPr>
          <w:spacing w:val="-15"/>
          <w:w w:val="100"/>
        </w:rPr>
        <w:t>，</w:t>
      </w:r>
      <w:r>
        <w:rPr>
          <w:w w:val="100"/>
        </w:rPr>
        <w:t>以</w:t>
      </w:r>
      <w:r>
        <w:rPr>
          <w:spacing w:val="-3"/>
          <w:w w:val="100"/>
        </w:rPr>
        <w:t>自</w:t>
      </w:r>
      <w:r>
        <w:rPr>
          <w:w w:val="100"/>
        </w:rPr>
        <w:t>筹</w:t>
      </w:r>
      <w:r>
        <w:rPr>
          <w:spacing w:val="-3"/>
          <w:w w:val="100"/>
        </w:rPr>
        <w:t>资</w:t>
      </w:r>
      <w:r>
        <w:rPr>
          <w:w w:val="100"/>
        </w:rPr>
        <w:t>金</w:t>
      </w:r>
      <w:r>
        <w:rPr>
          <w:spacing w:val="-3"/>
          <w:w w:val="100"/>
        </w:rPr>
        <w:t>设立</w:t>
      </w:r>
      <w:r>
        <w:rPr>
          <w:w w:val="100"/>
        </w:rPr>
        <w:t>南威</w:t>
      </w:r>
      <w:r>
        <w:rPr>
          <w:spacing w:val="-3"/>
          <w:w w:val="100"/>
        </w:rPr>
        <w:t>助</w:t>
      </w:r>
      <w:r>
        <w:rPr>
          <w:w w:val="100"/>
        </w:rPr>
        <w:t>学</w:t>
      </w:r>
      <w:r>
        <w:rPr>
          <w:spacing w:val="-3"/>
          <w:w w:val="100"/>
        </w:rPr>
        <w:t>基</w:t>
      </w:r>
      <w:r>
        <w:rPr>
          <w:w w:val="100"/>
        </w:rPr>
        <w:t>金</w:t>
      </w:r>
      <w:r>
        <w:rPr>
          <w:spacing w:val="-3"/>
          <w:w w:val="100"/>
        </w:rPr>
        <w:t>会</w:t>
      </w:r>
      <w:r>
        <w:rPr>
          <w:spacing w:val="-15"/>
          <w:w w:val="100"/>
        </w:rPr>
        <w:t>。</w:t>
      </w:r>
      <w:r>
        <w:rPr>
          <w:w w:val="100"/>
        </w:rPr>
        <w:t>该</w:t>
      </w:r>
      <w:r>
        <w:rPr>
          <w:spacing w:val="-3"/>
          <w:w w:val="100"/>
        </w:rPr>
        <w:t>基金</w:t>
      </w:r>
      <w:r>
        <w:rPr>
          <w:w w:val="100"/>
        </w:rPr>
        <w:t>投资</w:t>
      </w:r>
      <w:r>
        <w:rPr>
          <w:spacing w:val="-3"/>
          <w:w w:val="100"/>
        </w:rPr>
        <w:t>规模</w:t>
      </w:r>
      <w:r>
        <w:rPr>
          <w:w w:val="100"/>
        </w:rPr>
        <w:t>为</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万</w:t>
      </w:r>
    </w:p>
    <w:p>
      <w:pPr>
        <w:pStyle w:val="BodyText"/>
        <w:spacing w:line="297" w:lineRule="auto" w:before="69"/>
        <w:ind w:left="138" w:right="0"/>
        <w:jc w:val="left"/>
      </w:pPr>
      <w:r>
        <w:rPr>
          <w:spacing w:val="-3"/>
        </w:rPr>
        <w:t>元公司，公司预计</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年内以出资不低于</w:t>
      </w:r>
      <w:r>
        <w:rPr>
          <w:spacing w:val="-4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spacing w:val="-3"/>
        </w:rPr>
        <w:t>万元。基金会主要从事助学社会公益活动，以及经</w:t>
      </w:r>
      <w:r>
        <w:rPr>
          <w:spacing w:val="-101"/>
        </w:rPr>
        <w:t> </w:t>
      </w:r>
      <w:r>
        <w:rPr>
          <w:spacing w:val="-101"/>
        </w:rPr>
      </w:r>
      <w:r>
        <w:rPr/>
        <w:t>过合法程序开展的其他教育公益事业。</w:t>
      </w:r>
    </w:p>
    <w:p>
      <w:pPr>
        <w:pStyle w:val="BodyText"/>
        <w:spacing w:line="240" w:lineRule="auto" w:before="34"/>
        <w:ind w:left="558" w:right="0"/>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9"/>
        </w:rPr>
        <w:t> </w:t>
      </w:r>
      <w:r>
        <w:rPr>
          <w:w w:val="100"/>
        </w:rPr>
        <w:t>年</w:t>
      </w:r>
      <w:r>
        <w:rPr>
          <w:spacing w:val="-31"/>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1"/>
        </w:rPr>
        <w:t> </w:t>
      </w:r>
      <w:r>
        <w:rPr>
          <w:spacing w:val="-3"/>
          <w:w w:val="100"/>
        </w:rPr>
        <w:t>月</w:t>
      </w:r>
      <w:r>
        <w:rPr>
          <w:w w:val="100"/>
        </w:rPr>
        <w:t>，</w:t>
      </w:r>
      <w:r>
        <w:rPr>
          <w:spacing w:val="-3"/>
          <w:w w:val="100"/>
        </w:rPr>
        <w:t>公</w:t>
      </w:r>
      <w:r>
        <w:rPr>
          <w:w w:val="100"/>
        </w:rPr>
        <w:t>司</w:t>
      </w:r>
      <w:r>
        <w:rPr>
          <w:spacing w:val="-3"/>
          <w:w w:val="100"/>
        </w:rPr>
        <w:t>与</w:t>
      </w:r>
      <w:r>
        <w:rPr>
          <w:w w:val="100"/>
        </w:rPr>
        <w:t>丰</w:t>
      </w:r>
      <w:r>
        <w:rPr>
          <w:spacing w:val="-3"/>
          <w:w w:val="100"/>
        </w:rPr>
        <w:t>泽</w:t>
      </w:r>
      <w:r>
        <w:rPr>
          <w:w w:val="100"/>
        </w:rPr>
        <w:t>区教</w:t>
      </w:r>
      <w:r>
        <w:rPr>
          <w:spacing w:val="-3"/>
          <w:w w:val="100"/>
        </w:rPr>
        <w:t>育</w:t>
      </w:r>
      <w:r>
        <w:rPr>
          <w:w w:val="100"/>
        </w:rPr>
        <w:t>发</w:t>
      </w:r>
      <w:r>
        <w:rPr>
          <w:spacing w:val="-3"/>
          <w:w w:val="100"/>
        </w:rPr>
        <w:t>展</w:t>
      </w:r>
      <w:r>
        <w:rPr>
          <w:w w:val="100"/>
        </w:rPr>
        <w:t>基</w:t>
      </w:r>
      <w:r>
        <w:rPr>
          <w:spacing w:val="-3"/>
          <w:w w:val="100"/>
        </w:rPr>
        <w:t>金</w:t>
      </w:r>
      <w:r>
        <w:rPr>
          <w:w w:val="100"/>
        </w:rPr>
        <w:t>会</w:t>
      </w:r>
      <w:r>
        <w:rPr>
          <w:spacing w:val="-3"/>
          <w:w w:val="100"/>
        </w:rPr>
        <w:t>签</w:t>
      </w:r>
      <w:r>
        <w:rPr>
          <w:w w:val="100"/>
        </w:rPr>
        <w:t>订</w:t>
      </w:r>
      <w:r>
        <w:rPr>
          <w:spacing w:val="-3"/>
          <w:w w:val="100"/>
        </w:rPr>
        <w:t>了</w:t>
      </w:r>
      <w:r>
        <w:rPr>
          <w:w w:val="100"/>
        </w:rPr>
        <w:t>《南</w:t>
      </w:r>
      <w:r>
        <w:rPr>
          <w:spacing w:val="-3"/>
          <w:w w:val="100"/>
        </w:rPr>
        <w:t>威</w:t>
      </w:r>
      <w:r>
        <w:rPr>
          <w:w w:val="100"/>
        </w:rPr>
        <w:t>助</w:t>
      </w:r>
      <w:r>
        <w:rPr>
          <w:spacing w:val="-3"/>
          <w:w w:val="100"/>
        </w:rPr>
        <w:t>学</w:t>
      </w:r>
      <w:r>
        <w:rPr>
          <w:w w:val="100"/>
        </w:rPr>
        <w:t>基</w:t>
      </w:r>
      <w:r>
        <w:rPr>
          <w:spacing w:val="-3"/>
          <w:w w:val="100"/>
        </w:rPr>
        <w:t>金</w:t>
      </w:r>
      <w:r>
        <w:rPr>
          <w:w w:val="100"/>
        </w:rPr>
        <w:t>会</w:t>
      </w:r>
      <w:r>
        <w:rPr>
          <w:spacing w:val="-3"/>
          <w:w w:val="100"/>
        </w:rPr>
        <w:t>协</w:t>
      </w:r>
      <w:r>
        <w:rPr>
          <w:w w:val="100"/>
        </w:rPr>
        <w:t>议</w:t>
      </w:r>
      <w:r>
        <w:rPr>
          <w:spacing w:val="-3"/>
          <w:w w:val="100"/>
        </w:rPr>
        <w:t>书</w:t>
      </w:r>
      <w:r>
        <w:rPr>
          <w:spacing w:val="-108"/>
          <w:w w:val="100"/>
        </w:rPr>
        <w:t>》</w:t>
      </w:r>
      <w:r>
        <w:rPr>
          <w:w w:val="100"/>
        </w:rPr>
        <w:t>，公</w:t>
      </w:r>
      <w:r>
        <w:rPr>
          <w:spacing w:val="-3"/>
          <w:w w:val="100"/>
        </w:rPr>
        <w:t>司</w:t>
      </w:r>
      <w:r>
        <w:rPr>
          <w:w w:val="100"/>
        </w:rPr>
        <w:t>计</w:t>
      </w:r>
      <w:r>
        <w:rPr>
          <w:spacing w:val="-3"/>
          <w:w w:val="100"/>
        </w:rPr>
        <w:t>划</w:t>
      </w:r>
      <w:r>
        <w:rPr>
          <w:w w:val="100"/>
        </w:rPr>
        <w:t>出</w:t>
      </w:r>
    </w:p>
    <w:p>
      <w:pPr>
        <w:pStyle w:val="BodyText"/>
        <w:spacing w:line="240" w:lineRule="auto" w:before="69"/>
        <w:ind w:left="138" w:right="0"/>
        <w:jc w:val="left"/>
      </w:pPr>
      <w:r>
        <w:rPr/>
        <w:t>资</w:t>
      </w:r>
      <w:r>
        <w:rPr>
          <w:spacing w:val="-4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1"/>
        </w:rPr>
        <w:t> </w:t>
      </w:r>
      <w:r>
        <w:rPr>
          <w:spacing w:val="-3"/>
        </w:rPr>
        <w:t>万元作为助学金用于贫困学生及特殊学生群体的资助，原则上公司将于</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年内进行分批</w:t>
      </w:r>
    </w:p>
    <w:p>
      <w:pPr>
        <w:pStyle w:val="BodyText"/>
        <w:spacing w:line="240" w:lineRule="auto" w:before="69"/>
        <w:ind w:left="138" w:right="0"/>
        <w:jc w:val="left"/>
        <w:rPr>
          <w:rFonts w:ascii="Times New Roman" w:hAnsi="Times New Roman" w:cs="Times New Roman" w:eastAsia="Times New Roman" w:hint="default"/>
        </w:rPr>
      </w:pPr>
      <w:r>
        <w:rPr>
          <w:spacing w:val="-8"/>
        </w:rPr>
        <w:t>次捐款，每年捐资 </w:t>
      </w:r>
      <w:r>
        <w:rPr>
          <w:rFonts w:ascii="Times New Roman" w:hAnsi="Times New Roman" w:cs="Times New Roman" w:eastAsia="Times New Roman" w:hint="default"/>
        </w:rPr>
        <w:t>100 </w:t>
      </w:r>
      <w:r>
        <w:rPr>
          <w:spacing w:val="-5"/>
        </w:rPr>
        <w:t>万元（亦可根据情况随时追加当年捐赠金额，每年出资额最高不得超过</w:t>
      </w:r>
      <w:r>
        <w:rPr>
          <w:spacing w:val="-26"/>
        </w:rPr>
        <w:t> </w:t>
      </w:r>
      <w:r>
        <w:rPr>
          <w:rFonts w:ascii="Times New Roman" w:hAnsi="Times New Roman" w:cs="Times New Roman" w:eastAsia="Times New Roman" w:hint="default"/>
          <w:spacing w:val="-3"/>
        </w:rPr>
        <w:t>200</w:t>
      </w:r>
      <w:r>
        <w:rPr>
          <w:rFonts w:ascii="Times New Roman" w:hAnsi="Times New Roman" w:cs="Times New Roman" w:eastAsia="Times New Roman" w:hint="default"/>
        </w:rPr>
      </w:r>
    </w:p>
    <w:p>
      <w:pPr>
        <w:pStyle w:val="BodyText"/>
        <w:spacing w:line="240" w:lineRule="auto" w:before="69"/>
        <w:ind w:left="138" w:right="0"/>
        <w:jc w:val="left"/>
      </w:pPr>
      <w:r>
        <w:rPr>
          <w:w w:val="100"/>
        </w:rPr>
        <w:t>万元</w:t>
      </w:r>
      <w:r>
        <w:rPr>
          <w:spacing w:val="-108"/>
          <w:w w:val="100"/>
        </w:rPr>
        <w:t>）</w:t>
      </w:r>
      <w:r>
        <w:rPr>
          <w:w w:val="100"/>
        </w:rPr>
        <w:t>。</w:t>
      </w:r>
      <w:r>
        <w:rPr>
          <w:spacing w:val="-3"/>
          <w:w w:val="100"/>
        </w:rPr>
        <w:t>公</w:t>
      </w:r>
      <w:r>
        <w:rPr>
          <w:w w:val="100"/>
        </w:rPr>
        <w:t>司</w:t>
      </w:r>
      <w:r>
        <w:rPr>
          <w:spacing w:val="-3"/>
          <w:w w:val="100"/>
        </w:rPr>
        <w:t>未</w:t>
      </w:r>
      <w:r>
        <w:rPr>
          <w:w w:val="100"/>
        </w:rPr>
        <w:t>来</w:t>
      </w:r>
      <w:r>
        <w:rPr>
          <w:spacing w:val="-3"/>
          <w:w w:val="100"/>
        </w:rPr>
        <w:t>将</w:t>
      </w:r>
      <w:r>
        <w:rPr>
          <w:w w:val="100"/>
        </w:rPr>
        <w:t>根</w:t>
      </w:r>
      <w:r>
        <w:rPr>
          <w:spacing w:val="-3"/>
          <w:w w:val="100"/>
        </w:rPr>
        <w:t>据经</w:t>
      </w:r>
      <w:r>
        <w:rPr>
          <w:w w:val="100"/>
        </w:rPr>
        <w:t>营状</w:t>
      </w:r>
      <w:r>
        <w:rPr>
          <w:spacing w:val="-3"/>
          <w:w w:val="100"/>
        </w:rPr>
        <w:t>况</w:t>
      </w:r>
      <w:r>
        <w:rPr>
          <w:w w:val="100"/>
        </w:rPr>
        <w:t>及</w:t>
      </w:r>
      <w:r>
        <w:rPr>
          <w:spacing w:val="-3"/>
          <w:w w:val="100"/>
        </w:rPr>
        <w:t>实</w:t>
      </w:r>
      <w:r>
        <w:rPr>
          <w:w w:val="100"/>
        </w:rPr>
        <w:t>际</w:t>
      </w:r>
      <w:r>
        <w:rPr>
          <w:spacing w:val="-3"/>
          <w:w w:val="100"/>
        </w:rPr>
        <w:t>情</w:t>
      </w:r>
      <w:r>
        <w:rPr>
          <w:w w:val="100"/>
        </w:rPr>
        <w:t>况</w:t>
      </w:r>
      <w:r>
        <w:rPr>
          <w:spacing w:val="-3"/>
          <w:w w:val="100"/>
        </w:rPr>
        <w:t>进</w:t>
      </w:r>
      <w:r>
        <w:rPr>
          <w:w w:val="100"/>
        </w:rPr>
        <w:t>行</w:t>
      </w:r>
      <w:r>
        <w:rPr>
          <w:spacing w:val="-3"/>
          <w:w w:val="100"/>
        </w:rPr>
        <w:t>出</w:t>
      </w:r>
      <w:r>
        <w:rPr>
          <w:w w:val="100"/>
        </w:rPr>
        <w:t>资。</w:t>
      </w:r>
      <w:r>
        <w:rPr>
          <w:spacing w:val="-3"/>
          <w:w w:val="100"/>
        </w:rPr>
        <w:t>截</w:t>
      </w:r>
      <w:r>
        <w:rPr>
          <w:w w:val="100"/>
        </w:rPr>
        <w:t>止</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0"/>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w w:val="100"/>
        </w:rPr>
        <w:t>日，</w:t>
      </w:r>
      <w:r>
        <w:rPr>
          <w:spacing w:val="-3"/>
          <w:w w:val="100"/>
        </w:rPr>
        <w:t>公</w:t>
      </w:r>
      <w:r>
        <w:rPr>
          <w:w w:val="100"/>
        </w:rPr>
        <w:t>司</w:t>
      </w:r>
      <w:r>
        <w:rPr>
          <w:spacing w:val="-3"/>
          <w:w w:val="100"/>
        </w:rPr>
        <w:t>累</w:t>
      </w:r>
      <w:r>
        <w:rPr>
          <w:w w:val="100"/>
        </w:rPr>
        <w:t>计</w:t>
      </w:r>
      <w:r>
        <w:rPr>
          <w:spacing w:val="-3"/>
          <w:w w:val="100"/>
        </w:rPr>
        <w:t>已</w:t>
      </w:r>
      <w:r>
        <w:rPr>
          <w:w w:val="100"/>
        </w:rPr>
        <w:t>出</w:t>
      </w:r>
    </w:p>
    <w:p>
      <w:pPr>
        <w:pStyle w:val="BodyText"/>
        <w:spacing w:line="240" w:lineRule="auto" w:before="70"/>
        <w:ind w:left="138" w:right="130"/>
        <w:jc w:val="left"/>
      </w:pPr>
      <w:r>
        <w:rPr/>
        <w:t>资</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w:t>
      </w:r>
    </w:p>
    <w:p>
      <w:pPr>
        <w:spacing w:line="240" w:lineRule="auto" w:before="8"/>
        <w:rPr>
          <w:rFonts w:ascii="宋体" w:hAnsi="宋体" w:cs="宋体" w:eastAsia="宋体" w:hint="default"/>
          <w:sz w:val="23"/>
          <w:szCs w:val="23"/>
        </w:rPr>
      </w:pPr>
    </w:p>
    <w:p>
      <w:pPr>
        <w:pStyle w:val="Heading3"/>
        <w:spacing w:line="240" w:lineRule="auto"/>
        <w:ind w:left="138" w:right="13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3"/>
        <w:spacing w:line="240" w:lineRule="auto" w:before="58"/>
        <w:ind w:left="138" w:right="13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083" w:val="left" w:leader="none"/>
        </w:tabs>
        <w:spacing w:line="290" w:lineRule="auto" w:before="56"/>
        <w:ind w:left="558" w:right="128" w:hanging="420"/>
        <w:jc w:val="left"/>
      </w:pPr>
      <w:r>
        <w:rPr/>
        <w:t>√适用</w:t>
        <w:tab/>
      </w:r>
      <w:r>
        <w:rPr>
          <w:rFonts w:ascii="Arial" w:hAnsi="Arial" w:cs="Arial" w:eastAsia="Arial" w:hint="default"/>
        </w:rPr>
        <w:t>□</w:t>
      </w:r>
      <w:r>
        <w:rPr>
          <w:rFonts w:ascii="Arial" w:hAnsi="Arial" w:cs="Arial" w:eastAsia="Arial" w:hint="default"/>
          <w:spacing w:val="26"/>
        </w:rPr>
        <w:t> </w:t>
      </w:r>
      <w:r>
        <w:rPr/>
        <w:t>不适用</w:t>
      </w:r>
      <w:r>
        <w:rPr>
          <w:w w:val="100"/>
        </w:rPr>
        <w:t> </w:t>
      </w:r>
      <w:r>
        <w:rPr>
          <w:spacing w:val="-6"/>
          <w:w w:val="100"/>
        </w:rPr>
        <w:t>公司向福建省惠安县人民法院起诉正大（中国）服饰有限公司（以下简称</w:t>
      </w:r>
      <w:r>
        <w:rPr>
          <w:rFonts w:ascii="Times New Roman" w:hAnsi="Times New Roman" w:cs="Times New Roman" w:eastAsia="Times New Roman" w:hint="default"/>
          <w:spacing w:val="-6"/>
          <w:w w:val="100"/>
        </w:rPr>
        <w:t>“</w:t>
      </w:r>
      <w:r>
        <w:rPr>
          <w:spacing w:val="-6"/>
          <w:w w:val="100"/>
        </w:rPr>
        <w:t>正大服饰</w:t>
      </w:r>
      <w:r>
        <w:rPr>
          <w:rFonts w:ascii="Times New Roman" w:hAnsi="Times New Roman" w:cs="Times New Roman" w:eastAsia="Times New Roman" w:hint="default"/>
          <w:spacing w:val="-6"/>
          <w:w w:val="100"/>
        </w:rPr>
        <w:t>”</w:t>
      </w:r>
      <w:r>
        <w:rPr>
          <w:spacing w:val="-6"/>
          <w:w w:val="100"/>
        </w:rPr>
        <w:t>），要求</w:t>
      </w:r>
    </w:p>
    <w:p>
      <w:pPr>
        <w:pStyle w:val="BodyText"/>
        <w:spacing w:line="240" w:lineRule="auto" w:before="20"/>
        <w:ind w:left="138" w:right="0"/>
        <w:jc w:val="left"/>
      </w:pPr>
      <w:r>
        <w:rPr/>
        <w:t>正大服饰偿还正版化软件款</w:t>
      </w:r>
      <w:r>
        <w:rPr>
          <w:spacing w:val="-52"/>
        </w:rPr>
        <w:t> </w:t>
      </w:r>
      <w:r>
        <w:rPr>
          <w:rFonts w:ascii="Times New Roman" w:hAnsi="Times New Roman" w:cs="Times New Roman" w:eastAsia="Times New Roman" w:hint="default"/>
        </w:rPr>
        <w:t>474,800.00 </w:t>
      </w:r>
      <w:r>
        <w:rPr/>
        <w:t>元并支付违约金</w:t>
      </w:r>
      <w:r>
        <w:rPr>
          <w:spacing w:val="-52"/>
        </w:rPr>
        <w:t> </w:t>
      </w:r>
      <w:r>
        <w:rPr>
          <w:rFonts w:ascii="Times New Roman" w:hAnsi="Times New Roman" w:cs="Times New Roman" w:eastAsia="Times New Roman" w:hint="default"/>
        </w:rPr>
        <w:t>451,110.00</w:t>
      </w:r>
      <w:r>
        <w:rPr>
          <w:rFonts w:ascii="Times New Roman" w:hAnsi="Times New Roman" w:cs="Times New Roman" w:eastAsia="Times New Roman" w:hint="default"/>
          <w:spacing w:val="-2"/>
        </w:rPr>
        <w:t> </w:t>
      </w:r>
      <w:r>
        <w:rPr/>
        <w:t>元。根据福建省惠安县人民法</w:t>
      </w:r>
    </w:p>
    <w:p>
      <w:pPr>
        <w:pStyle w:val="BodyText"/>
        <w:spacing w:line="240" w:lineRule="auto" w:before="69"/>
        <w:ind w:left="138" w:right="0"/>
        <w:jc w:val="left"/>
      </w:pPr>
      <w:r>
        <w:rPr>
          <w:spacing w:val="-5"/>
        </w:rPr>
        <w:t>院出具的（</w:t>
      </w:r>
      <w:r>
        <w:rPr>
          <w:rFonts w:ascii="Times New Roman" w:hAnsi="Times New Roman" w:cs="Times New Roman" w:eastAsia="Times New Roman" w:hint="default"/>
          <w:spacing w:val="-5"/>
        </w:rPr>
        <w:t>2013</w:t>
      </w:r>
      <w:r>
        <w:rPr>
          <w:spacing w:val="-5"/>
        </w:rPr>
        <w:t>）惠民初 </w:t>
      </w:r>
      <w:r>
        <w:rPr>
          <w:rFonts w:ascii="Times New Roman" w:hAnsi="Times New Roman" w:cs="Times New Roman" w:eastAsia="Times New Roman" w:hint="default"/>
        </w:rPr>
        <w:t>4561</w:t>
      </w:r>
      <w:r>
        <w:rPr>
          <w:rFonts w:ascii="Times New Roman" w:hAnsi="Times New Roman" w:cs="Times New Roman" w:eastAsia="Times New Roman" w:hint="default"/>
          <w:spacing w:val="29"/>
        </w:rPr>
        <w:t> </w:t>
      </w:r>
      <w:r>
        <w:rPr>
          <w:spacing w:val="-4"/>
        </w:rPr>
        <w:t>号民事调解书，双方达成和解。由于正大服饰未按民事调解书执行</w:t>
      </w:r>
    </w:p>
    <w:p>
      <w:pPr>
        <w:pStyle w:val="BodyText"/>
        <w:spacing w:line="240" w:lineRule="auto" w:before="69"/>
        <w:ind w:left="138" w:right="0"/>
        <w:jc w:val="left"/>
      </w:pPr>
      <w:r>
        <w:rPr>
          <w:spacing w:val="-7"/>
        </w:rPr>
        <w:t>还款计划，公司于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日向福建省惠安县人民法院申请强制执行。由于正大服饰无可执</w:t>
      </w:r>
    </w:p>
    <w:p>
      <w:pPr>
        <w:pStyle w:val="BodyText"/>
        <w:spacing w:line="240" w:lineRule="auto" w:before="69"/>
        <w:ind w:left="138" w:right="0"/>
        <w:jc w:val="left"/>
      </w:pPr>
      <w:r>
        <w:rPr>
          <w:w w:val="100"/>
        </w:rPr>
        <w:t>行财</w:t>
      </w:r>
      <w:r>
        <w:rPr>
          <w:spacing w:val="-3"/>
          <w:w w:val="100"/>
        </w:rPr>
        <w:t>产</w:t>
      </w:r>
      <w:r>
        <w:rPr>
          <w:spacing w:val="-92"/>
          <w:w w:val="100"/>
        </w:rPr>
        <w:t>，</w:t>
      </w:r>
      <w:r>
        <w:rPr>
          <w:w w:val="100"/>
        </w:rPr>
        <w:t>福</w:t>
      </w:r>
      <w:r>
        <w:rPr>
          <w:spacing w:val="-3"/>
          <w:w w:val="100"/>
        </w:rPr>
        <w:t>建</w:t>
      </w:r>
      <w:r>
        <w:rPr>
          <w:w w:val="100"/>
        </w:rPr>
        <w:t>省</w:t>
      </w:r>
      <w:r>
        <w:rPr>
          <w:spacing w:val="-3"/>
          <w:w w:val="100"/>
        </w:rPr>
        <w:t>惠</w:t>
      </w:r>
      <w:r>
        <w:rPr>
          <w:w w:val="100"/>
        </w:rPr>
        <w:t>安</w:t>
      </w:r>
      <w:r>
        <w:rPr>
          <w:spacing w:val="-3"/>
          <w:w w:val="100"/>
        </w:rPr>
        <w:t>县</w:t>
      </w:r>
      <w:r>
        <w:rPr>
          <w:w w:val="100"/>
        </w:rPr>
        <w:t>人</w:t>
      </w:r>
      <w:r>
        <w:rPr>
          <w:spacing w:val="-3"/>
          <w:w w:val="100"/>
        </w:rPr>
        <w:t>民</w:t>
      </w:r>
      <w:r>
        <w:rPr>
          <w:w w:val="100"/>
        </w:rPr>
        <w:t>法</w:t>
      </w:r>
      <w:r>
        <w:rPr>
          <w:spacing w:val="-3"/>
          <w:w w:val="100"/>
        </w:rPr>
        <w:t>院</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2"/>
        </w:rPr>
        <w:t> </w:t>
      </w:r>
      <w:r>
        <w:rPr>
          <w:spacing w:val="-3"/>
          <w:w w:val="100"/>
        </w:rPr>
        <w:t>日</w:t>
      </w:r>
      <w:r>
        <w:rPr>
          <w:w w:val="100"/>
        </w:rPr>
        <w:t>下</w:t>
      </w:r>
      <w:r>
        <w:rPr>
          <w:spacing w:val="-92"/>
          <w:w w:val="100"/>
        </w:rPr>
        <w:t>发</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4</w:t>
      </w:r>
      <w:r>
        <w:rPr>
          <w:spacing w:val="-92"/>
          <w:w w:val="100"/>
        </w:rPr>
        <w:t>）</w:t>
      </w:r>
      <w:r>
        <w:rPr>
          <w:w w:val="100"/>
        </w:rPr>
        <w:t>惠</w:t>
      </w:r>
      <w:r>
        <w:rPr>
          <w:spacing w:val="-3"/>
          <w:w w:val="100"/>
        </w:rPr>
        <w:t>执</w:t>
      </w:r>
      <w:r>
        <w:rPr>
          <w:w w:val="100"/>
        </w:rPr>
        <w:t>行字</w:t>
      </w:r>
      <w:r>
        <w:rPr>
          <w:spacing w:val="-53"/>
        </w:rPr>
        <w:t> </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号</w:t>
      </w:r>
      <w:r>
        <w:rPr>
          <w:spacing w:val="-3"/>
          <w:w w:val="100"/>
        </w:rPr>
        <w:t>执</w:t>
      </w:r>
      <w:r>
        <w:rPr>
          <w:w w:val="100"/>
        </w:rPr>
        <w:t>行</w:t>
      </w:r>
      <w:r>
        <w:rPr>
          <w:spacing w:val="-3"/>
          <w:w w:val="100"/>
        </w:rPr>
        <w:t>裁</w:t>
      </w:r>
      <w:r>
        <w:rPr>
          <w:w w:val="100"/>
        </w:rPr>
        <w:t>定</w:t>
      </w:r>
      <w:r>
        <w:rPr>
          <w:spacing w:val="-3"/>
          <w:w w:val="100"/>
        </w:rPr>
        <w:t>书</w:t>
      </w:r>
      <w:r>
        <w:rPr>
          <w:w w:val="100"/>
        </w:rPr>
        <w:t>，</w:t>
      </w:r>
    </w:p>
    <w:p>
      <w:pPr>
        <w:pStyle w:val="BodyText"/>
        <w:spacing w:line="240" w:lineRule="auto" w:before="69"/>
        <w:ind w:left="138" w:right="0"/>
        <w:jc w:val="left"/>
      </w:pPr>
      <w:r>
        <w:rPr>
          <w:spacing w:val="-7"/>
        </w:rPr>
        <w:t>终结（</w:t>
      </w:r>
      <w:r>
        <w:rPr>
          <w:rFonts w:ascii="Times New Roman" w:hAnsi="Times New Roman" w:cs="Times New Roman" w:eastAsia="Times New Roman" w:hint="default"/>
          <w:spacing w:val="-7"/>
        </w:rPr>
        <w:t>2013</w:t>
      </w:r>
      <w:r>
        <w:rPr>
          <w:spacing w:val="-7"/>
        </w:rPr>
        <w:t>）惠民初 </w:t>
      </w:r>
      <w:r>
        <w:rPr>
          <w:rFonts w:ascii="Times New Roman" w:hAnsi="Times New Roman" w:cs="Times New Roman" w:eastAsia="Times New Roman" w:hint="default"/>
        </w:rPr>
        <w:t>4561</w:t>
      </w:r>
      <w:r>
        <w:rPr>
          <w:rFonts w:ascii="Times New Roman" w:hAnsi="Times New Roman" w:cs="Times New Roman" w:eastAsia="Times New Roman" w:hint="default"/>
          <w:spacing w:val="23"/>
        </w:rPr>
        <w:t> </w:t>
      </w:r>
      <w:r>
        <w:rPr>
          <w:spacing w:val="-3"/>
        </w:rPr>
        <w:t>号民事调解书，同时公司如发现被执行人有可执行财产可再次提出执行</w:t>
      </w:r>
    </w:p>
    <w:p>
      <w:pPr>
        <w:pStyle w:val="BodyText"/>
        <w:spacing w:line="240" w:lineRule="auto" w:before="69"/>
        <w:ind w:left="138" w:right="0"/>
        <w:jc w:val="left"/>
      </w:pPr>
      <w:r>
        <w:rPr/>
        <w:t>申请。根据上述情况，公司已于 </w:t>
      </w:r>
      <w:r>
        <w:rPr>
          <w:rFonts w:ascii="Times New Roman" w:hAnsi="Times New Roman" w:cs="Times New Roman" w:eastAsia="Times New Roman" w:hint="default"/>
        </w:rPr>
        <w:t>2014 </w:t>
      </w:r>
      <w:r>
        <w:rPr/>
        <w:t>年对该笔应收账款 </w:t>
      </w:r>
      <w:r>
        <w:rPr>
          <w:rFonts w:ascii="Times New Roman" w:hAnsi="Times New Roman" w:cs="Times New Roman" w:eastAsia="Times New Roman" w:hint="default"/>
        </w:rPr>
        <w:t>474,800.00</w:t>
      </w:r>
      <w:r>
        <w:rPr>
          <w:rFonts w:ascii="Times New Roman" w:hAnsi="Times New Roman" w:cs="Times New Roman" w:eastAsia="Times New Roman" w:hint="default"/>
          <w:spacing w:val="7"/>
        </w:rPr>
        <w:t> </w:t>
      </w:r>
      <w:r>
        <w:rPr/>
        <w:t>元全额计提坏账准备。截至</w:t>
      </w:r>
    </w:p>
    <w:p>
      <w:pPr>
        <w:pStyle w:val="BodyText"/>
        <w:spacing w:line="297" w:lineRule="auto" w:before="69"/>
        <w:ind w:left="13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日公司仍未收到正大服饰所欠款项。公司认为该诉讼事项不会对公司的经营造成</w:t>
      </w:r>
      <w:r>
        <w:rPr>
          <w:spacing w:val="-101"/>
        </w:rPr>
        <w:t> </w:t>
      </w:r>
      <w:r>
        <w:rPr>
          <w:spacing w:val="-101"/>
        </w:rPr>
      </w:r>
      <w:r>
        <w:rPr/>
        <w:t>重大影响。</w:t>
      </w:r>
    </w:p>
    <w:p>
      <w:pPr>
        <w:spacing w:line="240" w:lineRule="auto" w:before="11"/>
        <w:rPr>
          <w:rFonts w:ascii="宋体" w:hAnsi="宋体" w:cs="宋体" w:eastAsia="宋体" w:hint="default"/>
          <w:sz w:val="20"/>
          <w:szCs w:val="20"/>
        </w:rPr>
      </w:pPr>
    </w:p>
    <w:p>
      <w:pPr>
        <w:pStyle w:val="Heading3"/>
        <w:spacing w:line="240" w:lineRule="auto"/>
        <w:ind w:left="138" w:right="13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083" w:val="left" w:leader="none"/>
        </w:tabs>
        <w:spacing w:line="272" w:lineRule="exact" w:before="86"/>
        <w:ind w:left="138" w:right="4972"/>
        <w:jc w:val="left"/>
      </w:pPr>
      <w:r>
        <w:rPr/>
        <w:t>√适用</w:t>
        <w:tab/>
      </w:r>
      <w:r>
        <w:rPr>
          <w:rFonts w:ascii="Arial" w:hAnsi="Arial" w:cs="Arial" w:eastAsia="Arial" w:hint="default"/>
        </w:rPr>
        <w:t>□</w:t>
      </w:r>
      <w:r>
        <w:rPr>
          <w:rFonts w:ascii="Arial" w:hAnsi="Arial" w:cs="Arial" w:eastAsia="Arial" w:hint="default"/>
          <w:spacing w:val="26"/>
        </w:rPr>
        <w:t> </w:t>
      </w:r>
      <w:r>
        <w:rPr/>
        <w:t>不适用</w:t>
      </w:r>
      <w:r>
        <w:rPr>
          <w:w w:val="100"/>
        </w:rPr>
        <w:t> </w:t>
      </w:r>
      <w:r>
        <w:rPr>
          <w:spacing w:val="-2"/>
        </w:rPr>
        <w:t>无其他应披露的重要承诺事项及或有事项。</w:t>
      </w:r>
    </w:p>
    <w:p>
      <w:pPr>
        <w:spacing w:line="240" w:lineRule="auto" w:before="3"/>
        <w:rPr>
          <w:rFonts w:ascii="宋体" w:hAnsi="宋体" w:cs="宋体" w:eastAsia="宋体" w:hint="default"/>
          <w:sz w:val="22"/>
          <w:szCs w:val="22"/>
        </w:rPr>
      </w:pPr>
    </w:p>
    <w:p>
      <w:pPr>
        <w:pStyle w:val="Heading3"/>
        <w:spacing w:line="240" w:lineRule="auto"/>
        <w:ind w:left="138" w:right="13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83" w:val="left" w:leader="none"/>
        </w:tabs>
        <w:spacing w:line="240" w:lineRule="auto" w:before="57"/>
        <w:ind w:left="138" w:right="13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30"/>
        <w:jc w:val="left"/>
        <w:rPr>
          <w:b w:val="0"/>
          <w:bCs w:val="0"/>
        </w:rPr>
      </w:pPr>
      <w:r>
        <w:rPr/>
        <w:t>十五、资产负债表日后事项</w:t>
      </w:r>
      <w:r>
        <w:rPr>
          <w:b w:val="0"/>
          <w:bCs w:val="0"/>
        </w:rPr>
      </w:r>
    </w:p>
    <w:p>
      <w:pPr>
        <w:pStyle w:val="Heading3"/>
        <w:spacing w:line="240" w:lineRule="auto" w:before="58"/>
        <w:ind w:left="138" w:right="13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tabs>
          <w:tab w:pos="874" w:val="left" w:leader="none"/>
        </w:tabs>
        <w:spacing w:line="288" w:lineRule="exact" w:before="29"/>
        <w:ind w:left="138" w:right="13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72" w:lineRule="exact"/>
        <w:ind w:left="558" w:right="130"/>
        <w:jc w:val="left"/>
      </w:pPr>
      <w:r>
        <w:rPr>
          <w:rFonts w:ascii="Calibri" w:hAnsi="Calibri" w:cs="Calibri" w:eastAsia="Calibri" w:hint="default"/>
        </w:rPr>
        <w:t>1</w:t>
      </w:r>
      <w:r>
        <w:rPr/>
        <w:t>、配股发行</w:t>
      </w:r>
    </w:p>
    <w:p>
      <w:pPr>
        <w:pStyle w:val="BodyText"/>
        <w:spacing w:line="274" w:lineRule="exact" w:before="11"/>
        <w:ind w:left="138" w:right="123" w:firstLine="419"/>
        <w:jc w:val="left"/>
        <w:rPr>
          <w:rFonts w:ascii="Times New Roman" w:hAnsi="Times New Roman" w:cs="Times New Roman" w:eastAsia="Times New Roman" w:hint="default"/>
        </w:rPr>
      </w:pPr>
      <w:r>
        <w:rPr>
          <w:spacing w:val="-3"/>
        </w:rPr>
        <w:t>经中国证券监督管理委员会证监许可〔</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2382</w:t>
      </w:r>
      <w:r>
        <w:rPr>
          <w:rFonts w:ascii="Times New Roman" w:hAnsi="Times New Roman" w:cs="Times New Roman" w:eastAsia="Times New Roman" w:hint="default"/>
          <w:spacing w:val="21"/>
        </w:rPr>
        <w:t> </w:t>
      </w:r>
      <w:r>
        <w:rPr/>
        <w:t>号文《关于核准南威软件股份有限公司配</w:t>
      </w:r>
      <w:r>
        <w:rPr>
          <w:w w:val="100"/>
        </w:rPr>
        <w:t> </w:t>
      </w:r>
      <w:r>
        <w:rPr/>
        <w:t>股的批复》核准，公司以</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日为配股股权登记日，按上交所收市后公司总股本</w:t>
      </w:r>
      <w:r>
        <w:rPr>
          <w:spacing w:val="-40"/>
        </w:rPr>
        <w:t> </w:t>
      </w:r>
      <w:r>
        <w:rPr>
          <w:rFonts w:ascii="Times New Roman" w:hAnsi="Times New Roman" w:cs="Times New Roman" w:eastAsia="Times New Roman" w:hint="default"/>
        </w:rPr>
        <w:t>407,097,800</w:t>
      </w:r>
    </w:p>
    <w:p>
      <w:pPr>
        <w:pStyle w:val="BodyText"/>
        <w:spacing w:line="253" w:lineRule="exact"/>
        <w:ind w:left="138" w:right="0"/>
        <w:jc w:val="left"/>
      </w:pPr>
      <w:r>
        <w:rPr/>
        <w:t>股为基数，每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股配</w:t>
      </w:r>
      <w:r>
        <w:rPr>
          <w:spacing w:val="-42"/>
        </w:rPr>
        <w:t> </w:t>
      </w:r>
      <w:r>
        <w:rPr>
          <w:rFonts w:ascii="Times New Roman" w:hAnsi="Times New Roman" w:cs="Times New Roman" w:eastAsia="Times New Roman" w:hint="default"/>
        </w:rPr>
        <w:t>2.9980377</w:t>
      </w:r>
      <w:r>
        <w:rPr>
          <w:rFonts w:ascii="Times New Roman" w:hAnsi="Times New Roman" w:cs="Times New Roman" w:eastAsia="Times New Roman" w:hint="default"/>
          <w:spacing w:val="9"/>
        </w:rPr>
        <w:t> </w:t>
      </w:r>
      <w:r>
        <w:rPr/>
        <w:t>股的比例向全体股东配售股份</w:t>
      </w:r>
      <w:r>
        <w:rPr>
          <w:spacing w:val="-43"/>
        </w:rPr>
        <w:t> </w:t>
      </w:r>
      <w:r>
        <w:rPr>
          <w:rFonts w:ascii="Times New Roman" w:hAnsi="Times New Roman" w:cs="Times New Roman" w:eastAsia="Times New Roman" w:hint="default"/>
        </w:rPr>
        <w:t>122,049,456</w:t>
      </w:r>
      <w:r>
        <w:rPr>
          <w:rFonts w:ascii="Times New Roman" w:hAnsi="Times New Roman" w:cs="Times New Roman" w:eastAsia="Times New Roman" w:hint="default"/>
          <w:spacing w:val="7"/>
        </w:rPr>
        <w:t> </w:t>
      </w:r>
      <w:r>
        <w:rPr/>
        <w:t>股，本次配股发行价</w:t>
      </w:r>
    </w:p>
    <w:p>
      <w:pPr>
        <w:pStyle w:val="BodyText"/>
        <w:spacing w:line="272" w:lineRule="exact"/>
        <w:ind w:left="138" w:right="130"/>
        <w:jc w:val="left"/>
      </w:pPr>
      <w:r>
        <w:rPr/>
        <w:t>为每股人民币</w:t>
      </w:r>
      <w:r>
        <w:rPr>
          <w:spacing w:val="-52"/>
        </w:rPr>
        <w:t> </w:t>
      </w:r>
      <w:r>
        <w:rPr>
          <w:rFonts w:ascii="Times New Roman" w:hAnsi="Times New Roman" w:cs="Times New Roman" w:eastAsia="Times New Roman" w:hint="default"/>
        </w:rPr>
        <w:t>5.50</w:t>
      </w:r>
      <w:r>
        <w:rPr>
          <w:rFonts w:ascii="Times New Roman" w:hAnsi="Times New Roman" w:cs="Times New Roman" w:eastAsia="Times New Roman" w:hint="default"/>
          <w:spacing w:val="-2"/>
        </w:rPr>
        <w:t> </w:t>
      </w:r>
      <w:r>
        <w:rPr/>
        <w:t>元。</w:t>
      </w:r>
    </w:p>
    <w:p>
      <w:pPr>
        <w:pStyle w:val="BodyText"/>
        <w:spacing w:line="273" w:lineRule="exact"/>
        <w:ind w:left="138" w:right="0"/>
        <w:jc w:val="left"/>
        <w:rPr>
          <w:rFonts w:ascii="Times New Roman" w:hAnsi="Times New Roman" w:cs="Times New Roman" w:eastAsia="Times New Roman" w:hint="default"/>
        </w:rPr>
      </w:pPr>
      <w:r>
        <w:rPr/>
        <w:t>本次配股实际配售人民币普通股（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120,159,152 </w:t>
      </w:r>
      <w:r>
        <w:rPr/>
        <w:t>股，募集资金总额为人民币</w:t>
      </w:r>
      <w:r>
        <w:rPr>
          <w:spacing w:val="10"/>
        </w:rPr>
        <w:t> </w:t>
      </w:r>
      <w:r>
        <w:rPr>
          <w:rFonts w:ascii="Times New Roman" w:hAnsi="Times New Roman" w:cs="Times New Roman" w:eastAsia="Times New Roman" w:hint="default"/>
        </w:rPr>
        <w:t>660,875,336.00</w:t>
      </w:r>
    </w:p>
    <w:p>
      <w:pPr>
        <w:pStyle w:val="BodyText"/>
        <w:spacing w:line="273" w:lineRule="exact"/>
        <w:ind w:left="138" w:right="0"/>
        <w:jc w:val="left"/>
      </w:pPr>
      <w:r>
        <w:rPr>
          <w:spacing w:val="-3"/>
        </w:rPr>
        <w:t>元，变更后的注册资本为人民币</w:t>
      </w:r>
      <w:r>
        <w:rPr>
          <w:spacing w:val="-49"/>
        </w:rPr>
        <w:t> </w:t>
      </w:r>
      <w:r>
        <w:rPr>
          <w:rFonts w:ascii="Times New Roman" w:hAnsi="Times New Roman" w:cs="Times New Roman" w:eastAsia="Times New Roman" w:hint="default"/>
        </w:rPr>
        <w:t>527,256,952.00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股本总数为</w:t>
      </w:r>
      <w:r>
        <w:rPr>
          <w:spacing w:val="-49"/>
        </w:rPr>
        <w:t> </w:t>
      </w:r>
      <w:r>
        <w:rPr>
          <w:rFonts w:ascii="Times New Roman" w:hAnsi="Times New Roman" w:cs="Times New Roman" w:eastAsia="Times New Roman" w:hint="default"/>
        </w:rPr>
        <w:t>527,256,952.00</w:t>
      </w:r>
      <w:r>
        <w:rPr>
          <w:rFonts w:ascii="Times New Roman" w:hAnsi="Times New Roman" w:cs="Times New Roman" w:eastAsia="Times New Roman" w:hint="default"/>
          <w:spacing w:val="4"/>
        </w:rPr>
        <w:t> </w:t>
      </w:r>
      <w:r>
        <w:rPr>
          <w:spacing w:val="-4"/>
        </w:rPr>
        <w:t>元。经上海证券交</w:t>
      </w:r>
    </w:p>
    <w:p>
      <w:pPr>
        <w:pStyle w:val="BodyText"/>
        <w:spacing w:line="281" w:lineRule="exact"/>
        <w:ind w:left="138" w:right="0"/>
        <w:jc w:val="left"/>
      </w:pPr>
      <w:r>
        <w:rPr>
          <w:w w:val="100"/>
        </w:rPr>
        <w:t>易所</w:t>
      </w:r>
      <w:r>
        <w:rPr>
          <w:spacing w:val="-3"/>
          <w:w w:val="100"/>
        </w:rPr>
        <w:t>同意</w:t>
      </w:r>
      <w:r>
        <w:rPr>
          <w:spacing w:val="-92"/>
          <w:w w:val="100"/>
        </w:rPr>
        <w:t>，</w:t>
      </w:r>
      <w:r>
        <w:rPr>
          <w:spacing w:val="-3"/>
          <w:w w:val="100"/>
        </w:rPr>
        <w:t>公</w:t>
      </w:r>
      <w:r>
        <w:rPr>
          <w:w w:val="100"/>
        </w:rPr>
        <w:t>司</w:t>
      </w:r>
      <w:r>
        <w:rPr>
          <w:spacing w:val="-3"/>
          <w:w w:val="100"/>
        </w:rPr>
        <w:t>本</w:t>
      </w:r>
      <w:r>
        <w:rPr>
          <w:w w:val="100"/>
        </w:rPr>
        <w:t>次</w:t>
      </w:r>
      <w:r>
        <w:rPr>
          <w:spacing w:val="-3"/>
          <w:w w:val="100"/>
        </w:rPr>
        <w:t>配</w:t>
      </w:r>
      <w:r>
        <w:rPr>
          <w:w w:val="100"/>
        </w:rPr>
        <w:t>股</w:t>
      </w:r>
      <w:r>
        <w:rPr>
          <w:spacing w:val="-3"/>
          <w:w w:val="100"/>
        </w:rPr>
        <w:t>共</w:t>
      </w:r>
      <w:r>
        <w:rPr>
          <w:w w:val="100"/>
        </w:rPr>
        <w:t>计配</w:t>
      </w:r>
      <w:r>
        <w:rPr>
          <w:spacing w:val="-3"/>
          <w:w w:val="100"/>
        </w:rPr>
        <w:t>售</w:t>
      </w:r>
      <w:r>
        <w:rPr>
          <w:w w:val="100"/>
        </w:rPr>
        <w:t>的</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9,1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股人</w:t>
      </w:r>
      <w:r>
        <w:rPr>
          <w:w w:val="100"/>
        </w:rPr>
        <w:t>民币</w:t>
      </w:r>
      <w:r>
        <w:rPr>
          <w:spacing w:val="-3"/>
          <w:w w:val="100"/>
        </w:rPr>
        <w:t>普</w:t>
      </w:r>
      <w:r>
        <w:rPr>
          <w:w w:val="100"/>
        </w:rPr>
        <w:t>通</w:t>
      </w:r>
      <w:r>
        <w:rPr>
          <w:spacing w:val="-3"/>
          <w:w w:val="100"/>
        </w:rPr>
        <w:t>股将</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4"/>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rPr>
        <w:t> </w:t>
      </w:r>
      <w:r>
        <w:rPr>
          <w:w w:val="100"/>
        </w:rPr>
        <w:t>日</w:t>
      </w:r>
      <w:r>
        <w:rPr>
          <w:spacing w:val="-3"/>
          <w:w w:val="100"/>
        </w:rPr>
        <w:t>起</w:t>
      </w:r>
      <w:r>
        <w:rPr>
          <w:w w:val="100"/>
        </w:rPr>
        <w:t>上</w:t>
      </w:r>
      <w:r>
        <w:rPr>
          <w:spacing w:val="-3"/>
          <w:w w:val="100"/>
        </w:rPr>
        <w:t>市</w:t>
      </w:r>
      <w:r>
        <w:rPr>
          <w:w w:val="100"/>
        </w:rPr>
        <w:t>流</w:t>
      </w:r>
    </w:p>
    <w:p>
      <w:pPr>
        <w:spacing w:after="0" w:line="281" w:lineRule="exact"/>
        <w:jc w:val="left"/>
        <w:sectPr>
          <w:pgSz w:w="11910" w:h="16840"/>
          <w:pgMar w:header="857" w:footer="979" w:top="1140" w:bottom="1160" w:left="1660" w:right="1140"/>
        </w:sectPr>
      </w:pPr>
    </w:p>
    <w:p>
      <w:pPr>
        <w:spacing w:line="240" w:lineRule="auto" w:before="4"/>
        <w:rPr>
          <w:rFonts w:ascii="宋体" w:hAnsi="宋体" w:cs="宋体" w:eastAsia="宋体" w:hint="default"/>
          <w:sz w:val="23"/>
          <w:szCs w:val="23"/>
        </w:rPr>
      </w:pPr>
    </w:p>
    <w:p>
      <w:pPr>
        <w:pStyle w:val="BodyText"/>
        <w:spacing w:line="240" w:lineRule="auto" w:before="36"/>
        <w:ind w:right="0"/>
        <w:jc w:val="left"/>
      </w:pPr>
      <w:r>
        <w:rPr/>
        <w:t>通。</w:t>
      </w:r>
    </w:p>
    <w:p>
      <w:pPr>
        <w:spacing w:line="240" w:lineRule="auto" w:before="6"/>
        <w:rPr>
          <w:rFonts w:ascii="宋体" w:hAnsi="宋体" w:cs="宋体" w:eastAsia="宋体" w:hint="default"/>
          <w:sz w:val="18"/>
          <w:szCs w:val="18"/>
        </w:rPr>
      </w:pPr>
    </w:p>
    <w:p>
      <w:pPr>
        <w:pStyle w:val="BodyText"/>
        <w:spacing w:line="281" w:lineRule="exact"/>
        <w:ind w:left="638" w:right="0"/>
        <w:jc w:val="left"/>
      </w:pPr>
      <w:r>
        <w:rPr>
          <w:rFonts w:ascii="Times New Roman" w:hAnsi="Times New Roman" w:cs="Times New Roman" w:eastAsia="Times New Roman" w:hint="default"/>
        </w:rPr>
        <w:t>2</w:t>
      </w:r>
      <w:r>
        <w:rPr/>
        <w:t>、完成控股子公司股权转让</w:t>
      </w:r>
    </w:p>
    <w:p>
      <w:pPr>
        <w:pStyle w:val="BodyText"/>
        <w:spacing w:line="271" w:lineRule="exact"/>
        <w:ind w:left="638" w:right="0"/>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日</w:t>
      </w:r>
      <w:r>
        <w:rPr>
          <w:spacing w:val="-25"/>
          <w:w w:val="100"/>
        </w:rPr>
        <w:t>，</w:t>
      </w:r>
      <w:r>
        <w:rPr>
          <w:spacing w:val="-3"/>
          <w:w w:val="100"/>
        </w:rPr>
        <w:t>公</w:t>
      </w:r>
      <w:r>
        <w:rPr>
          <w:spacing w:val="-27"/>
          <w:w w:val="100"/>
        </w:rPr>
        <w:t>司</w:t>
      </w:r>
      <w:r>
        <w:rPr>
          <w:w w:val="100"/>
        </w:rPr>
        <w:t>（</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1"/>
          <w:w w:val="100"/>
        </w:rPr>
        <w:t>“</w:t>
      </w:r>
      <w:r>
        <w:rPr>
          <w:spacing w:val="-3"/>
          <w:w w:val="100"/>
        </w:rPr>
        <w:t>乙</w:t>
      </w:r>
      <w:r>
        <w:rPr>
          <w:w w:val="100"/>
        </w:rPr>
        <w:t>方</w:t>
      </w:r>
      <w:r>
        <w:rPr>
          <w:rFonts w:ascii="Times New Roman" w:hAnsi="Times New Roman" w:cs="Times New Roman" w:eastAsia="Times New Roman" w:hint="default"/>
          <w:spacing w:val="-1"/>
          <w:w w:val="100"/>
        </w:rPr>
        <w:t>”</w:t>
      </w:r>
      <w:r>
        <w:rPr>
          <w:spacing w:val="-27"/>
          <w:w w:val="100"/>
        </w:rPr>
        <w:t>）</w:t>
      </w:r>
      <w:r>
        <w:rPr>
          <w:w w:val="100"/>
        </w:rPr>
        <w:t>与</w:t>
      </w:r>
      <w:r>
        <w:rPr>
          <w:spacing w:val="-3"/>
          <w:w w:val="100"/>
        </w:rPr>
        <w:t>珠海</w:t>
      </w:r>
      <w:r>
        <w:rPr>
          <w:w w:val="100"/>
        </w:rPr>
        <w:t>汇垠</w:t>
      </w:r>
      <w:r>
        <w:rPr>
          <w:spacing w:val="-3"/>
          <w:w w:val="100"/>
        </w:rPr>
        <w:t>意</w:t>
      </w:r>
      <w:r>
        <w:rPr>
          <w:w w:val="100"/>
        </w:rPr>
        <w:t>中</w:t>
      </w:r>
      <w:r>
        <w:rPr>
          <w:spacing w:val="-3"/>
          <w:w w:val="100"/>
        </w:rPr>
        <w:t>投</w:t>
      </w:r>
      <w:r>
        <w:rPr>
          <w:w w:val="100"/>
        </w:rPr>
        <w:t>资</w:t>
      </w:r>
      <w:r>
        <w:rPr>
          <w:spacing w:val="-3"/>
          <w:w w:val="100"/>
        </w:rPr>
        <w:t>合</w:t>
      </w:r>
      <w:r>
        <w:rPr>
          <w:w w:val="100"/>
        </w:rPr>
        <w:t>伙</w:t>
      </w:r>
      <w:r>
        <w:rPr>
          <w:spacing w:val="-3"/>
          <w:w w:val="100"/>
        </w:rPr>
        <w:t>企</w:t>
      </w:r>
      <w:r>
        <w:rPr>
          <w:spacing w:val="-27"/>
          <w:w w:val="100"/>
        </w:rPr>
        <w:t>业</w:t>
      </w:r>
      <w:r>
        <w:rPr>
          <w:spacing w:val="-3"/>
          <w:w w:val="100"/>
        </w:rPr>
        <w:t>（</w:t>
      </w:r>
      <w:r>
        <w:rPr>
          <w:w w:val="100"/>
        </w:rPr>
        <w:t>有限</w:t>
      </w:r>
      <w:r>
        <w:rPr>
          <w:spacing w:val="-3"/>
          <w:w w:val="100"/>
        </w:rPr>
        <w:t>合</w:t>
      </w:r>
      <w:r>
        <w:rPr>
          <w:w w:val="100"/>
        </w:rPr>
        <w:t>伙</w:t>
      </w:r>
      <w:r>
        <w:rPr>
          <w:spacing w:val="-132"/>
          <w:w w:val="100"/>
        </w:rPr>
        <w:t>）</w:t>
      </w:r>
      <w:r>
        <w:rPr>
          <w:w w:val="100"/>
        </w:rPr>
        <w:t>（以</w:t>
      </w:r>
    </w:p>
    <w:p>
      <w:pPr>
        <w:pStyle w:val="BodyText"/>
        <w:spacing w:line="272" w:lineRule="exact"/>
        <w:ind w:right="0"/>
        <w:jc w:val="left"/>
      </w:pPr>
      <w:r>
        <w:rPr>
          <w:w w:val="100"/>
        </w:rPr>
        <w:t>下简</w:t>
      </w:r>
      <w:r>
        <w:rPr>
          <w:spacing w:val="-3"/>
          <w:w w:val="100"/>
        </w:rPr>
        <w:t>称</w:t>
      </w:r>
      <w:r>
        <w:rPr>
          <w:rFonts w:ascii="Times New Roman" w:hAnsi="Times New Roman" w:cs="Times New Roman" w:eastAsia="Times New Roman" w:hint="default"/>
          <w:spacing w:val="-1"/>
          <w:w w:val="100"/>
        </w:rPr>
        <w:t>“</w:t>
      </w:r>
      <w:r>
        <w:rPr>
          <w:spacing w:val="-3"/>
          <w:w w:val="100"/>
        </w:rPr>
        <w:t>乙</w:t>
      </w:r>
      <w:r>
        <w:rPr>
          <w:w w:val="100"/>
        </w:rPr>
        <w:t>方</w:t>
      </w:r>
      <w:r>
        <w:rPr>
          <w:rFonts w:ascii="Times New Roman" w:hAnsi="Times New Roman" w:cs="Times New Roman" w:eastAsia="Times New Roman" w:hint="default"/>
          <w:spacing w:val="-1"/>
          <w:w w:val="100"/>
        </w:rPr>
        <w:t>”</w:t>
      </w:r>
      <w:r>
        <w:rPr>
          <w:spacing w:val="-8"/>
          <w:w w:val="100"/>
        </w:rPr>
        <w:t>）</w:t>
      </w:r>
      <w:r>
        <w:rPr>
          <w:w w:val="100"/>
        </w:rPr>
        <w:t>签</w:t>
      </w:r>
      <w:r>
        <w:rPr>
          <w:spacing w:val="-3"/>
          <w:w w:val="100"/>
        </w:rPr>
        <w:t>订</w:t>
      </w:r>
      <w:r>
        <w:rPr>
          <w:spacing w:val="-8"/>
          <w:w w:val="100"/>
        </w:rPr>
        <w:t>了</w:t>
      </w:r>
      <w:r>
        <w:rPr>
          <w:spacing w:val="-3"/>
          <w:w w:val="100"/>
        </w:rPr>
        <w:t>《</w:t>
      </w:r>
      <w:r>
        <w:rPr>
          <w:w w:val="100"/>
        </w:rPr>
        <w:t>股权</w:t>
      </w:r>
      <w:r>
        <w:rPr>
          <w:spacing w:val="-3"/>
          <w:w w:val="100"/>
        </w:rPr>
        <w:t>转</w:t>
      </w:r>
      <w:r>
        <w:rPr>
          <w:w w:val="100"/>
        </w:rPr>
        <w:t>让</w:t>
      </w:r>
      <w:r>
        <w:rPr>
          <w:spacing w:val="-3"/>
          <w:w w:val="100"/>
        </w:rPr>
        <w:t>协</w:t>
      </w:r>
      <w:r>
        <w:rPr>
          <w:w w:val="100"/>
        </w:rPr>
        <w:t>议</w:t>
      </w:r>
      <w:r>
        <w:rPr>
          <w:spacing w:val="-108"/>
          <w:w w:val="100"/>
        </w:rPr>
        <w:t>》</w:t>
      </w:r>
      <w:r>
        <w:rPr>
          <w:spacing w:val="-5"/>
          <w:w w:val="100"/>
        </w:rPr>
        <w:t>，</w:t>
      </w:r>
      <w:r>
        <w:rPr>
          <w:spacing w:val="-3"/>
          <w:w w:val="100"/>
        </w:rPr>
        <w:t>珠</w:t>
      </w:r>
      <w:r>
        <w:rPr>
          <w:w w:val="100"/>
        </w:rPr>
        <w:t>海</w:t>
      </w:r>
      <w:r>
        <w:rPr>
          <w:spacing w:val="-3"/>
          <w:w w:val="100"/>
        </w:rPr>
        <w:t>汇垠</w:t>
      </w:r>
      <w:r>
        <w:rPr>
          <w:w w:val="100"/>
        </w:rPr>
        <w:t>以人</w:t>
      </w:r>
      <w:r>
        <w:rPr>
          <w:spacing w:val="-3"/>
          <w:w w:val="100"/>
        </w:rPr>
        <w:t>民</w:t>
      </w:r>
      <w:r>
        <w:rPr>
          <w:w w:val="100"/>
        </w:rPr>
        <w:t>币</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550</w:t>
      </w:r>
      <w:r>
        <w:rPr>
          <w:rFonts w:ascii="Times New Roman" w:hAnsi="Times New Roman" w:cs="Times New Roman" w:eastAsia="Times New Roman" w:hint="default"/>
          <w:spacing w:val="-3"/>
        </w:rPr>
        <w:t> </w:t>
      </w:r>
      <w:r>
        <w:rPr>
          <w:w w:val="100"/>
        </w:rPr>
        <w:t>万</w:t>
      </w:r>
      <w:r>
        <w:rPr>
          <w:spacing w:val="-3"/>
          <w:w w:val="100"/>
        </w:rPr>
        <w:t>元</w:t>
      </w:r>
      <w:r>
        <w:rPr>
          <w:w w:val="100"/>
        </w:rPr>
        <w:t>受</w:t>
      </w:r>
      <w:r>
        <w:rPr>
          <w:spacing w:val="-3"/>
          <w:w w:val="100"/>
        </w:rPr>
        <w:t>让</w:t>
      </w:r>
      <w:r>
        <w:rPr>
          <w:w w:val="100"/>
        </w:rPr>
        <w:t>本公</w:t>
      </w:r>
      <w:r>
        <w:rPr>
          <w:spacing w:val="-3"/>
          <w:w w:val="100"/>
        </w:rPr>
        <w:t>司</w:t>
      </w:r>
      <w:r>
        <w:rPr>
          <w:w w:val="100"/>
        </w:rPr>
        <w:t>之</w:t>
      </w:r>
      <w:r>
        <w:rPr>
          <w:spacing w:val="-3"/>
          <w:w w:val="100"/>
        </w:rPr>
        <w:t>子</w:t>
      </w:r>
      <w:r>
        <w:rPr>
          <w:w w:val="100"/>
        </w:rPr>
        <w:t>公</w:t>
      </w:r>
      <w:r>
        <w:rPr>
          <w:spacing w:val="-3"/>
          <w:w w:val="100"/>
        </w:rPr>
        <w:t>司</w:t>
      </w:r>
      <w:r>
        <w:rPr>
          <w:w w:val="100"/>
        </w:rPr>
        <w:t>福建</w:t>
      </w:r>
    </w:p>
    <w:p>
      <w:pPr>
        <w:pStyle w:val="BodyText"/>
        <w:spacing w:line="272" w:lineRule="exact" w:before="19"/>
        <w:ind w:right="0"/>
        <w:jc w:val="left"/>
      </w:pPr>
      <w:r>
        <w:rPr/>
        <w:t>神威系统集成有限责任公司</w:t>
      </w:r>
      <w:r>
        <w:rPr>
          <w:spacing w:val="-39"/>
        </w:rPr>
        <w:t> </w:t>
      </w:r>
      <w:r>
        <w:rPr>
          <w:rFonts w:ascii="Times New Roman" w:hAnsi="Times New Roman" w:cs="Times New Roman" w:eastAsia="Times New Roman" w:hint="default"/>
        </w:rPr>
        <w:t>51%</w:t>
      </w:r>
      <w:r>
        <w:rPr/>
        <w:t>的股权。截至</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日，已完成本次股权转让完成工商</w:t>
      </w:r>
      <w:r>
        <w:rPr>
          <w:w w:val="100"/>
        </w:rPr>
        <w:t> </w:t>
      </w:r>
      <w:r>
        <w:rPr/>
        <w:t>变更登记手续。</w:t>
      </w:r>
    </w:p>
    <w:p>
      <w:pPr>
        <w:spacing w:line="240" w:lineRule="auto" w:before="7"/>
        <w:rPr>
          <w:rFonts w:ascii="宋体" w:hAnsi="宋体" w:cs="宋体" w:eastAsia="宋体" w:hint="default"/>
          <w:sz w:val="16"/>
          <w:szCs w:val="16"/>
        </w:rPr>
      </w:pPr>
    </w:p>
    <w:p>
      <w:pPr>
        <w:pStyle w:val="BodyText"/>
        <w:spacing w:line="281" w:lineRule="exact"/>
        <w:ind w:left="638" w:right="0"/>
        <w:jc w:val="left"/>
      </w:pPr>
      <w:r>
        <w:rPr>
          <w:rFonts w:ascii="Times New Roman" w:hAnsi="Times New Roman" w:cs="Times New Roman" w:eastAsia="Times New Roman" w:hint="default"/>
        </w:rPr>
        <w:t>3</w:t>
      </w:r>
      <w:r>
        <w:rPr/>
        <w:t>、产业升级并购基金出资比例变动</w:t>
      </w:r>
    </w:p>
    <w:p>
      <w:pPr>
        <w:pStyle w:val="BodyText"/>
        <w:spacing w:line="271" w:lineRule="exact"/>
        <w:ind w:left="63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spacing w:val="-3"/>
        </w:rPr>
        <w:t>日，公司第三届董事会第十六次会议审议通过《关于产业升级并购基金变动情</w:t>
      </w:r>
    </w:p>
    <w:p>
      <w:pPr>
        <w:pStyle w:val="BodyText"/>
        <w:spacing w:line="272" w:lineRule="exact"/>
        <w:ind w:right="0"/>
        <w:jc w:val="left"/>
        <w:rPr>
          <w:rFonts w:ascii="Times New Roman" w:hAnsi="Times New Roman" w:cs="Times New Roman" w:eastAsia="Times New Roman" w:hint="default"/>
        </w:rPr>
      </w:pPr>
      <w:r>
        <w:rPr>
          <w:w w:val="100"/>
        </w:rPr>
        <w:t>况的议</w:t>
      </w:r>
      <w:r>
        <w:rPr>
          <w:spacing w:val="-3"/>
          <w:w w:val="100"/>
        </w:rPr>
        <w:t>案</w:t>
      </w:r>
      <w:r>
        <w:rPr>
          <w:spacing w:val="-106"/>
          <w:w w:val="100"/>
        </w:rPr>
        <w:t>》</w:t>
      </w:r>
      <w:r>
        <w:rPr>
          <w:w w:val="100"/>
        </w:rPr>
        <w:t>，</w:t>
      </w:r>
      <w:r>
        <w:rPr>
          <w:spacing w:val="-3"/>
          <w:w w:val="100"/>
        </w:rPr>
        <w:t>同</w:t>
      </w:r>
      <w:r>
        <w:rPr>
          <w:w w:val="100"/>
        </w:rPr>
        <w:t>意会</w:t>
      </w:r>
      <w:r>
        <w:rPr>
          <w:spacing w:val="-3"/>
          <w:w w:val="100"/>
        </w:rPr>
        <w:t>同</w:t>
      </w:r>
      <w:r>
        <w:rPr>
          <w:w w:val="100"/>
        </w:rPr>
        <w:t>鼎</w:t>
      </w:r>
      <w:r>
        <w:rPr>
          <w:spacing w:val="-3"/>
          <w:w w:val="100"/>
        </w:rPr>
        <w:t>盛</w:t>
      </w:r>
      <w:r>
        <w:rPr>
          <w:w w:val="100"/>
        </w:rPr>
        <w:t>原有限</w:t>
      </w:r>
      <w:r>
        <w:rPr>
          <w:spacing w:val="-3"/>
          <w:w w:val="100"/>
        </w:rPr>
        <w:t>合</w:t>
      </w:r>
      <w:r>
        <w:rPr>
          <w:w w:val="100"/>
        </w:rPr>
        <w:t>伙</w:t>
      </w:r>
      <w:r>
        <w:rPr>
          <w:spacing w:val="-3"/>
          <w:w w:val="100"/>
        </w:rPr>
        <w:t>人</w:t>
      </w:r>
      <w:r>
        <w:rPr>
          <w:w w:val="100"/>
        </w:rPr>
        <w:t>李伟</w:t>
      </w:r>
      <w:r>
        <w:rPr>
          <w:spacing w:val="-3"/>
          <w:w w:val="100"/>
        </w:rPr>
        <w:t>建</w:t>
      </w:r>
      <w:r>
        <w:rPr>
          <w:w w:val="100"/>
        </w:rPr>
        <w:t>先</w:t>
      </w:r>
      <w:r>
        <w:rPr>
          <w:spacing w:val="-3"/>
          <w:w w:val="100"/>
        </w:rPr>
        <w:t>生</w:t>
      </w:r>
      <w:r>
        <w:rPr>
          <w:w w:val="100"/>
        </w:rPr>
        <w:t>退出合</w:t>
      </w:r>
      <w:r>
        <w:rPr>
          <w:spacing w:val="-3"/>
          <w:w w:val="100"/>
        </w:rPr>
        <w:t>伙</w:t>
      </w:r>
      <w:r>
        <w:rPr>
          <w:w w:val="100"/>
        </w:rPr>
        <w:t>企</w:t>
      </w:r>
      <w:r>
        <w:rPr>
          <w:spacing w:val="-3"/>
          <w:w w:val="100"/>
        </w:rPr>
        <w:t>业</w:t>
      </w:r>
      <w:r>
        <w:rPr>
          <w:w w:val="100"/>
        </w:rPr>
        <w:t>，基</w:t>
      </w:r>
      <w:r>
        <w:rPr>
          <w:spacing w:val="-3"/>
          <w:w w:val="100"/>
        </w:rPr>
        <w:t>金</w:t>
      </w:r>
      <w:r>
        <w:rPr>
          <w:w w:val="100"/>
        </w:rPr>
        <w:t>合</w:t>
      </w:r>
      <w:r>
        <w:rPr>
          <w:spacing w:val="-3"/>
          <w:w w:val="100"/>
        </w:rPr>
        <w:t>伙</w:t>
      </w:r>
      <w:r>
        <w:rPr>
          <w:w w:val="100"/>
        </w:rPr>
        <w:t>人由</w:t>
      </w:r>
      <w:r>
        <w:rPr>
          <w:spacing w:val="1"/>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名减</w:t>
      </w:r>
      <w:r>
        <w:rPr>
          <w:spacing w:val="-3"/>
          <w:w w:val="100"/>
        </w:rPr>
        <w:t>少</w:t>
      </w:r>
      <w:r>
        <w:rPr>
          <w:w w:val="100"/>
        </w:rPr>
        <w:t>为</w:t>
      </w:r>
      <w:r>
        <w:rPr/>
        <w:t> </w:t>
      </w:r>
      <w:r>
        <w:rPr>
          <w:rFonts w:ascii="Times New Roman" w:hAnsi="Times New Roman" w:cs="Times New Roman" w:eastAsia="Times New Roman" w:hint="default"/>
          <w:w w:val="100"/>
        </w:rPr>
        <w:t>3</w:t>
      </w:r>
    </w:p>
    <w:p>
      <w:pPr>
        <w:pStyle w:val="BodyText"/>
        <w:spacing w:line="273" w:lineRule="exact"/>
        <w:ind w:right="0"/>
        <w:jc w:val="left"/>
        <w:rPr>
          <w:rFonts w:ascii="Times New Roman" w:hAnsi="Times New Roman" w:cs="Times New Roman" w:eastAsia="Times New Roman" w:hint="default"/>
        </w:rPr>
      </w:pPr>
      <w:r>
        <w:rPr>
          <w:w w:val="100"/>
        </w:rPr>
        <w:t>名</w:t>
      </w:r>
      <w:r>
        <w:rPr>
          <w:spacing w:val="-104"/>
          <w:w w:val="100"/>
        </w:rPr>
        <w:t>。</w:t>
      </w:r>
      <w:r>
        <w:rPr>
          <w:w w:val="100"/>
        </w:rPr>
        <w:t>同</w:t>
      </w:r>
      <w:r>
        <w:rPr>
          <w:spacing w:val="-3"/>
          <w:w w:val="100"/>
        </w:rPr>
        <w:t>时</w:t>
      </w:r>
      <w:r>
        <w:rPr>
          <w:w w:val="100"/>
        </w:rPr>
        <w:t>由</w:t>
      </w:r>
      <w:r>
        <w:rPr>
          <w:spacing w:val="-3"/>
          <w:w w:val="100"/>
        </w:rPr>
        <w:t>于</w:t>
      </w:r>
      <w:r>
        <w:rPr>
          <w:w w:val="100"/>
        </w:rPr>
        <w:t>李</w:t>
      </w:r>
      <w:r>
        <w:rPr>
          <w:spacing w:val="-3"/>
          <w:w w:val="100"/>
        </w:rPr>
        <w:t>伟</w:t>
      </w:r>
      <w:r>
        <w:rPr>
          <w:w w:val="100"/>
        </w:rPr>
        <w:t>建</w:t>
      </w:r>
      <w:r>
        <w:rPr>
          <w:spacing w:val="-3"/>
          <w:w w:val="100"/>
        </w:rPr>
        <w:t>先</w:t>
      </w:r>
      <w:r>
        <w:rPr>
          <w:w w:val="100"/>
        </w:rPr>
        <w:t>出</w:t>
      </w:r>
      <w:r>
        <w:rPr>
          <w:spacing w:val="-3"/>
          <w:w w:val="100"/>
        </w:rPr>
        <w:t>退</w:t>
      </w:r>
      <w:r>
        <w:rPr>
          <w:w w:val="100"/>
        </w:rPr>
        <w:t>伙</w:t>
      </w:r>
      <w:r>
        <w:rPr>
          <w:spacing w:val="-104"/>
          <w:w w:val="100"/>
        </w:rPr>
        <w:t>，</w:t>
      </w:r>
      <w:r>
        <w:rPr>
          <w:w w:val="100"/>
        </w:rPr>
        <w:t>厦</w:t>
      </w:r>
      <w:r>
        <w:rPr>
          <w:spacing w:val="-3"/>
          <w:w w:val="100"/>
        </w:rPr>
        <w:t>门</w:t>
      </w:r>
      <w:r>
        <w:rPr>
          <w:w w:val="100"/>
        </w:rPr>
        <w:t>会</w:t>
      </w:r>
      <w:r>
        <w:rPr>
          <w:spacing w:val="-3"/>
          <w:w w:val="100"/>
        </w:rPr>
        <w:t>同</w:t>
      </w:r>
      <w:r>
        <w:rPr>
          <w:w w:val="100"/>
        </w:rPr>
        <w:t>鼎</w:t>
      </w:r>
      <w:r>
        <w:rPr>
          <w:spacing w:val="-3"/>
          <w:w w:val="100"/>
        </w:rPr>
        <w:t>盛</w:t>
      </w:r>
      <w:r>
        <w:rPr>
          <w:w w:val="100"/>
        </w:rPr>
        <w:t>股</w:t>
      </w:r>
      <w:r>
        <w:rPr>
          <w:spacing w:val="-3"/>
          <w:w w:val="100"/>
        </w:rPr>
        <w:t>权</w:t>
      </w:r>
      <w:r>
        <w:rPr>
          <w:w w:val="100"/>
        </w:rPr>
        <w:t>投</w:t>
      </w:r>
      <w:r>
        <w:rPr>
          <w:spacing w:val="-3"/>
          <w:w w:val="100"/>
        </w:rPr>
        <w:t>资</w:t>
      </w:r>
      <w:r>
        <w:rPr>
          <w:w w:val="100"/>
        </w:rPr>
        <w:t>合伙</w:t>
      </w:r>
      <w:r>
        <w:rPr>
          <w:spacing w:val="-3"/>
          <w:w w:val="100"/>
        </w:rPr>
        <w:t>企</w:t>
      </w:r>
      <w:r>
        <w:rPr>
          <w:spacing w:val="-104"/>
          <w:w w:val="100"/>
        </w:rPr>
        <w:t>业</w:t>
      </w:r>
      <w:r>
        <w:rPr>
          <w:w w:val="100"/>
        </w:rPr>
        <w:t>（</w:t>
      </w:r>
      <w:r>
        <w:rPr>
          <w:spacing w:val="-3"/>
          <w:w w:val="100"/>
        </w:rPr>
        <w:t>有</w:t>
      </w:r>
      <w:r>
        <w:rPr>
          <w:w w:val="100"/>
        </w:rPr>
        <w:t>限</w:t>
      </w:r>
      <w:r>
        <w:rPr>
          <w:spacing w:val="-3"/>
          <w:w w:val="100"/>
        </w:rPr>
        <w:t>合伙</w:t>
      </w:r>
      <w:r>
        <w:rPr>
          <w:spacing w:val="-101"/>
          <w:w w:val="100"/>
        </w:rPr>
        <w:t>）</w:t>
      </w:r>
      <w:r>
        <w:rPr>
          <w:spacing w:val="-3"/>
          <w:w w:val="100"/>
        </w:rPr>
        <w:t>的认</w:t>
      </w:r>
      <w:r>
        <w:rPr>
          <w:w w:val="100"/>
        </w:rPr>
        <w:t>缴出</w:t>
      </w:r>
      <w:r>
        <w:rPr>
          <w:spacing w:val="-3"/>
          <w:w w:val="100"/>
        </w:rPr>
        <w:t>资额</w:t>
      </w:r>
      <w:r>
        <w:rPr>
          <w:w w:val="100"/>
        </w:rPr>
        <w:t>由</w:t>
      </w:r>
      <w:r>
        <w:rPr>
          <w:spacing w:val="-52"/>
        </w:rPr>
        <w:t> </w:t>
      </w:r>
      <w:r>
        <w:rPr>
          <w:rFonts w:ascii="Times New Roman" w:hAnsi="Times New Roman" w:cs="Times New Roman" w:eastAsia="Times New Roman" w:hint="default"/>
          <w:w w:val="100"/>
        </w:rPr>
        <w:t>35,</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30</w:t>
      </w:r>
    </w:p>
    <w:p>
      <w:pPr>
        <w:pStyle w:val="BodyText"/>
        <w:spacing w:line="281" w:lineRule="exact"/>
        <w:ind w:right="0"/>
        <w:jc w:val="left"/>
      </w:pPr>
      <w:r>
        <w:rPr/>
        <w:t>万减少至</w:t>
      </w:r>
      <w:r>
        <w:rPr>
          <w:spacing w:val="-55"/>
        </w:rPr>
        <w:t> </w:t>
      </w:r>
      <w:r>
        <w:rPr>
          <w:rFonts w:ascii="Times New Roman" w:hAnsi="Times New Roman" w:cs="Times New Roman" w:eastAsia="Times New Roman" w:hint="default"/>
        </w:rPr>
        <w:t>15,530</w:t>
      </w:r>
      <w:r>
        <w:rPr>
          <w:rFonts w:ascii="Times New Roman" w:hAnsi="Times New Roman" w:cs="Times New Roman" w:eastAsia="Times New Roman" w:hint="default"/>
          <w:spacing w:val="-2"/>
        </w:rPr>
        <w:t> </w:t>
      </w:r>
      <w:r>
        <w:rPr/>
        <w:t>万元，公司的认缴金额仍为</w:t>
      </w:r>
      <w:r>
        <w:rPr>
          <w:spacing w:val="-5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万元，认缴比例由</w:t>
      </w:r>
      <w:r>
        <w:rPr>
          <w:spacing w:val="-55"/>
        </w:rPr>
        <w:t> </w:t>
      </w:r>
      <w:r>
        <w:rPr>
          <w:rFonts w:ascii="Times New Roman" w:hAnsi="Times New Roman" w:cs="Times New Roman" w:eastAsia="Times New Roman" w:hint="default"/>
        </w:rPr>
        <w:t>28.29%</w:t>
      </w:r>
      <w:r>
        <w:rPr/>
        <w:t>增加至</w:t>
      </w:r>
      <w:r>
        <w:rPr>
          <w:spacing w:val="-55"/>
        </w:rPr>
        <w:t> </w:t>
      </w:r>
      <w:r>
        <w:rPr>
          <w:rFonts w:ascii="Times New Roman" w:hAnsi="Times New Roman" w:cs="Times New Roman" w:eastAsia="Times New Roman" w:hint="default"/>
        </w:rPr>
        <w:t>65.15%</w:t>
      </w:r>
      <w:r>
        <w:rPr/>
        <w:t>。</w:t>
      </w:r>
    </w:p>
    <w:p>
      <w:pPr>
        <w:spacing w:line="240" w:lineRule="auto" w:before="3"/>
        <w:rPr>
          <w:rFonts w:ascii="宋体" w:hAnsi="宋体" w:cs="宋体" w:eastAsia="宋体" w:hint="default"/>
          <w:sz w:val="17"/>
          <w:szCs w:val="17"/>
        </w:rPr>
      </w:pPr>
    </w:p>
    <w:p>
      <w:pPr>
        <w:pStyle w:val="BodyText"/>
        <w:spacing w:line="281" w:lineRule="exact"/>
        <w:ind w:left="638" w:right="0"/>
        <w:jc w:val="left"/>
      </w:pPr>
      <w:r>
        <w:rPr>
          <w:rFonts w:ascii="Times New Roman" w:hAnsi="Times New Roman" w:cs="Times New Roman" w:eastAsia="Times New Roman" w:hint="default"/>
        </w:rPr>
        <w:t>4</w:t>
      </w:r>
      <w:r>
        <w:rPr/>
        <w:t>、使用部分闲置自有资金进行现金管理</w:t>
      </w:r>
    </w:p>
    <w:p>
      <w:pPr>
        <w:pStyle w:val="BodyText"/>
        <w:spacing w:line="271" w:lineRule="exact"/>
        <w:ind w:left="63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日，公司第三届董事会第十九次会议审议通过《关于使用闲置自有资金进行</w:t>
      </w:r>
    </w:p>
    <w:p>
      <w:pPr>
        <w:pStyle w:val="BodyText"/>
        <w:spacing w:line="230" w:lineRule="auto"/>
        <w:ind w:right="0"/>
        <w:jc w:val="left"/>
      </w:pPr>
      <w:r>
        <w:rPr>
          <w:spacing w:val="-10"/>
          <w:w w:val="100"/>
        </w:rPr>
        <w:t>现金管理的议案》，同意公司使用最高额度不超过人民币</w:t>
      </w:r>
      <w:r>
        <w:rPr>
          <w:spacing w:val="-42"/>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8"/>
          <w:w w:val="100"/>
        </w:rPr>
        <w:t> </w:t>
      </w:r>
      <w:r>
        <w:rPr>
          <w:spacing w:val="-2"/>
          <w:w w:val="100"/>
        </w:rPr>
        <w:t>亿元的暂时闲置自有资金进行现金管理，</w:t>
      </w:r>
      <w:r>
        <w:rPr>
          <w:spacing w:val="-101"/>
          <w:w w:val="100"/>
        </w:rPr>
        <w:t> </w:t>
      </w:r>
      <w:r>
        <w:rPr>
          <w:spacing w:val="-101"/>
          <w:w w:val="100"/>
        </w:rPr>
      </w:r>
      <w:r>
        <w:rPr/>
        <w:t>投资低风险、流动性较高的理财产品或金融产品，包括但不限于银行、券商等金融机构发行的理</w:t>
      </w:r>
      <w:r>
        <w:rPr>
          <w:spacing w:val="-97"/>
        </w:rPr>
        <w:t> </w:t>
      </w:r>
      <w:r>
        <w:rPr>
          <w:spacing w:val="-97"/>
        </w:rPr>
      </w:r>
      <w:r>
        <w:rPr>
          <w:spacing w:val="-4"/>
        </w:rPr>
        <w:t>财产品、国债或国债逆回购产品。期限为自公司股东大会审议通过之日起 </w:t>
      </w:r>
      <w:r>
        <w:rPr>
          <w:rFonts w:ascii="Times New Roman" w:hAnsi="Times New Roman" w:cs="Times New Roman" w:eastAsia="Times New Roman" w:hint="default"/>
        </w:rPr>
        <w:t>12 </w:t>
      </w:r>
      <w:r>
        <w:rPr>
          <w:spacing w:val="-5"/>
        </w:rPr>
        <w:t>个月，在上述期限和</w:t>
      </w:r>
      <w:r>
        <w:rPr>
          <w:spacing w:val="-83"/>
        </w:rPr>
        <w:t> </w:t>
      </w:r>
      <w:r>
        <w:rPr>
          <w:spacing w:val="-83"/>
        </w:rPr>
      </w:r>
      <w:r>
        <w:rPr/>
        <w:t>额度范围内资金可以滚动使用。</w:t>
      </w:r>
    </w:p>
    <w:p>
      <w:pPr>
        <w:spacing w:line="240" w:lineRule="auto" w:before="4"/>
        <w:rPr>
          <w:rFonts w:ascii="宋体" w:hAnsi="宋体" w:cs="宋体" w:eastAsia="宋体" w:hint="default"/>
          <w:sz w:val="18"/>
          <w:szCs w:val="18"/>
        </w:rPr>
      </w:pPr>
    </w:p>
    <w:p>
      <w:pPr>
        <w:pStyle w:val="BodyText"/>
        <w:spacing w:line="281" w:lineRule="exact"/>
        <w:ind w:left="743" w:right="0"/>
        <w:jc w:val="left"/>
      </w:pPr>
      <w:r>
        <w:rPr>
          <w:rFonts w:ascii="Times New Roman" w:hAnsi="Times New Roman" w:cs="Times New Roman" w:eastAsia="Times New Roman" w:hint="default"/>
        </w:rPr>
        <w:t>5</w:t>
      </w:r>
      <w:r>
        <w:rPr/>
        <w:t>、使用闲置募集资金进行现金管理</w:t>
      </w:r>
    </w:p>
    <w:p>
      <w:pPr>
        <w:pStyle w:val="BodyText"/>
        <w:spacing w:line="230" w:lineRule="auto"/>
        <w:ind w:right="0" w:firstLine="52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spacing w:val="-3"/>
        </w:rPr>
        <w:t>日，公司第三届董事会第十九次会议审议通过《关于使用闲置募集资金进行</w:t>
      </w:r>
      <w:r>
        <w:rPr>
          <w:w w:val="100"/>
        </w:rPr>
        <w:t> </w:t>
      </w:r>
      <w:r>
        <w:rPr>
          <w:spacing w:val="-4"/>
          <w:w w:val="100"/>
        </w:rPr>
        <w:t>现金管理的议案》，同意公司及募投项目实施主体的子公司在不影响募集资金正常使用的情况下，</w:t>
      </w:r>
      <w:r>
        <w:rPr>
          <w:spacing w:val="-82"/>
          <w:w w:val="100"/>
        </w:rPr>
        <w:t> </w:t>
      </w:r>
      <w:r>
        <w:rPr>
          <w:spacing w:val="-82"/>
          <w:w w:val="100"/>
        </w:rPr>
      </w:r>
      <w:r>
        <w:rPr/>
        <w:t>拟使用最高不超过人民币</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亿元的闲置募集资金进行现金管理，适时投资安全性高、流动性好的</w:t>
      </w:r>
    </w:p>
    <w:p>
      <w:pPr>
        <w:pStyle w:val="BodyText"/>
        <w:spacing w:line="272" w:lineRule="exact" w:before="12"/>
        <w:ind w:right="0"/>
        <w:jc w:val="left"/>
      </w:pPr>
      <w:r>
        <w:rPr>
          <w:spacing w:val="-3"/>
        </w:rPr>
        <w:t>保本型理财产品或结构性存款，期限为自公司股东大会审议通过之日起 </w:t>
      </w:r>
      <w:r>
        <w:rPr>
          <w:rFonts w:ascii="Times New Roman" w:hAnsi="Times New Roman" w:cs="Times New Roman" w:eastAsia="Times New Roman" w:hint="default"/>
        </w:rPr>
        <w:t>12 </w:t>
      </w:r>
      <w:r>
        <w:rPr>
          <w:spacing w:val="-7"/>
        </w:rPr>
        <w:t>个月内有效，在上述期</w:t>
      </w:r>
      <w:r>
        <w:rPr>
          <w:spacing w:val="-97"/>
        </w:rPr>
        <w:t> </w:t>
      </w:r>
      <w:r>
        <w:rPr>
          <w:spacing w:val="-97"/>
        </w:rPr>
      </w:r>
      <w:r>
        <w:rPr/>
        <w:t>限和额度范围内资金可以滚动使用。</w:t>
      </w:r>
    </w:p>
    <w:p>
      <w:pPr>
        <w:spacing w:line="240" w:lineRule="auto" w:before="5"/>
        <w:rPr>
          <w:rFonts w:ascii="宋体" w:hAnsi="宋体" w:cs="宋体" w:eastAsia="宋体" w:hint="default"/>
          <w:sz w:val="16"/>
          <w:szCs w:val="16"/>
        </w:rPr>
      </w:pPr>
    </w:p>
    <w:p>
      <w:pPr>
        <w:pStyle w:val="BodyText"/>
        <w:spacing w:line="282" w:lineRule="exact"/>
        <w:ind w:left="743" w:right="0"/>
        <w:jc w:val="left"/>
      </w:pPr>
      <w:r>
        <w:rPr>
          <w:rFonts w:ascii="Times New Roman" w:hAnsi="Times New Roman" w:cs="Times New Roman" w:eastAsia="Times New Roman" w:hint="default"/>
        </w:rPr>
        <w:t>6</w:t>
      </w:r>
      <w:r>
        <w:rPr/>
        <w:t>、使用部分募集资金向全资子公司增资实施募投项目</w:t>
      </w:r>
    </w:p>
    <w:p>
      <w:pPr>
        <w:pStyle w:val="BodyText"/>
        <w:spacing w:line="272" w:lineRule="exact"/>
        <w:ind w:left="74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spacing w:val="-3"/>
        </w:rPr>
        <w:t>日，公司第三届董事会第十九次会议审议通过《关于使用部分配股募集资金</w:t>
      </w:r>
    </w:p>
    <w:p>
      <w:pPr>
        <w:pStyle w:val="BodyText"/>
        <w:spacing w:line="274" w:lineRule="exact" w:before="16"/>
        <w:ind w:right="0"/>
        <w:jc w:val="left"/>
      </w:pPr>
      <w:r>
        <w:rPr>
          <w:spacing w:val="-7"/>
          <w:w w:val="100"/>
        </w:rPr>
        <w:t>向全资子公司增资实施募投项目的议案》，同意公司使用募集资金</w:t>
      </w:r>
      <w:r>
        <w:rPr>
          <w:spacing w:val="-41"/>
          <w:w w:val="100"/>
        </w:rPr>
        <w:t> </w:t>
      </w:r>
      <w:r>
        <w:rPr>
          <w:rFonts w:ascii="Times New Roman" w:hAnsi="Times New Roman" w:cs="Times New Roman" w:eastAsia="Times New Roman" w:hint="default"/>
          <w:spacing w:val="-1"/>
          <w:w w:val="100"/>
        </w:rPr>
        <w:t>36,250.48</w:t>
      </w:r>
      <w:r>
        <w:rPr>
          <w:rFonts w:ascii="Times New Roman" w:hAnsi="Times New Roman" w:cs="Times New Roman" w:eastAsia="Times New Roman" w:hint="default"/>
          <w:spacing w:val="8"/>
          <w:w w:val="100"/>
        </w:rPr>
        <w:t> </w:t>
      </w:r>
      <w:r>
        <w:rPr>
          <w:spacing w:val="-6"/>
          <w:w w:val="100"/>
        </w:rPr>
        <w:t>万元对</w:t>
      </w:r>
      <w:r>
        <w:rPr>
          <w:rFonts w:ascii="Times New Roman" w:hAnsi="Times New Roman" w:cs="Times New Roman" w:eastAsia="Times New Roman" w:hint="default"/>
          <w:spacing w:val="-6"/>
          <w:w w:val="100"/>
        </w:rPr>
        <w:t>“</w:t>
      </w:r>
      <w:r>
        <w:rPr>
          <w:spacing w:val="-6"/>
          <w:w w:val="100"/>
        </w:rPr>
        <w:t>智慧城市（泉</w:t>
      </w:r>
      <w:r>
        <w:rPr>
          <w:spacing w:val="-101"/>
          <w:w w:val="100"/>
        </w:rPr>
        <w:t> </w:t>
      </w:r>
      <w:r>
        <w:rPr>
          <w:spacing w:val="-101"/>
          <w:w w:val="100"/>
        </w:rPr>
      </w:r>
      <w:r>
        <w:rPr/>
        <w:t>州丰泽）运营管理有限公司</w:t>
      </w:r>
      <w:r>
        <w:rPr>
          <w:rFonts w:ascii="Times New Roman" w:hAnsi="Times New Roman" w:cs="Times New Roman" w:eastAsia="Times New Roman" w:hint="default"/>
        </w:rPr>
        <w:t>”</w:t>
      </w:r>
      <w:r>
        <w:rPr/>
        <w:t>增资，以用于实施</w:t>
      </w:r>
      <w:r>
        <w:rPr>
          <w:rFonts w:ascii="Times New Roman" w:hAnsi="Times New Roman" w:cs="Times New Roman" w:eastAsia="Times New Roman" w:hint="default"/>
        </w:rPr>
        <w:t>“</w:t>
      </w:r>
      <w:r>
        <w:rPr/>
        <w:t>智慧城市综合管理平台研发及</w:t>
      </w:r>
      <w:r>
        <w:rPr>
          <w:spacing w:val="-58"/>
        </w:rPr>
        <w:t> </w:t>
      </w:r>
      <w:r>
        <w:rPr>
          <w:rFonts w:ascii="Times New Roman" w:hAnsi="Times New Roman" w:cs="Times New Roman" w:eastAsia="Times New Roman" w:hint="default"/>
        </w:rPr>
        <w:t>PPP</w:t>
      </w:r>
      <w:r>
        <w:rPr>
          <w:rFonts w:ascii="Times New Roman" w:hAnsi="Times New Roman" w:cs="Times New Roman" w:eastAsia="Times New Roman" w:hint="default"/>
          <w:spacing w:val="-3"/>
        </w:rPr>
        <w:t> </w:t>
      </w:r>
      <w:r>
        <w:rPr/>
        <w:t>项目</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6"/>
          <w:szCs w:val="16"/>
        </w:rPr>
      </w:pPr>
    </w:p>
    <w:p>
      <w:pPr>
        <w:pStyle w:val="BodyText"/>
        <w:spacing w:line="281" w:lineRule="exact"/>
        <w:ind w:left="642" w:right="0"/>
        <w:jc w:val="left"/>
      </w:pPr>
      <w:r>
        <w:rPr>
          <w:rFonts w:ascii="Times New Roman" w:hAnsi="Times New Roman" w:cs="Times New Roman" w:eastAsia="Times New Roman" w:hint="default"/>
        </w:rPr>
        <w:t>7.</w:t>
      </w:r>
      <w:r>
        <w:rPr/>
        <w:t>使用配股募集资金置换预先已投入募投项目的自筹资金</w:t>
      </w:r>
    </w:p>
    <w:p>
      <w:pPr>
        <w:pStyle w:val="BodyText"/>
        <w:spacing w:line="272" w:lineRule="exact"/>
        <w:ind w:left="74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spacing w:val="-3"/>
        </w:rPr>
        <w:t>日，公司第三届董事会第十九次会议审议通过《关于使用配股募集资金置换</w:t>
      </w:r>
    </w:p>
    <w:p>
      <w:pPr>
        <w:pStyle w:val="BodyText"/>
        <w:spacing w:line="272" w:lineRule="exact" w:before="19"/>
        <w:ind w:right="0"/>
        <w:jc w:val="left"/>
      </w:pPr>
      <w:r>
        <w:rPr>
          <w:spacing w:val="-9"/>
          <w:w w:val="100"/>
        </w:rPr>
        <w:t>预先已投入募投项目的自筹资金的议案》，同意使用募集资金</w:t>
      </w:r>
      <w:r>
        <w:rPr>
          <w:spacing w:val="-46"/>
          <w:w w:val="100"/>
        </w:rPr>
        <w:t> </w:t>
      </w:r>
      <w:r>
        <w:rPr>
          <w:rFonts w:ascii="Times New Roman" w:hAnsi="Times New Roman" w:cs="Times New Roman" w:eastAsia="Times New Roman" w:hint="default"/>
          <w:spacing w:val="-1"/>
          <w:w w:val="100"/>
        </w:rPr>
        <w:t>6,046.34</w:t>
      </w:r>
      <w:r>
        <w:rPr>
          <w:rFonts w:ascii="Times New Roman" w:hAnsi="Times New Roman" w:cs="Times New Roman" w:eastAsia="Times New Roman" w:hint="default"/>
          <w:spacing w:val="7"/>
          <w:w w:val="100"/>
        </w:rPr>
        <w:t> </w:t>
      </w:r>
      <w:r>
        <w:rPr>
          <w:spacing w:val="-2"/>
          <w:w w:val="100"/>
        </w:rPr>
        <w:t>万元置换前期已预先投入的</w:t>
      </w:r>
      <w:r>
        <w:rPr>
          <w:spacing w:val="-103"/>
          <w:w w:val="100"/>
        </w:rPr>
        <w:t> </w:t>
      </w:r>
      <w:r>
        <w:rPr>
          <w:spacing w:val="-103"/>
          <w:w w:val="100"/>
        </w:rPr>
      </w:r>
      <w:r>
        <w:rPr/>
        <w:t>自筹资金。</w:t>
      </w:r>
    </w:p>
    <w:p>
      <w:pPr>
        <w:spacing w:line="240" w:lineRule="auto" w:before="8"/>
        <w:rPr>
          <w:rFonts w:ascii="宋体" w:hAnsi="宋体" w:cs="宋体" w:eastAsia="宋体" w:hint="default"/>
          <w:sz w:val="16"/>
          <w:szCs w:val="16"/>
        </w:rPr>
      </w:pPr>
    </w:p>
    <w:p>
      <w:pPr>
        <w:pStyle w:val="BodyText"/>
        <w:spacing w:line="281" w:lineRule="exact"/>
        <w:ind w:left="638" w:right="0"/>
        <w:jc w:val="left"/>
      </w:pPr>
      <w:r>
        <w:rPr>
          <w:rFonts w:ascii="Times New Roman" w:hAnsi="Times New Roman" w:cs="Times New Roman" w:eastAsia="Times New Roman" w:hint="default"/>
        </w:rPr>
        <w:t>8</w:t>
      </w:r>
      <w:r>
        <w:rPr/>
        <w:t>、签订</w:t>
      </w:r>
      <w:r>
        <w:rPr>
          <w:rFonts w:ascii="Times New Roman" w:hAnsi="Times New Roman" w:cs="Times New Roman" w:eastAsia="Times New Roman" w:hint="default"/>
        </w:rPr>
        <w:t>“</w:t>
      </w:r>
      <w:r>
        <w:rPr/>
        <w:t>电动自行车智能防盗系统项目</w:t>
      </w:r>
      <w:r>
        <w:rPr>
          <w:rFonts w:ascii="Times New Roman" w:hAnsi="Times New Roman" w:cs="Times New Roman" w:eastAsia="Times New Roman" w:hint="default"/>
        </w:rPr>
        <w:t>”</w:t>
      </w:r>
      <w:r>
        <w:rPr/>
        <w:t>合作协议</w:t>
      </w:r>
    </w:p>
    <w:p>
      <w:pPr>
        <w:pStyle w:val="BodyText"/>
        <w:spacing w:line="272" w:lineRule="exact" w:before="18"/>
        <w:ind w:right="305" w:firstLine="4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日，公司与福州市公安局就合作共建福州市电动自行车智能防盗系统达成一</w:t>
      </w:r>
      <w:r>
        <w:rPr>
          <w:w w:val="100"/>
        </w:rPr>
        <w:t> </w:t>
      </w:r>
      <w:r>
        <w:rPr>
          <w:spacing w:val="-5"/>
          <w:w w:val="100"/>
        </w:rPr>
        <w:t>致意见，并签订了《福州市电动自行车智能防盗系统项目合作协议》。</w:t>
      </w:r>
    </w:p>
    <w:p>
      <w:pPr>
        <w:pStyle w:val="BodyText"/>
        <w:spacing w:line="225" w:lineRule="auto"/>
        <w:ind w:right="307" w:firstLine="419"/>
        <w:jc w:val="both"/>
      </w:pPr>
      <w:r>
        <w:rPr>
          <w:spacing w:val="-3"/>
        </w:rPr>
        <w:t>根据协议，公司就本项目承诺总投资规模</w:t>
      </w:r>
      <w:r>
        <w:rPr>
          <w:spacing w:val="-38"/>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spacing w:val="-3"/>
        </w:rPr>
        <w:t>亿元。项目建设周期为</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3"/>
        </w:rPr>
        <w:t>个月，由公司全资子</w:t>
      </w:r>
      <w:r>
        <w:rPr>
          <w:w w:val="100"/>
        </w:rPr>
        <w:t> </w:t>
      </w:r>
      <w:r>
        <w:rPr/>
        <w:t>公司福建网链科技有限公司采用自主知识产权</w:t>
      </w:r>
      <w:r>
        <w:rPr>
          <w:rFonts w:ascii="Times New Roman" w:hAnsi="Times New Roman" w:cs="Times New Roman" w:eastAsia="Times New Roman" w:hint="default"/>
        </w:rPr>
        <w:t>“Nlinks</w:t>
      </w:r>
      <w:r>
        <w:rPr>
          <w:rFonts w:ascii="Times New Roman" w:hAnsi="Times New Roman" w:cs="Times New Roman" w:eastAsia="Times New Roman" w:hint="default"/>
          <w:spacing w:val="44"/>
        </w:rPr>
        <w:t> </w:t>
      </w:r>
      <w:r>
        <w:rPr/>
        <w:t>公安物联网智能防盗管控平台</w:t>
      </w:r>
      <w:r>
        <w:rPr>
          <w:rFonts w:ascii="Times New Roman" w:hAnsi="Times New Roman" w:cs="Times New Roman" w:eastAsia="Times New Roman" w:hint="default"/>
        </w:rPr>
        <w:t>”</w:t>
      </w:r>
      <w:r>
        <w:rPr/>
        <w:t>进行本项目</w:t>
      </w:r>
      <w:r>
        <w:rPr>
          <w:w w:val="100"/>
        </w:rPr>
        <w:t> </w:t>
      </w:r>
      <w:r>
        <w:rPr>
          <w:spacing w:val="-1"/>
        </w:rPr>
        <w:t>的投资、建设、运营。项目运营本着群众自愿参与的原则。安装小电卫士电动自行车智能防盗系</w:t>
      </w:r>
    </w:p>
    <w:p>
      <w:pPr>
        <w:pStyle w:val="BodyText"/>
        <w:spacing w:line="274" w:lineRule="exact" w:before="24"/>
        <w:ind w:right="304"/>
        <w:jc w:val="left"/>
      </w:pPr>
      <w:r>
        <w:rPr/>
        <w:t>统的福州市民按照每部电动车 </w:t>
      </w:r>
      <w:r>
        <w:rPr>
          <w:rFonts w:ascii="Times New Roman" w:hAnsi="Times New Roman" w:cs="Times New Roman" w:eastAsia="Times New Roman" w:hint="default"/>
        </w:rPr>
        <w:t>150 </w:t>
      </w:r>
      <w:r>
        <w:rPr/>
        <w:t>元标准支付给公司，</w:t>
      </w:r>
      <w:r>
        <w:rPr>
          <w:rFonts w:ascii="Times New Roman" w:hAnsi="Times New Roman" w:cs="Times New Roman" w:eastAsia="Times New Roman" w:hint="default"/>
        </w:rPr>
        <w:t>150</w:t>
      </w:r>
      <w:r>
        <w:rPr>
          <w:rFonts w:ascii="Times New Roman" w:hAnsi="Times New Roman" w:cs="Times New Roman" w:eastAsia="Times New Roman" w:hint="default"/>
          <w:spacing w:val="4"/>
        </w:rPr>
        <w:t> </w:t>
      </w:r>
      <w:r>
        <w:rPr/>
        <w:t>元费用包括小电卫士防盗装置及安装</w:t>
      </w:r>
      <w:r>
        <w:rPr>
          <w:w w:val="100"/>
        </w:rPr>
        <w:t> </w:t>
      </w:r>
      <w:r>
        <w:rPr/>
        <w:t>费用、平台信息服务费用以及保险费用。</w:t>
      </w:r>
    </w:p>
    <w:p>
      <w:pPr>
        <w:pStyle w:val="Heading3"/>
        <w:spacing w:line="240" w:lineRule="auto" w:before="31"/>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tabs>
          <w:tab w:pos="1060" w:val="left" w:leader="none"/>
        </w:tabs>
        <w:spacing w:line="240" w:lineRule="auto" w:before="32"/>
        <w:ind w:right="0"/>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pStyle w:val="BodyText"/>
        <w:spacing w:line="257" w:lineRule="exact"/>
        <w:ind w:left="0" w:right="31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105,451,390.40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105,451,390.40</w:t>
            </w:r>
          </w:p>
        </w:tc>
      </w:tr>
    </w:tbl>
    <w:p>
      <w:pPr>
        <w:spacing w:after="0" w:line="237" w:lineRule="exact"/>
        <w:jc w:val="right"/>
        <w:rPr>
          <w:rFonts w:ascii="Times New Roman" w:hAnsi="Times New Roman" w:cs="Times New Roman" w:eastAsia="Times New Roman" w:hint="default"/>
          <w:sz w:val="21"/>
          <w:szCs w:val="21"/>
        </w:rPr>
        <w:sectPr>
          <w:pgSz w:w="11910" w:h="16840"/>
          <w:pgMar w:header="857" w:footer="979" w:top="1140" w:bottom="116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before="36"/>
        <w:ind w:left="138" w:right="13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tabs>
          <w:tab w:pos="980" w:val="left" w:leader="none"/>
        </w:tabs>
        <w:spacing w:line="240" w:lineRule="auto" w:before="32"/>
        <w:ind w:left="138" w:right="13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3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83" w:val="left" w:leader="none"/>
        </w:tabs>
        <w:spacing w:line="240" w:lineRule="auto" w:before="29"/>
        <w:ind w:left="138" w:right="130"/>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left="138" w:right="130"/>
        <w:jc w:val="left"/>
        <w:rPr>
          <w:b w:val="0"/>
          <w:bCs w:val="0"/>
        </w:rPr>
      </w:pPr>
      <w:r>
        <w:rPr/>
        <w:t>十六、他重要事项</w:t>
      </w:r>
      <w:r>
        <w:rPr>
          <w:b w:val="0"/>
          <w:bCs w:val="0"/>
        </w:rPr>
      </w:r>
    </w:p>
    <w:p>
      <w:pPr>
        <w:pStyle w:val="Heading3"/>
        <w:spacing w:line="290" w:lineRule="auto" w:before="56"/>
        <w:ind w:left="138" w:right="6834"/>
        <w:jc w:val="left"/>
        <w:rPr>
          <w:b w:val="0"/>
          <w:bCs w:val="0"/>
        </w:rPr>
      </w:pP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pStyle w:val="BodyText"/>
        <w:tabs>
          <w:tab w:pos="980" w:val="left" w:leader="none"/>
        </w:tabs>
        <w:spacing w:line="240" w:lineRule="auto" w:before="13"/>
        <w:ind w:left="138" w:right="130"/>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left="138" w:right="130"/>
        <w:jc w:val="left"/>
        <w:rPr>
          <w:b w:val="0"/>
          <w:bCs w:val="0"/>
        </w:rPr>
      </w:pPr>
      <w:r>
        <w:rPr>
          <w:rFonts w:ascii="宋体" w:hAnsi="宋体" w:cs="宋体" w:eastAsia="宋体" w:hint="default"/>
        </w:rPr>
        <w:t>(2).</w:t>
      </w:r>
      <w:r>
        <w:rPr>
          <w:rFonts w:ascii="宋体" w:hAnsi="宋体" w:cs="宋体" w:eastAsia="宋体" w:hint="default"/>
          <w:spacing w:val="74"/>
        </w:rPr>
        <w:t> </w:t>
      </w:r>
      <w:r>
        <w:rPr/>
        <w:t>未来适用法</w:t>
      </w:r>
      <w:r>
        <w:rPr>
          <w:b w:val="0"/>
          <w:bCs w:val="0"/>
        </w:rPr>
      </w:r>
    </w:p>
    <w:p>
      <w:pPr>
        <w:pStyle w:val="BodyText"/>
        <w:tabs>
          <w:tab w:pos="980" w:val="left" w:leader="none"/>
        </w:tabs>
        <w:spacing w:line="240" w:lineRule="auto" w:before="58"/>
        <w:ind w:left="138" w:right="13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3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tabs>
          <w:tab w:pos="980" w:val="left" w:leader="none"/>
        </w:tabs>
        <w:spacing w:line="240" w:lineRule="auto" w:before="58"/>
        <w:ind w:left="138" w:right="13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3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3"/>
        <w:tabs>
          <w:tab w:pos="781" w:val="left" w:leader="none"/>
        </w:tabs>
        <w:spacing w:line="240" w:lineRule="auto" w:before="56"/>
        <w:ind w:left="138" w:right="130"/>
        <w:jc w:val="left"/>
        <w:rPr>
          <w:b w:val="0"/>
          <w:bCs w:val="0"/>
        </w:rPr>
      </w:pPr>
      <w:r>
        <w:rPr>
          <w:rFonts w:ascii="宋体" w:hAnsi="宋体" w:cs="宋体" w:eastAsia="宋体" w:hint="default"/>
          <w:w w:val="95"/>
        </w:rPr>
        <w:t>(1).</w:t>
        <w:tab/>
      </w:r>
      <w:r>
        <w:rPr/>
        <w:t>非货币性资产交换</w:t>
      </w:r>
      <w:r>
        <w:rPr>
          <w:b w:val="0"/>
          <w:bCs w:val="0"/>
        </w:rPr>
      </w:r>
    </w:p>
    <w:p>
      <w:pPr>
        <w:pStyle w:val="BodyText"/>
        <w:tabs>
          <w:tab w:pos="1083" w:val="left" w:leader="none"/>
        </w:tabs>
        <w:spacing w:line="240" w:lineRule="auto" w:before="135"/>
        <w:ind w:left="138" w:right="130"/>
        <w:jc w:val="left"/>
      </w:pPr>
      <w:r>
        <w:rPr/>
        <w:t>□适用</w:t>
        <w:tab/>
        <w:t>√不适用</w:t>
      </w:r>
    </w:p>
    <w:p>
      <w:pPr>
        <w:spacing w:line="240" w:lineRule="auto" w:before="12"/>
        <w:rPr>
          <w:rFonts w:ascii="宋体" w:hAnsi="宋体" w:cs="宋体" w:eastAsia="宋体" w:hint="default"/>
          <w:sz w:val="24"/>
          <w:szCs w:val="24"/>
        </w:rPr>
      </w:pPr>
    </w:p>
    <w:p>
      <w:pPr>
        <w:pStyle w:val="Heading3"/>
        <w:tabs>
          <w:tab w:pos="781" w:val="left" w:leader="none"/>
        </w:tabs>
        <w:spacing w:line="240" w:lineRule="auto"/>
        <w:ind w:left="138" w:right="130"/>
        <w:jc w:val="left"/>
        <w:rPr>
          <w:b w:val="0"/>
          <w:bCs w:val="0"/>
        </w:rPr>
      </w:pPr>
      <w:r>
        <w:rPr>
          <w:rFonts w:ascii="宋体" w:hAnsi="宋体" w:cs="宋体" w:eastAsia="宋体" w:hint="default"/>
          <w:w w:val="95"/>
        </w:rPr>
        <w:t>(2).</w:t>
        <w:tab/>
      </w:r>
      <w:r>
        <w:rPr/>
        <w:t>其他资产置换</w:t>
      </w:r>
      <w:r>
        <w:rPr>
          <w:b w:val="0"/>
          <w:bCs w:val="0"/>
        </w:rPr>
      </w:r>
    </w:p>
    <w:p>
      <w:pPr>
        <w:pStyle w:val="BodyText"/>
        <w:tabs>
          <w:tab w:pos="1083" w:val="left" w:leader="none"/>
        </w:tabs>
        <w:spacing w:line="240" w:lineRule="auto" w:before="56"/>
        <w:ind w:left="138" w:right="130"/>
        <w:jc w:val="left"/>
      </w:pPr>
      <w:r>
        <w:rPr/>
        <w:t>□适用</w:t>
        <w:tab/>
        <w:t>√不适用</w:t>
      </w:r>
    </w:p>
    <w:p>
      <w:pPr>
        <w:spacing w:line="240" w:lineRule="auto" w:before="2"/>
        <w:rPr>
          <w:rFonts w:ascii="宋体" w:hAnsi="宋体" w:cs="宋体" w:eastAsia="宋体" w:hint="default"/>
          <w:sz w:val="24"/>
          <w:szCs w:val="24"/>
        </w:rPr>
      </w:pPr>
    </w:p>
    <w:p>
      <w:pPr>
        <w:pStyle w:val="Heading3"/>
        <w:spacing w:line="240" w:lineRule="auto"/>
        <w:ind w:left="138" w:right="13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tabs>
          <w:tab w:pos="980" w:val="left" w:leader="none"/>
        </w:tabs>
        <w:spacing w:line="240" w:lineRule="auto" w:before="56"/>
        <w:ind w:left="138" w:right="13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3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tabs>
          <w:tab w:pos="980" w:val="left" w:leader="none"/>
        </w:tabs>
        <w:spacing w:line="240" w:lineRule="auto" w:before="58"/>
        <w:ind w:left="138" w:right="130"/>
        <w:jc w:val="left"/>
      </w:pP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left="138" w:right="13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3"/>
        <w:tabs>
          <w:tab w:pos="781" w:val="left" w:leader="none"/>
        </w:tabs>
        <w:spacing w:line="240" w:lineRule="auto" w:before="58"/>
        <w:ind w:left="138" w:right="130"/>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1083" w:val="left" w:leader="none"/>
        </w:tabs>
        <w:spacing w:line="304" w:lineRule="auto" w:before="56"/>
        <w:ind w:left="558" w:right="130" w:hanging="420"/>
        <w:jc w:val="left"/>
      </w:pPr>
      <w:r>
        <w:rPr/>
        <w:t>√适用</w:t>
        <w:tab/>
        <w:t>□不适用</w:t>
      </w:r>
      <w:r>
        <w:rPr>
          <w:w w:val="100"/>
        </w:rPr>
        <w:t> </w:t>
      </w:r>
      <w:r>
        <w:rPr>
          <w:spacing w:val="-2"/>
        </w:rPr>
        <w:t>本公司以内部组织结构、管理要求、内部报告制度为依据确定业务分部。本公司的业务分部</w:t>
      </w:r>
    </w:p>
    <w:p>
      <w:pPr>
        <w:pStyle w:val="BodyText"/>
        <w:spacing w:line="240" w:lineRule="auto" w:before="28"/>
        <w:ind w:left="138" w:right="130"/>
        <w:jc w:val="left"/>
      </w:pPr>
      <w:r>
        <w:rPr/>
        <w:t>是指同时满足下列条件的组成部分：</w:t>
      </w:r>
    </w:p>
    <w:p>
      <w:pPr>
        <w:pStyle w:val="BodyText"/>
        <w:spacing w:line="240" w:lineRule="auto" w:before="85"/>
        <w:ind w:left="558" w:right="130"/>
        <w:jc w:val="left"/>
      </w:pPr>
      <w:r>
        <w:rPr/>
        <w:t>（</w:t>
      </w: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9"/>
        <w:ind w:left="558" w:right="130"/>
        <w:jc w:val="left"/>
      </w:pPr>
      <w:r>
        <w:rPr/>
        <w:t>（</w:t>
      </w: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297" w:lineRule="auto" w:before="69"/>
        <w:ind w:left="558" w:right="130"/>
        <w:jc w:val="left"/>
      </w:pPr>
      <w:r>
        <w:rPr/>
        <w:t>（</w:t>
      </w:r>
      <w:r>
        <w:rPr>
          <w:rFonts w:ascii="Times New Roman" w:hAnsi="Times New Roman" w:cs="Times New Roman" w:eastAsia="Times New Roman" w:hint="default"/>
        </w:rPr>
        <w:t>3</w:t>
      </w:r>
      <w:r>
        <w:rPr/>
        <w:t>）能够取得该组成部分的财务状况、经营成果和现金流量等有关会计信息。</w:t>
      </w:r>
      <w:r>
        <w:rPr>
          <w:w w:val="100"/>
        </w:rPr>
        <w:t> </w:t>
      </w:r>
      <w:r>
        <w:rPr>
          <w:spacing w:val="-2"/>
        </w:rPr>
        <w:t>本公司以业务分部为基础确定报告分部，满足下列条件之一的业务分部确定为报告分部：</w:t>
      </w:r>
    </w:p>
    <w:p>
      <w:pPr>
        <w:pStyle w:val="BodyText"/>
        <w:spacing w:line="240" w:lineRule="auto" w:before="34"/>
        <w:ind w:left="558" w:right="130"/>
        <w:jc w:val="left"/>
      </w:pPr>
      <w:r>
        <w:rPr>
          <w:spacing w:val="-2"/>
        </w:rPr>
        <w:t>①该经营分部的分部收入占所有分部收入合计的</w:t>
      </w:r>
      <w:r>
        <w:rPr>
          <w:spacing w:val="-1"/>
        </w:rPr>
        <w:t> </w:t>
      </w:r>
      <w:r>
        <w:rPr>
          <w:rFonts w:ascii="Times New Roman" w:hAnsi="Times New Roman" w:cs="Times New Roman" w:eastAsia="Times New Roman" w:hint="default"/>
          <w:spacing w:val="-2"/>
        </w:rPr>
        <w:t>10%</w:t>
      </w:r>
      <w:r>
        <w:rPr>
          <w:spacing w:val="-2"/>
        </w:rPr>
        <w:t>或者以上；</w:t>
      </w:r>
    </w:p>
    <w:p>
      <w:pPr>
        <w:pStyle w:val="BodyText"/>
        <w:spacing w:line="314" w:lineRule="auto" w:before="69"/>
        <w:ind w:left="138" w:right="130" w:firstLine="419"/>
        <w:jc w:val="left"/>
      </w:pPr>
      <w:r>
        <w:rPr>
          <w:spacing w:val="-2"/>
        </w:rPr>
        <w:t>②该分部的分部利润（亏损）的绝对额，占所有盈利分部利润合计额或者所有亏损分部亏损</w:t>
      </w:r>
      <w:r>
        <w:rPr>
          <w:w w:val="100"/>
        </w:rPr>
        <w:t> </w:t>
      </w:r>
      <w:r>
        <w:rPr/>
        <w:t>合计额的绝对额两者中较大者的</w:t>
      </w:r>
      <w:r>
        <w:rPr>
          <w:spacing w:val="-56"/>
        </w:rPr>
        <w:t> </w:t>
      </w:r>
      <w:r>
        <w:rPr>
          <w:rFonts w:ascii="Times New Roman" w:hAnsi="Times New Roman" w:cs="Times New Roman" w:eastAsia="Times New Roman" w:hint="default"/>
        </w:rPr>
        <w:t>10%</w:t>
      </w:r>
      <w:r>
        <w:rPr/>
        <w:t>或者以上；</w:t>
      </w:r>
    </w:p>
    <w:p>
      <w:pPr>
        <w:spacing w:after="0" w:line="314" w:lineRule="auto"/>
        <w:jc w:val="left"/>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297" w:lineRule="auto" w:before="36"/>
        <w:ind w:left="638" w:right="102"/>
        <w:jc w:val="left"/>
      </w:pPr>
      <w:r>
        <w:rPr/>
        <w:t>③该分部的分部资产占所有分部资产合计额的</w:t>
      </w:r>
      <w:r>
        <w:rPr>
          <w:spacing w:val="-53"/>
        </w:rPr>
        <w:t> </w:t>
      </w:r>
      <w:r>
        <w:rPr>
          <w:rFonts w:ascii="Times New Roman" w:hAnsi="Times New Roman" w:cs="Times New Roman" w:eastAsia="Times New Roman" w:hint="default"/>
        </w:rPr>
        <w:t>10%</w:t>
      </w:r>
      <w:r>
        <w:rPr/>
        <w:t>或者以上。</w:t>
      </w:r>
      <w:r>
        <w:rPr>
          <w:w w:val="100"/>
        </w:rPr>
        <w:t> </w:t>
      </w:r>
      <w:r>
        <w:rPr>
          <w:spacing w:val="-2"/>
        </w:rPr>
        <w:t>按上述会计政策确定的报告分部的经营分部的对外交易收入合计额占合并总收入的比重未达</w:t>
      </w:r>
    </w:p>
    <w:p>
      <w:pPr>
        <w:pStyle w:val="BodyText"/>
        <w:spacing w:line="297" w:lineRule="auto" w:before="34"/>
        <w:ind w:right="102"/>
        <w:jc w:val="left"/>
      </w:pPr>
      <w:r>
        <w:rPr/>
        <w:t>到 </w:t>
      </w:r>
      <w:r>
        <w:rPr>
          <w:rFonts w:ascii="Times New Roman" w:hAnsi="Times New Roman" w:cs="Times New Roman" w:eastAsia="Times New Roman" w:hint="default"/>
          <w:spacing w:val="-2"/>
        </w:rPr>
        <w:t>75%</w:t>
      </w:r>
      <w:r>
        <w:rPr>
          <w:spacing w:val="-2"/>
        </w:rPr>
        <w:t>时，增加报告分部的数量，按下述规定将其他未作为报告分部的经营分部纳入报告分部的</w:t>
      </w:r>
      <w:r>
        <w:rPr>
          <w:spacing w:val="-87"/>
        </w:rPr>
        <w:t> </w:t>
      </w:r>
      <w:r>
        <w:rPr>
          <w:spacing w:val="-87"/>
        </w:rPr>
      </w:r>
      <w:r>
        <w:rPr/>
        <w:t>范围，直到该比重达到</w:t>
      </w:r>
      <w:r>
        <w:rPr>
          <w:spacing w:val="-56"/>
        </w:rPr>
        <w:t> </w:t>
      </w:r>
      <w:r>
        <w:rPr>
          <w:rFonts w:ascii="Times New Roman" w:hAnsi="Times New Roman" w:cs="Times New Roman" w:eastAsia="Times New Roman" w:hint="default"/>
        </w:rPr>
        <w:t>75%</w:t>
      </w:r>
      <w:r>
        <w:rPr/>
        <w:t>：</w:t>
      </w:r>
    </w:p>
    <w:p>
      <w:pPr>
        <w:pStyle w:val="BodyText"/>
        <w:spacing w:line="240" w:lineRule="auto" w:before="13"/>
        <w:ind w:left="638" w:right="102"/>
        <w:jc w:val="left"/>
      </w:pPr>
      <w:r>
        <w:rPr/>
        <w:t>①将管理层认为披露该经营分部信息对会计信息使用者有用的经营分部确定为报告分部；</w:t>
      </w:r>
    </w:p>
    <w:p>
      <w:pPr>
        <w:pStyle w:val="BodyText"/>
        <w:spacing w:line="314" w:lineRule="auto" w:before="85"/>
        <w:ind w:right="102" w:firstLine="419"/>
        <w:jc w:val="left"/>
      </w:pPr>
      <w:r>
        <w:rPr>
          <w:spacing w:val="-2"/>
        </w:rPr>
        <w:t>②将该经营分部与一个或一个以上的具有相似经济特征、满足经营分部合并条件的其他经营</w:t>
      </w:r>
      <w:r>
        <w:rPr>
          <w:w w:val="100"/>
        </w:rPr>
        <w:t> </w:t>
      </w:r>
      <w:r>
        <w:rPr/>
        <w:t>分部合并，作为一个报告分部。</w:t>
      </w:r>
    </w:p>
    <w:p>
      <w:pPr>
        <w:pStyle w:val="BodyText"/>
        <w:spacing w:line="314" w:lineRule="auto" w:before="20"/>
        <w:ind w:right="102" w:firstLine="419"/>
        <w:jc w:val="left"/>
      </w:pPr>
      <w:r>
        <w:rPr>
          <w:spacing w:val="-2"/>
        </w:rPr>
        <w:t>分部间转移价格参照市场价格确定，与各分部共同使用的资产、相关的费用按照收入比例在</w:t>
      </w:r>
      <w:r>
        <w:rPr>
          <w:w w:val="100"/>
        </w:rPr>
        <w:t> </w:t>
      </w:r>
      <w:r>
        <w:rPr/>
        <w:t>不同的分部之间分配。</w:t>
      </w:r>
    </w:p>
    <w:p>
      <w:pPr>
        <w:spacing w:line="240" w:lineRule="auto" w:before="12"/>
        <w:rPr>
          <w:rFonts w:ascii="宋体" w:hAnsi="宋体" w:cs="宋体" w:eastAsia="宋体" w:hint="default"/>
          <w:sz w:val="19"/>
          <w:szCs w:val="19"/>
        </w:rPr>
      </w:pPr>
    </w:p>
    <w:p>
      <w:pPr>
        <w:pStyle w:val="Heading3"/>
        <w:tabs>
          <w:tab w:pos="861" w:val="left" w:leader="none"/>
        </w:tabs>
        <w:spacing w:line="240" w:lineRule="auto"/>
        <w:ind w:right="102"/>
        <w:jc w:val="left"/>
        <w:rPr>
          <w:b w:val="0"/>
          <w:bCs w:val="0"/>
        </w:rPr>
      </w:pPr>
      <w:r>
        <w:rPr>
          <w:rFonts w:ascii="宋体" w:hAnsi="宋体" w:cs="宋体" w:eastAsia="宋体" w:hint="default"/>
          <w:w w:val="95"/>
        </w:rPr>
        <w:t>(2).</w:t>
        <w:tab/>
      </w:r>
      <w:r>
        <w:rPr/>
        <w:t>报告分部的财务信息</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081"/>
        <w:gridCol w:w="3445"/>
        <w:gridCol w:w="3118"/>
      </w:tblGrid>
      <w:tr>
        <w:trPr>
          <w:trHeight w:val="50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3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公安行业</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538,924,010.68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379,109,248.00</w:t>
            </w:r>
          </w:p>
        </w:tc>
      </w:tr>
      <w:tr>
        <w:trPr>
          <w:trHeight w:val="50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政务行业</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236,207,129.49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134,175,694.63</w:t>
            </w:r>
          </w:p>
        </w:tc>
      </w:tr>
      <w:tr>
        <w:trPr>
          <w:trHeight w:val="50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民生行业</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28,652,783.78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23,177,390.65</w:t>
            </w:r>
          </w:p>
        </w:tc>
      </w:tr>
      <w:tr>
        <w:trPr>
          <w:trHeight w:val="50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其他行业</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1,832,880.05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1,050,401.13</w:t>
            </w:r>
          </w:p>
        </w:tc>
      </w:tr>
      <w:tr>
        <w:trPr>
          <w:trHeight w:val="50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2"/>
                <w:szCs w:val="22"/>
              </w:rPr>
            </w:pPr>
            <w:r>
              <w:rPr>
                <w:rFonts w:ascii="宋体" w:hAnsi="宋体" w:cs="宋体" w:eastAsia="宋体" w:hint="default"/>
                <w:sz w:val="22"/>
                <w:szCs w:val="22"/>
              </w:rPr>
              <w:t>总计</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2"/>
                <w:szCs w:val="22"/>
              </w:rPr>
            </w:pPr>
            <w:r>
              <w:rPr>
                <w:rFonts w:ascii="Times New Roman"/>
                <w:spacing w:val="-1"/>
                <w:sz w:val="22"/>
              </w:rPr>
              <w:t>805,616,804.00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2"/>
                <w:szCs w:val="22"/>
              </w:rPr>
            </w:pPr>
            <w:r>
              <w:rPr>
                <w:rFonts w:ascii="Times New Roman"/>
                <w:spacing w:val="-1"/>
                <w:sz w:val="22"/>
              </w:rPr>
              <w:t>537512734.4</w:t>
            </w:r>
          </w:p>
        </w:tc>
      </w:tr>
      <w:tr>
        <w:trPr>
          <w:trHeight w:val="50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3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2"/>
                <w:szCs w:val="22"/>
              </w:rPr>
            </w:pPr>
            <w:r>
              <w:rPr>
                <w:rFonts w:ascii="宋体" w:hAnsi="宋体" w:cs="宋体" w:eastAsia="宋体" w:hint="default"/>
                <w:sz w:val="22"/>
                <w:szCs w:val="22"/>
              </w:rPr>
              <w:t>华南区</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2"/>
                <w:szCs w:val="22"/>
              </w:rPr>
            </w:pPr>
            <w:r>
              <w:rPr>
                <w:rFonts w:ascii="Times New Roman"/>
                <w:spacing w:val="-1"/>
                <w:sz w:val="22"/>
              </w:rPr>
              <w:t>692,412,202.46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2"/>
                <w:szCs w:val="22"/>
              </w:rPr>
            </w:pPr>
            <w:r>
              <w:rPr>
                <w:rFonts w:ascii="Times New Roman"/>
                <w:spacing w:val="-1"/>
                <w:sz w:val="22"/>
              </w:rPr>
              <w:t>480,112,759.52</w:t>
            </w:r>
          </w:p>
        </w:tc>
      </w:tr>
      <w:tr>
        <w:trPr>
          <w:trHeight w:val="50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2"/>
                <w:szCs w:val="22"/>
              </w:rPr>
            </w:pPr>
            <w:r>
              <w:rPr>
                <w:rFonts w:ascii="宋体" w:hAnsi="宋体" w:cs="宋体" w:eastAsia="宋体" w:hint="default"/>
                <w:sz w:val="22"/>
                <w:szCs w:val="22"/>
              </w:rPr>
              <w:t>华东区</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2"/>
                <w:szCs w:val="22"/>
              </w:rPr>
            </w:pPr>
            <w:r>
              <w:rPr>
                <w:rFonts w:ascii="Times New Roman"/>
                <w:spacing w:val="-1"/>
                <w:sz w:val="22"/>
              </w:rPr>
              <w:t>52,041,784.31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2"/>
                <w:szCs w:val="22"/>
              </w:rPr>
            </w:pPr>
            <w:r>
              <w:rPr>
                <w:rFonts w:ascii="Times New Roman"/>
                <w:spacing w:val="-1"/>
                <w:sz w:val="22"/>
              </w:rPr>
              <w:t>16,866,371.30</w:t>
            </w:r>
          </w:p>
        </w:tc>
      </w:tr>
      <w:tr>
        <w:trPr>
          <w:trHeight w:val="50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2"/>
                <w:szCs w:val="22"/>
              </w:rPr>
            </w:pPr>
            <w:r>
              <w:rPr>
                <w:rFonts w:ascii="宋体" w:hAnsi="宋体" w:cs="宋体" w:eastAsia="宋体" w:hint="default"/>
                <w:sz w:val="22"/>
                <w:szCs w:val="22"/>
              </w:rPr>
              <w:t>华北区</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2"/>
                <w:szCs w:val="22"/>
              </w:rPr>
            </w:pPr>
            <w:r>
              <w:rPr>
                <w:rFonts w:ascii="Times New Roman"/>
                <w:spacing w:val="-1"/>
                <w:sz w:val="22"/>
              </w:rPr>
              <w:t>16,333,503.42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2"/>
                <w:szCs w:val="22"/>
              </w:rPr>
            </w:pPr>
            <w:r>
              <w:rPr>
                <w:rFonts w:ascii="Times New Roman"/>
                <w:spacing w:val="-1"/>
                <w:sz w:val="22"/>
              </w:rPr>
              <w:t>3,519,155.16</w:t>
            </w:r>
          </w:p>
        </w:tc>
      </w:tr>
      <w:tr>
        <w:trPr>
          <w:trHeight w:val="50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2"/>
                <w:szCs w:val="22"/>
              </w:rPr>
            </w:pPr>
            <w:r>
              <w:rPr>
                <w:rFonts w:ascii="宋体" w:hAnsi="宋体" w:cs="宋体" w:eastAsia="宋体" w:hint="default"/>
                <w:sz w:val="22"/>
                <w:szCs w:val="22"/>
              </w:rPr>
              <w:t>西部区</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2"/>
                <w:szCs w:val="22"/>
              </w:rPr>
            </w:pPr>
            <w:r>
              <w:rPr>
                <w:rFonts w:ascii="Times New Roman"/>
                <w:spacing w:val="-1"/>
                <w:sz w:val="22"/>
              </w:rPr>
              <w:t>44,829,313.81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2"/>
                <w:szCs w:val="22"/>
              </w:rPr>
            </w:pPr>
            <w:r>
              <w:rPr>
                <w:rFonts w:ascii="Times New Roman"/>
                <w:spacing w:val="-1"/>
                <w:sz w:val="22"/>
              </w:rPr>
              <w:t>37,014,448.43</w:t>
            </w:r>
          </w:p>
        </w:tc>
      </w:tr>
      <w:tr>
        <w:trPr>
          <w:trHeight w:val="507"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805,616,804.00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537,512,734.41</w:t>
            </w:r>
          </w:p>
        </w:tc>
      </w:tr>
    </w:tbl>
    <w:p>
      <w:pPr>
        <w:spacing w:line="240" w:lineRule="auto" w:before="11"/>
        <w:rPr>
          <w:rFonts w:ascii="宋体" w:hAnsi="宋体" w:cs="宋体" w:eastAsia="宋体" w:hint="default"/>
          <w:b/>
          <w:bCs/>
          <w:sz w:val="18"/>
          <w:szCs w:val="18"/>
        </w:rPr>
      </w:pPr>
    </w:p>
    <w:p>
      <w:pPr>
        <w:pStyle w:val="Heading3"/>
        <w:tabs>
          <w:tab w:pos="861" w:val="left" w:leader="none"/>
        </w:tabs>
        <w:spacing w:line="240" w:lineRule="auto" w:before="36"/>
        <w:ind w:right="102"/>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163" w:val="left" w:leader="none"/>
        </w:tabs>
        <w:spacing w:line="240" w:lineRule="auto" w:before="56"/>
        <w:ind w:right="102"/>
        <w:jc w:val="left"/>
      </w:pPr>
      <w:r>
        <w:rPr/>
        <w:t>□适用</w:t>
        <w:tab/>
        <w:t>√不适用</w:t>
      </w:r>
    </w:p>
    <w:p>
      <w:pPr>
        <w:spacing w:line="240" w:lineRule="auto" w:before="12"/>
        <w:rPr>
          <w:rFonts w:ascii="宋体" w:hAnsi="宋体" w:cs="宋体" w:eastAsia="宋体" w:hint="default"/>
          <w:sz w:val="23"/>
          <w:szCs w:val="23"/>
        </w:rPr>
      </w:pPr>
    </w:p>
    <w:p>
      <w:pPr>
        <w:pStyle w:val="Heading3"/>
        <w:tabs>
          <w:tab w:pos="861" w:val="left" w:leader="none"/>
        </w:tabs>
        <w:spacing w:line="240" w:lineRule="auto"/>
        <w:ind w:right="102"/>
        <w:jc w:val="left"/>
        <w:rPr>
          <w:b w:val="0"/>
          <w:bCs w:val="0"/>
        </w:rPr>
      </w:pPr>
      <w:r>
        <w:rPr>
          <w:rFonts w:ascii="宋体" w:hAnsi="宋体" w:cs="宋体" w:eastAsia="宋体" w:hint="default"/>
          <w:w w:val="95"/>
        </w:rPr>
        <w:t>(4).</w:t>
        <w:tab/>
      </w:r>
      <w:r>
        <w:rPr/>
        <w:t>其他说明：</w:t>
      </w:r>
      <w:r>
        <w:rPr>
          <w:b w:val="0"/>
          <w:bCs w:val="0"/>
        </w:rPr>
      </w:r>
    </w:p>
    <w:p>
      <w:pPr>
        <w:pStyle w:val="BodyText"/>
        <w:tabs>
          <w:tab w:pos="1163" w:val="left" w:leader="none"/>
        </w:tabs>
        <w:spacing w:line="240" w:lineRule="auto" w:before="58"/>
        <w:ind w:right="102"/>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102"/>
        <w:jc w:val="left"/>
        <w:rPr>
          <w:b w:val="0"/>
          <w:bCs w:val="0"/>
        </w:rPr>
      </w:pPr>
      <w:r>
        <w:rPr>
          <w:rFonts w:ascii="宋体" w:hAnsi="宋体" w:cs="宋体" w:eastAsia="宋体" w:hint="default"/>
        </w:rPr>
        <w:t>7</w:t>
      </w:r>
      <w:r>
        <w:rPr/>
        <w:t>、</w:t>
      </w:r>
      <w:r>
        <w:rPr>
          <w:spacing w:val="3"/>
        </w:rPr>
        <w:t> </w:t>
      </w:r>
      <w:r>
        <w:rPr/>
        <w:t>其他对资者决策有影响的重要交易和事项</w:t>
      </w:r>
      <w:r>
        <w:rPr>
          <w:b w:val="0"/>
          <w:bCs w:val="0"/>
        </w:rPr>
      </w:r>
    </w:p>
    <w:p>
      <w:pPr>
        <w:pStyle w:val="BodyText"/>
        <w:tabs>
          <w:tab w:pos="1163" w:val="left" w:leader="none"/>
        </w:tabs>
        <w:spacing w:line="240" w:lineRule="auto" w:before="135"/>
        <w:ind w:right="102"/>
        <w:jc w:val="left"/>
      </w:pPr>
      <w:r>
        <w:rPr/>
        <w:t>□适用</w:t>
        <w:tab/>
        <w:t>√不适用</w:t>
      </w:r>
    </w:p>
    <w:p>
      <w:pPr>
        <w:spacing w:line="240" w:lineRule="auto" w:before="12"/>
        <w:rPr>
          <w:rFonts w:ascii="宋体" w:hAnsi="宋体" w:cs="宋体" w:eastAsia="宋体" w:hint="default"/>
          <w:sz w:val="24"/>
          <w:szCs w:val="24"/>
        </w:rPr>
      </w:pPr>
    </w:p>
    <w:p>
      <w:pPr>
        <w:pStyle w:val="Heading3"/>
        <w:spacing w:line="240" w:lineRule="auto"/>
        <w:ind w:right="102"/>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163" w:val="left" w:leader="none"/>
        </w:tabs>
        <w:spacing w:line="240" w:lineRule="auto" w:before="56"/>
        <w:ind w:right="102"/>
        <w:jc w:val="left"/>
      </w:pPr>
      <w:r>
        <w:rPr/>
        <w:t>√适用</w:t>
        <w:tab/>
        <w:t>□不适用</w:t>
      </w:r>
    </w:p>
    <w:p>
      <w:pPr>
        <w:spacing w:after="0" w:line="240" w:lineRule="auto"/>
        <w:jc w:val="left"/>
        <w:sectPr>
          <w:footerReference w:type="default" r:id="rId37"/>
          <w:pgSz w:w="11910" w:h="16840"/>
          <w:pgMar w:footer="979" w:header="857" w:top="1140" w:bottom="1160" w:left="1580" w:right="1140"/>
          <w:pgNumType w:start="187"/>
        </w:sectPr>
      </w:pPr>
    </w:p>
    <w:p>
      <w:pPr>
        <w:spacing w:line="240" w:lineRule="auto" w:before="2"/>
        <w:rPr>
          <w:rFonts w:ascii="宋体" w:hAnsi="宋体" w:cs="宋体" w:eastAsia="宋体" w:hint="default"/>
          <w:sz w:val="29"/>
          <w:szCs w:val="29"/>
        </w:rPr>
      </w:pPr>
    </w:p>
    <w:p>
      <w:pPr>
        <w:pStyle w:val="BodyText"/>
        <w:spacing w:line="240" w:lineRule="auto" w:before="36"/>
        <w:ind w:left="558" w:right="130"/>
        <w:jc w:val="left"/>
      </w:pPr>
      <w:r>
        <w:rPr/>
        <w:t>（</w:t>
      </w:r>
      <w:r>
        <w:rPr>
          <w:rFonts w:ascii="Times New Roman" w:hAnsi="Times New Roman" w:cs="Times New Roman" w:eastAsia="Times New Roman" w:hint="default"/>
        </w:rPr>
        <w:t>1</w:t>
      </w:r>
      <w:r>
        <w:rPr/>
        <w:t>）配股公开发行证券事项</w:t>
      </w:r>
    </w:p>
    <w:p>
      <w:pPr>
        <w:pStyle w:val="BodyText"/>
        <w:spacing w:line="302" w:lineRule="auto" w:before="69"/>
        <w:ind w:left="138" w:right="127"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年第一次临时股东大会审议通过了《关于公司</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年度配股</w:t>
      </w:r>
      <w:r>
        <w:rPr>
          <w:w w:val="100"/>
        </w:rPr>
        <w:t> </w:t>
      </w:r>
      <w:r>
        <w:rPr>
          <w:spacing w:val="-9"/>
          <w:w w:val="100"/>
        </w:rPr>
        <w:t>公开发行证券预案的议案》，同意公司拟向原股东配售不超过</w:t>
      </w:r>
      <w:r>
        <w:rPr>
          <w:spacing w:val="-52"/>
          <w:w w:val="100"/>
        </w:rPr>
        <w:t> </w:t>
      </w:r>
      <w:r>
        <w:rPr>
          <w:rFonts w:ascii="Times New Roman" w:hAnsi="Times New Roman" w:cs="Times New Roman" w:eastAsia="Times New Roman" w:hint="default"/>
          <w:spacing w:val="-1"/>
          <w:w w:val="100"/>
        </w:rPr>
        <w:t>30,000,000</w:t>
      </w:r>
      <w:r>
        <w:rPr>
          <w:rFonts w:ascii="Times New Roman" w:hAnsi="Times New Roman" w:cs="Times New Roman" w:eastAsia="Times New Roman" w:hint="default"/>
          <w:spacing w:val="2"/>
          <w:w w:val="100"/>
        </w:rPr>
        <w:t> </w:t>
      </w:r>
      <w:r>
        <w:rPr>
          <w:spacing w:val="-12"/>
          <w:w w:val="100"/>
        </w:rPr>
        <w:t>股人民币普通股（</w:t>
      </w:r>
      <w:r>
        <w:rPr>
          <w:rFonts w:ascii="Times New Roman" w:hAnsi="Times New Roman" w:cs="Times New Roman" w:eastAsia="Times New Roman" w:hint="default"/>
          <w:spacing w:val="-12"/>
          <w:w w:val="100"/>
        </w:rPr>
        <w:t>A</w:t>
      </w:r>
      <w:r>
        <w:rPr>
          <w:rFonts w:ascii="Times New Roman" w:hAnsi="Times New Roman" w:cs="Times New Roman" w:eastAsia="Times New Roman" w:hint="default"/>
          <w:spacing w:val="1"/>
          <w:w w:val="100"/>
        </w:rPr>
        <w:t> </w:t>
      </w:r>
      <w:r>
        <w:rPr>
          <w:spacing w:val="-36"/>
          <w:w w:val="100"/>
        </w:rPr>
        <w:t>股）。</w:t>
      </w:r>
      <w:r>
        <w:rPr>
          <w:w w:val="100"/>
        </w:rPr>
        <w:t>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日公司收到中国证券监督管理委员会（以下简称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）出具的《中国证</w:t>
      </w:r>
      <w:r>
        <w:rPr>
          <w:w w:val="100"/>
        </w:rPr>
        <w:t> </w:t>
      </w:r>
      <w:r>
        <w:rPr>
          <w:spacing w:val="-10"/>
          <w:w w:val="100"/>
        </w:rPr>
        <w:t>监会行政许可申请受理通知书》（</w:t>
      </w:r>
      <w:r>
        <w:rPr>
          <w:rFonts w:ascii="Times New Roman" w:hAnsi="Times New Roman" w:cs="Times New Roman" w:eastAsia="Times New Roman" w:hint="default"/>
          <w:spacing w:val="-10"/>
          <w:w w:val="100"/>
        </w:rPr>
        <w:t>162448</w:t>
      </w:r>
      <w:r>
        <w:rPr>
          <w:rFonts w:ascii="Times New Roman" w:hAnsi="Times New Roman" w:cs="Times New Roman" w:eastAsia="Times New Roman" w:hint="default"/>
          <w:spacing w:val="1"/>
          <w:w w:val="100"/>
        </w:rPr>
        <w:t> </w:t>
      </w:r>
      <w:r>
        <w:rPr>
          <w:spacing w:val="-27"/>
          <w:w w:val="100"/>
        </w:rPr>
        <w:t>号）。</w:t>
      </w:r>
      <w:r>
        <w:rPr>
          <w:rFonts w:ascii="Times New Roman" w:hAnsi="Times New Roman" w:cs="Times New Roman" w:eastAsia="Times New Roman" w:hint="default"/>
          <w:spacing w:val="-27"/>
          <w:w w:val="100"/>
        </w:rPr>
        <w:t>2016</w:t>
      </w:r>
      <w:r>
        <w:rPr>
          <w:rFonts w:ascii="Times New Roman" w:hAnsi="Times New Roman" w:cs="Times New Roman" w:eastAsia="Times New Roman" w:hint="default"/>
          <w:spacing w:val="-1"/>
          <w:w w:val="100"/>
        </w:rPr>
        <w:t> </w:t>
      </w:r>
      <w:r>
        <w:rPr>
          <w:w w:val="100"/>
        </w:rPr>
        <w:t>年</w:t>
      </w:r>
      <w:r>
        <w:rPr>
          <w:spacing w:val="-53"/>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 </w:t>
      </w:r>
      <w:r>
        <w:rPr>
          <w:spacing w:val="-11"/>
          <w:w w:val="100"/>
        </w:rPr>
        <w:t>日，公司收到中国证监会下发的《中</w:t>
      </w:r>
      <w:r>
        <w:rPr>
          <w:w w:val="100"/>
        </w:rPr>
        <w:t> </w:t>
      </w:r>
      <w:r>
        <w:rPr>
          <w:spacing w:val="-6"/>
          <w:w w:val="100"/>
        </w:rPr>
        <w:t>国证监会行政许可项目审查反馈意见通知书》（以下简称</w:t>
      </w:r>
      <w:r>
        <w:rPr>
          <w:rFonts w:ascii="Times New Roman" w:hAnsi="Times New Roman" w:cs="Times New Roman" w:eastAsia="Times New Roman" w:hint="default"/>
          <w:spacing w:val="-6"/>
          <w:w w:val="100"/>
        </w:rPr>
        <w:t>“</w:t>
      </w:r>
      <w:r>
        <w:rPr>
          <w:spacing w:val="-6"/>
          <w:w w:val="100"/>
        </w:rPr>
        <w:t>《反馈意见》</w:t>
      </w:r>
      <w:r>
        <w:rPr>
          <w:rFonts w:ascii="Times New Roman" w:hAnsi="Times New Roman" w:cs="Times New Roman" w:eastAsia="Times New Roman" w:hint="default"/>
          <w:spacing w:val="-6"/>
          <w:w w:val="100"/>
        </w:rPr>
        <w:t>”</w:t>
      </w:r>
      <w:r>
        <w:rPr>
          <w:spacing w:val="-6"/>
          <w:w w:val="100"/>
        </w:rPr>
        <w:t>）。由于作为公司本次配</w:t>
      </w:r>
      <w:r>
        <w:rPr>
          <w:spacing w:val="-69"/>
          <w:w w:val="100"/>
        </w:rPr>
        <w:t> </w:t>
      </w:r>
      <w:r>
        <w:rPr>
          <w:spacing w:val="-69"/>
          <w:w w:val="100"/>
        </w:rPr>
      </w:r>
      <w:r>
        <w:rPr>
          <w:spacing w:val="-1"/>
        </w:rPr>
        <w:t>股募投的部分项目尚需签订合同，公司预计无法按时提交反馈意见回复等相关文件，为切实稳妥</w:t>
      </w:r>
      <w:r>
        <w:rPr>
          <w:spacing w:val="-55"/>
        </w:rPr>
        <w:t> </w:t>
      </w:r>
      <w:r>
        <w:rPr>
          <w:spacing w:val="-55"/>
        </w:rPr>
      </w:r>
      <w:r>
        <w:rPr>
          <w:spacing w:val="-1"/>
        </w:rPr>
        <w:t>做好反馈意见回复及公开配股申请文件更新工作，公司向中国证监会提交了《南威软件股份有限</w:t>
      </w:r>
      <w:r>
        <w:rPr>
          <w:spacing w:val="-55"/>
        </w:rPr>
        <w:t> </w:t>
      </w:r>
      <w:r>
        <w:rPr>
          <w:spacing w:val="-55"/>
        </w:rPr>
      </w:r>
      <w:r>
        <w:rPr>
          <w:spacing w:val="-7"/>
          <w:w w:val="100"/>
        </w:rPr>
        <w:t>公司关于中止公司公开配股审核的申请》，并于</w:t>
      </w:r>
      <w:r>
        <w:rPr>
          <w:spacing w:val="-47"/>
          <w:w w:val="100"/>
        </w:rPr>
        <w:t> </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5"/>
          <w:w w:val="100"/>
        </w:rPr>
        <w:t> </w:t>
      </w:r>
      <w:r>
        <w:rPr>
          <w:w w:val="100"/>
        </w:rPr>
        <w:t>年</w:t>
      </w:r>
      <w:r>
        <w:rPr>
          <w:spacing w:val="-50"/>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 </w:t>
      </w:r>
      <w:r>
        <w:rPr>
          <w:w w:val="100"/>
        </w:rPr>
        <w:t>月</w:t>
      </w:r>
      <w:r>
        <w:rPr>
          <w:spacing w:val="-50"/>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5"/>
          <w:w w:val="100"/>
        </w:rPr>
        <w:t> </w:t>
      </w:r>
      <w:r>
        <w:rPr>
          <w:spacing w:val="-2"/>
          <w:w w:val="100"/>
        </w:rPr>
        <w:t>日取得中国证监会《中止审查通知</w:t>
      </w:r>
      <w:r>
        <w:rPr>
          <w:w w:val="100"/>
        </w:rPr>
        <w:t> </w:t>
      </w:r>
      <w:r>
        <w:rPr>
          <w:spacing w:val="-36"/>
          <w:w w:val="100"/>
        </w:rPr>
        <w:t>书》。</w:t>
      </w:r>
    </w:p>
    <w:p>
      <w:pPr>
        <w:pStyle w:val="BodyText"/>
        <w:spacing w:line="240" w:lineRule="auto" w:before="30"/>
        <w:ind w:left="558" w:right="0"/>
        <w:jc w:val="left"/>
      </w:pPr>
      <w:r>
        <w:rPr>
          <w:spacing w:val="-5"/>
        </w:rPr>
        <w:t>鉴于公司本次配股反馈意见已基本得到落实，</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spacing w:val="-7"/>
        </w:rPr>
        <w:t>日公司向中国证监会提交了《南</w:t>
      </w:r>
    </w:p>
    <w:p>
      <w:pPr>
        <w:pStyle w:val="BodyText"/>
        <w:spacing w:line="297" w:lineRule="auto" w:before="69"/>
        <w:ind w:left="138" w:right="127"/>
        <w:jc w:val="both"/>
      </w:pPr>
      <w:r>
        <w:rPr>
          <w:spacing w:val="-5"/>
          <w:w w:val="100"/>
        </w:rPr>
        <w:t>威软件股份有限公司关于恢复审查上市公司公开配股申请的请示》，</w:t>
      </w:r>
      <w:r>
        <w:rPr>
          <w:rFonts w:ascii="Times New Roman" w:hAnsi="Times New Roman" w:cs="Times New Roman" w:eastAsia="Times New Roman" w:hint="default"/>
          <w:spacing w:val="-5"/>
          <w:w w:val="100"/>
        </w:rPr>
        <w:t>2017</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 </w:t>
      </w:r>
      <w:r>
        <w:rPr>
          <w:w w:val="100"/>
        </w:rPr>
        <w:t>月</w:t>
      </w:r>
      <w:r>
        <w:rPr>
          <w:spacing w:val="-52"/>
          <w:w w:val="100"/>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w w:val="100"/>
        </w:rPr>
        <w:t> </w:t>
      </w:r>
      <w:r>
        <w:rPr>
          <w:spacing w:val="-5"/>
          <w:w w:val="100"/>
        </w:rPr>
        <w:t>日，公司收到</w:t>
      </w:r>
      <w:r>
        <w:rPr>
          <w:w w:val="100"/>
        </w:rPr>
        <w:t> </w:t>
      </w:r>
      <w:r>
        <w:rPr>
          <w:spacing w:val="-5"/>
          <w:w w:val="100"/>
        </w:rPr>
        <w:t>中国证监会出具的《中国证监会行政许可申请恢复审查通知书》（</w:t>
      </w:r>
      <w:r>
        <w:rPr>
          <w:rFonts w:ascii="Times New Roman" w:hAnsi="Times New Roman" w:cs="Times New Roman" w:eastAsia="Times New Roman" w:hint="default"/>
          <w:spacing w:val="-5"/>
          <w:w w:val="100"/>
        </w:rPr>
        <w:t>162448</w:t>
      </w:r>
      <w:r>
        <w:rPr>
          <w:rFonts w:ascii="Times New Roman" w:hAnsi="Times New Roman" w:cs="Times New Roman" w:eastAsia="Times New Roman" w:hint="default"/>
          <w:spacing w:val="-4"/>
          <w:w w:val="100"/>
        </w:rPr>
        <w:t> </w:t>
      </w:r>
      <w:r>
        <w:rPr>
          <w:spacing w:val="-12"/>
          <w:w w:val="100"/>
        </w:rPr>
        <w:t>号），中国证监会决定恢</w:t>
      </w:r>
      <w:r>
        <w:rPr>
          <w:w w:val="100"/>
        </w:rPr>
        <w:t> </w:t>
      </w:r>
      <w:r>
        <w:rPr/>
        <w:t>复公司配股行政许可申请的审查。</w:t>
      </w:r>
    </w:p>
    <w:p>
      <w:pPr>
        <w:pStyle w:val="BodyText"/>
        <w:spacing w:line="304" w:lineRule="auto" w:before="34"/>
        <w:ind w:left="138" w:right="1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日，公司按照《反馈意见》的要求，会同公司保荐机构国金证券股份有限公</w:t>
      </w:r>
      <w:r>
        <w:rPr>
          <w:w w:val="100"/>
        </w:rPr>
        <w:t> </w:t>
      </w:r>
      <w:r>
        <w:rPr>
          <w:spacing w:val="-6"/>
          <w:w w:val="100"/>
        </w:rPr>
        <w:t>司、申报会计师福建华兴会计师事务所（特殊普通合伙）、律师福建天衡联合律师事务所对反馈意</w:t>
      </w:r>
      <w:r>
        <w:rPr>
          <w:w w:val="100"/>
        </w:rPr>
        <w:t> </w:t>
      </w:r>
      <w:r>
        <w:rPr/>
        <w:t>见进行认真核查和落实，经过研究和论证分析，完成了对反馈意见中所列问题的回复。</w:t>
      </w:r>
    </w:p>
    <w:p>
      <w:pPr>
        <w:pStyle w:val="BodyText"/>
        <w:spacing w:line="240" w:lineRule="auto" w:before="28"/>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日公司召开第三届董事会第三次会议，审议通过《关于修订</w:t>
      </w:r>
      <w:r>
        <w:rPr>
          <w:rFonts w:ascii="Times New Roman" w:hAnsi="Times New Roman" w:cs="Times New Roman" w:eastAsia="Times New Roman" w:hint="default"/>
        </w:rPr>
        <w:t>&lt;</w:t>
      </w:r>
      <w:r>
        <w:rPr/>
        <w:t>公司</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w:t>
      </w:r>
    </w:p>
    <w:p>
      <w:pPr>
        <w:pStyle w:val="BodyText"/>
        <w:spacing w:line="240" w:lineRule="auto" w:before="69"/>
        <w:ind w:left="138" w:right="0"/>
        <w:jc w:val="both"/>
      </w:pPr>
      <w:r>
        <w:rPr>
          <w:w w:val="100"/>
        </w:rPr>
        <w:t>配股</w:t>
      </w:r>
      <w:r>
        <w:rPr>
          <w:spacing w:val="-3"/>
          <w:w w:val="100"/>
        </w:rPr>
        <w:t>方案</w:t>
      </w:r>
      <w:r>
        <w:rPr>
          <w:rFonts w:ascii="Times New Roman" w:hAnsi="Times New Roman" w:cs="Times New Roman" w:eastAsia="Times New Roman" w:hint="default"/>
          <w:w w:val="100"/>
        </w:rPr>
        <w:t>&gt;</w:t>
      </w:r>
      <w:r>
        <w:rPr>
          <w:spacing w:val="-3"/>
          <w:w w:val="100"/>
        </w:rPr>
        <w:t>的</w:t>
      </w:r>
      <w:r>
        <w:rPr>
          <w:w w:val="100"/>
        </w:rPr>
        <w:t>议案</w:t>
      </w:r>
      <w:r>
        <w:rPr>
          <w:spacing w:val="-108"/>
          <w:w w:val="100"/>
        </w:rPr>
        <w:t>》</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8"/>
        </w:rPr>
        <w:t> </w:t>
      </w:r>
      <w:r>
        <w:rPr>
          <w:w w:val="100"/>
        </w:rPr>
        <w:t>年</w:t>
      </w:r>
      <w:r>
        <w:rPr>
          <w:spacing w:val="-4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9"/>
        </w:rPr>
        <w:t> </w:t>
      </w:r>
      <w:r>
        <w:rPr>
          <w:w w:val="100"/>
        </w:rPr>
        <w:t>月</w:t>
      </w:r>
      <w:r>
        <w:rPr>
          <w:spacing w:val="-43"/>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9"/>
        </w:rPr>
        <w:t> </w:t>
      </w:r>
      <w:r>
        <w:rPr>
          <w:spacing w:val="-3"/>
          <w:w w:val="100"/>
        </w:rPr>
        <w:t>日</w:t>
      </w:r>
      <w:r>
        <w:rPr>
          <w:w w:val="100"/>
        </w:rPr>
        <w:t>公</w:t>
      </w:r>
      <w:r>
        <w:rPr>
          <w:spacing w:val="-3"/>
          <w:w w:val="100"/>
        </w:rPr>
        <w:t>司</w:t>
      </w:r>
      <w:r>
        <w:rPr>
          <w:w w:val="100"/>
        </w:rPr>
        <w:t>召</w:t>
      </w:r>
      <w:r>
        <w:rPr>
          <w:spacing w:val="-3"/>
          <w:w w:val="100"/>
        </w:rPr>
        <w:t>开第</w:t>
      </w:r>
      <w:r>
        <w:rPr>
          <w:w w:val="100"/>
        </w:rPr>
        <w:t>三届</w:t>
      </w:r>
      <w:r>
        <w:rPr>
          <w:spacing w:val="-3"/>
          <w:w w:val="100"/>
        </w:rPr>
        <w:t>董</w:t>
      </w:r>
      <w:r>
        <w:rPr>
          <w:w w:val="100"/>
        </w:rPr>
        <w:t>事</w:t>
      </w:r>
      <w:r>
        <w:rPr>
          <w:spacing w:val="-3"/>
          <w:w w:val="100"/>
        </w:rPr>
        <w:t>会</w:t>
      </w:r>
      <w:r>
        <w:rPr>
          <w:w w:val="100"/>
        </w:rPr>
        <w:t>第</w:t>
      </w:r>
      <w:r>
        <w:rPr>
          <w:spacing w:val="-3"/>
          <w:w w:val="100"/>
        </w:rPr>
        <w:t>五</w:t>
      </w:r>
      <w:r>
        <w:rPr>
          <w:w w:val="100"/>
        </w:rPr>
        <w:t>次</w:t>
      </w:r>
      <w:r>
        <w:rPr>
          <w:spacing w:val="-3"/>
          <w:w w:val="100"/>
        </w:rPr>
        <w:t>会</w:t>
      </w:r>
      <w:r>
        <w:rPr>
          <w:w w:val="100"/>
        </w:rPr>
        <w:t>议</w:t>
      </w:r>
      <w:r>
        <w:rPr>
          <w:spacing w:val="-3"/>
          <w:w w:val="100"/>
        </w:rPr>
        <w:t>，</w:t>
      </w:r>
      <w:r>
        <w:rPr>
          <w:w w:val="100"/>
        </w:rPr>
        <w:t>审议</w:t>
      </w:r>
      <w:r>
        <w:rPr>
          <w:spacing w:val="-3"/>
          <w:w w:val="100"/>
        </w:rPr>
        <w:t>通</w:t>
      </w:r>
      <w:r>
        <w:rPr>
          <w:w w:val="100"/>
        </w:rPr>
        <w:t>过</w:t>
      </w:r>
      <w:r>
        <w:rPr>
          <w:spacing w:val="-3"/>
          <w:w w:val="100"/>
        </w:rPr>
        <w:t>《</w:t>
      </w:r>
      <w:r>
        <w:rPr>
          <w:w w:val="100"/>
        </w:rPr>
        <w:t>关</w:t>
      </w:r>
      <w:r>
        <w:rPr>
          <w:spacing w:val="-3"/>
          <w:w w:val="100"/>
        </w:rPr>
        <w:t>于</w:t>
      </w:r>
      <w:r>
        <w:rPr>
          <w:w w:val="100"/>
        </w:rPr>
        <w:t>第二</w:t>
      </w:r>
    </w:p>
    <w:p>
      <w:pPr>
        <w:pStyle w:val="BodyText"/>
        <w:spacing w:line="240" w:lineRule="auto" w:before="69"/>
        <w:ind w:left="138" w:right="0"/>
        <w:jc w:val="both"/>
        <w:rPr>
          <w:rFonts w:ascii="Times New Roman" w:hAnsi="Times New Roman" w:cs="Times New Roman" w:eastAsia="Times New Roman" w:hint="default"/>
        </w:rPr>
      </w:pPr>
      <w:r>
        <w:rPr>
          <w:w w:val="100"/>
        </w:rPr>
        <w:t>次修</w:t>
      </w:r>
      <w:r>
        <w:rPr>
          <w:spacing w:val="-3"/>
          <w:w w:val="100"/>
        </w:rPr>
        <w:t>订</w:t>
      </w:r>
      <w:r>
        <w:rPr>
          <w:rFonts w:ascii="Times New Roman" w:hAnsi="Times New Roman" w:cs="Times New Roman" w:eastAsia="Times New Roman" w:hint="default"/>
          <w:spacing w:val="-2"/>
          <w:w w:val="100"/>
        </w:rPr>
        <w:t>&lt;</w:t>
      </w:r>
      <w:r>
        <w:rPr>
          <w:spacing w:val="-3"/>
          <w:w w:val="100"/>
        </w:rPr>
        <w:t>公</w:t>
      </w:r>
      <w:r>
        <w:rPr>
          <w:w w:val="100"/>
        </w:rPr>
        <w:t>司</w:t>
      </w:r>
      <w:r>
        <w:rPr>
          <w:spacing w:val="-36"/>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4"/>
        </w:rPr>
        <w:t> </w:t>
      </w:r>
      <w:r>
        <w:rPr>
          <w:w w:val="100"/>
        </w:rPr>
        <w:t>年</w:t>
      </w:r>
      <w:r>
        <w:rPr>
          <w:spacing w:val="-3"/>
          <w:w w:val="100"/>
        </w:rPr>
        <w:t>度配</w:t>
      </w:r>
      <w:r>
        <w:rPr>
          <w:w w:val="100"/>
        </w:rPr>
        <w:t>股方</w:t>
      </w:r>
      <w:r>
        <w:rPr>
          <w:spacing w:val="-2"/>
          <w:w w:val="100"/>
        </w:rPr>
        <w:t>案</w:t>
      </w:r>
      <w:r>
        <w:rPr>
          <w:rFonts w:ascii="Times New Roman" w:hAnsi="Times New Roman" w:cs="Times New Roman" w:eastAsia="Times New Roman" w:hint="default"/>
          <w:spacing w:val="-2"/>
          <w:w w:val="100"/>
        </w:rPr>
        <w:t>&gt;</w:t>
      </w:r>
      <w:r>
        <w:rPr>
          <w:w w:val="100"/>
        </w:rPr>
        <w:t>的</w:t>
      </w:r>
      <w:r>
        <w:rPr>
          <w:spacing w:val="-3"/>
          <w:w w:val="100"/>
        </w:rPr>
        <w:t>议</w:t>
      </w:r>
      <w:r>
        <w:rPr>
          <w:w w:val="100"/>
        </w:rPr>
        <w:t>案</w:t>
      </w:r>
      <w:r>
        <w:rPr>
          <w:spacing w:val="-106"/>
          <w:w w:val="100"/>
        </w:rPr>
        <w:t>》</w:t>
      </w:r>
      <w:r>
        <w:rPr>
          <w:spacing w:val="-3"/>
          <w:w w:val="100"/>
        </w:rPr>
        <w:t>，</w:t>
      </w:r>
      <w:r>
        <w:rPr>
          <w:w w:val="100"/>
        </w:rPr>
        <w:t>若</w:t>
      </w:r>
      <w:r>
        <w:rPr>
          <w:spacing w:val="-3"/>
          <w:w w:val="100"/>
        </w:rPr>
        <w:t>以公</w:t>
      </w:r>
      <w:r>
        <w:rPr>
          <w:w w:val="100"/>
        </w:rPr>
        <w:t>司</w:t>
      </w:r>
      <w:r>
        <w:rPr>
          <w:spacing w:val="-3"/>
          <w:w w:val="100"/>
        </w:rPr>
        <w:t>截</w:t>
      </w:r>
      <w:r>
        <w:rPr>
          <w:w w:val="100"/>
        </w:rPr>
        <w:t>至</w:t>
      </w:r>
      <w:r>
        <w:rPr>
          <w:spacing w:val="-36"/>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4"/>
        </w:rPr>
        <w:t> </w:t>
      </w:r>
      <w:r>
        <w:rPr>
          <w:w w:val="100"/>
        </w:rPr>
        <w:t>年</w:t>
      </w:r>
      <w:r>
        <w:rPr>
          <w:spacing w:val="-3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4"/>
        </w:rPr>
        <w:t> </w:t>
      </w:r>
      <w:r>
        <w:rPr>
          <w:w w:val="100"/>
        </w:rPr>
        <w:t>月</w:t>
      </w:r>
      <w:r>
        <w:rPr>
          <w:spacing w:val="-36"/>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4"/>
        </w:rPr>
        <w:t> </w:t>
      </w:r>
      <w:r>
        <w:rPr>
          <w:spacing w:val="-3"/>
          <w:w w:val="100"/>
        </w:rPr>
        <w:t>日</w:t>
      </w:r>
      <w:r>
        <w:rPr>
          <w:w w:val="100"/>
        </w:rPr>
        <w:t>总</w:t>
      </w:r>
      <w:r>
        <w:rPr>
          <w:spacing w:val="-3"/>
          <w:w w:val="100"/>
        </w:rPr>
        <w:t>股</w:t>
      </w:r>
      <w:r>
        <w:rPr>
          <w:w w:val="100"/>
        </w:rPr>
        <w:t>本</w:t>
      </w:r>
      <w:r>
        <w:rPr>
          <w:spacing w:val="-35"/>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520</w:t>
      </w:r>
    </w:p>
    <w:p>
      <w:pPr>
        <w:pStyle w:val="BodyText"/>
        <w:spacing w:line="297" w:lineRule="auto" w:before="69"/>
        <w:ind w:left="138" w:right="127"/>
        <w:jc w:val="both"/>
      </w:pPr>
      <w:r>
        <w:rPr/>
        <w:t>股为基数测算，本次配售股份数量为</w:t>
      </w:r>
      <w:r>
        <w:rPr>
          <w:spacing w:val="-51"/>
        </w:rPr>
        <w:t> </w:t>
      </w:r>
      <w:r>
        <w:rPr>
          <w:rFonts w:ascii="Times New Roman" w:hAnsi="Times New Roman" w:cs="Times New Roman" w:eastAsia="Times New Roman" w:hint="default"/>
        </w:rPr>
        <w:t>122,049,456</w:t>
      </w:r>
      <w:r>
        <w:rPr>
          <w:rFonts w:ascii="Times New Roman" w:hAnsi="Times New Roman" w:cs="Times New Roman" w:eastAsia="Times New Roman" w:hint="default"/>
          <w:spacing w:val="-1"/>
        </w:rPr>
        <w:t> </w:t>
      </w:r>
      <w:r>
        <w:rPr/>
        <w:t>股，公司拟按照每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股配售</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股的比例向全体</w:t>
      </w:r>
      <w:r>
        <w:rPr>
          <w:w w:val="100"/>
        </w:rPr>
        <w:t> </w:t>
      </w:r>
      <w:r>
        <w:rPr/>
        <w:t>股东配售股份，本次修订后的配股方案尚需经中国证监会审核批准后方可实施。</w:t>
      </w:r>
    </w:p>
    <w:p>
      <w:pPr>
        <w:pStyle w:val="BodyText"/>
        <w:spacing w:line="240" w:lineRule="auto" w:before="34"/>
        <w:ind w:left="558" w:right="130"/>
        <w:jc w:val="left"/>
      </w:pPr>
      <w:r>
        <w:rPr/>
        <w:t>（</w:t>
      </w:r>
      <w:r>
        <w:rPr>
          <w:rFonts w:ascii="Times New Roman" w:hAnsi="Times New Roman" w:cs="Times New Roman" w:eastAsia="Times New Roman" w:hint="default"/>
        </w:rPr>
        <w:t>2</w:t>
      </w:r>
      <w:r>
        <w:rPr/>
        <w:t>）重要的对外投资</w:t>
      </w:r>
    </w:p>
    <w:p>
      <w:pPr>
        <w:pStyle w:val="BodyText"/>
        <w:spacing w:line="240" w:lineRule="auto" w:before="69"/>
        <w:ind w:left="558" w:right="130"/>
        <w:jc w:val="left"/>
      </w:pPr>
      <w:r>
        <w:rPr>
          <w:rFonts w:ascii="Times New Roman" w:hAnsi="Times New Roman" w:cs="Times New Roman" w:eastAsia="Times New Roman" w:hint="default"/>
        </w:rPr>
        <w:t>1.</w:t>
      </w:r>
      <w:r>
        <w:rPr/>
        <w:t>参与设立产业升级并购基金。</w:t>
      </w:r>
    </w:p>
    <w:p>
      <w:pPr>
        <w:pStyle w:val="BodyText"/>
        <w:spacing w:line="240" w:lineRule="auto" w:before="69"/>
        <w:ind w:left="55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spacing w:val="-3"/>
        </w:rPr>
        <w:t>日，公司第二届董事会第二十七次会议审议通过《关于参与设立产业升级并</w:t>
      </w:r>
    </w:p>
    <w:p>
      <w:pPr>
        <w:pStyle w:val="BodyText"/>
        <w:spacing w:line="297" w:lineRule="auto" w:before="69"/>
        <w:ind w:left="138" w:right="127"/>
        <w:jc w:val="both"/>
      </w:pPr>
      <w:r>
        <w:rPr>
          <w:spacing w:val="-7"/>
          <w:w w:val="100"/>
        </w:rPr>
        <w:t>购基金的议案》，同意公司以自有资金不超过</w:t>
      </w:r>
      <w:r>
        <w:rPr>
          <w:spacing w:val="-12"/>
          <w:w w:val="100"/>
        </w:rPr>
        <w:t> </w:t>
      </w:r>
      <w:r>
        <w:rPr>
          <w:rFonts w:ascii="Times New Roman" w:hAnsi="Times New Roman" w:cs="Times New Roman" w:eastAsia="Times New Roman" w:hint="default"/>
          <w:spacing w:val="-1"/>
          <w:w w:val="100"/>
        </w:rPr>
        <w:t>10,000</w:t>
      </w:r>
      <w:r>
        <w:rPr>
          <w:rFonts w:ascii="Times New Roman" w:hAnsi="Times New Roman" w:cs="Times New Roman" w:eastAsia="Times New Roman" w:hint="default"/>
          <w:spacing w:val="42"/>
          <w:w w:val="100"/>
        </w:rPr>
        <w:t> </w:t>
      </w:r>
      <w:r>
        <w:rPr>
          <w:spacing w:val="-2"/>
          <w:w w:val="100"/>
        </w:rPr>
        <w:t>万元人民币作为有限合伙人参与由平潭会同</w:t>
      </w:r>
      <w:r>
        <w:rPr>
          <w:spacing w:val="-103"/>
          <w:w w:val="100"/>
        </w:rPr>
        <w:t> </w:t>
      </w:r>
      <w:r>
        <w:rPr>
          <w:spacing w:val="-103"/>
          <w:w w:val="100"/>
        </w:rPr>
      </w:r>
      <w:r>
        <w:rPr>
          <w:spacing w:val="-6"/>
          <w:w w:val="100"/>
        </w:rPr>
        <w:t>宏誉股权投资管理合伙企业（有限合伙）（以下简称</w:t>
      </w:r>
      <w:r>
        <w:rPr>
          <w:rFonts w:ascii="Times New Roman" w:hAnsi="Times New Roman" w:cs="Times New Roman" w:eastAsia="Times New Roman" w:hint="default"/>
          <w:spacing w:val="-6"/>
          <w:w w:val="100"/>
        </w:rPr>
        <w:t>“</w:t>
      </w:r>
      <w:r>
        <w:rPr>
          <w:spacing w:val="-6"/>
          <w:w w:val="100"/>
        </w:rPr>
        <w:t>会同宏誉</w:t>
      </w:r>
      <w:r>
        <w:rPr>
          <w:rFonts w:ascii="Times New Roman" w:hAnsi="Times New Roman" w:cs="Times New Roman" w:eastAsia="Times New Roman" w:hint="default"/>
          <w:spacing w:val="-6"/>
          <w:w w:val="100"/>
        </w:rPr>
        <w:t>”</w:t>
      </w:r>
      <w:r>
        <w:rPr>
          <w:spacing w:val="-6"/>
          <w:w w:val="100"/>
        </w:rPr>
        <w:t>）作为基金管理人的产业升级并购</w:t>
      </w:r>
      <w:r>
        <w:rPr>
          <w:spacing w:val="-77"/>
          <w:w w:val="100"/>
        </w:rPr>
        <w:t> </w:t>
      </w:r>
      <w:r>
        <w:rPr>
          <w:spacing w:val="-77"/>
          <w:w w:val="100"/>
        </w:rPr>
      </w:r>
      <w:r>
        <w:rPr/>
        <w:t>基金。</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日，公司与会同宏誉、李伟建先生签署《厦门会同产业升级并购合伙企业</w:t>
      </w:r>
    </w:p>
    <w:p>
      <w:pPr>
        <w:pStyle w:val="BodyText"/>
        <w:spacing w:line="297" w:lineRule="auto" w:before="13"/>
        <w:ind w:left="138" w:right="127"/>
        <w:jc w:val="both"/>
      </w:pPr>
      <w:r>
        <w:rPr>
          <w:spacing w:val="-5"/>
          <w:w w:val="100"/>
        </w:rPr>
        <w:t>（有限合伙）之合伙协议》，确认了产业升级并购基金设立事宜。</w:t>
      </w:r>
      <w:r>
        <w:rPr>
          <w:rFonts w:ascii="Times New Roman" w:hAnsi="Times New Roman" w:cs="Times New Roman" w:eastAsia="Times New Roman" w:hint="default"/>
          <w:spacing w:val="-5"/>
          <w:w w:val="100"/>
        </w:rPr>
        <w:t>2016</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w w:val="100"/>
        </w:rPr>
        <w:t> </w:t>
      </w:r>
      <w:r>
        <w:rPr>
          <w:w w:val="100"/>
        </w:rPr>
        <w:t>月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27"/>
          <w:w w:val="100"/>
        </w:rPr>
        <w:t> </w:t>
      </w:r>
      <w:r>
        <w:rPr>
          <w:spacing w:val="-1"/>
          <w:w w:val="100"/>
        </w:rPr>
        <w:t>日，公司参与</w:t>
      </w:r>
      <w:r>
        <w:rPr>
          <w:w w:val="100"/>
        </w:rPr>
        <w:t> </w:t>
      </w:r>
      <w:r>
        <w:rPr>
          <w:spacing w:val="-6"/>
          <w:w w:val="100"/>
        </w:rPr>
        <w:t>设立的产业升级并购基金</w:t>
      </w:r>
      <w:r>
        <w:rPr>
          <w:rFonts w:ascii="Times New Roman" w:hAnsi="Times New Roman" w:cs="Times New Roman" w:eastAsia="Times New Roman" w:hint="default"/>
          <w:spacing w:val="-6"/>
          <w:w w:val="100"/>
        </w:rPr>
        <w:t>—</w:t>
      </w:r>
      <w:r>
        <w:rPr>
          <w:spacing w:val="-6"/>
          <w:w w:val="100"/>
        </w:rPr>
        <w:t>厦门会同鼎盛股权投资合伙企业（有限合伙）完成工商注册登记手续。</w:t>
      </w:r>
      <w:r>
        <w:rPr>
          <w:spacing w:val="-104"/>
          <w:w w:val="100"/>
        </w:rPr>
        <w:t> </w:t>
      </w:r>
      <w:r>
        <w:rPr>
          <w:spacing w:val="-104"/>
          <w:w w:val="100"/>
        </w:rPr>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日，福建龙溪轴承（集团）股份有限公司（以下简称</w:t>
      </w:r>
      <w:r>
        <w:rPr>
          <w:rFonts w:ascii="Times New Roman" w:hAnsi="Times New Roman" w:cs="Times New Roman" w:eastAsia="Times New Roman" w:hint="default"/>
        </w:rPr>
        <w:t>“</w:t>
      </w:r>
      <w:r>
        <w:rPr/>
        <w:t>龙溪轴承</w:t>
      </w:r>
      <w:r>
        <w:rPr>
          <w:rFonts w:ascii="Times New Roman" w:hAnsi="Times New Roman" w:cs="Times New Roman" w:eastAsia="Times New Roman" w:hint="default"/>
        </w:rPr>
        <w:t>”</w:t>
      </w:r>
      <w:r>
        <w:rPr/>
        <w:t>）作为新的有限</w:t>
      </w:r>
    </w:p>
    <w:p>
      <w:pPr>
        <w:pStyle w:val="BodyText"/>
        <w:spacing w:line="240" w:lineRule="auto" w:before="13"/>
        <w:ind w:left="138" w:right="0"/>
        <w:jc w:val="both"/>
      </w:pPr>
      <w:r>
        <w:rPr>
          <w:w w:val="100"/>
        </w:rPr>
        <w:t>合伙</w:t>
      </w:r>
      <w:r>
        <w:rPr>
          <w:spacing w:val="-3"/>
          <w:w w:val="100"/>
        </w:rPr>
        <w:t>人</w:t>
      </w:r>
      <w:r>
        <w:rPr>
          <w:w w:val="100"/>
        </w:rPr>
        <w:t>以</w:t>
      </w:r>
      <w:r>
        <w:rPr>
          <w:spacing w:val="-3"/>
          <w:w w:val="100"/>
        </w:rPr>
        <w:t>自</w:t>
      </w:r>
      <w:r>
        <w:rPr>
          <w:w w:val="100"/>
        </w:rPr>
        <w:t>有</w:t>
      </w:r>
      <w:r>
        <w:rPr>
          <w:spacing w:val="-3"/>
          <w:w w:val="100"/>
        </w:rPr>
        <w:t>资</w:t>
      </w:r>
      <w:r>
        <w:rPr>
          <w:w w:val="100"/>
        </w:rPr>
        <w:t>金</w:t>
      </w:r>
      <w:r>
        <w:rPr>
          <w:spacing w:val="-3"/>
          <w:w w:val="100"/>
        </w:rPr>
        <w:t>认</w:t>
      </w:r>
      <w:r>
        <w:rPr>
          <w:w w:val="100"/>
        </w:rPr>
        <w:t>缴</w:t>
      </w:r>
      <w:r>
        <w:rPr>
          <w:spacing w:val="-3"/>
          <w:w w:val="100"/>
        </w:rPr>
        <w:t>出</w:t>
      </w:r>
      <w:r>
        <w:rPr>
          <w:w w:val="100"/>
        </w:rPr>
        <w:t>资额</w:t>
      </w:r>
      <w:r>
        <w:rPr>
          <w:spacing w:val="-21"/>
        </w:rPr>
        <w:t> </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万</w:t>
      </w:r>
      <w:r>
        <w:rPr>
          <w:spacing w:val="-3"/>
          <w:w w:val="100"/>
        </w:rPr>
        <w:t>元</w:t>
      </w:r>
      <w:r>
        <w:rPr>
          <w:w w:val="100"/>
        </w:rPr>
        <w:t>，</w:t>
      </w:r>
      <w:r>
        <w:rPr>
          <w:spacing w:val="-3"/>
          <w:w w:val="100"/>
        </w:rPr>
        <w:t>并</w:t>
      </w:r>
      <w:r>
        <w:rPr>
          <w:w w:val="100"/>
        </w:rPr>
        <w:t>与</w:t>
      </w:r>
      <w:r>
        <w:rPr>
          <w:spacing w:val="-3"/>
          <w:w w:val="100"/>
        </w:rPr>
        <w:t>原</w:t>
      </w:r>
      <w:r>
        <w:rPr>
          <w:w w:val="100"/>
        </w:rPr>
        <w:t>合伙</w:t>
      </w:r>
      <w:r>
        <w:rPr>
          <w:spacing w:val="-3"/>
          <w:w w:val="100"/>
        </w:rPr>
        <w:t>人</w:t>
      </w:r>
      <w:r>
        <w:rPr>
          <w:w w:val="100"/>
        </w:rPr>
        <w:t>签</w:t>
      </w:r>
      <w:r>
        <w:rPr>
          <w:spacing w:val="-3"/>
          <w:w w:val="100"/>
        </w:rPr>
        <w:t>署</w:t>
      </w:r>
      <w:r>
        <w:rPr>
          <w:w w:val="100"/>
        </w:rPr>
        <w:t>《</w:t>
      </w:r>
      <w:r>
        <w:rPr>
          <w:spacing w:val="-3"/>
          <w:w w:val="100"/>
        </w:rPr>
        <w:t>入</w:t>
      </w:r>
      <w:r>
        <w:rPr>
          <w:w w:val="100"/>
        </w:rPr>
        <w:t>伙</w:t>
      </w:r>
      <w:r>
        <w:rPr>
          <w:spacing w:val="-3"/>
          <w:w w:val="100"/>
        </w:rPr>
        <w:t>协</w:t>
      </w:r>
      <w:r>
        <w:rPr>
          <w:w w:val="100"/>
        </w:rPr>
        <w:t>议</w:t>
      </w:r>
      <w:r>
        <w:rPr>
          <w:spacing w:val="-106"/>
          <w:w w:val="100"/>
        </w:rPr>
        <w:t>》</w:t>
      </w:r>
      <w:r>
        <w:rPr>
          <w:spacing w:val="-108"/>
          <w:w w:val="100"/>
        </w:rPr>
        <w:t>、</w:t>
      </w:r>
      <w:r>
        <w:rPr>
          <w:w w:val="100"/>
        </w:rPr>
        <w:t>《厦</w:t>
      </w:r>
      <w:r>
        <w:rPr>
          <w:spacing w:val="-3"/>
          <w:w w:val="100"/>
        </w:rPr>
        <w:t>门</w:t>
      </w:r>
      <w:r>
        <w:rPr>
          <w:w w:val="100"/>
        </w:rPr>
        <w:t>会</w:t>
      </w:r>
      <w:r>
        <w:rPr>
          <w:spacing w:val="-3"/>
          <w:w w:val="100"/>
        </w:rPr>
        <w:t>同</w:t>
      </w:r>
      <w:r>
        <w:rPr>
          <w:w w:val="100"/>
        </w:rPr>
        <w:t>鼎</w:t>
      </w:r>
      <w:r>
        <w:rPr>
          <w:spacing w:val="-3"/>
          <w:w w:val="100"/>
        </w:rPr>
        <w:t>盛股</w:t>
      </w:r>
      <w:r>
        <w:rPr>
          <w:w w:val="100"/>
        </w:rPr>
        <w:t>权</w:t>
      </w:r>
    </w:p>
    <w:p>
      <w:pPr>
        <w:pStyle w:val="BodyText"/>
        <w:spacing w:line="240" w:lineRule="auto" w:before="69"/>
        <w:ind w:left="138" w:right="0"/>
        <w:jc w:val="both"/>
      </w:pPr>
      <w:r>
        <w:rPr/>
        <w:t>投资合伙企业（有限合伙）之合伙协议补充协议》等协议，基金的合伙人由</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名增加为</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3"/>
        </w:rPr>
        <w:t>名，第</w:t>
      </w:r>
      <w:r>
        <w:rPr/>
      </w:r>
    </w:p>
    <w:p>
      <w:pPr>
        <w:pStyle w:val="BodyText"/>
        <w:spacing w:line="240" w:lineRule="auto" w:before="69"/>
        <w:ind w:left="138" w:right="0"/>
        <w:jc w:val="both"/>
      </w:pPr>
      <w:r>
        <w:rPr/>
        <w:t>一期基金规模由</w:t>
      </w:r>
      <w:r>
        <w:rPr>
          <w:spacing w:val="-50"/>
        </w:rPr>
        <w:t> </w:t>
      </w:r>
      <w:r>
        <w:rPr>
          <w:rFonts w:ascii="Times New Roman" w:hAnsi="Times New Roman" w:cs="Times New Roman" w:eastAsia="Times New Roman" w:hint="default"/>
        </w:rPr>
        <w:t>30,350</w:t>
      </w:r>
      <w:r>
        <w:rPr>
          <w:rFonts w:ascii="Times New Roman" w:hAnsi="Times New Roman" w:cs="Times New Roman" w:eastAsia="Times New Roman" w:hint="default"/>
          <w:spacing w:val="1"/>
        </w:rPr>
        <w:t> </w:t>
      </w:r>
      <w:r>
        <w:rPr/>
        <w:t>万元增至</w:t>
      </w:r>
      <w:r>
        <w:rPr>
          <w:spacing w:val="-50"/>
        </w:rPr>
        <w:t> </w:t>
      </w:r>
      <w:r>
        <w:rPr>
          <w:rFonts w:ascii="Times New Roman" w:hAnsi="Times New Roman" w:cs="Times New Roman" w:eastAsia="Times New Roman" w:hint="default"/>
        </w:rPr>
        <w:t>35,350 </w:t>
      </w:r>
      <w:r>
        <w:rPr>
          <w:spacing w:val="-4"/>
        </w:rPr>
        <w:t>万元。</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24 </w:t>
      </w:r>
      <w:r>
        <w:rPr>
          <w:spacing w:val="-3"/>
        </w:rPr>
        <w:t>日，该基金已完成新合伙人入伙的</w:t>
      </w:r>
    </w:p>
    <w:p>
      <w:pPr>
        <w:pStyle w:val="BodyText"/>
        <w:spacing w:line="304" w:lineRule="auto" w:before="69"/>
        <w:ind w:left="138" w:right="127"/>
        <w:jc w:val="both"/>
      </w:pPr>
      <w:r>
        <w:rPr/>
        <w:t>工商变更手续。截止</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日，公司对该产业升级并购基金实际投资</w:t>
      </w:r>
      <w:r>
        <w:rPr>
          <w:spacing w:val="-53"/>
        </w:rPr>
        <w:t> </w:t>
      </w:r>
      <w:r>
        <w:rPr>
          <w:rFonts w:ascii="Times New Roman" w:hAnsi="Times New Roman" w:cs="Times New Roman" w:eastAsia="Times New Roman" w:hint="default"/>
        </w:rPr>
        <w:t>950</w:t>
      </w:r>
      <w:r>
        <w:rPr>
          <w:rFonts w:ascii="Times New Roman" w:hAnsi="Times New Roman" w:cs="Times New Roman" w:eastAsia="Times New Roman" w:hint="default"/>
          <w:spacing w:val="-1"/>
        </w:rPr>
        <w:t> </w:t>
      </w:r>
      <w:r>
        <w:rPr/>
        <w:t>万元。厦门会</w:t>
      </w:r>
      <w:r>
        <w:rPr>
          <w:w w:val="100"/>
        </w:rPr>
        <w:t> </w:t>
      </w:r>
      <w:r>
        <w:rPr>
          <w:spacing w:val="-1"/>
        </w:rPr>
        <w:t>同鼎盛股权投资合伙企业（有限合伙）已在中国证券投资基金业协会私募基金登记备案系统完成</w:t>
      </w:r>
      <w:r>
        <w:rPr>
          <w:spacing w:val="-55"/>
        </w:rPr>
        <w:t> </w:t>
      </w:r>
      <w:r>
        <w:rPr>
          <w:spacing w:val="-55"/>
        </w:rPr>
      </w:r>
      <w:r>
        <w:rPr/>
        <w:t>备案，同时开展投资活动。</w:t>
      </w:r>
    </w:p>
    <w:p>
      <w:pPr>
        <w:pStyle w:val="BodyText"/>
        <w:spacing w:line="240" w:lineRule="auto" w:before="28"/>
        <w:ind w:left="558" w:right="130"/>
        <w:jc w:val="left"/>
      </w:pPr>
      <w:r>
        <w:rPr>
          <w:rFonts w:ascii="Times New Roman" w:hAnsi="Times New Roman" w:cs="Times New Roman" w:eastAsia="Times New Roman" w:hint="default"/>
        </w:rPr>
        <w:t>2.</w:t>
      </w:r>
      <w:r>
        <w:rPr/>
        <w:t>发起设立智慧产业投资基金</w:t>
      </w:r>
    </w:p>
    <w:p>
      <w:pPr>
        <w:spacing w:after="0" w:line="240" w:lineRule="auto"/>
        <w:jc w:val="left"/>
        <w:sectPr>
          <w:pgSz w:w="11910" w:h="16840"/>
          <w:pgMar w:header="857" w:footer="979" w:top="1140" w:bottom="1160" w:left="1660" w:right="1140"/>
        </w:sectPr>
      </w:pPr>
    </w:p>
    <w:p>
      <w:pPr>
        <w:spacing w:line="240" w:lineRule="auto" w:before="2"/>
        <w:rPr>
          <w:rFonts w:ascii="宋体" w:hAnsi="宋体" w:cs="宋体" w:eastAsia="宋体" w:hint="default"/>
          <w:sz w:val="29"/>
          <w:szCs w:val="29"/>
        </w:rPr>
      </w:pPr>
    </w:p>
    <w:p>
      <w:pPr>
        <w:pStyle w:val="BodyText"/>
        <w:spacing w:line="302" w:lineRule="auto" w:before="36"/>
        <w:ind w:left="138" w:right="147"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spacing w:val="-3"/>
        </w:rPr>
        <w:t>日，公司第二届董事会第二十七次会议审议通过《关于发起设立智慧产业投</w:t>
      </w:r>
      <w:r>
        <w:rPr>
          <w:w w:val="100"/>
        </w:rPr>
        <w:t> </w:t>
      </w:r>
      <w:r>
        <w:rPr>
          <w:spacing w:val="-6"/>
          <w:w w:val="100"/>
        </w:rPr>
        <w:t>资基金的议案》，同意全资子公司福建南威资产管理有限公司（以下简称</w:t>
      </w:r>
      <w:r>
        <w:rPr>
          <w:rFonts w:ascii="Times New Roman" w:hAnsi="Times New Roman" w:cs="Times New Roman" w:eastAsia="Times New Roman" w:hint="default"/>
          <w:spacing w:val="-6"/>
          <w:w w:val="100"/>
        </w:rPr>
        <w:t>“</w:t>
      </w:r>
      <w:r>
        <w:rPr>
          <w:spacing w:val="-6"/>
          <w:w w:val="100"/>
        </w:rPr>
        <w:t>南威资管</w:t>
      </w:r>
      <w:r>
        <w:rPr>
          <w:rFonts w:ascii="Times New Roman" w:hAnsi="Times New Roman" w:cs="Times New Roman" w:eastAsia="Times New Roman" w:hint="default"/>
          <w:spacing w:val="-6"/>
          <w:w w:val="100"/>
        </w:rPr>
        <w:t>”</w:t>
      </w:r>
      <w:r>
        <w:rPr>
          <w:spacing w:val="-6"/>
          <w:w w:val="100"/>
        </w:rPr>
        <w:t>）参与发起设</w:t>
      </w:r>
      <w:r>
        <w:rPr>
          <w:spacing w:val="-76"/>
          <w:w w:val="100"/>
        </w:rPr>
        <w:t> </w:t>
      </w:r>
      <w:r>
        <w:rPr>
          <w:spacing w:val="-76"/>
          <w:w w:val="100"/>
        </w:rPr>
      </w:r>
      <w:r>
        <w:rPr>
          <w:spacing w:val="-1"/>
        </w:rPr>
        <w:t>立专门为公司投资并购服务的智慧产业投资基金。该基金由南威资管与道高（上海）股权投资基</w:t>
      </w:r>
      <w:r>
        <w:rPr>
          <w:spacing w:val="-55"/>
        </w:rPr>
        <w:t> </w:t>
      </w:r>
      <w:r>
        <w:rPr>
          <w:spacing w:val="-55"/>
        </w:rPr>
      </w:r>
      <w:r>
        <w:rPr>
          <w:spacing w:val="-1"/>
        </w:rPr>
        <w:t>金有限公司共同发起设立的基金管理公司作为执行合伙人，同时公司以自有资金认缴不超过人民</w:t>
      </w:r>
      <w:r>
        <w:rPr>
          <w:spacing w:val="-55"/>
        </w:rPr>
        <w:t> </w:t>
      </w:r>
      <w:r>
        <w:rPr>
          <w:spacing w:val="-55"/>
        </w:rPr>
      </w:r>
      <w:r>
        <w:rPr/>
        <w:t>币</w:t>
      </w:r>
      <w:r>
        <w:rPr>
          <w:spacing w:val="-50"/>
        </w:rPr>
        <w:t> </w:t>
      </w:r>
      <w:r>
        <w:rPr>
          <w:rFonts w:ascii="Times New Roman" w:hAnsi="Times New Roman" w:cs="Times New Roman" w:eastAsia="Times New Roman" w:hint="default"/>
        </w:rPr>
        <w:t>2,500 </w:t>
      </w:r>
      <w:r>
        <w:rPr/>
        <w:t>万元的劣后级有限合伙人份额。</w:t>
      </w: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日，南威资管发起设立的基金管理合伙</w:t>
      </w:r>
      <w:r>
        <w:rPr>
          <w:w w:val="100"/>
        </w:rPr>
        <w:t> </w:t>
      </w:r>
      <w:r>
        <w:rPr>
          <w:spacing w:val="-1"/>
        </w:rPr>
        <w:t>企业</w:t>
      </w:r>
      <w:r>
        <w:rPr>
          <w:rFonts w:ascii="Times New Roman" w:hAnsi="Times New Roman" w:cs="Times New Roman" w:eastAsia="Times New Roman" w:hint="default"/>
          <w:spacing w:val="-1"/>
        </w:rPr>
        <w:t>—</w:t>
      </w:r>
      <w:r>
        <w:rPr>
          <w:spacing w:val="-1"/>
        </w:rPr>
        <w:t>宁波梅山保税港区南威道高投资管理合伙企业（有限合伙）完成工商注册登记手续。截止</w:t>
      </w:r>
      <w:r>
        <w:rPr>
          <w:spacing w:val="-56"/>
        </w:rPr>
        <w:t> </w:t>
      </w:r>
      <w:r>
        <w:rPr>
          <w:spacing w:val="-56"/>
        </w:rPr>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日，南威资管对该基金管理合伙企业实际投资</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万元。截至目前，产业投资基</w:t>
      </w:r>
      <w:r>
        <w:rPr>
          <w:w w:val="100"/>
        </w:rPr>
        <w:t> </w:t>
      </w:r>
      <w:r>
        <w:rPr/>
        <w:t>金尚未设立完成。</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7" w:footer="979" w:top="1140" w:bottom="1160" w:left="1660" w:right="1120"/>
        </w:sectPr>
      </w:pPr>
    </w:p>
    <w:p>
      <w:pPr>
        <w:pStyle w:val="Heading3"/>
        <w:spacing w:line="290" w:lineRule="auto" w:before="36"/>
        <w:ind w:left="138" w:right="-3"/>
        <w:jc w:val="left"/>
        <w:rPr>
          <w:b w:val="0"/>
          <w:bCs w:val="0"/>
        </w:rPr>
      </w:pPr>
      <w:r>
        <w:rPr>
          <w:spacing w:val="-1"/>
        </w:rPr>
        <w:t>十七、母公司财务报表主要项目注释</w:t>
      </w:r>
      <w:r>
        <w:rPr>
          <w:spacing w:val="-91"/>
        </w:rPr>
        <w:t> </w:t>
      </w:r>
      <w:r>
        <w:rPr>
          <w:spacing w:val="-91"/>
        </w:rPr>
      </w:r>
      <w:r>
        <w:rPr>
          <w:rFonts w:ascii="宋体" w:hAnsi="宋体" w:cs="宋体" w:eastAsia="宋体" w:hint="default"/>
        </w:rPr>
        <w:t>1</w:t>
      </w:r>
      <w:r>
        <w:rPr/>
        <w:t>、</w:t>
      </w:r>
      <w:r>
        <w:rPr>
          <w:spacing w:val="3"/>
        </w:rPr>
        <w:t> </w:t>
      </w:r>
      <w:r>
        <w:rPr/>
        <w:t>应收账款</w:t>
      </w:r>
      <w:r>
        <w:rPr>
          <w:b w:val="0"/>
          <w:bCs w:val="0"/>
        </w:rPr>
      </w:r>
    </w:p>
    <w:p>
      <w:pPr>
        <w:pStyle w:val="Heading3"/>
        <w:spacing w:line="240" w:lineRule="auto" w:before="12"/>
        <w:ind w:left="279" w:right="-3"/>
        <w:jc w:val="left"/>
        <w:rPr>
          <w:b w:val="0"/>
          <w:bCs w:val="0"/>
        </w:rPr>
      </w:pPr>
      <w:r>
        <w:rPr>
          <w:rFonts w:ascii="宋体" w:hAnsi="宋体" w:cs="宋体" w:eastAsia="宋体" w:hint="default"/>
        </w:rPr>
        <w:t>(1).</w:t>
      </w:r>
      <w:r>
        <w:rPr>
          <w:rFonts w:ascii="宋体" w:hAnsi="宋体" w:cs="宋体" w:eastAsia="宋体" w:hint="default"/>
          <w:spacing w:val="1"/>
        </w:rPr>
        <w:t> </w:t>
      </w:r>
      <w:r>
        <w:rPr/>
        <w:t>应收账款分类披露：</w:t>
      </w:r>
      <w:r>
        <w:rPr>
          <w:b w:val="0"/>
          <w:bCs w:val="0"/>
        </w:rPr>
      </w:r>
    </w:p>
    <w:p>
      <w:pPr>
        <w:pStyle w:val="BodyText"/>
        <w:tabs>
          <w:tab w:pos="1083" w:val="left" w:leader="none"/>
        </w:tabs>
        <w:spacing w:line="240" w:lineRule="auto" w:before="58"/>
        <w:ind w:left="138" w:right="-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3513" w:space="3220"/>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37"/>
        <w:gridCol w:w="710"/>
        <w:gridCol w:w="713"/>
        <w:gridCol w:w="850"/>
        <w:gridCol w:w="566"/>
        <w:gridCol w:w="1136"/>
        <w:gridCol w:w="1001"/>
        <w:gridCol w:w="451"/>
        <w:gridCol w:w="1059"/>
        <w:gridCol w:w="538"/>
        <w:gridCol w:w="1135"/>
      </w:tblGrid>
      <w:tr>
        <w:trPr>
          <w:trHeight w:val="281" w:hRule="exact"/>
        </w:trPr>
        <w:tc>
          <w:tcPr>
            <w:tcW w:w="7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9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37" w:type="dxa"/>
            <w:vMerge/>
            <w:tcBorders>
              <w:left w:val="single" w:sz="4" w:space="0" w:color="000000"/>
              <w:right w:val="single" w:sz="4" w:space="0" w:color="000000"/>
            </w:tcBorders>
          </w:tcPr>
          <w:p>
            <w:pP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0" w:right="35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0" w:right="35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11" w:hRule="exact"/>
        </w:trPr>
        <w:tc>
          <w:tcPr>
            <w:tcW w:w="737"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211" w:right="0"/>
              <w:jc w:val="left"/>
              <w:rPr>
                <w:rFonts w:ascii="Calibri" w:hAnsi="Calibri" w:cs="Calibri" w:eastAsia="Calibri" w:hint="default"/>
                <w:sz w:val="21"/>
                <w:szCs w:val="21"/>
              </w:rPr>
            </w:pPr>
            <w:r>
              <w:rPr>
                <w:rFonts w:ascii="Calibri"/>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39" w:right="0"/>
              <w:jc w:val="left"/>
              <w:rPr>
                <w:rFonts w:ascii="Calibri" w:hAnsi="Calibri" w:cs="Calibri" w:eastAsia="Calibri" w:hint="default"/>
                <w:sz w:val="21"/>
                <w:szCs w:val="21"/>
              </w:rPr>
            </w:pPr>
            <w:r>
              <w:rPr>
                <w:rFonts w:ascii="Calibri"/>
                <w:sz w:val="21"/>
              </w:rPr>
              <w:t>(%)</w:t>
            </w:r>
          </w:p>
        </w:tc>
        <w:tc>
          <w:tcPr>
            <w:tcW w:w="1136"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7"/>
              <w:ind w:left="81" w:right="0"/>
              <w:jc w:val="left"/>
              <w:rPr>
                <w:rFonts w:ascii="Calibri" w:hAnsi="Calibri" w:cs="Calibri" w:eastAsia="Calibri" w:hint="default"/>
                <w:sz w:val="21"/>
                <w:szCs w:val="21"/>
              </w:rPr>
            </w:pPr>
            <w:r>
              <w:rPr>
                <w:rFonts w:ascii="Calibri"/>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24" w:right="0"/>
              <w:jc w:val="left"/>
              <w:rPr>
                <w:rFonts w:ascii="Calibri" w:hAnsi="Calibri" w:cs="Calibri" w:eastAsia="Calibri" w:hint="default"/>
                <w:sz w:val="21"/>
                <w:szCs w:val="21"/>
              </w:rPr>
            </w:pPr>
            <w:r>
              <w:rPr>
                <w:rFonts w:ascii="Calibri"/>
                <w:sz w:val="21"/>
              </w:rPr>
              <w:t>(%)</w:t>
            </w:r>
          </w:p>
        </w:tc>
        <w:tc>
          <w:tcPr>
            <w:tcW w:w="1135" w:type="dxa"/>
            <w:vMerge/>
            <w:tcBorders>
              <w:left w:val="single" w:sz="4" w:space="0" w:color="000000"/>
              <w:bottom w:val="single" w:sz="4" w:space="0" w:color="000000"/>
              <w:right w:val="single" w:sz="4" w:space="0" w:color="000000"/>
            </w:tcBorders>
          </w:tcPr>
          <w:p>
            <w:pPr/>
          </w:p>
        </w:tc>
      </w:tr>
      <w:tr>
        <w:trPr>
          <w:trHeight w:val="19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3"/>
                <w:sz w:val="21"/>
                <w:szCs w:val="21"/>
              </w:rPr>
              <w:t>单项金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26" w:right="0"/>
              <w:jc w:val="both"/>
              <w:rPr>
                <w:rFonts w:ascii="宋体" w:hAnsi="宋体" w:cs="宋体" w:eastAsia="宋体" w:hint="default"/>
                <w:sz w:val="21"/>
                <w:szCs w:val="21"/>
              </w:rPr>
            </w:pPr>
            <w:r>
              <w:rPr>
                <w:rFonts w:ascii="宋体" w:hAnsi="宋体" w:cs="宋体" w:eastAsia="宋体" w:hint="default"/>
                <w:spacing w:val="13"/>
                <w:sz w:val="21"/>
                <w:szCs w:val="21"/>
              </w:rPr>
              <w:t>额重大</w:t>
            </w:r>
            <w:r>
              <w:rPr>
                <w:rFonts w:ascii="宋体" w:hAnsi="宋体" w:cs="宋体" w:eastAsia="宋体" w:hint="default"/>
                <w:spacing w:val="-99"/>
                <w:sz w:val="21"/>
                <w:szCs w:val="21"/>
              </w:rPr>
              <w:t> </w:t>
            </w:r>
            <w:r>
              <w:rPr>
                <w:rFonts w:ascii="宋体" w:hAnsi="宋体" w:cs="宋体" w:eastAsia="宋体" w:hint="default"/>
                <w:spacing w:val="13"/>
                <w:sz w:val="21"/>
                <w:szCs w:val="21"/>
              </w:rPr>
              <w:t>并单独</w:t>
            </w:r>
            <w:r>
              <w:rPr>
                <w:rFonts w:ascii="宋体" w:hAnsi="宋体" w:cs="宋体" w:eastAsia="宋体" w:hint="default"/>
                <w:spacing w:val="-99"/>
                <w:sz w:val="21"/>
                <w:szCs w:val="21"/>
              </w:rPr>
              <w:t> </w:t>
            </w:r>
            <w:r>
              <w:rPr>
                <w:rFonts w:ascii="宋体" w:hAnsi="宋体" w:cs="宋体" w:eastAsia="宋体" w:hint="default"/>
                <w:spacing w:val="13"/>
                <w:sz w:val="21"/>
                <w:szCs w:val="21"/>
              </w:rPr>
              <w:t>计提坏</w:t>
            </w:r>
            <w:r>
              <w:rPr>
                <w:rFonts w:ascii="宋体" w:hAnsi="宋体" w:cs="宋体" w:eastAsia="宋体" w:hint="default"/>
                <w:spacing w:val="-99"/>
                <w:sz w:val="21"/>
                <w:szCs w:val="21"/>
              </w:rPr>
              <w:t> </w:t>
            </w:r>
            <w:r>
              <w:rPr>
                <w:rFonts w:ascii="宋体" w:hAnsi="宋体" w:cs="宋体" w:eastAsia="宋体" w:hint="default"/>
                <w:spacing w:val="13"/>
                <w:sz w:val="21"/>
                <w:szCs w:val="21"/>
              </w:rPr>
              <w:t>账准备</w:t>
            </w:r>
            <w:r>
              <w:rPr>
                <w:rFonts w:ascii="宋体" w:hAnsi="宋体" w:cs="宋体" w:eastAsia="宋体" w:hint="default"/>
                <w:spacing w:val="-99"/>
                <w:sz w:val="21"/>
                <w:szCs w:val="21"/>
              </w:rPr>
              <w:t> </w:t>
            </w:r>
            <w:r>
              <w:rPr>
                <w:rFonts w:ascii="宋体" w:hAnsi="宋体" w:cs="宋体" w:eastAsia="宋体" w:hint="default"/>
                <w:spacing w:val="13"/>
                <w:sz w:val="21"/>
                <w:szCs w:val="21"/>
              </w:rPr>
              <w:t>的应收</w:t>
            </w:r>
            <w:r>
              <w:rPr>
                <w:rFonts w:ascii="宋体" w:hAnsi="宋体" w:cs="宋体" w:eastAsia="宋体" w:hint="default"/>
                <w:spacing w:val="-99"/>
                <w:sz w:val="21"/>
                <w:szCs w:val="21"/>
              </w:rPr>
              <w:t> </w:t>
            </w:r>
            <w:r>
              <w:rPr>
                <w:rFonts w:ascii="宋体" w:hAnsi="宋体" w:cs="宋体" w:eastAsia="宋体" w:hint="default"/>
                <w:sz w:val="21"/>
                <w:szCs w:val="21"/>
              </w:rPr>
              <w:t>账款</w:t>
            </w: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3"/>
                <w:sz w:val="21"/>
                <w:szCs w:val="21"/>
              </w:rPr>
              <w:t>按信用</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26" w:right="0"/>
              <w:jc w:val="both"/>
              <w:rPr>
                <w:rFonts w:ascii="宋体" w:hAnsi="宋体" w:cs="宋体" w:eastAsia="宋体" w:hint="default"/>
                <w:sz w:val="21"/>
                <w:szCs w:val="21"/>
              </w:rPr>
            </w:pPr>
            <w:r>
              <w:rPr>
                <w:rFonts w:ascii="宋体" w:hAnsi="宋体" w:cs="宋体" w:eastAsia="宋体" w:hint="default"/>
                <w:spacing w:val="13"/>
                <w:sz w:val="21"/>
                <w:szCs w:val="21"/>
              </w:rPr>
              <w:t>风险特</w:t>
            </w:r>
            <w:r>
              <w:rPr>
                <w:rFonts w:ascii="宋体" w:hAnsi="宋体" w:cs="宋体" w:eastAsia="宋体" w:hint="default"/>
                <w:spacing w:val="-99"/>
                <w:sz w:val="21"/>
                <w:szCs w:val="21"/>
              </w:rPr>
              <w:t> </w:t>
            </w:r>
            <w:r>
              <w:rPr>
                <w:rFonts w:ascii="宋体" w:hAnsi="宋体" w:cs="宋体" w:eastAsia="宋体" w:hint="default"/>
                <w:spacing w:val="13"/>
                <w:sz w:val="21"/>
                <w:szCs w:val="21"/>
              </w:rPr>
              <w:t>征组合</w:t>
            </w:r>
            <w:r>
              <w:rPr>
                <w:rFonts w:ascii="宋体" w:hAnsi="宋体" w:cs="宋体" w:eastAsia="宋体" w:hint="default"/>
                <w:spacing w:val="-99"/>
                <w:sz w:val="21"/>
                <w:szCs w:val="21"/>
              </w:rPr>
              <w:t> </w:t>
            </w:r>
            <w:r>
              <w:rPr>
                <w:rFonts w:ascii="宋体" w:hAnsi="宋体" w:cs="宋体" w:eastAsia="宋体" w:hint="default"/>
                <w:spacing w:val="13"/>
                <w:sz w:val="21"/>
                <w:szCs w:val="21"/>
              </w:rPr>
              <w:t>计提坏</w:t>
            </w:r>
            <w:r>
              <w:rPr>
                <w:rFonts w:ascii="宋体" w:hAnsi="宋体" w:cs="宋体" w:eastAsia="宋体" w:hint="default"/>
                <w:spacing w:val="-99"/>
                <w:sz w:val="21"/>
                <w:szCs w:val="21"/>
              </w:rPr>
              <w:t> </w:t>
            </w:r>
            <w:r>
              <w:rPr>
                <w:rFonts w:ascii="宋体" w:hAnsi="宋体" w:cs="宋体" w:eastAsia="宋体" w:hint="default"/>
                <w:spacing w:val="13"/>
                <w:sz w:val="21"/>
                <w:szCs w:val="21"/>
              </w:rPr>
              <w:t>账准备</w:t>
            </w:r>
            <w:r>
              <w:rPr>
                <w:rFonts w:ascii="宋体" w:hAnsi="宋体" w:cs="宋体" w:eastAsia="宋体" w:hint="default"/>
                <w:spacing w:val="-99"/>
                <w:sz w:val="21"/>
                <w:szCs w:val="21"/>
              </w:rPr>
              <w:t> </w:t>
            </w:r>
            <w:r>
              <w:rPr>
                <w:rFonts w:ascii="宋体" w:hAnsi="宋体" w:cs="宋体" w:eastAsia="宋体" w:hint="default"/>
                <w:spacing w:val="13"/>
                <w:sz w:val="21"/>
                <w:szCs w:val="21"/>
              </w:rPr>
              <w:t>的应收</w:t>
            </w:r>
            <w:r>
              <w:rPr>
                <w:rFonts w:ascii="宋体" w:hAnsi="宋体" w:cs="宋体" w:eastAsia="宋体" w:hint="default"/>
                <w:spacing w:val="-99"/>
                <w:sz w:val="21"/>
                <w:szCs w:val="21"/>
              </w:rPr>
              <w:t> </w:t>
            </w:r>
            <w:r>
              <w:rPr>
                <w:rFonts w:ascii="宋体" w:hAnsi="宋体" w:cs="宋体" w:eastAsia="宋体" w:hint="default"/>
                <w:sz w:val="21"/>
                <w:szCs w:val="21"/>
              </w:rPr>
              <w:t>账款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299,14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9,367.2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99.84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32,075,9</w:t>
            </w:r>
          </w:p>
          <w:p>
            <w:pPr>
              <w:pStyle w:val="TableParagraph"/>
              <w:spacing w:line="240" w:lineRule="auto" w:before="1"/>
              <w:ind w:left="340" w:right="0"/>
              <w:jc w:val="left"/>
              <w:rPr>
                <w:rFonts w:ascii="Times New Roman" w:hAnsi="Times New Roman" w:cs="Times New Roman" w:eastAsia="Times New Roman" w:hint="default"/>
                <w:sz w:val="21"/>
                <w:szCs w:val="21"/>
              </w:rPr>
            </w:pPr>
            <w:r>
              <w:rPr>
                <w:rFonts w:ascii="Times New Roman"/>
                <w:sz w:val="21"/>
              </w:rPr>
              <w:t>55.32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267,073,411</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222,676,9</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36.13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99.7</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20,249,684</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.41</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202,427,251</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.72</w:t>
            </w:r>
          </w:p>
        </w:tc>
      </w:tr>
      <w:tr>
        <w:trPr>
          <w:trHeight w:val="19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3"/>
                <w:sz w:val="21"/>
                <w:szCs w:val="21"/>
              </w:rPr>
              <w:t>单项金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26" w:right="0"/>
              <w:jc w:val="both"/>
              <w:rPr>
                <w:rFonts w:ascii="宋体" w:hAnsi="宋体" w:cs="宋体" w:eastAsia="宋体" w:hint="default"/>
                <w:sz w:val="21"/>
                <w:szCs w:val="21"/>
              </w:rPr>
            </w:pPr>
            <w:r>
              <w:rPr>
                <w:rFonts w:ascii="宋体" w:hAnsi="宋体" w:cs="宋体" w:eastAsia="宋体" w:hint="default"/>
                <w:spacing w:val="13"/>
                <w:sz w:val="21"/>
                <w:szCs w:val="21"/>
              </w:rPr>
              <w:t>额不重</w:t>
            </w:r>
            <w:r>
              <w:rPr>
                <w:rFonts w:ascii="宋体" w:hAnsi="宋体" w:cs="宋体" w:eastAsia="宋体" w:hint="default"/>
                <w:spacing w:val="-99"/>
                <w:sz w:val="21"/>
                <w:szCs w:val="21"/>
              </w:rPr>
              <w:t> </w:t>
            </w:r>
            <w:r>
              <w:rPr>
                <w:rFonts w:ascii="宋体" w:hAnsi="宋体" w:cs="宋体" w:eastAsia="宋体" w:hint="default"/>
                <w:spacing w:val="13"/>
                <w:sz w:val="21"/>
                <w:szCs w:val="21"/>
              </w:rPr>
              <w:t>大但单</w:t>
            </w:r>
            <w:r>
              <w:rPr>
                <w:rFonts w:ascii="宋体" w:hAnsi="宋体" w:cs="宋体" w:eastAsia="宋体" w:hint="default"/>
                <w:spacing w:val="-99"/>
                <w:sz w:val="21"/>
                <w:szCs w:val="21"/>
              </w:rPr>
              <w:t> </w:t>
            </w:r>
            <w:r>
              <w:rPr>
                <w:rFonts w:ascii="宋体" w:hAnsi="宋体" w:cs="宋体" w:eastAsia="宋体" w:hint="default"/>
                <w:spacing w:val="13"/>
                <w:sz w:val="21"/>
                <w:szCs w:val="21"/>
              </w:rPr>
              <w:t>独计提</w:t>
            </w:r>
            <w:r>
              <w:rPr>
                <w:rFonts w:ascii="宋体" w:hAnsi="宋体" w:cs="宋体" w:eastAsia="宋体" w:hint="default"/>
                <w:spacing w:val="-99"/>
                <w:sz w:val="21"/>
                <w:szCs w:val="21"/>
              </w:rPr>
              <w:t> </w:t>
            </w:r>
            <w:r>
              <w:rPr>
                <w:rFonts w:ascii="宋体" w:hAnsi="宋体" w:cs="宋体" w:eastAsia="宋体" w:hint="default"/>
                <w:spacing w:val="13"/>
                <w:sz w:val="21"/>
                <w:szCs w:val="21"/>
              </w:rPr>
              <w:t>坏账准</w:t>
            </w:r>
            <w:r>
              <w:rPr>
                <w:rFonts w:ascii="宋体" w:hAnsi="宋体" w:cs="宋体" w:eastAsia="宋体" w:hint="default"/>
                <w:spacing w:val="-99"/>
                <w:sz w:val="21"/>
                <w:szCs w:val="21"/>
              </w:rPr>
              <w:t> </w:t>
            </w:r>
            <w:r>
              <w:rPr>
                <w:rFonts w:ascii="宋体" w:hAnsi="宋体" w:cs="宋体" w:eastAsia="宋体" w:hint="default"/>
                <w:spacing w:val="13"/>
                <w:sz w:val="21"/>
                <w:szCs w:val="21"/>
              </w:rPr>
              <w:t>备的应</w:t>
            </w:r>
            <w:r>
              <w:rPr>
                <w:rFonts w:ascii="宋体" w:hAnsi="宋体" w:cs="宋体" w:eastAsia="宋体" w:hint="default"/>
                <w:spacing w:val="-99"/>
                <w:sz w:val="21"/>
                <w:szCs w:val="21"/>
              </w:rPr>
              <w:t> </w:t>
            </w:r>
            <w:r>
              <w:rPr>
                <w:rFonts w:ascii="宋体" w:hAnsi="宋体" w:cs="宋体" w:eastAsia="宋体" w:hint="default"/>
                <w:sz w:val="21"/>
                <w:szCs w:val="21"/>
              </w:rPr>
              <w:t>收账款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1" w:lineRule="exact"/>
              <w:ind w:left="95" w:right="0"/>
              <w:jc w:val="left"/>
              <w:rPr>
                <w:rFonts w:ascii="Times New Roman" w:hAnsi="Times New Roman" w:cs="Times New Roman" w:eastAsia="Times New Roman" w:hint="default"/>
                <w:sz w:val="21"/>
                <w:szCs w:val="21"/>
              </w:rPr>
            </w:pPr>
            <w:r>
              <w:rPr>
                <w:rFonts w:ascii="Times New Roman"/>
                <w:sz w:val="21"/>
              </w:rPr>
              <w:t>474,80</w:t>
            </w:r>
          </w:p>
          <w:p>
            <w:pPr>
              <w:pStyle w:val="TableParagraph"/>
              <w:spacing w:line="241" w:lineRule="exact"/>
              <w:ind w:left="307" w:right="0"/>
              <w:jc w:val="left"/>
              <w:rPr>
                <w:rFonts w:ascii="Times New Roman" w:hAnsi="Times New Roman" w:cs="Times New Roman" w:eastAsia="Times New Roman" w:hint="default"/>
                <w:sz w:val="21"/>
                <w:szCs w:val="21"/>
              </w:rPr>
            </w:pPr>
            <w:r>
              <w:rPr>
                <w:rFonts w:ascii="Times New Roman"/>
                <w:sz w:val="21"/>
              </w:rPr>
              <w:t>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474,800.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1" w:lineRule="exact"/>
              <w:ind w:right="21"/>
              <w:jc w:val="right"/>
              <w:rPr>
                <w:rFonts w:ascii="Times New Roman" w:hAnsi="Times New Roman" w:cs="Times New Roman" w:eastAsia="Times New Roman" w:hint="default"/>
                <w:sz w:val="21"/>
                <w:szCs w:val="21"/>
              </w:rPr>
            </w:pPr>
            <w:r>
              <w:rPr>
                <w:rFonts w:ascii="Times New Roman"/>
                <w:spacing w:val="-1"/>
                <w:sz w:val="21"/>
              </w:rPr>
              <w:t>474,800.0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0.21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474,800.00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299,62</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4,167.2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79" w:right="0"/>
              <w:jc w:val="left"/>
              <w:rPr>
                <w:rFonts w:ascii="Times New Roman" w:hAnsi="Times New Roman" w:cs="Times New Roman" w:eastAsia="Times New Roman" w:hint="default"/>
                <w:sz w:val="21"/>
                <w:szCs w:val="21"/>
              </w:rPr>
            </w:pPr>
            <w:r>
              <w:rPr>
                <w:rFonts w:ascii="Times New Roman"/>
                <w:sz w:val="21"/>
              </w:rPr>
              <w:t>32,550,7</w:t>
            </w:r>
          </w:p>
          <w:p>
            <w:pPr>
              <w:pStyle w:val="TableParagraph"/>
              <w:spacing w:line="241" w:lineRule="exact"/>
              <w:ind w:left="340" w:right="0"/>
              <w:jc w:val="left"/>
              <w:rPr>
                <w:rFonts w:ascii="Times New Roman" w:hAnsi="Times New Roman" w:cs="Times New Roman" w:eastAsia="Times New Roman" w:hint="default"/>
                <w:sz w:val="21"/>
                <w:szCs w:val="21"/>
              </w:rPr>
            </w:pPr>
            <w:r>
              <w:rPr>
                <w:rFonts w:ascii="Times New Roman"/>
                <w:sz w:val="21"/>
              </w:rPr>
              <w:t>55.32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2"/>
              <w:jc w:val="right"/>
              <w:rPr>
                <w:rFonts w:ascii="Times New Roman" w:hAnsi="Times New Roman" w:cs="Times New Roman" w:eastAsia="Times New Roman" w:hint="default"/>
                <w:sz w:val="21"/>
                <w:szCs w:val="21"/>
              </w:rPr>
            </w:pPr>
            <w:r>
              <w:rPr>
                <w:rFonts w:ascii="Times New Roman"/>
                <w:spacing w:val="-2"/>
                <w:sz w:val="21"/>
              </w:rPr>
              <w:t>267,073,411</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4" w:right="0"/>
              <w:jc w:val="left"/>
              <w:rPr>
                <w:rFonts w:ascii="Times New Roman" w:hAnsi="Times New Roman" w:cs="Times New Roman" w:eastAsia="Times New Roman" w:hint="default"/>
                <w:sz w:val="21"/>
                <w:szCs w:val="21"/>
              </w:rPr>
            </w:pPr>
            <w:r>
              <w:rPr>
                <w:rFonts w:ascii="Times New Roman"/>
                <w:sz w:val="21"/>
              </w:rPr>
              <w:t>223,151,7</w:t>
            </w:r>
          </w:p>
          <w:p>
            <w:pPr>
              <w:pStyle w:val="TableParagraph"/>
              <w:spacing w:line="241" w:lineRule="exact"/>
              <w:ind w:left="491" w:right="0"/>
              <w:jc w:val="left"/>
              <w:rPr>
                <w:rFonts w:ascii="Times New Roman" w:hAnsi="Times New Roman" w:cs="Times New Roman" w:eastAsia="Times New Roman" w:hint="default"/>
                <w:sz w:val="21"/>
                <w:szCs w:val="21"/>
              </w:rPr>
            </w:pPr>
            <w:r>
              <w:rPr>
                <w:rFonts w:ascii="Times New Roman"/>
                <w:sz w:val="21"/>
              </w:rPr>
              <w:t>36.13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2"/>
              <w:jc w:val="right"/>
              <w:rPr>
                <w:rFonts w:ascii="Times New Roman" w:hAnsi="Times New Roman" w:cs="Times New Roman" w:eastAsia="Times New Roman" w:hint="default"/>
                <w:sz w:val="21"/>
                <w:szCs w:val="21"/>
              </w:rPr>
            </w:pPr>
            <w:r>
              <w:rPr>
                <w:rFonts w:ascii="Times New Roman"/>
                <w:spacing w:val="-1"/>
                <w:sz w:val="21"/>
              </w:rPr>
              <w:t>20,724,484</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.41</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right="21"/>
              <w:jc w:val="right"/>
              <w:rPr>
                <w:rFonts w:ascii="Times New Roman" w:hAnsi="Times New Roman" w:cs="Times New Roman" w:eastAsia="Times New Roman" w:hint="default"/>
                <w:sz w:val="21"/>
                <w:szCs w:val="21"/>
              </w:rPr>
            </w:pPr>
            <w:r>
              <w:rPr>
                <w:rFonts w:ascii="Times New Roman"/>
                <w:spacing w:val="-1"/>
                <w:sz w:val="21"/>
              </w:rPr>
              <w:t>202,427,251</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.72</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660" w:right="1120"/>
        </w:sectPr>
      </w:pPr>
    </w:p>
    <w:p>
      <w:pPr>
        <w:pStyle w:val="BodyText"/>
        <w:spacing w:line="240" w:lineRule="auto" w:before="36"/>
        <w:ind w:left="138" w:right="0"/>
        <w:jc w:val="left"/>
      </w:pPr>
      <w:r>
        <w:rPr>
          <w:spacing w:val="-2"/>
        </w:rPr>
        <w:t>期末单项金额重大并单项计提坏账准备的应收账款：</w:t>
      </w:r>
    </w:p>
    <w:p>
      <w:pPr>
        <w:pStyle w:val="BodyText"/>
        <w:spacing w:line="240" w:lineRule="auto" w:before="58"/>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580" w:bottom="280" w:left="1660" w:right="1120"/>
          <w:cols w:num="2" w:equalWidth="0">
            <w:col w:w="4973" w:space="1760"/>
            <w:col w:w="2397"/>
          </w:cols>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4"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8"/>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8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9"/>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Calibri" w:hAnsi="Calibri" w:cs="Calibri" w:eastAsia="Calibri" w:hint="default"/>
                <w:spacing w:val="-1"/>
                <w:sz w:val="21"/>
                <w:szCs w:val="21"/>
              </w:rPr>
              <w:t>%</w:t>
            </w:r>
            <w:r>
              <w:rPr>
                <w:rFonts w:ascii="宋体" w:hAnsi="宋体" w:cs="宋体" w:eastAsia="宋体" w:hint="default"/>
                <w:spacing w:val="-1"/>
                <w:sz w:val="21"/>
                <w:szCs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正大（中国）服饰有限公司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474,800.00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474,800.00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胜诉执行未果</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474,800.00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474,800.00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40"/>
        </w:sectPr>
      </w:pPr>
    </w:p>
    <w:p>
      <w:pPr>
        <w:pStyle w:val="BodyText"/>
        <w:spacing w:line="240" w:lineRule="auto" w:before="36"/>
        <w:ind w:right="0"/>
        <w:jc w:val="left"/>
      </w:pPr>
      <w:r>
        <w:rPr>
          <w:spacing w:val="-2"/>
        </w:rPr>
        <w:t>组合中，按账龄分析法计提坏账准备的应收账款：</w:t>
      </w:r>
    </w:p>
    <w:p>
      <w:pPr>
        <w:pStyle w:val="BodyText"/>
        <w:tabs>
          <w:tab w:pos="954" w:val="left" w:leader="none"/>
        </w:tabs>
        <w:spacing w:line="240" w:lineRule="auto" w:before="56"/>
        <w:ind w:right="0"/>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4844" w:space="188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7"/>
        <w:gridCol w:w="2165"/>
        <w:gridCol w:w="2114"/>
        <w:gridCol w:w="2093"/>
      </w:tblGrid>
      <w:tr>
        <w:trPr>
          <w:trHeight w:val="310"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Calibri" w:hAnsi="Calibri" w:cs="Calibri" w:eastAsia="Calibri" w:hint="default"/>
                <w:spacing w:val="-1"/>
                <w:sz w:val="21"/>
                <w:szCs w:val="21"/>
              </w:rPr>
              <w:t>%</w:t>
            </w:r>
            <w:r>
              <w:rPr>
                <w:rFonts w:ascii="宋体" w:hAnsi="宋体" w:cs="宋体" w:eastAsia="宋体" w:hint="default"/>
                <w:spacing w:val="-1"/>
                <w:sz w:val="21"/>
                <w:szCs w:val="21"/>
              </w:rPr>
              <w:t>）</w:t>
            </w:r>
          </w:p>
        </w:tc>
      </w:tr>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213,638,619.14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6,409,158.57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30,956,614.35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3,095,661.44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21,104,097.17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4,220,819.43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19,988,336.71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9,994,168.36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7,199,295.08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5,759,436.06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2,596,711.46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2,596,711.46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295,483,673.91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32,075,955.32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10.86</w:t>
            </w:r>
          </w:p>
        </w:tc>
      </w:tr>
    </w:tbl>
    <w:p>
      <w:pPr>
        <w:pStyle w:val="BodyText"/>
        <w:spacing w:line="290" w:lineRule="auto" w:before="26"/>
        <w:ind w:right="6740"/>
        <w:jc w:val="left"/>
      </w:pPr>
      <w:r>
        <w:rPr>
          <w:spacing w:val="-2"/>
        </w:rPr>
        <w:t>确定该组合依据的说明：</w:t>
      </w:r>
      <w:r>
        <w:rPr>
          <w:spacing w:val="-83"/>
        </w:rPr>
        <w:t> </w:t>
      </w:r>
      <w:r>
        <w:rPr>
          <w:spacing w:val="-83"/>
        </w:rPr>
      </w:r>
      <w:r>
        <w:rPr/>
        <w:t>无</w:t>
      </w:r>
    </w:p>
    <w:p>
      <w:pPr>
        <w:spacing w:line="240" w:lineRule="auto" w:before="10"/>
        <w:rPr>
          <w:rFonts w:ascii="宋体" w:hAnsi="宋体" w:cs="宋体" w:eastAsia="宋体" w:hint="default"/>
          <w:sz w:val="20"/>
          <w:szCs w:val="20"/>
        </w:rPr>
      </w:pPr>
    </w:p>
    <w:p>
      <w:pPr>
        <w:pStyle w:val="BodyText"/>
        <w:spacing w:line="240" w:lineRule="auto"/>
        <w:ind w:right="2513"/>
        <w:jc w:val="left"/>
      </w:pPr>
      <w:r>
        <w:rPr/>
        <w:t>组合中，采用余额百分比法计提坏账准备的应收账款：</w:t>
      </w:r>
    </w:p>
    <w:p>
      <w:pPr>
        <w:pStyle w:val="BodyText"/>
        <w:tabs>
          <w:tab w:pos="1060" w:val="left" w:leader="none"/>
        </w:tabs>
        <w:spacing w:line="240" w:lineRule="auto" w:before="56"/>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BodyText"/>
        <w:spacing w:line="240" w:lineRule="auto"/>
        <w:ind w:right="2513"/>
        <w:jc w:val="left"/>
      </w:pPr>
      <w:r>
        <w:rPr/>
        <w:t>组合中，采用其他方法计提坏账准备的应收账款：</w:t>
      </w:r>
    </w:p>
    <w:p>
      <w:pPr>
        <w:pStyle w:val="BodyText"/>
        <w:tabs>
          <w:tab w:pos="1060" w:val="left" w:leader="none"/>
        </w:tabs>
        <w:spacing w:line="240" w:lineRule="auto" w:before="58"/>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26"/>
          <w:szCs w:val="26"/>
        </w:rPr>
      </w:pPr>
    </w:p>
    <w:p>
      <w:pPr>
        <w:pStyle w:val="Heading3"/>
        <w:spacing w:line="240" w:lineRule="auto"/>
        <w:ind w:left="342" w:right="4582"/>
        <w:jc w:val="center"/>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8"/>
        <w:ind w:right="123"/>
        <w:jc w:val="left"/>
      </w:pPr>
      <w:r>
        <w:rPr/>
        <w:t>本期计提坏账准备金额</w:t>
      </w:r>
      <w:r>
        <w:rPr>
          <w:spacing w:val="-56"/>
        </w:rPr>
        <w:t> </w:t>
      </w:r>
      <w:r>
        <w:rPr>
          <w:rFonts w:ascii="Times New Roman" w:hAnsi="Times New Roman" w:cs="Times New Roman" w:eastAsia="Times New Roman" w:hint="default"/>
        </w:rPr>
        <w:t>12,166,045.9</w:t>
      </w:r>
      <w:r>
        <w:rPr>
          <w:rFonts w:ascii="Times New Roman" w:hAnsi="Times New Roman" w:cs="Times New Roman" w:eastAsia="Times New Roman" w:hint="default"/>
          <w:spacing w:val="-6"/>
        </w:rPr>
        <w:t> </w:t>
      </w:r>
      <w:r>
        <w:rPr/>
        <w:t>元；本期无收回或转回坏账准备金额。</w:t>
      </w:r>
    </w:p>
    <w:p>
      <w:pPr>
        <w:spacing w:line="240" w:lineRule="auto" w:before="2"/>
        <w:rPr>
          <w:rFonts w:ascii="宋体" w:hAnsi="宋体" w:cs="宋体" w:eastAsia="宋体" w:hint="default"/>
          <w:sz w:val="18"/>
          <w:szCs w:val="18"/>
        </w:rPr>
      </w:pPr>
    </w:p>
    <w:p>
      <w:pPr>
        <w:pStyle w:val="BodyText"/>
        <w:spacing w:line="273" w:lineRule="exact"/>
        <w:ind w:right="2513"/>
        <w:jc w:val="left"/>
      </w:pPr>
      <w:r>
        <w:rPr/>
        <w:t>其中本期坏账准备收回或转回金额重要的：</w:t>
      </w:r>
    </w:p>
    <w:p>
      <w:pPr>
        <w:pStyle w:val="BodyText"/>
        <w:tabs>
          <w:tab w:pos="1060" w:val="left" w:leader="none"/>
        </w:tabs>
        <w:spacing w:line="300"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left="359" w:right="-18"/>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本期实际核销的应收账款情况</w:t>
      </w:r>
      <w:r>
        <w:rPr>
          <w:b w:val="0"/>
          <w:bCs w:val="0"/>
        </w:rPr>
      </w:r>
    </w:p>
    <w:p>
      <w:pPr>
        <w:pStyle w:val="BodyText"/>
        <w:tabs>
          <w:tab w:pos="954" w:val="left" w:leader="none"/>
        </w:tabs>
        <w:spacing w:line="240" w:lineRule="auto" w:before="56"/>
        <w:ind w:right="-18"/>
        <w:jc w:val="left"/>
      </w:pPr>
      <w:r>
        <w:rPr>
          <w:rFonts w:ascii="Calibri" w:hAnsi="Calibri" w:cs="Calibri" w:eastAsia="Calibri" w:hint="default"/>
        </w:rPr>
        <w:t>√</w:t>
      </w: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630" w:space="310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339,774.99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4" w:lineRule="exact" w:before="36"/>
        <w:ind w:right="2513"/>
        <w:jc w:val="left"/>
      </w:pPr>
      <w:r>
        <w:rPr/>
        <w:t>其中重要的应收账款核销情况</w:t>
      </w:r>
    </w:p>
    <w:p>
      <w:pPr>
        <w:pStyle w:val="BodyText"/>
        <w:tabs>
          <w:tab w:pos="1060" w:val="left" w:leader="none"/>
        </w:tabs>
        <w:spacing w:line="286"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pStyle w:val="BodyText"/>
        <w:spacing w:line="275" w:lineRule="exact"/>
        <w:ind w:right="2513"/>
        <w:jc w:val="left"/>
      </w:pPr>
      <w:r>
        <w:rPr/>
        <w:t>□适用 </w:t>
      </w:r>
      <w:r>
        <w:rPr>
          <w:rFonts w:ascii="Arial" w:hAnsi="Arial" w:cs="Arial" w:eastAsia="Arial" w:hint="default"/>
        </w:rPr>
        <w:t>□</w:t>
      </w:r>
      <w:r>
        <w:rPr>
          <w:rFonts w:ascii="Arial" w:hAnsi="Arial" w:cs="Arial" w:eastAsia="Arial" w:hint="default"/>
          <w:spacing w:val="24"/>
        </w:rPr>
        <w:t> </w:t>
      </w:r>
      <w:r>
        <w:rPr/>
        <w:t>不适用</w:t>
      </w:r>
    </w:p>
    <w:p>
      <w:pPr>
        <w:spacing w:after="0" w:line="275" w:lineRule="exact"/>
        <w:jc w:val="left"/>
        <w:sectPr>
          <w:type w:val="continuous"/>
          <w:pgSz w:w="11910" w:h="16840"/>
          <w:pgMar w:top="1580" w:bottom="280" w:left="1580" w:right="1040"/>
        </w:sectPr>
      </w:pPr>
    </w:p>
    <w:p>
      <w:pPr>
        <w:spacing w:line="240" w:lineRule="auto" w:before="4"/>
        <w:rPr>
          <w:rFonts w:ascii="宋体" w:hAnsi="宋体" w:cs="宋体" w:eastAsia="宋体" w:hint="default"/>
          <w:sz w:val="23"/>
          <w:szCs w:val="23"/>
        </w:rPr>
      </w:pPr>
    </w:p>
    <w:p>
      <w:pPr>
        <w:pStyle w:val="Heading3"/>
        <w:spacing w:line="240" w:lineRule="auto" w:before="36"/>
        <w:ind w:left="679" w:right="463"/>
        <w:jc w:val="left"/>
        <w:rPr>
          <w:b w:val="0"/>
          <w:bCs w:val="0"/>
        </w:rPr>
      </w:pPr>
      <w:r>
        <w:rPr>
          <w:rFonts w:ascii="宋体" w:hAnsi="宋体" w:cs="宋体" w:eastAsia="宋体" w:hint="default"/>
        </w:rPr>
        <w:t>(4).</w:t>
      </w:r>
      <w:r>
        <w:rPr>
          <w:rFonts w:ascii="宋体" w:hAnsi="宋体" w:cs="宋体" w:eastAsia="宋体" w:hint="default"/>
          <w:spacing w:val="-3"/>
        </w:rPr>
        <w:t> </w:t>
      </w:r>
      <w:r>
        <w:rPr/>
        <w:t>按欠款方归集的期末余额前五名的应收账款情况：</w:t>
      </w:r>
      <w:r>
        <w:rPr>
          <w:b w:val="0"/>
          <w:bCs w:val="0"/>
        </w:rPr>
      </w:r>
    </w:p>
    <w:p>
      <w:pPr>
        <w:pStyle w:val="BodyText"/>
        <w:tabs>
          <w:tab w:pos="1483" w:val="left" w:leader="none"/>
        </w:tabs>
        <w:spacing w:line="240" w:lineRule="auto" w:before="58"/>
        <w:ind w:left="538" w:right="463"/>
        <w:jc w:val="left"/>
      </w:pPr>
      <w:r>
        <w:rPr/>
        <w:t>√适用</w:t>
        <w:tab/>
        <w:t>□不适用</w:t>
      </w:r>
    </w:p>
    <w:p>
      <w:pPr>
        <w:spacing w:line="240" w:lineRule="auto" w:before="12"/>
        <w:rPr>
          <w:rFonts w:ascii="宋体" w:hAnsi="宋体" w:cs="宋体" w:eastAsia="宋体" w:hint="default"/>
          <w:sz w:val="21"/>
          <w:szCs w:val="21"/>
        </w:rPr>
      </w:pPr>
    </w:p>
    <w:tbl>
      <w:tblPr>
        <w:tblW w:w="0" w:type="auto"/>
        <w:jc w:val="left"/>
        <w:tblInd w:w="425" w:type="dxa"/>
        <w:tblLayout w:type="fixed"/>
        <w:tblCellMar>
          <w:top w:w="0" w:type="dxa"/>
          <w:left w:w="0" w:type="dxa"/>
          <w:bottom w:w="0" w:type="dxa"/>
          <w:right w:w="0" w:type="dxa"/>
        </w:tblCellMar>
        <w:tblLook w:val="01E0"/>
      </w:tblPr>
      <w:tblGrid>
        <w:gridCol w:w="2206"/>
        <w:gridCol w:w="2206"/>
        <w:gridCol w:w="2206"/>
        <w:gridCol w:w="2206"/>
      </w:tblGrid>
      <w:tr>
        <w:trPr>
          <w:trHeight w:val="55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占应收账款余额的比</w:t>
            </w:r>
          </w:p>
          <w:p>
            <w:pPr>
              <w:pStyle w:val="TableParagraph"/>
              <w:spacing w:line="301" w:lineRule="exact"/>
              <w:ind w:left="2" w:right="0"/>
              <w:jc w:val="center"/>
              <w:rPr>
                <w:rFonts w:ascii="宋体" w:hAnsi="宋体" w:cs="宋体" w:eastAsia="宋体" w:hint="default"/>
                <w:sz w:val="21"/>
                <w:szCs w:val="21"/>
              </w:rPr>
            </w:pPr>
            <w:r>
              <w:rPr>
                <w:rFonts w:ascii="宋体" w:hAnsi="宋体" w:cs="宋体" w:eastAsia="宋体" w:hint="default"/>
                <w:sz w:val="21"/>
                <w:szCs w:val="21"/>
              </w:rPr>
              <w:t>例（</w:t>
            </w:r>
            <w:r>
              <w:rPr>
                <w:rFonts w:ascii="Calibri" w:hAnsi="Calibri" w:cs="Calibri" w:eastAsia="Calibri" w:hint="default"/>
                <w:sz w:val="21"/>
                <w:szCs w:val="21"/>
              </w:rPr>
              <w:t>%</w:t>
            </w:r>
            <w:r>
              <w:rPr>
                <w:rFonts w:ascii="宋体" w:hAnsi="宋体" w:cs="宋体" w:eastAsia="宋体"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55,650,000.00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18.57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1,669,500.00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13,330,908.20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4.45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399,927.25</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11,925,638.00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3.98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357,769.14</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11,020,129.82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3.68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553,808.80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9,590,000.00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287,700.00</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101,516,676.02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33.88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3,268,705.19</w:t>
            </w:r>
          </w:p>
        </w:tc>
      </w:tr>
    </w:tbl>
    <w:p>
      <w:pPr>
        <w:spacing w:line="240" w:lineRule="auto" w:before="12"/>
        <w:rPr>
          <w:rFonts w:ascii="宋体" w:hAnsi="宋体" w:cs="宋体" w:eastAsia="宋体" w:hint="default"/>
          <w:sz w:val="18"/>
          <w:szCs w:val="18"/>
        </w:rPr>
      </w:pPr>
    </w:p>
    <w:p>
      <w:pPr>
        <w:pStyle w:val="Heading3"/>
        <w:spacing w:line="240" w:lineRule="auto" w:before="36"/>
        <w:ind w:left="679" w:right="463"/>
        <w:jc w:val="left"/>
        <w:rPr>
          <w:b w:val="0"/>
          <w:bCs w:val="0"/>
        </w:rPr>
      </w:pPr>
      <w:r>
        <w:rPr>
          <w:rFonts w:ascii="宋体" w:hAnsi="宋体" w:cs="宋体" w:eastAsia="宋体" w:hint="default"/>
        </w:rPr>
        <w:t>(5).</w:t>
      </w:r>
      <w:r>
        <w:rPr>
          <w:rFonts w:ascii="宋体" w:hAnsi="宋体" w:cs="宋体" w:eastAsia="宋体" w:hint="default"/>
          <w:spacing w:val="-2"/>
        </w:rPr>
        <w:t> </w:t>
      </w:r>
      <w:r>
        <w:rPr/>
        <w:t>因金融资产转移而终止确认的应收账款：</w:t>
      </w:r>
      <w:r>
        <w:rPr>
          <w:b w:val="0"/>
          <w:bCs w:val="0"/>
        </w:rPr>
      </w:r>
    </w:p>
    <w:p>
      <w:pPr>
        <w:pStyle w:val="BodyText"/>
        <w:tabs>
          <w:tab w:pos="1483" w:val="left" w:leader="none"/>
        </w:tabs>
        <w:spacing w:line="240" w:lineRule="auto" w:before="58"/>
        <w:ind w:left="538" w:right="463"/>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ind w:left="679" w:right="463"/>
        <w:jc w:val="left"/>
        <w:rPr>
          <w:b w:val="0"/>
          <w:bCs w:val="0"/>
        </w:rPr>
      </w:pPr>
      <w:r>
        <w:rPr>
          <w:rFonts w:ascii="宋体" w:hAnsi="宋体" w:cs="宋体" w:eastAsia="宋体" w:hint="default"/>
        </w:rPr>
        <w:t>(6).</w:t>
      </w:r>
      <w:r>
        <w:rPr>
          <w:rFonts w:ascii="宋体" w:hAnsi="宋体" w:cs="宋体" w:eastAsia="宋体" w:hint="default"/>
          <w:spacing w:val="-3"/>
        </w:rPr>
        <w:t> </w:t>
      </w:r>
      <w:r>
        <w:rPr/>
        <w:t>转移应收账款且继续涉入形成的资产、负债金额：</w:t>
      </w:r>
      <w:r>
        <w:rPr>
          <w:b w:val="0"/>
          <w:bCs w:val="0"/>
        </w:rPr>
      </w:r>
    </w:p>
    <w:p>
      <w:pPr>
        <w:pStyle w:val="BodyText"/>
        <w:tabs>
          <w:tab w:pos="1483" w:val="left" w:leader="none"/>
        </w:tabs>
        <w:spacing w:line="240" w:lineRule="auto" w:before="56"/>
        <w:ind w:left="538" w:right="463"/>
        <w:jc w:val="left"/>
      </w:pPr>
      <w:r>
        <w:rPr/>
        <w:t>□适用</w:t>
        <w:tab/>
      </w:r>
      <w:r>
        <w:rPr>
          <w:rFonts w:ascii="Calibri" w:hAnsi="Calibri" w:cs="Calibri" w:eastAsia="Calibri" w:hint="default"/>
        </w:rPr>
        <w:t>√</w:t>
      </w:r>
      <w:r>
        <w:rPr/>
        <w:t>不适用</w:t>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57" w:footer="979" w:top="1140" w:bottom="1160" w:left="1260" w:right="1120"/>
        </w:sectPr>
      </w:pPr>
    </w:p>
    <w:p>
      <w:pPr>
        <w:pStyle w:val="BodyText"/>
        <w:spacing w:line="274" w:lineRule="exact" w:before="36"/>
        <w:ind w:left="538" w:right="1059"/>
        <w:jc w:val="left"/>
      </w:pPr>
      <w:r>
        <w:rPr/>
        <w:t>其他说明：</w:t>
      </w:r>
    </w:p>
    <w:p>
      <w:pPr>
        <w:tabs>
          <w:tab w:pos="1380" w:val="left" w:leader="none"/>
        </w:tabs>
        <w:spacing w:line="264" w:lineRule="auto" w:before="0"/>
        <w:ind w:left="538" w:right="1059"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Calibri" w:hAnsi="Calibri" w:cs="Calibri" w:eastAsia="Calibri" w:hint="default"/>
          <w:spacing w:val="-2"/>
          <w:sz w:val="21"/>
          <w:szCs w:val="21"/>
        </w:rPr>
        <w:t>√</w:t>
      </w:r>
      <w:r>
        <w:rPr>
          <w:rFonts w:ascii="宋体" w:hAnsi="宋体" w:cs="宋体" w:eastAsia="宋体" w:hint="default"/>
          <w:spacing w:val="-2"/>
          <w:sz w:val="21"/>
          <w:szCs w:val="21"/>
        </w:rPr>
        <w:t>不适用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37"/>
        <w:ind w:left="5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483" w:val="left" w:leader="none"/>
        </w:tabs>
        <w:spacing w:line="240" w:lineRule="auto" w:before="56"/>
        <w:ind w:left="538" w:right="-19"/>
        <w:jc w:val="left"/>
      </w:pPr>
      <w:r>
        <w:rPr/>
        <w:t>√适用</w:t>
        <w:tab/>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580" w:bottom="280" w:left="1260" w:right="1120"/>
          <w:cols w:num="2" w:equalWidth="0">
            <w:col w:w="3177" w:space="3556"/>
            <w:col w:w="279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5"/>
        <w:gridCol w:w="708"/>
        <w:gridCol w:w="427"/>
        <w:gridCol w:w="992"/>
        <w:gridCol w:w="413"/>
        <w:gridCol w:w="1236"/>
        <w:gridCol w:w="1234"/>
        <w:gridCol w:w="367"/>
        <w:gridCol w:w="1133"/>
        <w:gridCol w:w="420"/>
        <w:gridCol w:w="1226"/>
      </w:tblGrid>
      <w:tr>
        <w:trPr>
          <w:trHeight w:val="293"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7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35" w:type="dxa"/>
            <w:vMerge/>
            <w:tcBorders>
              <w:left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0" w:right="40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96" w:right="39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56" w:hRule="exact"/>
        </w:trPr>
        <w:tc>
          <w:tcPr>
            <w:tcW w:w="1135"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69" w:right="66" w:firstLine="33"/>
              <w:jc w:val="both"/>
              <w:rPr>
                <w:rFonts w:ascii="Calibri" w:hAnsi="Calibri" w:cs="Calibri" w:eastAsia="Calibri"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62" w:right="59" w:firstLine="33"/>
              <w:jc w:val="both"/>
              <w:rPr>
                <w:rFonts w:ascii="Calibri" w:hAnsi="Calibri" w:cs="Calibri" w:eastAsia="Calibri"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236"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9" w:lineRule="auto"/>
              <w:ind w:left="38" w:right="37" w:firstLine="33"/>
              <w:jc w:val="both"/>
              <w:rPr>
                <w:rFonts w:ascii="Calibri" w:hAnsi="Calibri" w:cs="Calibri" w:eastAsia="Calibri"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62" w:right="66" w:firstLine="33"/>
              <w:jc w:val="both"/>
              <w:rPr>
                <w:rFonts w:ascii="Calibri" w:hAnsi="Calibri" w:cs="Calibri" w:eastAsia="Calibri"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226" w:type="dxa"/>
            <w:vMerge/>
            <w:tcBorders>
              <w:left w:val="single" w:sz="4" w:space="0" w:color="000000"/>
              <w:bottom w:val="single" w:sz="4" w:space="0" w:color="000000"/>
              <w:right w:val="single" w:sz="4" w:space="0" w:color="000000"/>
            </w:tcBorders>
          </w:tcPr>
          <w:p>
            <w:pPr/>
          </w:p>
        </w:tc>
      </w:tr>
      <w:tr>
        <w:trPr>
          <w:trHeight w:val="137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2"/>
                <w:sz w:val="21"/>
                <w:szCs w:val="21"/>
              </w:rPr>
              <w:t>单项金额重</w:t>
            </w:r>
          </w:p>
          <w:p>
            <w:pPr>
              <w:pStyle w:val="TableParagraph"/>
              <w:spacing w:line="237" w:lineRule="auto"/>
              <w:ind w:left="26" w:right="25"/>
              <w:jc w:val="both"/>
              <w:rPr>
                <w:rFonts w:ascii="宋体" w:hAnsi="宋体" w:cs="宋体" w:eastAsia="宋体" w:hint="default"/>
                <w:sz w:val="21"/>
                <w:szCs w:val="21"/>
              </w:rPr>
            </w:pPr>
            <w:r>
              <w:rPr>
                <w:rFonts w:ascii="宋体" w:hAnsi="宋体" w:cs="宋体" w:eastAsia="宋体" w:hint="default"/>
                <w:spacing w:val="2"/>
                <w:sz w:val="21"/>
                <w:szCs w:val="21"/>
              </w:rPr>
              <w:t>大并单独计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提坏账准备</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的其他应收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2"/>
                <w:sz w:val="21"/>
                <w:szCs w:val="21"/>
              </w:rPr>
              <w:t>按信用风险</w:t>
            </w:r>
          </w:p>
          <w:p>
            <w:pPr>
              <w:pStyle w:val="TableParagraph"/>
              <w:spacing w:line="237" w:lineRule="auto" w:before="2"/>
              <w:ind w:left="26" w:right="25"/>
              <w:jc w:val="both"/>
              <w:rPr>
                <w:rFonts w:ascii="宋体" w:hAnsi="宋体" w:cs="宋体" w:eastAsia="宋体" w:hint="default"/>
                <w:sz w:val="21"/>
                <w:szCs w:val="21"/>
              </w:rPr>
            </w:pPr>
            <w:r>
              <w:rPr>
                <w:rFonts w:ascii="宋体" w:hAnsi="宋体" w:cs="宋体" w:eastAsia="宋体" w:hint="default"/>
                <w:spacing w:val="2"/>
                <w:sz w:val="21"/>
                <w:szCs w:val="21"/>
              </w:rPr>
              <w:t>特征组合计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提坏账准备</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的其他应收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40" w:right="0"/>
              <w:jc w:val="left"/>
              <w:rPr>
                <w:rFonts w:ascii="Times New Roman" w:hAnsi="Times New Roman" w:cs="Times New Roman" w:eastAsia="Times New Roman" w:hint="default"/>
                <w:sz w:val="21"/>
                <w:szCs w:val="21"/>
              </w:rPr>
            </w:pPr>
            <w:r>
              <w:rPr>
                <w:rFonts w:ascii="Times New Roman"/>
                <w:sz w:val="21"/>
              </w:rPr>
              <w:t>69,538,</w:t>
            </w:r>
          </w:p>
          <w:p>
            <w:pPr>
              <w:pStyle w:val="TableParagraph"/>
              <w:spacing w:line="241" w:lineRule="exact"/>
              <w:ind w:left="93" w:right="0"/>
              <w:jc w:val="left"/>
              <w:rPr>
                <w:rFonts w:ascii="Times New Roman" w:hAnsi="Times New Roman" w:cs="Times New Roman" w:eastAsia="Times New Roman" w:hint="default"/>
                <w:sz w:val="21"/>
                <w:szCs w:val="21"/>
              </w:rPr>
            </w:pPr>
            <w:r>
              <w:rPr>
                <w:rFonts w:ascii="Times New Roman"/>
                <w:sz w:val="21"/>
              </w:rPr>
              <w:t>302.45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76"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right="22"/>
              <w:jc w:val="right"/>
              <w:rPr>
                <w:rFonts w:ascii="Times New Roman" w:hAnsi="Times New Roman" w:cs="Times New Roman" w:eastAsia="Times New Roman" w:hint="default"/>
                <w:sz w:val="21"/>
                <w:szCs w:val="21"/>
              </w:rPr>
            </w:pPr>
            <w:r>
              <w:rPr>
                <w:rFonts w:ascii="Times New Roman"/>
                <w:spacing w:val="-1"/>
                <w:sz w:val="21"/>
              </w:rPr>
              <w:t>5,509,189.</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34</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right="23"/>
              <w:jc w:val="right"/>
              <w:rPr>
                <w:rFonts w:ascii="Times New Roman" w:hAnsi="Times New Roman" w:cs="Times New Roman" w:eastAsia="Times New Roman" w:hint="default"/>
                <w:sz w:val="21"/>
                <w:szCs w:val="21"/>
              </w:rPr>
            </w:pPr>
            <w:r>
              <w:rPr>
                <w:rFonts w:ascii="Times New Roman"/>
                <w:sz w:val="21"/>
              </w:rPr>
              <w:t>7.9</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right="17"/>
              <w:jc w:val="right"/>
              <w:rPr>
                <w:rFonts w:ascii="Times New Roman" w:hAnsi="Times New Roman" w:cs="Times New Roman" w:eastAsia="Times New Roman" w:hint="default"/>
                <w:sz w:val="21"/>
                <w:szCs w:val="21"/>
              </w:rPr>
            </w:pPr>
            <w:r>
              <w:rPr>
                <w:rFonts w:ascii="Times New Roman"/>
                <w:spacing w:val="-2"/>
                <w:sz w:val="21"/>
              </w:rPr>
              <w:t>64,029,113.1</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right="24"/>
              <w:jc w:val="right"/>
              <w:rPr>
                <w:rFonts w:ascii="Times New Roman" w:hAnsi="Times New Roman" w:cs="Times New Roman" w:eastAsia="Times New Roman" w:hint="default"/>
                <w:sz w:val="21"/>
                <w:szCs w:val="21"/>
              </w:rPr>
            </w:pPr>
            <w:r>
              <w:rPr>
                <w:rFonts w:ascii="Times New Roman"/>
                <w:spacing w:val="-1"/>
                <w:sz w:val="21"/>
              </w:rPr>
              <w:t>45,807,264.4</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0</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93" w:right="0"/>
              <w:jc w:val="center"/>
              <w:rPr>
                <w:rFonts w:ascii="Times New Roman" w:hAnsi="Times New Roman" w:cs="Times New Roman" w:eastAsia="Times New Roman" w:hint="default"/>
                <w:sz w:val="21"/>
                <w:szCs w:val="21"/>
              </w:rPr>
            </w:pPr>
            <w:r>
              <w:rPr>
                <w:rFonts w:ascii="Times New Roman"/>
                <w:sz w:val="21"/>
              </w:rPr>
              <w:t>10</w:t>
            </w:r>
          </w:p>
          <w:p>
            <w:pPr>
              <w:pStyle w:val="TableParagraph"/>
              <w:spacing w:line="241" w:lineRule="exact"/>
              <w:ind w:left="199"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right="22"/>
              <w:jc w:val="right"/>
              <w:rPr>
                <w:rFonts w:ascii="Times New Roman" w:hAnsi="Times New Roman" w:cs="Times New Roman" w:eastAsia="Times New Roman" w:hint="default"/>
                <w:sz w:val="21"/>
                <w:szCs w:val="21"/>
              </w:rPr>
            </w:pPr>
            <w:r>
              <w:rPr>
                <w:rFonts w:ascii="Times New Roman"/>
                <w:spacing w:val="-1"/>
                <w:sz w:val="21"/>
              </w:rPr>
              <w:t>4,254,633.1</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4</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right="24"/>
              <w:jc w:val="right"/>
              <w:rPr>
                <w:rFonts w:ascii="Times New Roman" w:hAnsi="Times New Roman" w:cs="Times New Roman" w:eastAsia="Times New Roman" w:hint="default"/>
                <w:sz w:val="21"/>
                <w:szCs w:val="21"/>
              </w:rPr>
            </w:pPr>
            <w:r>
              <w:rPr>
                <w:rFonts w:ascii="Times New Roman"/>
                <w:sz w:val="21"/>
              </w:rPr>
              <w:t>9.2</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right="21"/>
              <w:jc w:val="right"/>
              <w:rPr>
                <w:rFonts w:ascii="Times New Roman" w:hAnsi="Times New Roman" w:cs="Times New Roman" w:eastAsia="Times New Roman" w:hint="default"/>
                <w:sz w:val="21"/>
                <w:szCs w:val="21"/>
              </w:rPr>
            </w:pPr>
            <w:r>
              <w:rPr>
                <w:rFonts w:ascii="Times New Roman"/>
                <w:spacing w:val="-1"/>
                <w:sz w:val="21"/>
              </w:rPr>
              <w:t>41,552,631.2</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6</w:t>
            </w:r>
          </w:p>
        </w:tc>
      </w:tr>
      <w:tr>
        <w:trPr>
          <w:trHeight w:val="137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2"/>
                <w:sz w:val="21"/>
                <w:szCs w:val="21"/>
              </w:rPr>
              <w:t>单项金额不</w:t>
            </w:r>
          </w:p>
          <w:p>
            <w:pPr>
              <w:pStyle w:val="TableParagraph"/>
              <w:spacing w:line="237" w:lineRule="auto"/>
              <w:ind w:left="26" w:right="25"/>
              <w:jc w:val="both"/>
              <w:rPr>
                <w:rFonts w:ascii="宋体" w:hAnsi="宋体" w:cs="宋体" w:eastAsia="宋体" w:hint="default"/>
                <w:sz w:val="21"/>
                <w:szCs w:val="21"/>
              </w:rPr>
            </w:pPr>
            <w:r>
              <w:rPr>
                <w:rFonts w:ascii="宋体" w:hAnsi="宋体" w:cs="宋体" w:eastAsia="宋体" w:hint="default"/>
                <w:spacing w:val="2"/>
                <w:sz w:val="21"/>
                <w:szCs w:val="21"/>
              </w:rPr>
              <w:t>重大但单独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计提坏账准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备的其他应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收款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r>
      <w:tr>
        <w:trPr>
          <w:trHeight w:val="49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 w:right="0"/>
              <w:jc w:val="left"/>
              <w:rPr>
                <w:rFonts w:ascii="Times New Roman" w:hAnsi="Times New Roman" w:cs="Times New Roman" w:eastAsia="Times New Roman" w:hint="default"/>
                <w:sz w:val="21"/>
                <w:szCs w:val="21"/>
              </w:rPr>
            </w:pPr>
            <w:r>
              <w:rPr>
                <w:rFonts w:ascii="Times New Roman"/>
                <w:sz w:val="21"/>
              </w:rPr>
              <w:t>69,538,</w:t>
            </w:r>
          </w:p>
          <w:p>
            <w:pPr>
              <w:pStyle w:val="TableParagraph"/>
              <w:spacing w:line="241" w:lineRule="exact"/>
              <w:ind w:left="93" w:right="0"/>
              <w:jc w:val="left"/>
              <w:rPr>
                <w:rFonts w:ascii="Times New Roman" w:hAnsi="Times New Roman" w:cs="Times New Roman" w:eastAsia="Times New Roman" w:hint="default"/>
                <w:sz w:val="21"/>
                <w:szCs w:val="21"/>
              </w:rPr>
            </w:pPr>
            <w:r>
              <w:rPr>
                <w:rFonts w:ascii="Times New Roman"/>
                <w:sz w:val="21"/>
              </w:rPr>
              <w:t>302.45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5,509,189.</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34</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2"/>
                <w:sz w:val="21"/>
              </w:rPr>
              <w:t>64,029,113.1</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45,807,264.4</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0</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4,254,633.1</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w w:val="100"/>
                <w:sz w:val="21"/>
              </w:rPr>
              <w:t>4</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w w:val="100"/>
                <w:sz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41,552,631.2</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6</w:t>
            </w:r>
          </w:p>
        </w:tc>
      </w:tr>
    </w:tbl>
    <w:p>
      <w:pPr>
        <w:spacing w:after="0" w:line="241" w:lineRule="exact"/>
        <w:jc w:val="right"/>
        <w:rPr>
          <w:rFonts w:ascii="Times New Roman" w:hAnsi="Times New Roman" w:cs="Times New Roman" w:eastAsia="Times New Roman" w:hint="default"/>
          <w:sz w:val="21"/>
          <w:szCs w:val="21"/>
        </w:rPr>
        <w:sectPr>
          <w:type w:val="continuous"/>
          <w:pgSz w:w="11910" w:h="16840"/>
          <w:pgMar w:top="1580" w:bottom="280" w:left="1260" w:right="1120"/>
        </w:sectPr>
      </w:pPr>
    </w:p>
    <w:p>
      <w:pPr>
        <w:spacing w:line="240" w:lineRule="auto" w:before="4"/>
        <w:rPr>
          <w:rFonts w:ascii="宋体" w:hAnsi="宋体" w:cs="宋体" w:eastAsia="宋体" w:hint="default"/>
          <w:sz w:val="23"/>
          <w:szCs w:val="23"/>
        </w:rPr>
      </w:pPr>
    </w:p>
    <w:p>
      <w:pPr>
        <w:pStyle w:val="BodyText"/>
        <w:spacing w:line="240" w:lineRule="auto" w:before="36"/>
        <w:ind w:right="2513"/>
        <w:jc w:val="left"/>
      </w:pPr>
      <w:r>
        <w:rPr/>
        <w:t>期末单项金额重大并单项计提坏账准备的其他应收款：</w:t>
      </w:r>
    </w:p>
    <w:p>
      <w:pPr>
        <w:pStyle w:val="BodyText"/>
        <w:tabs>
          <w:tab w:pos="1060" w:val="left" w:leader="none"/>
        </w:tabs>
        <w:spacing w:line="240" w:lineRule="auto" w:before="58"/>
        <w:ind w:right="2513"/>
        <w:jc w:val="left"/>
      </w:pPr>
      <w:r>
        <w:rPr/>
        <w:t>□适用</w:t>
        <w:tab/>
        <w:t>√不适用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7" w:footer="979" w:top="1140" w:bottom="1160" w:left="1580" w:right="1040"/>
        </w:sectPr>
      </w:pPr>
    </w:p>
    <w:p>
      <w:pPr>
        <w:pStyle w:val="BodyText"/>
        <w:spacing w:line="240" w:lineRule="auto" w:before="36"/>
        <w:ind w:right="0"/>
        <w:jc w:val="left"/>
      </w:pPr>
      <w:r>
        <w:rPr>
          <w:spacing w:val="-2"/>
        </w:rPr>
        <w:t>组合中，按账龄分析法计提坏账准备的其他应收款：</w:t>
      </w:r>
    </w:p>
    <w:p>
      <w:pPr>
        <w:pStyle w:val="BodyText"/>
        <w:tabs>
          <w:tab w:pos="1060" w:val="left" w:leader="none"/>
        </w:tabs>
        <w:spacing w:line="240" w:lineRule="auto" w:before="58"/>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5053" w:space="168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31,762,208.90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952,866.27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9,289,226.19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928,922.62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10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5,061,619.70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1,012,323.94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2,212,242.76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1,106,121.38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226,449.31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181,159.45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1,327,795.68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1,327,795.68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49,879,542.54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5,509,189.34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right="2513"/>
        <w:jc w:val="left"/>
      </w:pPr>
      <w:r>
        <w:rPr/>
        <w:t>确定该组合依据的说明：</w:t>
      </w:r>
    </w:p>
    <w:p>
      <w:pPr>
        <w:pStyle w:val="BodyText"/>
        <w:spacing w:line="273" w:lineRule="exact"/>
        <w:ind w:right="2513"/>
        <w:jc w:val="left"/>
      </w:pPr>
      <w:r>
        <w:rPr>
          <w:w w:val="100"/>
        </w:rPr>
        <w:t>无</w:t>
      </w:r>
    </w:p>
    <w:p>
      <w:pPr>
        <w:spacing w:line="240" w:lineRule="auto" w:before="2"/>
        <w:rPr>
          <w:rFonts w:ascii="宋体" w:hAnsi="宋体" w:cs="宋体" w:eastAsia="宋体" w:hint="default"/>
          <w:sz w:val="24"/>
          <w:szCs w:val="24"/>
        </w:rPr>
      </w:pPr>
    </w:p>
    <w:p>
      <w:pPr>
        <w:pStyle w:val="BodyText"/>
        <w:spacing w:line="240" w:lineRule="auto"/>
        <w:ind w:right="2513"/>
        <w:jc w:val="left"/>
      </w:pPr>
      <w:r>
        <w:rPr/>
        <w:t>组合中，采用余额百分比法计提坏账准备的其他应收款：</w:t>
      </w:r>
    </w:p>
    <w:p>
      <w:pPr>
        <w:pStyle w:val="BodyText"/>
        <w:tabs>
          <w:tab w:pos="1060" w:val="left" w:leader="none"/>
        </w:tabs>
        <w:spacing w:line="240" w:lineRule="auto" w:before="56"/>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BodyText"/>
        <w:spacing w:line="240" w:lineRule="auto"/>
        <w:ind w:right="2513"/>
        <w:jc w:val="left"/>
      </w:pPr>
      <w:r>
        <w:rPr/>
        <w:t>组合中，采用其他方法计提坏账准备的其他应收款：</w:t>
      </w:r>
    </w:p>
    <w:p>
      <w:pPr>
        <w:pStyle w:val="BodyText"/>
        <w:tabs>
          <w:tab w:pos="1163" w:val="left" w:leader="none"/>
        </w:tabs>
        <w:spacing w:line="240" w:lineRule="auto" w:before="58"/>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1970"/>
        <w:jc w:val="left"/>
      </w:pPr>
      <w:r>
        <w:rPr/>
        <w:t>本期计提坏账准备金额</w:t>
      </w:r>
      <w:r>
        <w:rPr>
          <w:spacing w:val="-53"/>
        </w:rPr>
        <w:t> </w:t>
      </w:r>
      <w:r>
        <w:rPr>
          <w:rFonts w:ascii="Times New Roman" w:hAnsi="Times New Roman" w:cs="Times New Roman" w:eastAsia="Times New Roman" w:hint="default"/>
        </w:rPr>
        <w:t>1,462,856.20</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tabs>
          <w:tab w:pos="1060" w:val="left" w:leader="none"/>
        </w:tabs>
        <w:spacing w:line="273" w:lineRule="exact"/>
        <w:ind w:right="2513"/>
        <w:jc w:val="left"/>
      </w:pPr>
      <w:r>
        <w:rPr/>
        <w:t>□适用</w:t>
        <w:tab/>
      </w:r>
      <w:r>
        <w:rPr>
          <w:rFonts w:ascii="Calibri" w:hAnsi="Calibri" w:cs="Calibri" w:eastAsia="Calibri" w:hint="default"/>
        </w:rPr>
        <w:t>√</w:t>
      </w:r>
      <w:r>
        <w:rPr/>
        <w:t>不适用</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tabs>
          <w:tab w:pos="1060" w:val="left" w:leader="none"/>
        </w:tabs>
        <w:spacing w:line="240" w:lineRule="auto" w:before="57"/>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699" w:space="3034"/>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208,300.00</w:t>
            </w:r>
          </w:p>
        </w:tc>
      </w:tr>
    </w:tbl>
    <w:p>
      <w:pPr>
        <w:spacing w:line="240" w:lineRule="auto" w:before="1"/>
        <w:rPr>
          <w:rFonts w:ascii="宋体" w:hAnsi="宋体" w:cs="宋体" w:eastAsia="宋体" w:hint="default"/>
          <w:sz w:val="14"/>
          <w:szCs w:val="14"/>
        </w:rPr>
      </w:pPr>
    </w:p>
    <w:p>
      <w:pPr>
        <w:pStyle w:val="BodyText"/>
        <w:spacing w:line="274" w:lineRule="exact" w:before="36"/>
        <w:ind w:right="2513"/>
        <w:jc w:val="left"/>
      </w:pPr>
      <w:r>
        <w:rPr/>
        <w:t>其中重要的其他应收款核销情况：</w:t>
      </w:r>
    </w:p>
    <w:p>
      <w:pPr>
        <w:pStyle w:val="BodyText"/>
        <w:tabs>
          <w:tab w:pos="1060" w:val="left" w:leader="none"/>
        </w:tabs>
        <w:spacing w:line="272" w:lineRule="exact" w:before="27"/>
        <w:ind w:right="696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r>
        <w:rPr>
          <w:w w:val="100"/>
        </w:rPr>
        <w:t> </w:t>
      </w:r>
      <w:r>
        <w:rPr>
          <w:spacing w:val="-2"/>
        </w:rPr>
        <w:t>其他应收款核销说明：</w:t>
      </w:r>
    </w:p>
    <w:p>
      <w:pPr>
        <w:pStyle w:val="BodyText"/>
        <w:tabs>
          <w:tab w:pos="1163" w:val="left" w:leader="none"/>
        </w:tabs>
        <w:spacing w:line="276"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3"/>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3699" w:space="3034"/>
            <w:col w:w="2557"/>
          </w:cols>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30,324,589.40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21,266,971.15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1,495,971.19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1,924,341.99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16,914,642.30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9,195,623.19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858,439.97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317,693.71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285,899.68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259,449.68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19,658,759.91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12,843,184.68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69,538,302.45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45,807,264.40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40"/>
        </w:sectPr>
      </w:pPr>
    </w:p>
    <w:p>
      <w:pPr>
        <w:pStyle w:val="Heading3"/>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60" w:val="left" w:leader="none"/>
        </w:tabs>
        <w:spacing w:line="240" w:lineRule="auto" w:before="59"/>
        <w:ind w:right="-16"/>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5595" w:space="113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1"/>
        <w:gridCol w:w="1299"/>
        <w:gridCol w:w="1512"/>
        <w:gridCol w:w="1275"/>
        <w:gridCol w:w="1709"/>
        <w:gridCol w:w="1620"/>
      </w:tblGrid>
      <w:tr>
        <w:trPr>
          <w:trHeight w:val="82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pacing w:val="-1"/>
                <w:sz w:val="21"/>
                <w:szCs w:val="21"/>
              </w:rPr>
              <w:t>款项的性质</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55"/>
              <w:jc w:val="right"/>
              <w:rPr>
                <w:rFonts w:ascii="宋体" w:hAnsi="宋体" w:cs="宋体" w:eastAsia="宋体" w:hint="default"/>
                <w:sz w:val="21"/>
                <w:szCs w:val="21"/>
              </w:rPr>
            </w:pPr>
            <w:r>
              <w:rPr>
                <w:rFonts w:ascii="宋体" w:hAnsi="宋体" w:cs="宋体" w:eastAsia="宋体" w:hint="default"/>
                <w:sz w:val="21"/>
                <w:szCs w:val="21"/>
              </w:rPr>
              <w:t>账龄</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9" w:right="111" w:hanging="387"/>
              <w:jc w:val="left"/>
              <w:rPr>
                <w:rFonts w:ascii="Calibri" w:hAnsi="Calibri" w:cs="Calibri" w:eastAsia="Calibri"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Calibri" w:hAnsi="Calibri" w:cs="Calibri" w:eastAsia="Calibri"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6" w:right="37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一</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7"/>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5,991,500.00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8.62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179,745</w:t>
            </w:r>
          </w:p>
        </w:tc>
      </w:tr>
      <w:tr>
        <w:trPr>
          <w:trHeight w:val="55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二</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7"/>
              <w:jc w:val="right"/>
              <w:rPr>
                <w:rFonts w:ascii="宋体" w:hAnsi="宋体" w:cs="宋体" w:eastAsia="宋体" w:hint="default"/>
                <w:sz w:val="21"/>
                <w:szCs w:val="21"/>
              </w:rPr>
            </w:pPr>
            <w:r>
              <w:rPr>
                <w:rFonts w:ascii="宋体" w:hAnsi="宋体" w:cs="宋体" w:eastAsia="宋体" w:hint="default"/>
                <w:spacing w:val="-1"/>
                <w:sz w:val="21"/>
                <w:szCs w:val="21"/>
              </w:rPr>
              <w:t>履约保证金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5,030,787.00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年以内及</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p>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7.23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155,250.62</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三</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7"/>
              <w:jc w:val="right"/>
              <w:rPr>
                <w:rFonts w:ascii="宋体" w:hAnsi="宋体" w:cs="宋体" w:eastAsia="宋体" w:hint="default"/>
                <w:sz w:val="21"/>
                <w:szCs w:val="21"/>
              </w:rPr>
            </w:pPr>
            <w:r>
              <w:rPr>
                <w:rFonts w:ascii="宋体" w:hAnsi="宋体" w:cs="宋体" w:eastAsia="宋体" w:hint="default"/>
                <w:spacing w:val="-1"/>
                <w:sz w:val="21"/>
                <w:szCs w:val="21"/>
              </w:rPr>
              <w:t>子公司往来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4,446,996.60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r>
      <w:tr>
        <w:trPr>
          <w:trHeight w:val="55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四</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7"/>
              <w:jc w:val="right"/>
              <w:rPr>
                <w:rFonts w:ascii="宋体" w:hAnsi="宋体" w:cs="宋体" w:eastAsia="宋体" w:hint="default"/>
                <w:sz w:val="21"/>
                <w:szCs w:val="21"/>
              </w:rPr>
            </w:pPr>
            <w:r>
              <w:rPr>
                <w:rFonts w:ascii="宋体" w:hAnsi="宋体" w:cs="宋体" w:eastAsia="宋体" w:hint="default"/>
                <w:spacing w:val="-1"/>
                <w:sz w:val="21"/>
                <w:szCs w:val="21"/>
              </w:rPr>
              <w:t>子公司往来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4,049,818.30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年以内及</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p>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5.82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其他应收客户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五</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7"/>
              <w:jc w:val="right"/>
              <w:rPr>
                <w:rFonts w:ascii="宋体" w:hAnsi="宋体" w:cs="宋体" w:eastAsia="宋体" w:hint="default"/>
                <w:sz w:val="21"/>
                <w:szCs w:val="21"/>
              </w:rPr>
            </w:pPr>
            <w:r>
              <w:rPr>
                <w:rFonts w:ascii="宋体" w:hAnsi="宋体" w:cs="宋体" w:eastAsia="宋体" w:hint="default"/>
                <w:spacing w:val="-1"/>
                <w:sz w:val="21"/>
                <w:szCs w:val="21"/>
              </w:rPr>
              <w:t>子公司往来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3,565,142.73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年以内及</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5.13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1"/>
              <w:jc w:val="center"/>
              <w:rPr>
                <w:rFonts w:ascii="Calibri" w:hAnsi="Calibri" w:cs="Calibri" w:eastAsia="Calibri" w:hint="default"/>
                <w:sz w:val="21"/>
                <w:szCs w:val="21"/>
              </w:rPr>
            </w:pPr>
            <w:r>
              <w:rPr>
                <w:rFonts w:ascii="Calibri"/>
                <w:w w:val="100"/>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23,084,244.63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
              <w:jc w:val="center"/>
              <w:rPr>
                <w:rFonts w:ascii="Calibri" w:hAnsi="Calibri" w:cs="Calibri" w:eastAsia="Calibri" w:hint="default"/>
                <w:sz w:val="21"/>
                <w:szCs w:val="21"/>
              </w:rPr>
            </w:pPr>
            <w:r>
              <w:rPr>
                <w:rFonts w:ascii="Calibri"/>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334,995.62</w:t>
            </w:r>
          </w:p>
        </w:tc>
      </w:tr>
    </w:tbl>
    <w:p>
      <w:pPr>
        <w:spacing w:line="240" w:lineRule="auto" w:before="11"/>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tabs>
          <w:tab w:pos="1060" w:val="left" w:leader="none"/>
        </w:tabs>
        <w:spacing w:line="240" w:lineRule="auto" w:before="56"/>
        <w:ind w:right="2513"/>
        <w:jc w:val="left"/>
      </w:pPr>
      <w:r>
        <w:rPr/>
        <w:t>□适用</w:t>
        <w:tab/>
      </w:r>
      <w:r>
        <w:rPr>
          <w:rFonts w:ascii="Calibri" w:hAnsi="Calibri" w:cs="Calibri" w:eastAsia="Calibri" w:hint="default"/>
        </w:rPr>
        <w:t>√</w:t>
      </w:r>
      <w:r>
        <w:rPr/>
        <w:t>不适用</w:t>
      </w:r>
    </w:p>
    <w:p>
      <w:pPr>
        <w:pStyle w:val="Heading3"/>
        <w:spacing w:line="240" w:lineRule="auto" w:before="32"/>
        <w:ind w:right="2513"/>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163" w:val="left" w:leader="none"/>
        </w:tabs>
        <w:spacing w:line="240" w:lineRule="auto" w:before="56"/>
        <w:ind w:right="2513"/>
        <w:jc w:val="left"/>
      </w:pPr>
      <w:r>
        <w:rPr/>
        <w:t>□适用</w:t>
        <w:tab/>
        <w:t>√不适用</w:t>
      </w:r>
    </w:p>
    <w:p>
      <w:pPr>
        <w:spacing w:line="240" w:lineRule="auto" w:before="12"/>
        <w:rPr>
          <w:rFonts w:ascii="宋体" w:hAnsi="宋体" w:cs="宋体" w:eastAsia="宋体" w:hint="default"/>
          <w:sz w:val="23"/>
          <w:szCs w:val="23"/>
        </w:rPr>
      </w:pPr>
    </w:p>
    <w:p>
      <w:pPr>
        <w:pStyle w:val="Heading3"/>
        <w:spacing w:line="240" w:lineRule="auto"/>
        <w:ind w:right="2513"/>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163" w:val="left" w:leader="none"/>
        </w:tabs>
        <w:spacing w:line="240" w:lineRule="auto" w:before="59"/>
        <w:ind w:right="2513"/>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right="2513"/>
        <w:jc w:val="left"/>
      </w:pPr>
      <w:r>
        <w:rPr/>
        <w:t>其他说明：</w:t>
      </w:r>
    </w:p>
    <w:p>
      <w:pPr>
        <w:pStyle w:val="BodyText"/>
        <w:tabs>
          <w:tab w:pos="1163" w:val="left" w:leader="none"/>
        </w:tabs>
        <w:spacing w:line="274" w:lineRule="exact"/>
        <w:ind w:right="2513"/>
        <w:jc w:val="left"/>
      </w:pPr>
      <w:r>
        <w:rPr/>
        <w:t>□适用</w:t>
        <w:tab/>
        <w:t>√不适用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20"/>
        <w:jc w:val="left"/>
      </w:pPr>
      <w:r>
        <w:rPr/>
        <w:t>√适用</w:t>
      </w:r>
      <w:r>
        <w:rPr>
          <w:rFonts w:ascii="Arial" w:hAnsi="Arial" w:cs="Arial" w:eastAsia="Arial" w:hint="default"/>
        </w:rPr>
        <w:t>□</w:t>
      </w:r>
      <w:r>
        <w:rPr>
          <w:rFonts w:ascii="Arial" w:hAnsi="Arial" w:cs="Arial" w:eastAsia="Arial" w:hint="default"/>
          <w:spacing w:val="26"/>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11" w:space="482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92"/>
        <w:gridCol w:w="1544"/>
        <w:gridCol w:w="506"/>
        <w:gridCol w:w="1546"/>
        <w:gridCol w:w="1543"/>
        <w:gridCol w:w="519"/>
        <w:gridCol w:w="1546"/>
      </w:tblGrid>
      <w:tr>
        <w:trPr>
          <w:trHeight w:val="283" w:hRule="exact"/>
        </w:trPr>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692" w:type="dxa"/>
            <w:vMerge/>
            <w:tcBorders>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382,799,203.10</w:t>
            </w:r>
          </w:p>
        </w:tc>
        <w:tc>
          <w:tcPr>
            <w:tcW w:w="5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382,799,203.10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255,201,667.00</w:t>
            </w:r>
          </w:p>
        </w:tc>
        <w:tc>
          <w:tcPr>
            <w:tcW w:w="51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255,201,667.00</w:t>
            </w:r>
          </w:p>
        </w:tc>
      </w:tr>
      <w:tr>
        <w:trPr>
          <w:trHeight w:val="55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88,197,584.28</w:t>
            </w:r>
          </w:p>
        </w:tc>
        <w:tc>
          <w:tcPr>
            <w:tcW w:w="50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88,197,584.28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154,576.56</w:t>
            </w:r>
          </w:p>
        </w:tc>
        <w:tc>
          <w:tcPr>
            <w:tcW w:w="51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154,576.56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692"/>
        <w:gridCol w:w="1544"/>
        <w:gridCol w:w="506"/>
        <w:gridCol w:w="1546"/>
        <w:gridCol w:w="1543"/>
        <w:gridCol w:w="519"/>
        <w:gridCol w:w="1546"/>
      </w:tblGrid>
      <w:tr>
        <w:trPr>
          <w:trHeight w:val="28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Times New Roman" w:hAnsi="Times New Roman" w:cs="Times New Roman" w:eastAsia="Times New Roman" w:hint="default"/>
                <w:sz w:val="21"/>
                <w:szCs w:val="21"/>
              </w:rPr>
            </w:pPr>
            <w:r>
              <w:rPr>
                <w:rFonts w:ascii="Times New Roman"/>
                <w:sz w:val="21"/>
              </w:rPr>
              <w:t>470,996,787.38</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6" w:right="0"/>
              <w:jc w:val="left"/>
              <w:rPr>
                <w:rFonts w:ascii="Times New Roman" w:hAnsi="Times New Roman" w:cs="Times New Roman" w:eastAsia="Times New Roman" w:hint="default"/>
                <w:sz w:val="21"/>
                <w:szCs w:val="21"/>
              </w:rPr>
            </w:pPr>
            <w:r>
              <w:rPr>
                <w:rFonts w:ascii="Times New Roman"/>
                <w:sz w:val="21"/>
              </w:rPr>
              <w:t>470,996,787.38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Times New Roman" w:hAnsi="Times New Roman" w:cs="Times New Roman" w:eastAsia="Times New Roman" w:hint="default"/>
                <w:sz w:val="21"/>
                <w:szCs w:val="21"/>
              </w:rPr>
            </w:pPr>
            <w:r>
              <w:rPr>
                <w:rFonts w:ascii="Times New Roman"/>
                <w:sz w:val="21"/>
              </w:rPr>
              <w:t>255,356,243.56</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6" w:right="0"/>
              <w:jc w:val="left"/>
              <w:rPr>
                <w:rFonts w:ascii="Times New Roman" w:hAnsi="Times New Roman" w:cs="Times New Roman" w:eastAsia="Times New Roman" w:hint="default"/>
                <w:sz w:val="21"/>
                <w:szCs w:val="21"/>
              </w:rPr>
            </w:pPr>
            <w:r>
              <w:rPr>
                <w:rFonts w:ascii="Times New Roman"/>
                <w:sz w:val="21"/>
              </w:rPr>
              <w:t>255,356,243.56</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40" w:bottom="1160" w:left="1580" w:right="1040"/>
        </w:sectPr>
      </w:pPr>
    </w:p>
    <w:p>
      <w:pPr>
        <w:pStyle w:val="Heading3"/>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tabs>
          <w:tab w:pos="1060" w:val="left" w:leader="none"/>
        </w:tabs>
        <w:spacing w:line="240" w:lineRule="auto" w:before="58"/>
        <w:ind w:right="-9"/>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11" w:space="482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6"/>
        <w:gridCol w:w="1537"/>
        <w:gridCol w:w="1728"/>
        <w:gridCol w:w="1623"/>
        <w:gridCol w:w="1729"/>
        <w:gridCol w:w="545"/>
        <w:gridCol w:w="542"/>
      </w:tblGrid>
      <w:tr>
        <w:trPr>
          <w:trHeight w:val="218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4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3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3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60" w:right="16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60" w:right="158"/>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55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福建南威软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z w:val="21"/>
              </w:rPr>
              <w:t>100,000,000.00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6,284,308.45</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106,284,308.45</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6"/>
                <w:w w:val="100"/>
                <w:sz w:val="21"/>
                <w:szCs w:val="21"/>
              </w:rPr>
              <w:t>智慧城</w:t>
            </w:r>
            <w:r>
              <w:rPr>
                <w:rFonts w:ascii="宋体" w:hAnsi="宋体" w:cs="宋体" w:eastAsia="宋体" w:hint="default"/>
                <w:w w:val="100"/>
                <w:sz w:val="21"/>
                <w:szCs w:val="21"/>
              </w:rPr>
              <w:t>市</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37" w:lineRule="auto"/>
              <w:ind w:left="103" w:right="2"/>
              <w:jc w:val="left"/>
              <w:rPr>
                <w:rFonts w:ascii="宋体" w:hAnsi="宋体" w:cs="宋体" w:eastAsia="宋体" w:hint="default"/>
                <w:sz w:val="21"/>
                <w:szCs w:val="21"/>
              </w:rPr>
            </w:pPr>
            <w:r>
              <w:rPr>
                <w:rFonts w:ascii="宋体" w:hAnsi="宋体" w:cs="宋体" w:eastAsia="宋体" w:hint="default"/>
                <w:spacing w:val="71"/>
                <w:w w:val="100"/>
                <w:sz w:val="21"/>
                <w:szCs w:val="21"/>
              </w:rPr>
              <w:t>（泉州丰</w:t>
            </w:r>
            <w:r>
              <w:rPr>
                <w:rFonts w:ascii="宋体" w:hAnsi="宋体" w:cs="宋体" w:eastAsia="宋体" w:hint="default"/>
                <w:spacing w:val="-102"/>
                <w:w w:val="100"/>
                <w:sz w:val="21"/>
                <w:szCs w:val="21"/>
              </w:rPr>
              <w:t> </w:t>
            </w:r>
            <w:r>
              <w:rPr>
                <w:rFonts w:ascii="宋体" w:hAnsi="宋体" w:cs="宋体" w:eastAsia="宋体" w:hint="default"/>
                <w:spacing w:val="14"/>
                <w:sz w:val="21"/>
                <w:szCs w:val="21"/>
              </w:rPr>
              <w:t>泽）运营管</w:t>
            </w:r>
            <w:r>
              <w:rPr>
                <w:rFonts w:ascii="宋体" w:hAnsi="宋体" w:cs="宋体" w:eastAsia="宋体" w:hint="default"/>
                <w:spacing w:val="-94"/>
                <w:sz w:val="21"/>
                <w:szCs w:val="21"/>
              </w:rPr>
              <w:t> </w:t>
            </w:r>
            <w:r>
              <w:rPr>
                <w:rFonts w:ascii="宋体" w:hAnsi="宋体" w:cs="宋体" w:eastAsia="宋体" w:hint="default"/>
                <w:sz w:val="21"/>
                <w:szCs w:val="21"/>
              </w:rPr>
              <w:t>理有限公司</w:t>
            </w:r>
          </w:p>
        </w:tc>
        <w:tc>
          <w:tcPr>
            <w:tcW w:w="1537"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90,709,392.10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90,709,392.10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泉州威盾智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能交通系统</w:t>
            </w:r>
            <w:r>
              <w:rPr>
                <w:rFonts w:ascii="宋体" w:hAnsi="宋体" w:cs="宋体" w:eastAsia="宋体" w:hint="default"/>
                <w:spacing w:val="-94"/>
                <w:sz w:val="21"/>
                <w:szCs w:val="21"/>
              </w:rPr>
              <w:t> </w:t>
            </w:r>
            <w:r>
              <w:rPr>
                <w:rFonts w:ascii="宋体" w:hAnsi="宋体" w:cs="宋体" w:eastAsia="宋体" w:hint="default"/>
                <w:sz w:val="21"/>
                <w:szCs w:val="21"/>
              </w:rPr>
              <w:t>有限公司</w:t>
            </w:r>
          </w:p>
        </w:tc>
        <w:tc>
          <w:tcPr>
            <w:tcW w:w="1537"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北京万创聚</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力科技有限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30,000,000.00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1,146,549.15</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31,146,549.15</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福建网链科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center"/>
              <w:rPr>
                <w:rFonts w:ascii="Times New Roman" w:hAnsi="Times New Roman" w:cs="Times New Roman" w:eastAsia="Times New Roman" w:hint="default"/>
                <w:sz w:val="21"/>
                <w:szCs w:val="21"/>
              </w:rPr>
            </w:pPr>
            <w:r>
              <w:rPr>
                <w:rFonts w:ascii="Times New Roman"/>
                <w:sz w:val="21"/>
              </w:rPr>
              <w:t>4,666,667.00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6,550,124.45</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11,216,791.45</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厦门市南威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软件科技有</w:t>
            </w:r>
            <w:r>
              <w:rPr>
                <w:rFonts w:ascii="宋体" w:hAnsi="宋体" w:cs="宋体" w:eastAsia="宋体" w:hint="default"/>
                <w:spacing w:val="-94"/>
                <w:sz w:val="21"/>
                <w:szCs w:val="21"/>
              </w:rPr>
              <w:t> </w:t>
            </w:r>
            <w:r>
              <w:rPr>
                <w:rFonts w:ascii="宋体" w:hAnsi="宋体" w:cs="宋体" w:eastAsia="宋体" w:hint="default"/>
                <w:sz w:val="21"/>
                <w:szCs w:val="21"/>
              </w:rPr>
              <w:t>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5,000,000.00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5,461,492.72</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10,461,492.72</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浙江易政信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息技术有限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10,000,000.00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231,705.54</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10,231,705.54</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北京南威科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4" w:right="0"/>
              <w:jc w:val="center"/>
              <w:rPr>
                <w:rFonts w:ascii="Times New Roman" w:hAnsi="Times New Roman" w:cs="Times New Roman" w:eastAsia="Times New Roman" w:hint="default"/>
                <w:sz w:val="21"/>
                <w:szCs w:val="21"/>
              </w:rPr>
            </w:pPr>
            <w:r>
              <w:rPr>
                <w:rFonts w:ascii="Times New Roman"/>
                <w:sz w:val="21"/>
              </w:rPr>
              <w:t>10,000,000.00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31,596.25</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10,031,596.25</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重庆南威信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息技术有限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10,000,000.00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23,397.48</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10,023,397.48</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福建南威资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产管理有限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10,000,000.00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上海宜喆智</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能科技有限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7,000,000.00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北京南威水</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科技术有限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5,100,000.00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338,505.08</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5,438,505.08</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江西南威软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0" w:right="0"/>
              <w:jc w:val="center"/>
              <w:rPr>
                <w:rFonts w:ascii="Times New Roman" w:hAnsi="Times New Roman" w:cs="Times New Roman" w:eastAsia="Times New Roman" w:hint="default"/>
                <w:sz w:val="21"/>
                <w:szCs w:val="21"/>
              </w:rPr>
            </w:pPr>
            <w:r>
              <w:rPr>
                <w:rFonts w:ascii="Times New Roman"/>
                <w:sz w:val="21"/>
              </w:rPr>
              <w:t>5,000,000.00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122,172.00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5,122,172.00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46"/>
        <w:gridCol w:w="1537"/>
        <w:gridCol w:w="1728"/>
        <w:gridCol w:w="1623"/>
        <w:gridCol w:w="1729"/>
        <w:gridCol w:w="545"/>
        <w:gridCol w:w="542"/>
      </w:tblGrid>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安徽国正信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息科技有限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5,000,000.00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45,634.69</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5,045,634.69</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北京南威思</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103" w:right="79"/>
              <w:jc w:val="both"/>
              <w:rPr>
                <w:rFonts w:ascii="宋体" w:hAnsi="宋体" w:cs="宋体" w:eastAsia="宋体" w:hint="default"/>
                <w:sz w:val="21"/>
                <w:szCs w:val="21"/>
              </w:rPr>
            </w:pPr>
            <w:r>
              <w:rPr>
                <w:rFonts w:ascii="宋体" w:hAnsi="宋体" w:cs="宋体" w:eastAsia="宋体" w:hint="default"/>
                <w:spacing w:val="14"/>
                <w:sz w:val="21"/>
                <w:szCs w:val="21"/>
              </w:rPr>
              <w:t>明德大数据</w:t>
            </w:r>
            <w:r>
              <w:rPr>
                <w:rFonts w:ascii="宋体" w:hAnsi="宋体" w:cs="宋体" w:eastAsia="宋体" w:hint="default"/>
                <w:spacing w:val="-94"/>
                <w:sz w:val="21"/>
                <w:szCs w:val="21"/>
              </w:rPr>
              <w:t> </w:t>
            </w:r>
            <w:r>
              <w:rPr>
                <w:rFonts w:ascii="宋体" w:hAnsi="宋体" w:cs="宋体" w:eastAsia="宋体" w:hint="default"/>
                <w:spacing w:val="14"/>
                <w:sz w:val="21"/>
                <w:szCs w:val="21"/>
              </w:rPr>
              <w:t>科技有限公</w:t>
            </w:r>
            <w:r>
              <w:rPr>
                <w:rFonts w:ascii="宋体" w:hAnsi="宋体" w:cs="宋体" w:eastAsia="宋体" w:hint="default"/>
                <w:spacing w:val="-94"/>
                <w:sz w:val="21"/>
                <w:szCs w:val="21"/>
              </w:rPr>
              <w:t> </w:t>
            </w:r>
            <w:r>
              <w:rPr>
                <w:rFonts w:ascii="宋体" w:hAnsi="宋体" w:cs="宋体" w:eastAsia="宋体" w:hint="default"/>
                <w:sz w:val="21"/>
                <w:szCs w:val="21"/>
              </w:rPr>
              <w:t>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4,900,000.00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124,804.97</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5,024,804.97</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昌吉州南威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软件有限公</w:t>
            </w:r>
            <w:r>
              <w:rPr>
                <w:rFonts w:ascii="宋体" w:hAnsi="宋体" w:cs="宋体" w:eastAsia="宋体" w:hint="default"/>
                <w:spacing w:val="-94"/>
                <w:sz w:val="21"/>
                <w:szCs w:val="21"/>
              </w:rPr>
              <w:t> </w:t>
            </w:r>
            <w:r>
              <w:rPr>
                <w:rFonts w:ascii="宋体" w:hAnsi="宋体" w:cs="宋体" w:eastAsia="宋体" w:hint="default"/>
                <w:sz w:val="21"/>
                <w:szCs w:val="21"/>
              </w:rPr>
              <w:t>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5,000,000.00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福建威盾科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37"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4,034,786.17</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4,034,786.17</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西安南威信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息科技有限</w:t>
            </w:r>
            <w:r>
              <w:rPr>
                <w:rFonts w:ascii="宋体" w:hAnsi="宋体" w:cs="宋体" w:eastAsia="宋体" w:hint="default"/>
                <w:spacing w:val="-94"/>
                <w:sz w:val="21"/>
                <w:szCs w:val="21"/>
              </w:rPr>
              <w:t> </w:t>
            </w:r>
            <w:r>
              <w:rPr>
                <w:rFonts w:ascii="宋体" w:hAnsi="宋体" w:cs="宋体" w:eastAsia="宋体" w:hint="default"/>
                <w:sz w:val="21"/>
                <w:szCs w:val="21"/>
              </w:rPr>
              <w:t>责任公司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3,500,000.00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30,884.76</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3,530,884.76</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上海南信信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息科技有限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2,100,000.00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147,448.79</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2,247,448.79</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甘肃南威信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息技术有限</w:t>
            </w:r>
            <w:r>
              <w:rPr>
                <w:rFonts w:ascii="宋体" w:hAnsi="宋体" w:cs="宋体" w:eastAsia="宋体" w:hint="default"/>
                <w:spacing w:val="-94"/>
                <w:sz w:val="21"/>
                <w:szCs w:val="21"/>
              </w:rPr>
              <w:t> </w:t>
            </w:r>
            <w:r>
              <w:rPr>
                <w:rFonts w:ascii="宋体" w:hAnsi="宋体" w:cs="宋体" w:eastAsia="宋体" w:hint="default"/>
                <w:sz w:val="21"/>
                <w:szCs w:val="21"/>
              </w:rPr>
              <w:t>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1,530,000.00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6"/>
                <w:w w:val="100"/>
                <w:sz w:val="21"/>
                <w:szCs w:val="21"/>
              </w:rPr>
              <w:t>南威软</w:t>
            </w:r>
            <w:r>
              <w:rPr>
                <w:rFonts w:ascii="宋体" w:hAnsi="宋体" w:cs="宋体" w:eastAsia="宋体" w:hint="default"/>
                <w:w w:val="100"/>
                <w:sz w:val="21"/>
                <w:szCs w:val="21"/>
              </w:rPr>
              <w:t>件</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（海南）有</w:t>
            </w:r>
            <w:r>
              <w:rPr>
                <w:rFonts w:ascii="宋体" w:hAnsi="宋体" w:cs="宋体" w:eastAsia="宋体" w:hint="default"/>
                <w:spacing w:val="-94"/>
                <w:sz w:val="21"/>
                <w:szCs w:val="21"/>
              </w:rPr>
              <w:t> </w:t>
            </w:r>
            <w:r>
              <w:rPr>
                <w:rFonts w:ascii="宋体" w:hAnsi="宋体" w:cs="宋体" w:eastAsia="宋体" w:hint="default"/>
                <w:sz w:val="21"/>
                <w:szCs w:val="21"/>
              </w:rPr>
              <w:t>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1,530,000.00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江苏南威汇</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鼎信息技术</w:t>
            </w:r>
            <w:r>
              <w:rPr>
                <w:rFonts w:ascii="宋体" w:hAnsi="宋体" w:cs="宋体" w:eastAsia="宋体" w:hint="default"/>
                <w:spacing w:val="-94"/>
                <w:sz w:val="21"/>
                <w:szCs w:val="21"/>
              </w:rPr>
              <w:t> </w:t>
            </w:r>
            <w:r>
              <w:rPr>
                <w:rFonts w:ascii="宋体" w:hAnsi="宋体" w:cs="宋体" w:eastAsia="宋体" w:hint="default"/>
                <w:sz w:val="21"/>
                <w:szCs w:val="21"/>
              </w:rPr>
              <w:t>有限公司</w:t>
            </w:r>
          </w:p>
        </w:tc>
        <w:tc>
          <w:tcPr>
            <w:tcW w:w="1537"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1,111,342.17</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1,111,342.17</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成都南威软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center"/>
              <w:rPr>
                <w:rFonts w:ascii="Times New Roman" w:hAnsi="Times New Roman" w:cs="Times New Roman" w:eastAsia="Times New Roman" w:hint="default"/>
                <w:sz w:val="21"/>
                <w:szCs w:val="21"/>
              </w:rPr>
            </w:pPr>
            <w:r>
              <w:rPr>
                <w:rFonts w:ascii="Times New Roman"/>
                <w:sz w:val="21"/>
              </w:rPr>
              <w:t>1,000,000.00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78,391.33</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1,078,391.33</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宁德南威软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center"/>
              <w:rPr>
                <w:rFonts w:ascii="Times New Roman" w:hAnsi="Times New Roman" w:cs="Times New Roman" w:eastAsia="Times New Roman" w:hint="default"/>
                <w:sz w:val="21"/>
                <w:szCs w:val="21"/>
              </w:rPr>
            </w:pPr>
            <w:r>
              <w:rPr>
                <w:rFonts w:ascii="Times New Roman"/>
                <w:sz w:val="21"/>
              </w:rPr>
              <w:t>1,000,000.00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南平南威软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center"/>
              <w:rPr>
                <w:rFonts w:ascii="Times New Roman" w:hAnsi="Times New Roman" w:cs="Times New Roman" w:eastAsia="Times New Roman" w:hint="default"/>
                <w:sz w:val="21"/>
                <w:szCs w:val="21"/>
              </w:rPr>
            </w:pPr>
            <w:r>
              <w:rPr>
                <w:rFonts w:ascii="Times New Roman"/>
                <w:sz w:val="21"/>
              </w:rPr>
              <w:t>1,000,000.00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平潭力信软</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center"/>
              <w:rPr>
                <w:rFonts w:ascii="Times New Roman" w:hAnsi="Times New Roman" w:cs="Times New Roman" w:eastAsia="Times New Roman" w:hint="default"/>
                <w:sz w:val="21"/>
                <w:szCs w:val="21"/>
              </w:rPr>
            </w:pPr>
            <w:r>
              <w:rPr>
                <w:rFonts w:ascii="Times New Roman"/>
                <w:sz w:val="21"/>
              </w:rPr>
              <w:t>1,000,000.00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南京迅奇信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信息技术有</w:t>
            </w:r>
            <w:r>
              <w:rPr>
                <w:rFonts w:ascii="宋体" w:hAnsi="宋体" w:cs="宋体" w:eastAsia="宋体" w:hint="default"/>
                <w:spacing w:val="-94"/>
                <w:sz w:val="21"/>
                <w:szCs w:val="21"/>
              </w:rPr>
              <w:t> </w:t>
            </w:r>
            <w:r>
              <w:rPr>
                <w:rFonts w:ascii="宋体" w:hAnsi="宋体" w:cs="宋体" w:eastAsia="宋体" w:hint="default"/>
                <w:sz w:val="21"/>
                <w:szCs w:val="21"/>
              </w:rPr>
              <w:t>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1,000,000.00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安溪县南威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信息科技有</w:t>
            </w:r>
            <w:r>
              <w:rPr>
                <w:rFonts w:ascii="宋体" w:hAnsi="宋体" w:cs="宋体" w:eastAsia="宋体" w:hint="default"/>
                <w:spacing w:val="-94"/>
                <w:sz w:val="21"/>
                <w:szCs w:val="21"/>
              </w:rPr>
              <w:t> </w:t>
            </w:r>
            <w:r>
              <w:rPr>
                <w:rFonts w:ascii="宋体" w:hAnsi="宋体" w:cs="宋体" w:eastAsia="宋体" w:hint="default"/>
                <w:sz w:val="21"/>
                <w:szCs w:val="21"/>
              </w:rPr>
              <w:t>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1,000,000.00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福建神威系</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pacing w:val="14"/>
                <w:sz w:val="21"/>
                <w:szCs w:val="21"/>
              </w:rPr>
              <w:t>统集成有限</w:t>
            </w:r>
            <w:r>
              <w:rPr>
                <w:rFonts w:ascii="宋体" w:hAnsi="宋体" w:cs="宋体" w:eastAsia="宋体" w:hint="default"/>
                <w:spacing w:val="-94"/>
                <w:sz w:val="21"/>
                <w:szCs w:val="21"/>
              </w:rPr>
              <w:t> </w:t>
            </w:r>
            <w:r>
              <w:rPr>
                <w:rFonts w:ascii="宋体" w:hAnsi="宋体" w:cs="宋体" w:eastAsia="宋体" w:hint="default"/>
                <w:sz w:val="21"/>
                <w:szCs w:val="21"/>
              </w:rPr>
              <w:t>责任公司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27,875,000.00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13,500,000.00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41,375,000.00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海南科特尔</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79"/>
              <w:jc w:val="left"/>
              <w:rPr>
                <w:rFonts w:ascii="宋体" w:hAnsi="宋体" w:cs="宋体" w:eastAsia="宋体" w:hint="default"/>
                <w:sz w:val="21"/>
                <w:szCs w:val="21"/>
              </w:rPr>
            </w:pPr>
            <w:r>
              <w:rPr>
                <w:rFonts w:ascii="宋体" w:hAnsi="宋体" w:cs="宋体" w:eastAsia="宋体" w:hint="default"/>
                <w:spacing w:val="14"/>
                <w:sz w:val="21"/>
                <w:szCs w:val="21"/>
              </w:rPr>
              <w:t>科技有限公</w:t>
            </w:r>
            <w:r>
              <w:rPr>
                <w:rFonts w:ascii="宋体" w:hAnsi="宋体" w:cs="宋体" w:eastAsia="宋体" w:hint="default"/>
                <w:spacing w:val="-94"/>
                <w:sz w:val="21"/>
                <w:szCs w:val="21"/>
              </w:rPr>
              <w:t> </w:t>
            </w:r>
            <w:r>
              <w:rPr>
                <w:rFonts w:ascii="宋体" w:hAnsi="宋体" w:cs="宋体" w:eastAsia="宋体" w:hint="default"/>
                <w:sz w:val="21"/>
                <w:szCs w:val="21"/>
              </w:rPr>
              <w:t>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center"/>
              <w:rPr>
                <w:rFonts w:ascii="Times New Roman" w:hAnsi="Times New Roman" w:cs="Times New Roman" w:eastAsia="Times New Roman" w:hint="default"/>
                <w:sz w:val="21"/>
                <w:szCs w:val="21"/>
              </w:rPr>
            </w:pPr>
            <w:r>
              <w:rPr>
                <w:rFonts w:ascii="Times New Roman"/>
                <w:sz w:val="21"/>
              </w:rPr>
              <w:t>1,000,000.00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Times New Roman" w:hAnsi="Times New Roman" w:cs="Times New Roman" w:eastAsia="Times New Roman" w:hint="default"/>
                <w:sz w:val="21"/>
                <w:szCs w:val="21"/>
              </w:rPr>
            </w:pPr>
            <w:r>
              <w:rPr>
                <w:rFonts w:ascii="Times New Roman"/>
                <w:sz w:val="21"/>
              </w:rPr>
              <w:t>255,201,667.00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169,972,536.10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42,375,000.00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382,799,203.10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979" w:top="1140" w:bottom="1160" w:left="1580" w:right="1040"/>
        </w:sect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57" w:footer="979" w:top="1140" w:bottom="1160" w:left="1580" w:right="1040"/>
        </w:sectPr>
      </w:pPr>
    </w:p>
    <w:p>
      <w:pPr>
        <w:pStyle w:val="Heading3"/>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60" w:val="left" w:leader="none"/>
        </w:tabs>
        <w:spacing w:line="240" w:lineRule="auto" w:before="58"/>
        <w:ind w:right="-16"/>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753" w:space="398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710"/>
        <w:gridCol w:w="850"/>
        <w:gridCol w:w="494"/>
        <w:gridCol w:w="787"/>
        <w:gridCol w:w="706"/>
        <w:gridCol w:w="711"/>
        <w:gridCol w:w="785"/>
        <w:gridCol w:w="775"/>
        <w:gridCol w:w="757"/>
        <w:gridCol w:w="770"/>
        <w:gridCol w:w="734"/>
      </w:tblGrid>
      <w:tr>
        <w:trPr>
          <w:trHeight w:val="281"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264" w:right="26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39" w:right="13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8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6" w:hRule="exact"/>
        </w:trPr>
        <w:tc>
          <w:tcPr>
            <w:tcW w:w="96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314" w:right="101" w:hanging="212"/>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67"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67"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47"/>
                <w:sz w:val="21"/>
                <w:szCs w:val="21"/>
              </w:rPr>
              <w:t> </w:t>
            </w:r>
            <w:r>
              <w:rPr>
                <w:rFonts w:ascii="宋体" w:hAnsi="宋体" w:cs="宋体" w:eastAsia="宋体" w:hint="default"/>
                <w:sz w:val="21"/>
                <w:szCs w:val="21"/>
              </w:rPr>
              <w:t>京</w:t>
            </w:r>
            <w:r>
              <w:rPr>
                <w:rFonts w:ascii="宋体" w:hAnsi="宋体" w:cs="宋体" w:eastAsia="宋体" w:hint="default"/>
                <w:spacing w:val="-50"/>
                <w:sz w:val="21"/>
                <w:szCs w:val="21"/>
              </w:rPr>
              <w:t> </w:t>
            </w:r>
            <w:r>
              <w:rPr>
                <w:rFonts w:ascii="宋体" w:hAnsi="宋体" w:cs="宋体" w:eastAsia="宋体" w:hint="default"/>
                <w:sz w:val="21"/>
                <w:szCs w:val="21"/>
              </w:rPr>
              <w:t>伍</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47"/>
                <w:sz w:val="21"/>
                <w:szCs w:val="21"/>
              </w:rPr>
              <w:t> </w:t>
            </w:r>
            <w:r>
              <w:rPr>
                <w:rFonts w:ascii="宋体" w:hAnsi="宋体" w:cs="宋体" w:eastAsia="宋体" w:hint="default"/>
                <w:sz w:val="21"/>
                <w:szCs w:val="21"/>
              </w:rPr>
              <w:t>信</w:t>
            </w:r>
            <w:r>
              <w:rPr>
                <w:rFonts w:ascii="宋体" w:hAnsi="宋体" w:cs="宋体" w:eastAsia="宋体" w:hint="default"/>
                <w:spacing w:val="-5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47"/>
                <w:sz w:val="21"/>
                <w:szCs w:val="21"/>
              </w:rPr>
              <w:t> </w:t>
            </w:r>
            <w:r>
              <w:rPr>
                <w:rFonts w:ascii="宋体" w:hAnsi="宋体" w:cs="宋体" w:eastAsia="宋体" w:hint="default"/>
                <w:sz w:val="21"/>
                <w:szCs w:val="21"/>
              </w:rPr>
              <w:t>技</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154,5</w:t>
            </w:r>
          </w:p>
          <w:p>
            <w:pPr>
              <w:pStyle w:val="TableParagraph"/>
              <w:spacing w:line="240" w:lineRule="auto" w:before="1"/>
              <w:ind w:left="122" w:right="0"/>
              <w:jc w:val="left"/>
              <w:rPr>
                <w:rFonts w:ascii="Times New Roman" w:hAnsi="Times New Roman" w:cs="Times New Roman" w:eastAsia="Times New Roman" w:hint="default"/>
                <w:sz w:val="21"/>
                <w:szCs w:val="21"/>
              </w:rPr>
            </w:pPr>
            <w:r>
              <w:rPr>
                <w:rFonts w:ascii="Times New Roman"/>
                <w:sz w:val="21"/>
              </w:rPr>
              <w:t>76.56</w:t>
            </w: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01" w:right="0"/>
              <w:jc w:val="left"/>
              <w:rPr>
                <w:rFonts w:ascii="Times New Roman" w:hAnsi="Times New Roman" w:cs="Times New Roman" w:eastAsia="Times New Roman" w:hint="default"/>
                <w:sz w:val="21"/>
                <w:szCs w:val="21"/>
              </w:rPr>
            </w:pPr>
            <w:r>
              <w:rPr>
                <w:rFonts w:ascii="Times New Roman"/>
                <w:sz w:val="21"/>
              </w:rPr>
              <w:t>55.00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154,6</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31.56</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8"/>
                <w:sz w:val="21"/>
                <w:szCs w:val="21"/>
              </w:rPr>
              <w:t>厦门</w:t>
            </w:r>
            <w:r>
              <w:rPr>
                <w:rFonts w:ascii="宋体" w:hAnsi="宋体" w:cs="宋体" w:eastAsia="宋体" w:hint="default"/>
                <w:spacing w:val="-46"/>
                <w:sz w:val="21"/>
                <w:szCs w:val="21"/>
              </w:rPr>
              <w:t> </w:t>
            </w:r>
            <w:r>
              <w:rPr>
                <w:rFonts w:ascii="宋体" w:hAnsi="宋体" w:cs="宋体" w:eastAsia="宋体" w:hint="default"/>
                <w:sz w:val="21"/>
                <w:szCs w:val="21"/>
              </w:rPr>
              <w:t>会</w:t>
            </w:r>
          </w:p>
          <w:p>
            <w:pPr>
              <w:pStyle w:val="TableParagraph"/>
              <w:spacing w:line="237" w:lineRule="auto"/>
              <w:ind w:left="103" w:right="2"/>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48"/>
                <w:sz w:val="21"/>
                <w:szCs w:val="21"/>
              </w:rPr>
              <w:t> </w:t>
            </w:r>
            <w:r>
              <w:rPr>
                <w:rFonts w:ascii="宋体" w:hAnsi="宋体" w:cs="宋体" w:eastAsia="宋体" w:hint="default"/>
                <w:sz w:val="21"/>
                <w:szCs w:val="21"/>
              </w:rPr>
              <w:t>鼎</w:t>
            </w:r>
            <w:r>
              <w:rPr>
                <w:rFonts w:ascii="宋体" w:hAnsi="宋体" w:cs="宋体" w:eastAsia="宋体" w:hint="default"/>
                <w:spacing w:val="-51"/>
                <w:sz w:val="21"/>
                <w:szCs w:val="21"/>
              </w:rPr>
              <w:t> </w:t>
            </w:r>
            <w:r>
              <w:rPr>
                <w:rFonts w:ascii="宋体" w:hAnsi="宋体" w:cs="宋体" w:eastAsia="宋体" w:hint="default"/>
                <w:sz w:val="21"/>
                <w:szCs w:val="21"/>
              </w:rPr>
              <w:t>盛</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48"/>
                <w:sz w:val="21"/>
                <w:szCs w:val="21"/>
              </w:rPr>
              <w:t> </w:t>
            </w:r>
            <w:r>
              <w:rPr>
                <w:rFonts w:ascii="宋体" w:hAnsi="宋体" w:cs="宋体" w:eastAsia="宋体" w:hint="default"/>
                <w:sz w:val="21"/>
                <w:szCs w:val="21"/>
              </w:rPr>
              <w:t>权</w:t>
            </w:r>
            <w:r>
              <w:rPr>
                <w:rFonts w:ascii="宋体" w:hAnsi="宋体" w:cs="宋体" w:eastAsia="宋体" w:hint="default"/>
                <w:spacing w:val="-51"/>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48"/>
                <w:sz w:val="21"/>
                <w:szCs w:val="21"/>
              </w:rPr>
              <w:t> </w:t>
            </w:r>
            <w:r>
              <w:rPr>
                <w:rFonts w:ascii="宋体" w:hAnsi="宋体" w:cs="宋体" w:eastAsia="宋体" w:hint="default"/>
                <w:sz w:val="21"/>
                <w:szCs w:val="21"/>
              </w:rPr>
              <w:t>合</w:t>
            </w:r>
            <w:r>
              <w:rPr>
                <w:rFonts w:ascii="宋体" w:hAnsi="宋体" w:cs="宋体" w:eastAsia="宋体" w:hint="default"/>
                <w:spacing w:val="-51"/>
                <w:sz w:val="21"/>
                <w:szCs w:val="21"/>
              </w:rPr>
              <w:t> </w:t>
            </w:r>
            <w:r>
              <w:rPr>
                <w:rFonts w:ascii="宋体" w:hAnsi="宋体" w:cs="宋体" w:eastAsia="宋体" w:hint="default"/>
                <w:sz w:val="21"/>
                <w:szCs w:val="21"/>
              </w:rPr>
              <w:t>伙</w:t>
            </w:r>
            <w:r>
              <w:rPr>
                <w:rFonts w:ascii="宋体" w:hAnsi="宋体" w:cs="宋体" w:eastAsia="宋体" w:hint="default"/>
                <w:w w:val="100"/>
                <w:sz w:val="21"/>
                <w:szCs w:val="21"/>
              </w:rPr>
              <w:t> </w:t>
            </w:r>
            <w:r>
              <w:rPr>
                <w:rFonts w:ascii="宋体" w:hAnsi="宋体" w:cs="宋体" w:eastAsia="宋体" w:hint="default"/>
                <w:spacing w:val="-25"/>
                <w:w w:val="100"/>
                <w:sz w:val="21"/>
                <w:szCs w:val="21"/>
              </w:rPr>
              <w:t>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9,500,0</w:t>
            </w:r>
          </w:p>
          <w:p>
            <w:pPr>
              <w:pStyle w:val="TableParagraph"/>
              <w:spacing w:line="240" w:lineRule="auto" w:before="1"/>
              <w:ind w:left="162" w:right="0"/>
              <w:jc w:val="center"/>
              <w:rPr>
                <w:rFonts w:ascii="Times New Roman" w:hAnsi="Times New Roman" w:cs="Times New Roman" w:eastAsia="Times New Roman" w:hint="default"/>
                <w:sz w:val="21"/>
                <w:szCs w:val="21"/>
              </w:rPr>
            </w:pPr>
            <w:r>
              <w:rPr>
                <w:rFonts w:ascii="Times New Roman"/>
                <w:sz w:val="21"/>
              </w:rPr>
              <w:t>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-2,193</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,440.2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7,306,</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559.7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8"/>
                <w:sz w:val="21"/>
                <w:szCs w:val="21"/>
              </w:rPr>
              <w:t>福建</w:t>
            </w:r>
            <w:r>
              <w:rPr>
                <w:rFonts w:ascii="宋体" w:hAnsi="宋体" w:cs="宋体" w:eastAsia="宋体" w:hint="default"/>
                <w:spacing w:val="-46"/>
                <w:sz w:val="21"/>
                <w:szCs w:val="21"/>
              </w:rPr>
              <w:t> </w:t>
            </w:r>
            <w:r>
              <w:rPr>
                <w:rFonts w:ascii="宋体" w:hAnsi="宋体" w:cs="宋体" w:eastAsia="宋体" w:hint="default"/>
                <w:sz w:val="21"/>
                <w:szCs w:val="21"/>
              </w:rPr>
              <w:t>省</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7"/>
                <w:sz w:val="21"/>
                <w:szCs w:val="21"/>
              </w:rPr>
              <w:t> </w:t>
            </w:r>
            <w:r>
              <w:rPr>
                <w:rFonts w:ascii="宋体" w:hAnsi="宋体" w:cs="宋体" w:eastAsia="宋体" w:hint="default"/>
                <w:sz w:val="21"/>
                <w:szCs w:val="21"/>
              </w:rPr>
              <w:t>急</w:t>
            </w:r>
            <w:r>
              <w:rPr>
                <w:rFonts w:ascii="宋体" w:hAnsi="宋体" w:cs="宋体" w:eastAsia="宋体" w:hint="default"/>
                <w:spacing w:val="-5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pacing w:val="-47"/>
                <w:sz w:val="21"/>
                <w:szCs w:val="21"/>
              </w:rPr>
              <w:t> </w:t>
            </w:r>
            <w:r>
              <w:rPr>
                <w:rFonts w:ascii="宋体" w:hAnsi="宋体" w:cs="宋体" w:eastAsia="宋体" w:hint="default"/>
                <w:sz w:val="21"/>
                <w:szCs w:val="21"/>
              </w:rPr>
              <w:t>运</w:t>
            </w:r>
            <w:r>
              <w:rPr>
                <w:rFonts w:ascii="宋体" w:hAnsi="宋体" w:cs="宋体" w:eastAsia="宋体" w:hint="default"/>
                <w:spacing w:val="-5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47"/>
                <w:sz w:val="21"/>
                <w:szCs w:val="21"/>
              </w:rPr>
              <w:t> </w:t>
            </w:r>
            <w:r>
              <w:rPr>
                <w:rFonts w:ascii="宋体" w:hAnsi="宋体" w:cs="宋体" w:eastAsia="宋体" w:hint="default"/>
                <w:sz w:val="21"/>
                <w:szCs w:val="21"/>
              </w:rPr>
              <w:t>限</w:t>
            </w:r>
            <w:r>
              <w:rPr>
                <w:rFonts w:ascii="宋体" w:hAnsi="宋体" w:cs="宋体" w:eastAsia="宋体" w:hint="default"/>
                <w:spacing w:val="-5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1"/>
              <w:ind w:left="105" w:right="0"/>
              <w:jc w:val="left"/>
              <w:rPr>
                <w:rFonts w:ascii="Times New Roman" w:hAnsi="Times New Roman" w:cs="Times New Roman" w:eastAsia="Times New Roman" w:hint="default"/>
                <w:sz w:val="21"/>
                <w:szCs w:val="21"/>
              </w:rPr>
            </w:pPr>
            <w:r>
              <w:rPr>
                <w:rFonts w:ascii="Times New Roman"/>
                <w:sz w:val="21"/>
              </w:rPr>
              <w:t>79,696,</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540.00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1,039,</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852.9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80,73</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6,392.</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98</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2" w:right="0"/>
              <w:jc w:val="left"/>
              <w:rPr>
                <w:rFonts w:ascii="Times New Roman" w:hAnsi="Times New Roman" w:cs="Times New Roman" w:eastAsia="Times New Roman" w:hint="default"/>
                <w:sz w:val="21"/>
                <w:szCs w:val="21"/>
              </w:rPr>
            </w:pPr>
            <w:r>
              <w:rPr>
                <w:rFonts w:ascii="Times New Roman"/>
                <w:sz w:val="21"/>
              </w:rPr>
              <w:t>154,5</w:t>
            </w:r>
          </w:p>
          <w:p>
            <w:pPr>
              <w:pStyle w:val="TableParagraph"/>
              <w:spacing w:line="241" w:lineRule="exact"/>
              <w:ind w:left="122" w:right="0"/>
              <w:jc w:val="left"/>
              <w:rPr>
                <w:rFonts w:ascii="Times New Roman" w:hAnsi="Times New Roman" w:cs="Times New Roman" w:eastAsia="Times New Roman" w:hint="default"/>
                <w:sz w:val="21"/>
                <w:szCs w:val="21"/>
              </w:rPr>
            </w:pPr>
            <w:r>
              <w:rPr>
                <w:rFonts w:ascii="Times New Roman"/>
                <w:sz w:val="21"/>
              </w:rPr>
              <w:t>76.56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05" w:right="0"/>
              <w:jc w:val="left"/>
              <w:rPr>
                <w:rFonts w:ascii="Times New Roman" w:hAnsi="Times New Roman" w:cs="Times New Roman" w:eastAsia="Times New Roman" w:hint="default"/>
                <w:sz w:val="21"/>
                <w:szCs w:val="21"/>
              </w:rPr>
            </w:pPr>
            <w:r>
              <w:rPr>
                <w:rFonts w:ascii="Times New Roman"/>
                <w:sz w:val="21"/>
              </w:rPr>
              <w:t>89,196,</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540.00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-1,153</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,532.2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88,19</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7,584.</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28</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22" w:right="0"/>
              <w:jc w:val="left"/>
              <w:rPr>
                <w:rFonts w:ascii="Times New Roman" w:hAnsi="Times New Roman" w:cs="Times New Roman" w:eastAsia="Times New Roman" w:hint="default"/>
                <w:sz w:val="21"/>
                <w:szCs w:val="21"/>
              </w:rPr>
            </w:pPr>
            <w:r>
              <w:rPr>
                <w:rFonts w:ascii="Times New Roman"/>
                <w:sz w:val="21"/>
              </w:rPr>
              <w:t>154,5</w:t>
            </w:r>
          </w:p>
          <w:p>
            <w:pPr>
              <w:pStyle w:val="TableParagraph"/>
              <w:spacing w:line="241" w:lineRule="exact"/>
              <w:ind w:left="122" w:right="0"/>
              <w:jc w:val="left"/>
              <w:rPr>
                <w:rFonts w:ascii="Times New Roman" w:hAnsi="Times New Roman" w:cs="Times New Roman" w:eastAsia="Times New Roman" w:hint="default"/>
                <w:sz w:val="21"/>
                <w:szCs w:val="21"/>
              </w:rPr>
            </w:pPr>
            <w:r>
              <w:rPr>
                <w:rFonts w:ascii="Times New Roman"/>
                <w:sz w:val="21"/>
              </w:rPr>
              <w:t>76.56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05" w:right="0"/>
              <w:jc w:val="left"/>
              <w:rPr>
                <w:rFonts w:ascii="Times New Roman" w:hAnsi="Times New Roman" w:cs="Times New Roman" w:eastAsia="Times New Roman" w:hint="default"/>
                <w:sz w:val="21"/>
                <w:szCs w:val="21"/>
              </w:rPr>
            </w:pPr>
            <w:r>
              <w:rPr>
                <w:rFonts w:ascii="Times New Roman"/>
                <w:sz w:val="21"/>
              </w:rPr>
              <w:t>89,196,</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540.00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-1,153</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,532.2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88,19</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7,584.</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28</w:t>
            </w: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3"/>
        <w:spacing w:line="240" w:lineRule="auto" w:before="36"/>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163" w:val="left" w:leader="none"/>
        </w:tabs>
        <w:spacing w:line="240" w:lineRule="auto" w:before="56"/>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753" w:space="398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34"/>
        <w:gridCol w:w="1728"/>
        <w:gridCol w:w="1731"/>
        <w:gridCol w:w="1729"/>
        <w:gridCol w:w="1728"/>
      </w:tblGrid>
      <w:tr>
        <w:trPr>
          <w:trHeight w:val="283" w:hRule="exact"/>
        </w:trPr>
        <w:tc>
          <w:tcPr>
            <w:tcW w:w="213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134" w:type="dxa"/>
            <w:vMerge/>
            <w:tcBorders>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781,080,998.08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634,006,165.43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461,535,266.73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334,487,183.49</w:t>
            </w:r>
          </w:p>
        </w:tc>
      </w:tr>
      <w:tr>
        <w:trPr>
          <w:trHeight w:val="28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1,261,634.26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750,262.26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2,240,378.79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1,250,613.98</w:t>
            </w:r>
          </w:p>
        </w:tc>
      </w:tr>
      <w:tr>
        <w:trPr>
          <w:trHeight w:val="28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782,342,632.34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634,756,427.69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463,775,645.52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335,737,797.47</w:t>
            </w:r>
          </w:p>
        </w:tc>
      </w:tr>
    </w:tbl>
    <w:p>
      <w:pPr>
        <w:pStyle w:val="BodyText"/>
        <w:spacing w:line="240" w:lineRule="auto" w:before="26"/>
        <w:ind w:right="2513"/>
        <w:jc w:val="left"/>
      </w:pPr>
      <w:r>
        <w:rPr/>
        <w:t>其他说明：</w:t>
      </w:r>
    </w:p>
    <w:p>
      <w:pPr>
        <w:spacing w:after="0" w:line="240" w:lineRule="auto"/>
        <w:jc w:val="left"/>
        <w:sectPr>
          <w:type w:val="continuous"/>
          <w:pgSz w:w="11910" w:h="16840"/>
          <w:pgMar w:top="1580" w:bottom="280" w:left="1580" w:right="1040"/>
        </w:sectPr>
      </w:pPr>
    </w:p>
    <w:p>
      <w:pPr>
        <w:spacing w:line="240" w:lineRule="auto" w:before="4"/>
        <w:rPr>
          <w:rFonts w:ascii="宋体" w:hAnsi="宋体" w:cs="宋体" w:eastAsia="宋体" w:hint="default"/>
          <w:sz w:val="23"/>
          <w:szCs w:val="23"/>
        </w:rPr>
      </w:pPr>
    </w:p>
    <w:p>
      <w:pPr>
        <w:pStyle w:val="BodyText"/>
        <w:spacing w:line="240" w:lineRule="auto" w:before="36"/>
        <w:ind w:right="2513"/>
        <w:jc w:val="left"/>
      </w:pPr>
      <w:r>
        <w:rPr>
          <w:w w:val="100"/>
        </w:rPr>
        <w:t>无</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7" w:footer="979"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tabs>
          <w:tab w:pos="1060" w:val="left" w:leader="none"/>
        </w:tabs>
        <w:spacing w:line="240" w:lineRule="auto" w:before="56"/>
        <w:ind w:right="-18"/>
        <w:jc w:val="left"/>
      </w:pPr>
      <w:r>
        <w:rPr/>
        <w:t>√适用</w:t>
        <w:tab/>
      </w:r>
      <w:r>
        <w:rPr>
          <w:rFonts w:ascii="Arial" w:hAnsi="Arial" w:cs="Arial" w:eastAsia="Arial" w:hint="default"/>
        </w:rPr>
        <w:t>□</w:t>
      </w:r>
      <w:r>
        <w:rPr>
          <w:rFonts w:ascii="Arial" w:hAnsi="Arial" w:cs="Arial" w:eastAsia="Arial" w:hint="default"/>
          <w:spacing w:val="23"/>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1901" w:space="483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-1,153,532.28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-26,801.26</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2,985,136.68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-564,321.33</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8,076,892.79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3,943,665.87</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-10,105.43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9,898,391.76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3,352,543.28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spacing w:line="240" w:lineRule="auto" w:before="36"/>
        <w:ind w:right="2513"/>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163" w:val="left" w:leader="none"/>
        </w:tabs>
        <w:spacing w:line="240" w:lineRule="auto" w:before="58"/>
        <w:ind w:right="2513"/>
        <w:jc w:val="left"/>
      </w:pPr>
      <w:r>
        <w:rPr/>
        <w:t>□适用</w:t>
        <w:tab/>
        <w:t>√不适用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3"/>
        <w:spacing w:line="240" w:lineRule="auto" w:before="36"/>
        <w:ind w:right="-19"/>
        <w:jc w:val="left"/>
        <w:rPr>
          <w:b w:val="0"/>
          <w:bCs w:val="0"/>
        </w:rPr>
      </w:pPr>
      <w:r>
        <w:rPr/>
        <w:t>十八、补充资料</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163" w:val="left" w:leader="none"/>
        </w:tabs>
        <w:spacing w:line="240" w:lineRule="auto" w:before="56"/>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580" w:bottom="280" w:left="1580" w:right="1040"/>
          <w:cols w:num="2" w:equalWidth="0">
            <w:col w:w="2962" w:space="377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-163,044.23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9,139,913.30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8"/>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13,141,230.10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-2,211,102.51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-2,927,582.88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92,918.23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17,072,332.01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82" w:lineRule="exact" w:before="36"/>
        <w:ind w:right="123"/>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2" w:lineRule="exact" w:before="19"/>
        <w:ind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tabs>
          <w:tab w:pos="1060" w:val="left" w:leader="none"/>
        </w:tabs>
        <w:spacing w:line="276" w:lineRule="exact"/>
        <w:ind w:right="2513"/>
        <w:jc w:val="left"/>
      </w:pPr>
      <w:r>
        <w:rPr>
          <w:rFonts w:ascii="Arial" w:hAnsi="Arial" w:cs="Arial" w:eastAsia="Arial" w:hint="default"/>
        </w:rPr>
        <w:t>□</w:t>
      </w:r>
      <w:r>
        <w:rPr>
          <w:rFonts w:ascii="Arial" w:hAnsi="Arial" w:cs="Arial" w:eastAsia="Arial" w:hint="default"/>
          <w:spacing w:val="28"/>
        </w:rPr>
        <w:t> </w:t>
      </w:r>
      <w:r>
        <w:rPr/>
        <w:t>适用</w:t>
        <w:tab/>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3"/>
        <w:spacing w:line="240" w:lineRule="auto"/>
        <w:ind w:right="2513"/>
        <w:jc w:val="left"/>
        <w:rPr>
          <w:b w:val="0"/>
          <w:bCs w:val="0"/>
        </w:rPr>
      </w:pPr>
      <w:r>
        <w:rPr>
          <w:rFonts w:ascii="宋体" w:hAnsi="宋体" w:cs="宋体" w:eastAsia="宋体" w:hint="default"/>
        </w:rPr>
        <w:t>2</w:t>
      </w:r>
      <w:r>
        <w:rPr/>
        <w:t>、 净资产收益率及每股收益</w:t>
      </w:r>
      <w:r>
        <w:rPr>
          <w:b w:val="0"/>
          <w:bCs w:val="0"/>
        </w:rPr>
      </w:r>
    </w:p>
    <w:p>
      <w:pPr>
        <w:pStyle w:val="BodyText"/>
        <w:tabs>
          <w:tab w:pos="1060" w:val="left" w:leader="none"/>
        </w:tabs>
        <w:spacing w:line="240" w:lineRule="auto" w:before="56"/>
        <w:ind w:right="2513"/>
        <w:jc w:val="left"/>
      </w:pPr>
      <w:r>
        <w:rPr/>
        <w:t>√适用</w:t>
        <w:tab/>
      </w:r>
      <w:r>
        <w:rPr>
          <w:rFonts w:ascii="Arial" w:hAnsi="Arial" w:cs="Arial" w:eastAsia="Arial" w:hint="default"/>
        </w:rPr>
        <w:t>□</w:t>
      </w:r>
      <w:r>
        <w:rPr>
          <w:rFonts w:ascii="Arial" w:hAnsi="Arial" w:cs="Arial" w:eastAsia="Arial" w:hint="default"/>
          <w:spacing w:val="23"/>
        </w:rPr>
        <w:t> </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16" w:right="175" w:hanging="137"/>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Calibri" w:hAnsi="Calibri" w:cs="Calibri" w:eastAsia="Calibri"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11.01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0.25</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9.19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0.21</w:t>
            </w:r>
          </w:p>
        </w:tc>
      </w:tr>
    </w:tbl>
    <w:p>
      <w:pPr>
        <w:spacing w:line="240" w:lineRule="auto" w:before="3"/>
        <w:rPr>
          <w:rFonts w:ascii="宋体" w:hAnsi="宋体" w:cs="宋体" w:eastAsia="宋体" w:hint="default"/>
          <w:sz w:val="20"/>
          <w:szCs w:val="20"/>
        </w:rPr>
      </w:pPr>
    </w:p>
    <w:p>
      <w:pPr>
        <w:pStyle w:val="Heading3"/>
        <w:spacing w:line="240" w:lineRule="auto" w:before="36"/>
        <w:ind w:right="251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right="2513"/>
        <w:jc w:val="left"/>
      </w:pPr>
      <w:r>
        <w:rPr/>
        <w:t>□适用</w:t>
      </w:r>
      <w:r>
        <w:rPr>
          <w:rFonts w:ascii="Calibri" w:hAnsi="Calibri" w:cs="Calibri" w:eastAsia="Calibri" w:hint="default"/>
        </w:rPr>
        <w:t>√</w:t>
      </w:r>
      <w:r>
        <w:rPr/>
        <w:t>不适用</w:t>
      </w:r>
    </w:p>
    <w:p>
      <w:pPr>
        <w:spacing w:line="240" w:lineRule="auto" w:before="1"/>
        <w:rPr>
          <w:rFonts w:ascii="宋体" w:hAnsi="宋体" w:cs="宋体" w:eastAsia="宋体" w:hint="default"/>
          <w:sz w:val="22"/>
          <w:szCs w:val="22"/>
        </w:rPr>
      </w:pPr>
    </w:p>
    <w:p>
      <w:pPr>
        <w:pStyle w:val="Heading3"/>
        <w:spacing w:line="240" w:lineRule="auto"/>
        <w:ind w:right="2513"/>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163" w:val="left" w:leader="none"/>
        </w:tabs>
        <w:spacing w:line="240" w:lineRule="auto" w:before="56"/>
        <w:ind w:right="2513"/>
        <w:jc w:val="left"/>
      </w:pPr>
      <w:r>
        <w:rPr/>
        <w:t>□适用</w:t>
        <w:tab/>
        <w:t>√不适用</w:t>
      </w:r>
    </w:p>
    <w:p>
      <w:pPr>
        <w:spacing w:after="0" w:line="240" w:lineRule="auto"/>
        <w:jc w:val="left"/>
        <w:sectPr>
          <w:pgSz w:w="11910" w:h="16840"/>
          <w:pgMar w:header="857" w:footer="979" w:top="1140" w:bottom="1160" w:left="1580" w:right="1040"/>
        </w:sectPr>
      </w:pPr>
    </w:p>
    <w:p>
      <w:pPr>
        <w:spacing w:line="240" w:lineRule="auto" w:before="11"/>
        <w:rPr>
          <w:rFonts w:ascii="宋体" w:hAnsi="宋体" w:cs="宋体" w:eastAsia="宋体" w:hint="default"/>
          <w:sz w:val="23"/>
          <w:szCs w:val="23"/>
        </w:rPr>
      </w:pPr>
    </w:p>
    <w:p>
      <w:pPr>
        <w:pStyle w:val="Heading1"/>
        <w:spacing w:line="240" w:lineRule="auto"/>
        <w:ind w:left="3129" w:right="3146"/>
        <w:jc w:val="center"/>
        <w:rPr>
          <w:rFonts w:ascii="宋体" w:hAnsi="宋体" w:cs="宋体" w:eastAsia="宋体" w:hint="default"/>
          <w:b w:val="0"/>
          <w:bCs w:val="0"/>
        </w:rPr>
      </w:pPr>
      <w:bookmarkStart w:name="_TOC_250000" w:id="12"/>
      <w:r>
        <w:rPr>
          <w:rFonts w:ascii="宋体" w:hAnsi="宋体" w:cs="宋体" w:eastAsia="宋体" w:hint="default"/>
        </w:rPr>
        <w:t>第十二节备查文件目录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636"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 w:right="2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载有法定代表人、主管会计工作负责人和会计机构负责人签名并盖章的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会计报表。</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载有会计师事务所、注册会计师签名并盖章的审计报告原件。</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2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公告原稿。</w:t>
            </w:r>
          </w:p>
        </w:tc>
      </w:tr>
    </w:tbl>
    <w:p>
      <w:pPr>
        <w:spacing w:line="240" w:lineRule="auto" w:before="1"/>
        <w:rPr>
          <w:rFonts w:ascii="宋体" w:hAnsi="宋体" w:cs="宋体" w:eastAsia="宋体" w:hint="default"/>
          <w:b/>
          <w:bCs/>
          <w:sz w:val="28"/>
          <w:szCs w:val="28"/>
        </w:rPr>
      </w:pPr>
    </w:p>
    <w:p>
      <w:pPr>
        <w:pStyle w:val="BodyText"/>
        <w:spacing w:line="314" w:lineRule="auto" w:before="36"/>
        <w:ind w:left="5239" w:right="148" w:firstLine="2256"/>
        <w:jc w:val="left"/>
      </w:pPr>
      <w:r>
        <w:rPr>
          <w:spacing w:val="-1"/>
        </w:rPr>
        <w:t>董事长：吴志雄</w:t>
      </w:r>
      <w:r>
        <w:rPr>
          <w:w w:val="100"/>
        </w:rPr>
        <w:t> </w:t>
      </w:r>
      <w:r>
        <w:rPr/>
        <w:t>董事会批准报送日期：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8"/>
        <w:ind w:right="47"/>
        <w:jc w:val="left"/>
        <w:rPr>
          <w:b w:val="0"/>
          <w:bCs w:val="0"/>
        </w:rPr>
      </w:pPr>
      <w:r>
        <w:rPr/>
        <w:t>修订信息</w:t>
      </w:r>
      <w:r>
        <w:rPr>
          <w:b w:val="0"/>
          <w:bCs w:val="0"/>
        </w:rPr>
      </w:r>
    </w:p>
    <w:p>
      <w:pPr>
        <w:pStyle w:val="BodyText"/>
        <w:tabs>
          <w:tab w:pos="980" w:val="left" w:leader="none"/>
        </w:tabs>
        <w:spacing w:line="240" w:lineRule="auto" w:before="4"/>
        <w:ind w:left="138" w:right="47"/>
        <w:jc w:val="left"/>
      </w:pPr>
      <w:r>
        <w:rPr/>
        <w:t>□适用</w:t>
        <w:tab/>
      </w:r>
      <w:r>
        <w:rPr>
          <w:rFonts w:ascii="Calibri" w:hAnsi="Calibri" w:cs="Calibri" w:eastAsia="Calibri" w:hint="default"/>
        </w:rPr>
        <w:t>√</w:t>
      </w:r>
      <w:r>
        <w:rPr/>
        <w:t>不适用</w:t>
      </w:r>
    </w:p>
    <w:sectPr>
      <w:pgSz w:w="11910" w:h="16840"/>
      <w:pgMar w:header="857" w:footer="979" w:top="1140" w:bottom="116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1.957947pt;width:28.05pt;height:11pt;mso-position-horizontal-relative:page;mso-position-vertical-relative:page;z-index:-100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589996pt;margin-top:535.333923pt;width:28.05pt;height:11pt;mso-position-horizontal-relative:page;mso-position-vertical-relative:page;z-index:-1003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87</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1.957947pt;width:28.05pt;height:11pt;mso-position-horizontal-relative:page;mso-position-vertical-relative:page;z-index:-1003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94</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1.957947pt;width:31.6pt;height:11pt;mso-position-horizontal-relative:page;mso-position-vertical-relative:page;z-index:-1003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5pt;height:11pt;mso-position-horizontal-relative:page;mso-position-vertical-relative:page;z-index:-1003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101</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003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108</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003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187</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369995pt;margin-top:535.333923pt;width:28.05pt;height:11pt;mso-position-horizontal-relative:page;mso-position-vertical-relative:page;z-index:-1004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33</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1.957947pt;width:28.05pt;height:11pt;mso-position-horizontal-relative:page;mso-position-vertical-relative:page;z-index:-1004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38</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369995pt;margin-top:535.333923pt;width:28.05pt;height:11pt;mso-position-horizontal-relative:page;mso-position-vertical-relative:page;z-index:-1004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44</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1.957947pt;width:28.05pt;height:11pt;mso-position-horizontal-relative:page;mso-position-vertical-relative:page;z-index:-1004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51</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1.957947pt;width:28.05pt;height:11pt;mso-position-horizontal-relative:page;mso-position-vertical-relative:page;z-index:-1004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54</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589996pt;margin-top:535.333923pt;width:28.05pt;height:11pt;mso-position-horizontal-relative:page;mso-position-vertical-relative:page;z-index:-1003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62</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1.957947pt;width:28.05pt;height:11pt;mso-position-horizontal-relative:page;mso-position-vertical-relative:page;z-index:-1003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69</w:t>
                </w:r>
                <w:r>
                  <w:rPr/>
                  <w:fldChar w:fldCharType="end"/>
                </w:r>
                <w:r>
                  <w:rPr>
                    <w:rFonts w:ascii="Times New Roman"/>
                    <w:sz w:val="18"/>
                  </w:rPr>
                  <w:t>/</w:t>
                </w:r>
                <w:r>
                  <w:rPr>
                    <w:rFonts w:ascii="Times New Roman"/>
                    <w:b/>
                    <w:sz w:val="18"/>
                  </w:rPr>
                  <w:t>200</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5.253998pt;margin-top:42.749985pt;width:67.543pt;height:10.3pt;mso-position-horizontal-relative:page;mso-position-vertical-relative:page;z-index:-1004656" type="#_x0000_t75" stroked="false">
          <v:imagedata r:id="rId1" o:title=""/>
        </v:shape>
      </w:pict>
    </w:r>
    <w:r>
      <w:rPr/>
      <w:pict>
        <v:group style="position:absolute;margin-left:88.463997pt;margin-top:56.999985pt;width:443.6pt;height:.1pt;mso-position-horizontal-relative:page;mso-position-vertical-relative:page;z-index:-1004632" coordorigin="1769,1140" coordsize="8872,2">
          <v:shape style="position:absolute;left:1769;top:1140;width:8872;height:2" coordorigin="1769,1140" coordsize="8872,0" path="m1769,1140l10641,114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61.740005pt;margin-top:44.305607pt;width:92pt;height:11pt;mso-position-horizontal-relative:page;mso-position-vertical-relative:page;z-index:-1004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1.029999pt;margin-top:44.305607pt;width:85.35pt;height:11.5pt;mso-position-horizontal-relative:page;mso-position-vertical-relative:page;z-index:-1004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5.253998pt;margin-top:42.839981pt;width:67.543pt;height:10.26pt;mso-position-horizontal-relative:page;mso-position-vertical-relative:page;z-index:-1003672" type="#_x0000_t75" stroked="false">
          <v:imagedata r:id="rId1" o:title=""/>
        </v:shape>
      </w:pict>
    </w:r>
    <w:r>
      <w:rPr/>
      <w:pict>
        <v:group style="position:absolute;margin-left:88.463997pt;margin-top:57.119984pt;width:443.6pt;height:.1pt;mso-position-horizontal-relative:page;mso-position-vertical-relative:page;z-index:-1003648" coordorigin="1769,1142" coordsize="8872,2">
          <v:shape style="position:absolute;left:1769;top:1142;width:8872;height:2" coordorigin="1769,1142" coordsize="8872,0" path="m1769,1142l10641,1142e" filled="false" stroked="true" strokeweight=".72pt" strokecolor="#000000">
            <v:path arrowok="t"/>
          </v:shape>
          <w10:wrap type="none"/>
        </v:group>
      </w:pict>
    </w:r>
    <w:r>
      <w:rPr/>
      <w:pict>
        <v:shape style="position:absolute;margin-left:161.740005pt;margin-top:44.42561pt;width:92pt;height:11pt;mso-position-horizontal-relative:page;mso-position-vertical-relative:page;z-index:-1003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1.029999pt;margin-top:44.42561pt;width:85.35pt;height:11.5pt;mso-position-horizontal-relative:page;mso-position-vertical-relative:page;z-index:-1003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3.399994pt;margin-top:42.750008pt;width:67.543pt;height:10.3pt;mso-position-horizontal-relative:page;mso-position-vertical-relative:page;z-index:-1004536" type="#_x0000_t75" stroked="false">
          <v:imagedata r:id="rId1" o:title=""/>
        </v:shape>
      </w:pict>
    </w:r>
    <w:r>
      <w:rPr/>
      <w:pict>
        <v:group style="position:absolute;margin-left:70.559998pt;margin-top:57.000008pt;width:695.65pt;height:.1pt;mso-position-horizontal-relative:page;mso-position-vertical-relative:page;z-index:-1004512" coordorigin="1411,1140" coordsize="13913,2">
          <v:shape style="position:absolute;left:1411;top:1140;width:13913;height:2" coordorigin="1411,1140" coordsize="13913,0" path="m1411,1140l15324,1140e" filled="false" stroked="true" strokeweight=".72pt" strokecolor="#000000">
            <v:path arrowok="t"/>
          </v:shape>
          <w10:wrap type="none"/>
        </v:group>
      </w:pict>
    </w:r>
    <w:r>
      <w:rPr/>
      <w:pict>
        <v:shape style="position:absolute;margin-left:269.890015pt;margin-top:44.305634pt;width:92pt;height:11pt;mso-position-horizontal-relative:page;mso-position-vertical-relative:page;z-index:-1004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9.150024pt;margin-top:44.305634pt;width:85.35pt;height:11.5pt;mso-position-horizontal-relative:page;mso-position-vertical-relative:page;z-index:-1004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5.253998pt;margin-top:42.749985pt;width:67.543pt;height:10.3pt;mso-position-horizontal-relative:page;mso-position-vertical-relative:page;z-index:-1004416" type="#_x0000_t75" stroked="false">
          <v:imagedata r:id="rId1" o:title=""/>
        </v:shape>
      </w:pict>
    </w:r>
    <w:r>
      <w:rPr/>
      <w:pict>
        <v:group style="position:absolute;margin-left:88.463997pt;margin-top:56.999985pt;width:443.6pt;height:.1pt;mso-position-horizontal-relative:page;mso-position-vertical-relative:page;z-index:-1004392" coordorigin="1769,1140" coordsize="8872,2">
          <v:shape style="position:absolute;left:1769;top:1140;width:8872;height:2" coordorigin="1769,1140" coordsize="8872,0" path="m1769,1140l10641,1140e" filled="false" stroked="true" strokeweight=".72pt" strokecolor="#000000">
            <v:path arrowok="t"/>
          </v:shape>
          <w10:wrap type="none"/>
        </v:group>
      </w:pict>
    </w:r>
    <w:r>
      <w:rPr/>
      <w:pict>
        <v:shape style="position:absolute;margin-left:161.740005pt;margin-top:44.305607pt;width:92pt;height:11pt;mso-position-horizontal-relative:page;mso-position-vertical-relative:page;z-index:-1004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1.029999pt;margin-top:44.305607pt;width:85.35pt;height:11.5pt;mso-position-horizontal-relative:page;mso-position-vertical-relative:page;z-index:-1004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3.399994pt;margin-top:42.750008pt;width:67.543pt;height:10.3pt;mso-position-horizontal-relative:page;mso-position-vertical-relative:page;z-index:-1004296" type="#_x0000_t75" stroked="false">
          <v:imagedata r:id="rId1" o:title=""/>
        </v:shape>
      </w:pict>
    </w:r>
    <w:r>
      <w:rPr/>
      <w:pict>
        <v:group style="position:absolute;margin-left:70.559998pt;margin-top:57.000008pt;width:695.65pt;height:.1pt;mso-position-horizontal-relative:page;mso-position-vertical-relative:page;z-index:-1004272" coordorigin="1411,1140" coordsize="13913,2">
          <v:shape style="position:absolute;left:1411;top:1140;width:13913;height:2" coordorigin="1411,1140" coordsize="13913,0" path="m1411,1140l15324,1140e" filled="false" stroked="true" strokeweight=".72pt" strokecolor="#000000">
            <v:path arrowok="t"/>
          </v:shape>
          <w10:wrap type="none"/>
        </v:group>
      </w:pict>
    </w:r>
    <w:r>
      <w:rPr/>
      <w:pict>
        <v:shape style="position:absolute;margin-left:269.890015pt;margin-top:44.305634pt;width:92pt;height:11pt;mso-position-horizontal-relative:page;mso-position-vertical-relative:page;z-index:-1004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49.150024pt;margin-top:44.305634pt;width:85.35pt;height:11.5pt;mso-position-horizontal-relative:page;mso-position-vertical-relative:page;z-index:-1004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5.253998pt;margin-top:42.749985pt;width:67.543pt;height:10.3pt;mso-position-horizontal-relative:page;mso-position-vertical-relative:page;z-index:-1004176" type="#_x0000_t75" stroked="false">
          <v:imagedata r:id="rId1" o:title=""/>
        </v:shape>
      </w:pict>
    </w:r>
    <w:r>
      <w:rPr/>
      <w:pict>
        <v:group style="position:absolute;margin-left:88.463997pt;margin-top:56.999985pt;width:443.6pt;height:.1pt;mso-position-horizontal-relative:page;mso-position-vertical-relative:page;z-index:-1004152" coordorigin="1769,1140" coordsize="8872,2">
          <v:shape style="position:absolute;left:1769;top:1140;width:8872;height:2" coordorigin="1769,1140" coordsize="8872,0" path="m1769,1140l10641,1140e" filled="false" stroked="true" strokeweight=".72pt" strokecolor="#000000">
            <v:path arrowok="t"/>
          </v:shape>
          <w10:wrap type="none"/>
        </v:group>
      </w:pict>
    </w:r>
    <w:r>
      <w:rPr/>
      <w:pict>
        <v:shape style="position:absolute;margin-left:161.740005pt;margin-top:44.305607pt;width:92pt;height:11pt;mso-position-horizontal-relative:page;mso-position-vertical-relative:page;z-index:-1004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1.029999pt;margin-top:44.305607pt;width:85.35pt;height:11.5pt;mso-position-horizontal-relative:page;mso-position-vertical-relative:page;z-index:-1004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7.649994pt;margin-top:42.750008pt;width:67.543pt;height:10.3pt;mso-position-horizontal-relative:page;mso-position-vertical-relative:page;z-index:-1004032" type="#_x0000_t75" stroked="false">
          <v:imagedata r:id="rId1" o:title=""/>
        </v:shape>
      </w:pict>
    </w:r>
    <w:r>
      <w:rPr/>
      <w:pict>
        <v:group style="position:absolute;margin-left:74.760002pt;margin-top:57.000008pt;width:695.65pt;height:.1pt;mso-position-horizontal-relative:page;mso-position-vertical-relative:page;z-index:-1004008" coordorigin="1495,1140" coordsize="13913,2">
          <v:shape style="position:absolute;left:1495;top:1140;width:13913;height:2" coordorigin="1495,1140" coordsize="13913,0" path="m1495,1140l15408,1140e" filled="false" stroked="true" strokeweight=".72pt" strokecolor="#000000">
            <v:path arrowok="t"/>
          </v:shape>
          <w10:wrap type="none"/>
        </v:group>
      </w:pict>
    </w:r>
    <w:r>
      <w:rPr/>
      <w:pict>
        <v:shape style="position:absolute;margin-left:274.089996pt;margin-top:44.305634pt;width:92pt;height:11pt;mso-position-horizontal-relative:page;mso-position-vertical-relative:page;z-index:-1003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3.349976pt;margin-top:44.305634pt;width:85.35pt;height:11.5pt;mso-position-horizontal-relative:page;mso-position-vertical-relative:page;z-index:-1003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5.253998pt;margin-top:42.599983pt;width:67.543pt;height:10.25pt;mso-position-horizontal-relative:page;mso-position-vertical-relative:page;z-index:-1003912" type="#_x0000_t75" stroked="false">
          <v:imagedata r:id="rId1" o:title=""/>
        </v:shape>
      </w:pict>
    </w:r>
    <w:r>
      <w:rPr/>
      <w:pict>
        <v:group style="position:absolute;margin-left:88.463997pt;margin-top:56.879982pt;width:443.6pt;height:.1pt;mso-position-horizontal-relative:page;mso-position-vertical-relative:page;z-index:-1003888" coordorigin="1769,1138" coordsize="8872,2">
          <v:shape style="position:absolute;left:1769;top:1138;width:8872;height:2" coordorigin="1769,1138" coordsize="8872,0" path="m1769,1138l10641,1138e" filled="false" stroked="true" strokeweight=".72pt" strokecolor="#000000">
            <v:path arrowok="t"/>
          </v:shape>
          <w10:wrap type="none"/>
        </v:group>
      </w:pict>
    </w:r>
    <w:r>
      <w:rPr/>
      <w:pict>
        <v:shape style="position:absolute;margin-left:161.740005pt;margin-top:44.185608pt;width:92pt;height:11pt;mso-position-horizontal-relative:page;mso-position-vertical-relative:page;z-index:-1003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441.029999pt;margin-top:44.185608pt;width:85.35pt;height:11.5pt;mso-position-horizontal-relative:page;mso-position-vertical-relative:page;z-index:-1003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7.649994pt;margin-top:42.840008pt;width:67.543pt;height:10.26pt;mso-position-horizontal-relative:page;mso-position-vertical-relative:page;z-index:-1003792" type="#_x0000_t75" stroked="false">
          <v:imagedata r:id="rId1" o:title=""/>
        </v:shape>
      </w:pict>
    </w:r>
    <w:r>
      <w:rPr/>
      <w:pict>
        <v:group style="position:absolute;margin-left:74.760002pt;margin-top:57.120007pt;width:695.65pt;height:.1pt;mso-position-horizontal-relative:page;mso-position-vertical-relative:page;z-index:-1003768" coordorigin="1495,1142" coordsize="13913,2">
          <v:shape style="position:absolute;left:1495;top:1142;width:13913;height:2" coordorigin="1495,1142" coordsize="13913,0" path="m1495,1142l15408,1142e" filled="false" stroked="true" strokeweight=".72pt" strokecolor="#000000">
            <v:path arrowok="t"/>
          </v:shape>
          <w10:wrap type="none"/>
        </v:group>
      </w:pict>
    </w:r>
    <w:r>
      <w:rPr/>
      <w:pict>
        <v:shape style="position:absolute;margin-left:274.089996pt;margin-top:44.425632pt;width:92pt;height:11pt;mso-position-horizontal-relative:page;mso-position-vertical-relative:page;z-index:-1003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xbxContent>
          </v:textbox>
          <w10:wrap type="none"/>
        </v:shape>
      </w:pict>
    </w:r>
    <w:r>
      <w:rPr/>
      <w:pict>
        <v:shape style="position:absolute;margin-left:553.349976pt;margin-top:44.425632pt;width:85.35pt;height:11.5pt;mso-position-horizontal-relative:page;mso-position-vertical-relative:page;z-index:-1003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7"/>
      <w:ind w:left="138"/>
    </w:pPr>
    <w:rPr>
      <w:rFonts w:ascii="宋体" w:hAnsi="宋体" w:eastAsia="宋体"/>
      <w:b/>
      <w:bCs/>
      <w:sz w:val="24"/>
      <w:szCs w:val="24"/>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ind w:left="342"/>
      <w:outlineLvl w:val="1"/>
    </w:pPr>
    <w:rPr>
      <w:rFonts w:ascii="黑体" w:hAnsi="黑体" w:eastAsia="黑体"/>
      <w:b/>
      <w:bCs/>
      <w:sz w:val="28"/>
      <w:szCs w:val="28"/>
    </w:rPr>
  </w:style>
  <w:style w:styleId="Heading2" w:type="paragraph">
    <w:name w:val="Heading 2"/>
    <w:basedOn w:val="Normal"/>
    <w:uiPriority w:val="1"/>
    <w:qFormat/>
    <w:pPr>
      <w:spacing w:before="26"/>
      <w:ind w:left="138"/>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bona@linewell.com" TargetMode="External"/><Relationship Id="rId9" Type="http://schemas.openxmlformats.org/officeDocument/2006/relationships/hyperlink" Target="mailto:lpeiyu@linewell.com" TargetMode="External"/><Relationship Id="rId10" Type="http://schemas.openxmlformats.org/officeDocument/2006/relationships/hyperlink" Target="http://www.linewell.com/" TargetMode="External"/><Relationship Id="rId11" Type="http://schemas.openxmlformats.org/officeDocument/2006/relationships/hyperlink" Target="mailto:ir@linewell.com" TargetMode="External"/><Relationship Id="rId12" Type="http://schemas.openxmlformats.org/officeDocument/2006/relationships/hyperlink" Target="http://www.sse.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2.png"/><Relationship Id="rId24" Type="http://schemas.openxmlformats.org/officeDocument/2006/relationships/footer" Target="footer7.xml"/><Relationship Id="rId25" Type="http://schemas.openxmlformats.org/officeDocument/2006/relationships/image" Target="media/image3.png"/><Relationship Id="rId26" Type="http://schemas.openxmlformats.org/officeDocument/2006/relationships/header" Target="header7.xml"/><Relationship Id="rId27" Type="http://schemas.openxmlformats.org/officeDocument/2006/relationships/footer" Target="footer8.xml"/><Relationship Id="rId28" Type="http://schemas.openxmlformats.org/officeDocument/2006/relationships/header" Target="header8.xml"/><Relationship Id="rId29" Type="http://schemas.openxmlformats.org/officeDocument/2006/relationships/footer" Target="footer9.xml"/><Relationship Id="rId30" Type="http://schemas.openxmlformats.org/officeDocument/2006/relationships/header" Target="header9.xml"/><Relationship Id="rId31" Type="http://schemas.openxmlformats.org/officeDocument/2006/relationships/footer" Target="footer10.xml"/><Relationship Id="rId32" Type="http://schemas.openxmlformats.org/officeDocument/2006/relationships/header" Target="header10.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2020-05-03T06:24:54Z</dcterms:created>
  <dcterms:modified xsi:type="dcterms:W3CDTF">2020-05-03T06:24:54Z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Office Word 2007</vt:lpwstr>
  </property>
  <property fmtid="{D5CDD505-2E9C-101B-9397-08002B2CF9AE}" pid="4" name="LastSaved">
    <vt:filetime>2020-05-02T00:00:00Z</vt:filetime>
  </property>
</Properties>
</file>